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9C199" w14:textId="77777777" w:rsidR="0048364F" w:rsidRPr="00A439F0" w:rsidRDefault="00193461" w:rsidP="0020300C">
      <w:pPr>
        <w:rPr>
          <w:sz w:val="28"/>
        </w:rPr>
      </w:pPr>
      <w:r w:rsidRPr="00A439F0">
        <w:rPr>
          <w:noProof/>
          <w:lang w:eastAsia="en-AU"/>
        </w:rPr>
        <w:drawing>
          <wp:inline distT="0" distB="0" distL="0" distR="0" wp14:anchorId="29CBCECC" wp14:editId="0AC922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4E17F" w14:textId="77777777" w:rsidR="0048364F" w:rsidRPr="00A439F0" w:rsidRDefault="0048364F" w:rsidP="0048364F">
      <w:pPr>
        <w:rPr>
          <w:sz w:val="19"/>
        </w:rPr>
      </w:pPr>
    </w:p>
    <w:p w14:paraId="340BB9F3" w14:textId="77777777" w:rsidR="0048364F" w:rsidRPr="00A439F0" w:rsidRDefault="00072323" w:rsidP="0048364F">
      <w:pPr>
        <w:pStyle w:val="ShortT"/>
      </w:pPr>
      <w:r w:rsidRPr="00A439F0">
        <w:t>Financial Sector Reform (Hayne Royal Commission Response</w:t>
      </w:r>
      <w:r w:rsidR="005B3721" w:rsidRPr="00A439F0">
        <w:t>—</w:t>
      </w:r>
      <w:r w:rsidRPr="00A439F0">
        <w:t xml:space="preserve">Advice Fees) </w:t>
      </w:r>
      <w:r w:rsidR="00A439F0">
        <w:t>Regulations 2</w:t>
      </w:r>
      <w:r w:rsidRPr="00A439F0">
        <w:t>021</w:t>
      </w:r>
    </w:p>
    <w:p w14:paraId="40E98003" w14:textId="77777777" w:rsidR="00072323" w:rsidRPr="00A439F0" w:rsidRDefault="00072323" w:rsidP="00C22E7E">
      <w:pPr>
        <w:pStyle w:val="SignCoverPageStart"/>
        <w:spacing w:before="240"/>
        <w:rPr>
          <w:szCs w:val="22"/>
        </w:rPr>
      </w:pPr>
      <w:r w:rsidRPr="00A439F0">
        <w:rPr>
          <w:szCs w:val="22"/>
        </w:rPr>
        <w:t>I, General the Honourable David Hurley AC DSC (</w:t>
      </w:r>
      <w:proofErr w:type="spellStart"/>
      <w:r w:rsidRPr="00A439F0">
        <w:rPr>
          <w:szCs w:val="22"/>
        </w:rPr>
        <w:t>Retd</w:t>
      </w:r>
      <w:proofErr w:type="spellEnd"/>
      <w:r w:rsidRPr="00A439F0">
        <w:rPr>
          <w:szCs w:val="22"/>
        </w:rPr>
        <w:t>), Governor</w:t>
      </w:r>
      <w:r w:rsidR="00A439F0">
        <w:rPr>
          <w:szCs w:val="22"/>
        </w:rPr>
        <w:noBreakHyphen/>
      </w:r>
      <w:r w:rsidRPr="00A439F0">
        <w:rPr>
          <w:szCs w:val="22"/>
        </w:rPr>
        <w:t>General of the Commonwealth of Australia, acting with the advice of the Federal Executive Council, make the following regulations.</w:t>
      </w:r>
    </w:p>
    <w:p w14:paraId="58E0B9AC" w14:textId="5EECC160" w:rsidR="00072323" w:rsidRPr="00A439F0" w:rsidRDefault="00072323" w:rsidP="00C22E7E">
      <w:pPr>
        <w:keepNext/>
        <w:spacing w:before="720" w:line="240" w:lineRule="atLeast"/>
        <w:ind w:right="397"/>
        <w:jc w:val="both"/>
        <w:rPr>
          <w:szCs w:val="22"/>
        </w:rPr>
      </w:pPr>
      <w:r w:rsidRPr="00A439F0">
        <w:rPr>
          <w:szCs w:val="22"/>
        </w:rPr>
        <w:t>Dated</w:t>
      </w:r>
      <w:r w:rsidR="000A74CF">
        <w:rPr>
          <w:szCs w:val="22"/>
        </w:rPr>
        <w:t xml:space="preserve"> </w:t>
      </w:r>
      <w:r w:rsidRPr="00A439F0">
        <w:rPr>
          <w:szCs w:val="22"/>
        </w:rPr>
        <w:fldChar w:fldCharType="begin"/>
      </w:r>
      <w:r w:rsidRPr="00A439F0">
        <w:rPr>
          <w:szCs w:val="22"/>
        </w:rPr>
        <w:instrText xml:space="preserve"> DOCPROPERTY  DateMade </w:instrText>
      </w:r>
      <w:r w:rsidRPr="00A439F0">
        <w:rPr>
          <w:szCs w:val="22"/>
        </w:rPr>
        <w:fldChar w:fldCharType="separate"/>
      </w:r>
      <w:r w:rsidR="000A74CF">
        <w:rPr>
          <w:szCs w:val="22"/>
        </w:rPr>
        <w:t>13 May 2021</w:t>
      </w:r>
      <w:r w:rsidRPr="00A439F0">
        <w:rPr>
          <w:szCs w:val="22"/>
        </w:rPr>
        <w:fldChar w:fldCharType="end"/>
      </w:r>
    </w:p>
    <w:p w14:paraId="403FD95F" w14:textId="77777777" w:rsidR="00072323" w:rsidRPr="00A439F0" w:rsidRDefault="00072323" w:rsidP="00C22E7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439F0">
        <w:rPr>
          <w:szCs w:val="22"/>
        </w:rPr>
        <w:t>David Hurley</w:t>
      </w:r>
    </w:p>
    <w:p w14:paraId="6C82DBD7" w14:textId="77777777" w:rsidR="00072323" w:rsidRPr="00A439F0" w:rsidRDefault="00072323" w:rsidP="00C22E7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439F0">
        <w:rPr>
          <w:szCs w:val="22"/>
        </w:rPr>
        <w:t>Governor</w:t>
      </w:r>
      <w:r w:rsidR="00A439F0">
        <w:rPr>
          <w:szCs w:val="22"/>
        </w:rPr>
        <w:noBreakHyphen/>
      </w:r>
      <w:r w:rsidRPr="00A439F0">
        <w:rPr>
          <w:szCs w:val="22"/>
        </w:rPr>
        <w:t>General</w:t>
      </w:r>
    </w:p>
    <w:p w14:paraId="7338A823" w14:textId="77777777" w:rsidR="00072323" w:rsidRPr="00A439F0" w:rsidRDefault="00072323" w:rsidP="00C22E7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439F0">
        <w:rPr>
          <w:szCs w:val="22"/>
        </w:rPr>
        <w:t>By His Excellency’s Command</w:t>
      </w:r>
    </w:p>
    <w:p w14:paraId="5F97293E" w14:textId="77777777" w:rsidR="00072323" w:rsidRPr="00A439F0" w:rsidRDefault="00072323" w:rsidP="00C22E7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439F0">
        <w:rPr>
          <w:szCs w:val="22"/>
        </w:rPr>
        <w:t>Jane Hume</w:t>
      </w:r>
    </w:p>
    <w:p w14:paraId="45162A55" w14:textId="77777777" w:rsidR="00072323" w:rsidRPr="00A439F0" w:rsidRDefault="00072323" w:rsidP="00C22E7E">
      <w:pPr>
        <w:pStyle w:val="SignCoverPageEnd"/>
        <w:rPr>
          <w:szCs w:val="22"/>
        </w:rPr>
      </w:pPr>
      <w:r w:rsidRPr="00A439F0">
        <w:rPr>
          <w:szCs w:val="22"/>
        </w:rPr>
        <w:t>Minister for Superannuation, Financial Services and the Digital Economy</w:t>
      </w:r>
    </w:p>
    <w:p w14:paraId="7E62CD8D" w14:textId="77777777" w:rsidR="00072323" w:rsidRPr="00A439F0" w:rsidRDefault="00072323" w:rsidP="00C22E7E"/>
    <w:p w14:paraId="2F748FC9" w14:textId="77777777" w:rsidR="0048364F" w:rsidRPr="005B1329" w:rsidRDefault="0048364F" w:rsidP="0048364F">
      <w:pPr>
        <w:pStyle w:val="Header"/>
        <w:tabs>
          <w:tab w:val="clear" w:pos="4150"/>
          <w:tab w:val="clear" w:pos="8307"/>
        </w:tabs>
      </w:pPr>
      <w:r w:rsidRPr="005B1329">
        <w:rPr>
          <w:rStyle w:val="CharAmSchNo"/>
        </w:rPr>
        <w:t xml:space="preserve"> </w:t>
      </w:r>
      <w:r w:rsidRPr="005B1329">
        <w:rPr>
          <w:rStyle w:val="CharAmSchText"/>
        </w:rPr>
        <w:t xml:space="preserve"> </w:t>
      </w:r>
    </w:p>
    <w:p w14:paraId="25BCEBB6" w14:textId="77777777" w:rsidR="0048364F" w:rsidRPr="005B1329" w:rsidRDefault="0048364F" w:rsidP="0048364F">
      <w:pPr>
        <w:pStyle w:val="Header"/>
        <w:tabs>
          <w:tab w:val="clear" w:pos="4150"/>
          <w:tab w:val="clear" w:pos="8307"/>
        </w:tabs>
      </w:pPr>
      <w:r w:rsidRPr="005B1329">
        <w:rPr>
          <w:rStyle w:val="CharAmPartNo"/>
        </w:rPr>
        <w:t xml:space="preserve"> </w:t>
      </w:r>
      <w:r w:rsidRPr="005B1329">
        <w:rPr>
          <w:rStyle w:val="CharAmPartText"/>
        </w:rPr>
        <w:t xml:space="preserve"> </w:t>
      </w:r>
    </w:p>
    <w:p w14:paraId="5BAB68DA" w14:textId="77777777" w:rsidR="0048364F" w:rsidRPr="00A439F0" w:rsidRDefault="0048364F" w:rsidP="0048364F">
      <w:pPr>
        <w:sectPr w:rsidR="0048364F" w:rsidRPr="00A439F0" w:rsidSect="0056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9E254D3" w14:textId="77777777" w:rsidR="00220A0C" w:rsidRPr="00A439F0" w:rsidRDefault="0048364F" w:rsidP="0048364F">
      <w:pPr>
        <w:outlineLvl w:val="0"/>
        <w:rPr>
          <w:sz w:val="36"/>
        </w:rPr>
      </w:pPr>
      <w:r w:rsidRPr="00A439F0">
        <w:rPr>
          <w:sz w:val="36"/>
        </w:rPr>
        <w:lastRenderedPageBreak/>
        <w:t>Contents</w:t>
      </w:r>
    </w:p>
    <w:p w14:paraId="5ADD167D" w14:textId="33DB64DF" w:rsidR="003B16A9" w:rsidRDefault="003B16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B16A9">
        <w:rPr>
          <w:noProof/>
        </w:rPr>
        <w:tab/>
      </w:r>
      <w:r w:rsidRPr="003B16A9">
        <w:rPr>
          <w:noProof/>
        </w:rPr>
        <w:fldChar w:fldCharType="begin"/>
      </w:r>
      <w:r w:rsidRPr="003B16A9">
        <w:rPr>
          <w:noProof/>
        </w:rPr>
        <w:instrText xml:space="preserve"> PAGEREF _Toc69379209 \h </w:instrText>
      </w:r>
      <w:r w:rsidRPr="003B16A9">
        <w:rPr>
          <w:noProof/>
        </w:rPr>
      </w:r>
      <w:r w:rsidRPr="003B16A9">
        <w:rPr>
          <w:noProof/>
        </w:rPr>
        <w:fldChar w:fldCharType="separate"/>
      </w:r>
      <w:r w:rsidR="000A74CF">
        <w:rPr>
          <w:noProof/>
        </w:rPr>
        <w:t>1</w:t>
      </w:r>
      <w:r w:rsidRPr="003B16A9">
        <w:rPr>
          <w:noProof/>
        </w:rPr>
        <w:fldChar w:fldCharType="end"/>
      </w:r>
    </w:p>
    <w:p w14:paraId="6EB4B291" w14:textId="2315ECCB" w:rsidR="003B16A9" w:rsidRDefault="003B16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B16A9">
        <w:rPr>
          <w:noProof/>
        </w:rPr>
        <w:tab/>
      </w:r>
      <w:r w:rsidRPr="003B16A9">
        <w:rPr>
          <w:noProof/>
        </w:rPr>
        <w:fldChar w:fldCharType="begin"/>
      </w:r>
      <w:r w:rsidRPr="003B16A9">
        <w:rPr>
          <w:noProof/>
        </w:rPr>
        <w:instrText xml:space="preserve"> PAGEREF _Toc69379210 \h </w:instrText>
      </w:r>
      <w:r w:rsidRPr="003B16A9">
        <w:rPr>
          <w:noProof/>
        </w:rPr>
      </w:r>
      <w:r w:rsidRPr="003B16A9">
        <w:rPr>
          <w:noProof/>
        </w:rPr>
        <w:fldChar w:fldCharType="separate"/>
      </w:r>
      <w:r w:rsidR="000A74CF">
        <w:rPr>
          <w:noProof/>
        </w:rPr>
        <w:t>1</w:t>
      </w:r>
      <w:r w:rsidRPr="003B16A9">
        <w:rPr>
          <w:noProof/>
        </w:rPr>
        <w:fldChar w:fldCharType="end"/>
      </w:r>
    </w:p>
    <w:p w14:paraId="253359DE" w14:textId="34BFA95A" w:rsidR="003B16A9" w:rsidRDefault="003B16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B16A9">
        <w:rPr>
          <w:noProof/>
        </w:rPr>
        <w:tab/>
      </w:r>
      <w:r w:rsidRPr="003B16A9">
        <w:rPr>
          <w:noProof/>
        </w:rPr>
        <w:fldChar w:fldCharType="begin"/>
      </w:r>
      <w:r w:rsidRPr="003B16A9">
        <w:rPr>
          <w:noProof/>
        </w:rPr>
        <w:instrText xml:space="preserve"> PAGEREF _Toc69379211 \h </w:instrText>
      </w:r>
      <w:r w:rsidRPr="003B16A9">
        <w:rPr>
          <w:noProof/>
        </w:rPr>
      </w:r>
      <w:r w:rsidRPr="003B16A9">
        <w:rPr>
          <w:noProof/>
        </w:rPr>
        <w:fldChar w:fldCharType="separate"/>
      </w:r>
      <w:r w:rsidR="000A74CF">
        <w:rPr>
          <w:noProof/>
        </w:rPr>
        <w:t>1</w:t>
      </w:r>
      <w:r w:rsidRPr="003B16A9">
        <w:rPr>
          <w:noProof/>
        </w:rPr>
        <w:fldChar w:fldCharType="end"/>
      </w:r>
    </w:p>
    <w:p w14:paraId="3E0B506C" w14:textId="5A253191" w:rsidR="003B16A9" w:rsidRDefault="003B16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B16A9">
        <w:rPr>
          <w:noProof/>
        </w:rPr>
        <w:tab/>
      </w:r>
      <w:r w:rsidRPr="003B16A9">
        <w:rPr>
          <w:noProof/>
        </w:rPr>
        <w:fldChar w:fldCharType="begin"/>
      </w:r>
      <w:r w:rsidRPr="003B16A9">
        <w:rPr>
          <w:noProof/>
        </w:rPr>
        <w:instrText xml:space="preserve"> PAGEREF _Toc69379212 \h </w:instrText>
      </w:r>
      <w:r w:rsidRPr="003B16A9">
        <w:rPr>
          <w:noProof/>
        </w:rPr>
      </w:r>
      <w:r w:rsidRPr="003B16A9">
        <w:rPr>
          <w:noProof/>
        </w:rPr>
        <w:fldChar w:fldCharType="separate"/>
      </w:r>
      <w:r w:rsidR="000A74CF">
        <w:rPr>
          <w:noProof/>
        </w:rPr>
        <w:t>1</w:t>
      </w:r>
      <w:r w:rsidRPr="003B16A9">
        <w:rPr>
          <w:noProof/>
        </w:rPr>
        <w:fldChar w:fldCharType="end"/>
      </w:r>
    </w:p>
    <w:p w14:paraId="5319109B" w14:textId="64E34CCB" w:rsidR="003B16A9" w:rsidRDefault="003B16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1—Ongoing fee arrangements</w:t>
      </w:r>
      <w:r w:rsidRPr="003B16A9">
        <w:rPr>
          <w:b w:val="0"/>
          <w:noProof/>
          <w:sz w:val="18"/>
        </w:rPr>
        <w:tab/>
      </w:r>
      <w:r w:rsidRPr="003B16A9">
        <w:rPr>
          <w:b w:val="0"/>
          <w:noProof/>
          <w:sz w:val="18"/>
        </w:rPr>
        <w:fldChar w:fldCharType="begin"/>
      </w:r>
      <w:r w:rsidRPr="003B16A9">
        <w:rPr>
          <w:b w:val="0"/>
          <w:noProof/>
          <w:sz w:val="18"/>
        </w:rPr>
        <w:instrText xml:space="preserve"> PAGEREF _Toc69379213 \h </w:instrText>
      </w:r>
      <w:r w:rsidRPr="003B16A9">
        <w:rPr>
          <w:b w:val="0"/>
          <w:noProof/>
          <w:sz w:val="18"/>
        </w:rPr>
      </w:r>
      <w:r w:rsidRPr="003B16A9">
        <w:rPr>
          <w:b w:val="0"/>
          <w:noProof/>
          <w:sz w:val="18"/>
        </w:rPr>
        <w:fldChar w:fldCharType="separate"/>
      </w:r>
      <w:r w:rsidR="000A74CF">
        <w:rPr>
          <w:b w:val="0"/>
          <w:noProof/>
          <w:sz w:val="18"/>
        </w:rPr>
        <w:t>2</w:t>
      </w:r>
      <w:r w:rsidRPr="003B16A9">
        <w:rPr>
          <w:b w:val="0"/>
          <w:noProof/>
          <w:sz w:val="18"/>
        </w:rPr>
        <w:fldChar w:fldCharType="end"/>
      </w:r>
    </w:p>
    <w:p w14:paraId="039EEE31" w14:textId="24691297" w:rsidR="003B16A9" w:rsidRDefault="003B16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3B16A9">
        <w:rPr>
          <w:i w:val="0"/>
          <w:noProof/>
          <w:sz w:val="18"/>
        </w:rPr>
        <w:tab/>
      </w:r>
      <w:r w:rsidRPr="003B16A9">
        <w:rPr>
          <w:i w:val="0"/>
          <w:noProof/>
          <w:sz w:val="18"/>
        </w:rPr>
        <w:fldChar w:fldCharType="begin"/>
      </w:r>
      <w:r w:rsidRPr="003B16A9">
        <w:rPr>
          <w:i w:val="0"/>
          <w:noProof/>
          <w:sz w:val="18"/>
        </w:rPr>
        <w:instrText xml:space="preserve"> PAGEREF _Toc69379214 \h </w:instrText>
      </w:r>
      <w:r w:rsidRPr="003B16A9">
        <w:rPr>
          <w:i w:val="0"/>
          <w:noProof/>
          <w:sz w:val="18"/>
        </w:rPr>
      </w:r>
      <w:r w:rsidRPr="003B16A9">
        <w:rPr>
          <w:i w:val="0"/>
          <w:noProof/>
          <w:sz w:val="18"/>
        </w:rPr>
        <w:fldChar w:fldCharType="separate"/>
      </w:r>
      <w:r w:rsidR="000A74CF">
        <w:rPr>
          <w:i w:val="0"/>
          <w:noProof/>
          <w:sz w:val="18"/>
        </w:rPr>
        <w:t>2</w:t>
      </w:r>
      <w:r w:rsidRPr="003B16A9">
        <w:rPr>
          <w:i w:val="0"/>
          <w:noProof/>
          <w:sz w:val="18"/>
        </w:rPr>
        <w:fldChar w:fldCharType="end"/>
      </w:r>
    </w:p>
    <w:p w14:paraId="03248627" w14:textId="4FF60919" w:rsidR="003B16A9" w:rsidRDefault="003B16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2—Trustees’ obligations</w:t>
      </w:r>
      <w:r w:rsidRPr="003B16A9">
        <w:rPr>
          <w:b w:val="0"/>
          <w:noProof/>
          <w:sz w:val="18"/>
        </w:rPr>
        <w:tab/>
      </w:r>
      <w:r w:rsidRPr="003B16A9">
        <w:rPr>
          <w:b w:val="0"/>
          <w:noProof/>
          <w:sz w:val="18"/>
        </w:rPr>
        <w:fldChar w:fldCharType="begin"/>
      </w:r>
      <w:r w:rsidRPr="003B16A9">
        <w:rPr>
          <w:b w:val="0"/>
          <w:noProof/>
          <w:sz w:val="18"/>
        </w:rPr>
        <w:instrText xml:space="preserve"> PAGEREF _Toc69379216 \h </w:instrText>
      </w:r>
      <w:r w:rsidRPr="003B16A9">
        <w:rPr>
          <w:b w:val="0"/>
          <w:noProof/>
          <w:sz w:val="18"/>
        </w:rPr>
      </w:r>
      <w:r w:rsidRPr="003B16A9">
        <w:rPr>
          <w:b w:val="0"/>
          <w:noProof/>
          <w:sz w:val="18"/>
        </w:rPr>
        <w:fldChar w:fldCharType="separate"/>
      </w:r>
      <w:r w:rsidR="000A74CF">
        <w:rPr>
          <w:b w:val="0"/>
          <w:noProof/>
          <w:sz w:val="18"/>
        </w:rPr>
        <w:t>4</w:t>
      </w:r>
      <w:r w:rsidRPr="003B16A9">
        <w:rPr>
          <w:b w:val="0"/>
          <w:noProof/>
          <w:sz w:val="18"/>
        </w:rPr>
        <w:fldChar w:fldCharType="end"/>
      </w:r>
    </w:p>
    <w:p w14:paraId="2B3B2A0F" w14:textId="0A03FF23" w:rsidR="003B16A9" w:rsidRDefault="003B16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Electronic Transactions Regulations 2020</w:t>
      </w:r>
      <w:r w:rsidRPr="003B16A9">
        <w:rPr>
          <w:i w:val="0"/>
          <w:noProof/>
          <w:sz w:val="18"/>
        </w:rPr>
        <w:tab/>
      </w:r>
      <w:r w:rsidRPr="003B16A9">
        <w:rPr>
          <w:i w:val="0"/>
          <w:noProof/>
          <w:sz w:val="18"/>
        </w:rPr>
        <w:fldChar w:fldCharType="begin"/>
      </w:r>
      <w:r w:rsidRPr="003B16A9">
        <w:rPr>
          <w:i w:val="0"/>
          <w:noProof/>
          <w:sz w:val="18"/>
        </w:rPr>
        <w:instrText xml:space="preserve"> PAGEREF _Toc69379217 \h </w:instrText>
      </w:r>
      <w:r w:rsidRPr="003B16A9">
        <w:rPr>
          <w:i w:val="0"/>
          <w:noProof/>
          <w:sz w:val="18"/>
        </w:rPr>
      </w:r>
      <w:r w:rsidRPr="003B16A9">
        <w:rPr>
          <w:i w:val="0"/>
          <w:noProof/>
          <w:sz w:val="18"/>
        </w:rPr>
        <w:fldChar w:fldCharType="separate"/>
      </w:r>
      <w:r w:rsidR="000A74CF">
        <w:rPr>
          <w:i w:val="0"/>
          <w:noProof/>
          <w:sz w:val="18"/>
        </w:rPr>
        <w:t>4</w:t>
      </w:r>
      <w:r w:rsidRPr="003B16A9">
        <w:rPr>
          <w:i w:val="0"/>
          <w:noProof/>
          <w:sz w:val="18"/>
        </w:rPr>
        <w:fldChar w:fldCharType="end"/>
      </w:r>
    </w:p>
    <w:p w14:paraId="17C95B85" w14:textId="77777777" w:rsidR="0048364F" w:rsidRPr="00A439F0" w:rsidRDefault="003B16A9" w:rsidP="0048364F">
      <w:r>
        <w:fldChar w:fldCharType="end"/>
      </w:r>
    </w:p>
    <w:p w14:paraId="22C8AE2C" w14:textId="77777777" w:rsidR="0048364F" w:rsidRPr="00A439F0" w:rsidRDefault="0048364F" w:rsidP="0048364F">
      <w:pPr>
        <w:sectPr w:rsidR="0048364F" w:rsidRPr="00A439F0" w:rsidSect="005606E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CE91F3" w14:textId="77777777" w:rsidR="0048364F" w:rsidRPr="00A439F0" w:rsidRDefault="0048364F" w:rsidP="0048364F">
      <w:pPr>
        <w:pStyle w:val="ActHead5"/>
      </w:pPr>
      <w:bookmarkStart w:id="0" w:name="_Toc69379209"/>
      <w:r w:rsidRPr="005B1329">
        <w:rPr>
          <w:rStyle w:val="CharSectno"/>
        </w:rPr>
        <w:lastRenderedPageBreak/>
        <w:t>1</w:t>
      </w:r>
      <w:r w:rsidRPr="00A439F0">
        <w:t xml:space="preserve">  </w:t>
      </w:r>
      <w:r w:rsidR="004F676E" w:rsidRPr="00A439F0">
        <w:t>Name</w:t>
      </w:r>
      <w:bookmarkEnd w:id="0"/>
    </w:p>
    <w:p w14:paraId="1AC1C117" w14:textId="2978A6AB" w:rsidR="0048364F" w:rsidRPr="00A439F0" w:rsidRDefault="0048364F" w:rsidP="0048364F">
      <w:pPr>
        <w:pStyle w:val="subsection"/>
      </w:pPr>
      <w:r w:rsidRPr="00A439F0">
        <w:tab/>
      </w:r>
      <w:r w:rsidRPr="00A439F0">
        <w:tab/>
      </w:r>
      <w:r w:rsidR="00072323" w:rsidRPr="00A439F0">
        <w:t>This instrument is</w:t>
      </w:r>
      <w:r w:rsidRPr="00A439F0">
        <w:t xml:space="preserve"> the </w:t>
      </w:r>
      <w:r w:rsidR="00414ADE" w:rsidRPr="00A439F0">
        <w:rPr>
          <w:i/>
        </w:rPr>
        <w:fldChar w:fldCharType="begin"/>
      </w:r>
      <w:r w:rsidR="00414ADE" w:rsidRPr="00A439F0">
        <w:rPr>
          <w:i/>
        </w:rPr>
        <w:instrText xml:space="preserve"> STYLEREF  ShortT </w:instrText>
      </w:r>
      <w:r w:rsidR="00414ADE" w:rsidRPr="00A439F0">
        <w:rPr>
          <w:i/>
        </w:rPr>
        <w:fldChar w:fldCharType="separate"/>
      </w:r>
      <w:r w:rsidR="000A74CF">
        <w:rPr>
          <w:i/>
          <w:noProof/>
        </w:rPr>
        <w:t>Financial Sector Reform (Hayne Royal Commission Response—Advice Fees) Regulations 2021</w:t>
      </w:r>
      <w:r w:rsidR="00414ADE" w:rsidRPr="00A439F0">
        <w:rPr>
          <w:i/>
        </w:rPr>
        <w:fldChar w:fldCharType="end"/>
      </w:r>
      <w:r w:rsidRPr="00A439F0">
        <w:t>.</w:t>
      </w:r>
    </w:p>
    <w:p w14:paraId="16195079" w14:textId="77777777" w:rsidR="004F676E" w:rsidRPr="00A439F0" w:rsidRDefault="0048364F" w:rsidP="005452CC">
      <w:pPr>
        <w:pStyle w:val="ActHead5"/>
      </w:pPr>
      <w:bookmarkStart w:id="1" w:name="_Toc69379210"/>
      <w:r w:rsidRPr="005B1329">
        <w:rPr>
          <w:rStyle w:val="CharSectno"/>
        </w:rPr>
        <w:t>2</w:t>
      </w:r>
      <w:r w:rsidRPr="00A439F0">
        <w:t xml:space="preserve">  Commencement</w:t>
      </w:r>
      <w:bookmarkEnd w:id="1"/>
    </w:p>
    <w:p w14:paraId="6430DF83" w14:textId="77777777" w:rsidR="005452CC" w:rsidRPr="00A439F0" w:rsidRDefault="005452CC" w:rsidP="00C22E7E">
      <w:pPr>
        <w:pStyle w:val="subsection"/>
      </w:pPr>
      <w:r w:rsidRPr="00A439F0">
        <w:tab/>
        <w:t>(1)</w:t>
      </w:r>
      <w:r w:rsidRPr="00A439F0">
        <w:tab/>
        <w:t xml:space="preserve">Each provision of </w:t>
      </w:r>
      <w:r w:rsidR="00072323" w:rsidRPr="00A439F0">
        <w:t>this instrument</w:t>
      </w:r>
      <w:r w:rsidRPr="00A439F0">
        <w:t xml:space="preserve"> specified in column 1 of the table commences, or is taken to have commenced, in accordance with column 2 of the table. Any other statement in column 2 has effect according to its terms.</w:t>
      </w:r>
    </w:p>
    <w:p w14:paraId="41FB8F37" w14:textId="77777777" w:rsidR="005452CC" w:rsidRPr="00A439F0" w:rsidRDefault="005452CC" w:rsidP="00C22E7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439F0" w14:paraId="4850AEC0" w14:textId="77777777" w:rsidTr="0007232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B1F6A9" w14:textId="77777777" w:rsidR="005452CC" w:rsidRPr="00A439F0" w:rsidRDefault="005452CC" w:rsidP="00C22E7E">
            <w:pPr>
              <w:pStyle w:val="TableHeading"/>
            </w:pPr>
            <w:r w:rsidRPr="00A439F0">
              <w:t>Commencement information</w:t>
            </w:r>
          </w:p>
        </w:tc>
      </w:tr>
      <w:tr w:rsidR="005452CC" w:rsidRPr="00A439F0" w14:paraId="7D69E395" w14:textId="77777777" w:rsidTr="0007232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4CD12B" w14:textId="77777777" w:rsidR="005452CC" w:rsidRPr="00A439F0" w:rsidRDefault="005452CC" w:rsidP="00C22E7E">
            <w:pPr>
              <w:pStyle w:val="TableHeading"/>
            </w:pPr>
            <w:r w:rsidRPr="00A439F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013B28" w14:textId="77777777" w:rsidR="005452CC" w:rsidRPr="00A439F0" w:rsidRDefault="005452CC" w:rsidP="00C22E7E">
            <w:pPr>
              <w:pStyle w:val="TableHeading"/>
            </w:pPr>
            <w:r w:rsidRPr="00A439F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4753E2" w14:textId="77777777" w:rsidR="005452CC" w:rsidRPr="00A439F0" w:rsidRDefault="005452CC" w:rsidP="00C22E7E">
            <w:pPr>
              <w:pStyle w:val="TableHeading"/>
            </w:pPr>
            <w:r w:rsidRPr="00A439F0">
              <w:t>Column 3</w:t>
            </w:r>
          </w:p>
        </w:tc>
      </w:tr>
      <w:tr w:rsidR="005452CC" w:rsidRPr="00A439F0" w14:paraId="260A7155" w14:textId="77777777" w:rsidTr="0007232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4CCD34" w14:textId="77777777" w:rsidR="005452CC" w:rsidRPr="00A439F0" w:rsidRDefault="005452CC" w:rsidP="00C22E7E">
            <w:pPr>
              <w:pStyle w:val="TableHeading"/>
            </w:pPr>
            <w:r w:rsidRPr="00A439F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692A52" w14:textId="77777777" w:rsidR="005452CC" w:rsidRPr="00A439F0" w:rsidRDefault="005452CC" w:rsidP="00C22E7E">
            <w:pPr>
              <w:pStyle w:val="TableHeading"/>
            </w:pPr>
            <w:r w:rsidRPr="00A439F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894AE1" w14:textId="77777777" w:rsidR="005452CC" w:rsidRPr="00A439F0" w:rsidRDefault="005452CC" w:rsidP="00C22E7E">
            <w:pPr>
              <w:pStyle w:val="TableHeading"/>
            </w:pPr>
            <w:r w:rsidRPr="00A439F0">
              <w:t>Date/Details</w:t>
            </w:r>
          </w:p>
        </w:tc>
      </w:tr>
      <w:tr w:rsidR="00072323" w:rsidRPr="00A439F0" w14:paraId="3906D954" w14:textId="77777777" w:rsidTr="00072323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79AA8A50" w14:textId="77777777" w:rsidR="00072323" w:rsidRPr="00A439F0" w:rsidRDefault="00B05EE6" w:rsidP="00AD7252">
            <w:pPr>
              <w:pStyle w:val="Tabletext"/>
            </w:pPr>
            <w:r w:rsidRPr="00A439F0">
              <w:t xml:space="preserve">1.  </w:t>
            </w:r>
            <w:r w:rsidR="0015622C" w:rsidRPr="00A439F0">
              <w:t>Sections 1</w:t>
            </w:r>
            <w:r w:rsidRPr="00A439F0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14:paraId="1E89275C" w14:textId="77777777" w:rsidR="00072323" w:rsidRPr="00A439F0" w:rsidRDefault="00B05EE6" w:rsidP="005452CC">
            <w:pPr>
              <w:pStyle w:val="Tabletext"/>
            </w:pPr>
            <w:r w:rsidRPr="00A439F0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EB7B77C" w14:textId="4D627D9A" w:rsidR="00072323" w:rsidRPr="00A439F0" w:rsidRDefault="007F0A93">
            <w:pPr>
              <w:pStyle w:val="Tabletext"/>
            </w:pPr>
            <w:r>
              <w:t>15 May 2021</w:t>
            </w:r>
          </w:p>
        </w:tc>
      </w:tr>
      <w:tr w:rsidR="00B05EE6" w:rsidRPr="00A439F0" w14:paraId="6FD6B70A" w14:textId="77777777" w:rsidTr="00072323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56CC37B7" w14:textId="77777777" w:rsidR="00B05EE6" w:rsidRPr="00A439F0" w:rsidRDefault="00B05EE6" w:rsidP="00B05EE6">
            <w:pPr>
              <w:pStyle w:val="Tabletext"/>
            </w:pPr>
            <w:r w:rsidRPr="00A439F0">
              <w:t xml:space="preserve">2.  </w:t>
            </w:r>
            <w:r w:rsidR="005773C9" w:rsidRPr="00A439F0">
              <w:t>Schedule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73825D44" w14:textId="77777777" w:rsidR="00B05EE6" w:rsidRPr="00A439F0" w:rsidRDefault="00B05EE6" w:rsidP="00B05EE6">
            <w:pPr>
              <w:pStyle w:val="Tabletext"/>
            </w:pPr>
            <w:r w:rsidRPr="00A439F0">
              <w:t>The later of:</w:t>
            </w:r>
          </w:p>
          <w:p w14:paraId="6B40E838" w14:textId="77777777" w:rsidR="00B05EE6" w:rsidRPr="00A439F0" w:rsidRDefault="00B05EE6" w:rsidP="00B05EE6">
            <w:pPr>
              <w:pStyle w:val="Tablea"/>
            </w:pPr>
            <w:r w:rsidRPr="00A439F0">
              <w:t>(a) the day after this instrument is registered; and</w:t>
            </w:r>
          </w:p>
          <w:p w14:paraId="3419A98D" w14:textId="77777777" w:rsidR="00B05EE6" w:rsidRPr="00A439F0" w:rsidRDefault="00B05EE6" w:rsidP="00B05EE6">
            <w:pPr>
              <w:pStyle w:val="Tablea"/>
            </w:pPr>
            <w:r w:rsidRPr="00A439F0">
              <w:t xml:space="preserve">(b) immediately after the commencement of </w:t>
            </w:r>
            <w:r w:rsidR="005773C9" w:rsidRPr="00A439F0">
              <w:t>Schedule 1</w:t>
            </w:r>
            <w:r w:rsidRPr="00A439F0">
              <w:t xml:space="preserve"> to the </w:t>
            </w:r>
            <w:r w:rsidRPr="00A439F0">
              <w:rPr>
                <w:i/>
              </w:rPr>
              <w:t>Financial Sector Reform (Hayne Royal Commission Response No. 2) Act 2021</w:t>
            </w:r>
            <w:r w:rsidRPr="00A439F0">
              <w:t>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578A4DC7" w14:textId="3865C5B0" w:rsidR="00B05EE6" w:rsidRPr="00A439F0" w:rsidRDefault="007F0A93" w:rsidP="00B05EE6">
            <w:pPr>
              <w:pStyle w:val="Tabletext"/>
            </w:pPr>
            <w:r>
              <w:t>1 July 2021 (paragraph (b) applies)</w:t>
            </w:r>
          </w:p>
        </w:tc>
      </w:tr>
      <w:tr w:rsidR="00B05EE6" w:rsidRPr="00A439F0" w14:paraId="4FA1E4B8" w14:textId="77777777" w:rsidTr="00072323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B38DC1E" w14:textId="77777777" w:rsidR="00B05EE6" w:rsidRPr="00A439F0" w:rsidRDefault="00B05EE6" w:rsidP="00B05EE6">
            <w:pPr>
              <w:pStyle w:val="Tabletext"/>
            </w:pPr>
            <w:r w:rsidRPr="00A439F0">
              <w:t xml:space="preserve">3.  </w:t>
            </w:r>
            <w:r w:rsidR="005773C9" w:rsidRPr="00A439F0">
              <w:t>Schedule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F612A83" w14:textId="77777777" w:rsidR="00B05EE6" w:rsidRPr="00A439F0" w:rsidRDefault="00B05EE6" w:rsidP="00B05EE6">
            <w:pPr>
              <w:pStyle w:val="Tabletext"/>
            </w:pPr>
            <w:r w:rsidRPr="00A439F0">
              <w:t>The later of:</w:t>
            </w:r>
          </w:p>
          <w:p w14:paraId="7DA8C598" w14:textId="77777777" w:rsidR="00B05EE6" w:rsidRPr="00A439F0" w:rsidRDefault="00B05EE6" w:rsidP="00B05EE6">
            <w:pPr>
              <w:pStyle w:val="Tablea"/>
            </w:pPr>
            <w:r w:rsidRPr="00A439F0">
              <w:t>(a) the day after this instrument is registered; and</w:t>
            </w:r>
          </w:p>
          <w:p w14:paraId="4EB14889" w14:textId="77777777" w:rsidR="00B05EE6" w:rsidRPr="00A439F0" w:rsidRDefault="00B05EE6" w:rsidP="00B05EE6">
            <w:pPr>
              <w:pStyle w:val="Tablea"/>
            </w:pPr>
            <w:r w:rsidRPr="00A439F0">
              <w:t xml:space="preserve">(b) immediately after the commencement of Schedule 3 to the </w:t>
            </w:r>
            <w:r w:rsidRPr="00A439F0">
              <w:rPr>
                <w:i/>
              </w:rPr>
              <w:t>Financial Sector Reform (Hayne Royal Commission Response No. 2) Act 2021</w:t>
            </w:r>
            <w:r w:rsidRPr="00A439F0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389467" w14:textId="69B8DDDD" w:rsidR="00B05EE6" w:rsidRPr="00A439F0" w:rsidRDefault="007F0A93" w:rsidP="00B05EE6">
            <w:pPr>
              <w:pStyle w:val="Tabletext"/>
            </w:pPr>
            <w:r>
              <w:t>1 July 2021 (paragraph (b) applies)</w:t>
            </w:r>
            <w:bookmarkStart w:id="2" w:name="_GoBack"/>
            <w:bookmarkEnd w:id="2"/>
          </w:p>
        </w:tc>
      </w:tr>
    </w:tbl>
    <w:p w14:paraId="10D0549F" w14:textId="77777777" w:rsidR="005452CC" w:rsidRPr="00A439F0" w:rsidRDefault="005452CC" w:rsidP="00C22E7E">
      <w:pPr>
        <w:pStyle w:val="notetext"/>
      </w:pPr>
      <w:r w:rsidRPr="00A439F0">
        <w:rPr>
          <w:snapToGrid w:val="0"/>
          <w:lang w:eastAsia="en-US"/>
        </w:rPr>
        <w:t>Note:</w:t>
      </w:r>
      <w:r w:rsidRPr="00A439F0">
        <w:rPr>
          <w:snapToGrid w:val="0"/>
          <w:lang w:eastAsia="en-US"/>
        </w:rPr>
        <w:tab/>
        <w:t xml:space="preserve">This table relates only to the provisions of </w:t>
      </w:r>
      <w:r w:rsidR="00072323" w:rsidRPr="00A439F0">
        <w:rPr>
          <w:snapToGrid w:val="0"/>
          <w:lang w:eastAsia="en-US"/>
        </w:rPr>
        <w:t>this instrument</w:t>
      </w:r>
      <w:r w:rsidRPr="00A439F0">
        <w:t xml:space="preserve"> </w:t>
      </w:r>
      <w:r w:rsidRPr="00A439F0">
        <w:rPr>
          <w:snapToGrid w:val="0"/>
          <w:lang w:eastAsia="en-US"/>
        </w:rPr>
        <w:t xml:space="preserve">as originally made. It will not be amended to deal with any later amendments of </w:t>
      </w:r>
      <w:r w:rsidR="00072323" w:rsidRPr="00A439F0">
        <w:rPr>
          <w:snapToGrid w:val="0"/>
          <w:lang w:eastAsia="en-US"/>
        </w:rPr>
        <w:t>this instrument</w:t>
      </w:r>
      <w:r w:rsidRPr="00A439F0">
        <w:rPr>
          <w:snapToGrid w:val="0"/>
          <w:lang w:eastAsia="en-US"/>
        </w:rPr>
        <w:t>.</w:t>
      </w:r>
    </w:p>
    <w:p w14:paraId="234AFFDA" w14:textId="77777777" w:rsidR="005452CC" w:rsidRPr="00A439F0" w:rsidRDefault="005452CC" w:rsidP="004F676E">
      <w:pPr>
        <w:pStyle w:val="subsection"/>
      </w:pPr>
      <w:r w:rsidRPr="00A439F0">
        <w:tab/>
        <w:t>(2)</w:t>
      </w:r>
      <w:r w:rsidRPr="00A439F0">
        <w:tab/>
        <w:t xml:space="preserve">Any information in column 3 of the table is not part of </w:t>
      </w:r>
      <w:r w:rsidR="00072323" w:rsidRPr="00A439F0">
        <w:t>this instrument</w:t>
      </w:r>
      <w:r w:rsidRPr="00A439F0">
        <w:t xml:space="preserve">. Information may be inserted in this column, or information in it may be edited, in any published version of </w:t>
      </w:r>
      <w:r w:rsidR="00072323" w:rsidRPr="00A439F0">
        <w:t>this instrument</w:t>
      </w:r>
      <w:r w:rsidRPr="00A439F0">
        <w:t>.</w:t>
      </w:r>
    </w:p>
    <w:p w14:paraId="0F46087E" w14:textId="77777777" w:rsidR="00BF6650" w:rsidRPr="00A439F0" w:rsidRDefault="00BF6650" w:rsidP="00BF6650">
      <w:pPr>
        <w:pStyle w:val="ActHead5"/>
      </w:pPr>
      <w:bookmarkStart w:id="3" w:name="_Toc69379211"/>
      <w:r w:rsidRPr="005B1329">
        <w:rPr>
          <w:rStyle w:val="CharSectno"/>
        </w:rPr>
        <w:t>3</w:t>
      </w:r>
      <w:r w:rsidRPr="00A439F0">
        <w:t xml:space="preserve">  Authority</w:t>
      </w:r>
      <w:bookmarkEnd w:id="3"/>
    </w:p>
    <w:p w14:paraId="0CC08964" w14:textId="77777777" w:rsidR="00BF6650" w:rsidRPr="00A439F0" w:rsidRDefault="00BF6650" w:rsidP="00BF6650">
      <w:pPr>
        <w:pStyle w:val="subsection"/>
      </w:pPr>
      <w:r w:rsidRPr="00A439F0">
        <w:tab/>
      </w:r>
      <w:r w:rsidRPr="00A439F0">
        <w:tab/>
      </w:r>
      <w:r w:rsidR="00072323" w:rsidRPr="00A439F0">
        <w:t>This instrument is</w:t>
      </w:r>
      <w:r w:rsidRPr="00A439F0">
        <w:t xml:space="preserve"> made under the</w:t>
      </w:r>
      <w:r w:rsidR="004429DD" w:rsidRPr="00A439F0">
        <w:t xml:space="preserve"> following:</w:t>
      </w:r>
    </w:p>
    <w:p w14:paraId="51637CF8" w14:textId="77777777" w:rsidR="004429DD" w:rsidRPr="00A439F0" w:rsidRDefault="004429DD" w:rsidP="004429DD">
      <w:pPr>
        <w:pStyle w:val="paragraph"/>
      </w:pPr>
      <w:r w:rsidRPr="00A439F0">
        <w:tab/>
        <w:t>(a)</w:t>
      </w:r>
      <w:r w:rsidRPr="00A439F0">
        <w:tab/>
        <w:t xml:space="preserve">the </w:t>
      </w:r>
      <w:r w:rsidRPr="00A439F0">
        <w:rPr>
          <w:i/>
        </w:rPr>
        <w:t>Corporations Act 2001</w:t>
      </w:r>
      <w:r w:rsidRPr="00A439F0">
        <w:t>;</w:t>
      </w:r>
    </w:p>
    <w:p w14:paraId="70BE2669" w14:textId="77777777" w:rsidR="004429DD" w:rsidRPr="00A439F0" w:rsidRDefault="004429DD" w:rsidP="004429DD">
      <w:pPr>
        <w:pStyle w:val="paragraph"/>
      </w:pPr>
      <w:r w:rsidRPr="00A439F0">
        <w:tab/>
        <w:t>(b)</w:t>
      </w:r>
      <w:r w:rsidRPr="00A439F0">
        <w:tab/>
        <w:t xml:space="preserve">the </w:t>
      </w:r>
      <w:r w:rsidRPr="00A439F0">
        <w:rPr>
          <w:i/>
        </w:rPr>
        <w:t>Electronic Transactions Act 1999</w:t>
      </w:r>
      <w:r w:rsidRPr="00A439F0">
        <w:t>.</w:t>
      </w:r>
    </w:p>
    <w:p w14:paraId="49D46EB3" w14:textId="77777777" w:rsidR="00557C7A" w:rsidRPr="00A439F0" w:rsidRDefault="00BF6650" w:rsidP="00557C7A">
      <w:pPr>
        <w:pStyle w:val="ActHead5"/>
      </w:pPr>
      <w:bookmarkStart w:id="4" w:name="_Toc69379212"/>
      <w:r w:rsidRPr="005B1329">
        <w:rPr>
          <w:rStyle w:val="CharSectno"/>
        </w:rPr>
        <w:t>4</w:t>
      </w:r>
      <w:r w:rsidR="00557C7A" w:rsidRPr="00A439F0">
        <w:t xml:space="preserve">  </w:t>
      </w:r>
      <w:r w:rsidR="00083F48" w:rsidRPr="00A439F0">
        <w:t>Schedules</w:t>
      </w:r>
      <w:bookmarkEnd w:id="4"/>
    </w:p>
    <w:p w14:paraId="75A799DF" w14:textId="77777777" w:rsidR="00557C7A" w:rsidRPr="00A439F0" w:rsidRDefault="00557C7A" w:rsidP="00557C7A">
      <w:pPr>
        <w:pStyle w:val="subsection"/>
      </w:pPr>
      <w:r w:rsidRPr="00A439F0">
        <w:tab/>
      </w:r>
      <w:r w:rsidRPr="00A439F0">
        <w:tab/>
      </w:r>
      <w:r w:rsidR="00083F48" w:rsidRPr="00A439F0">
        <w:t xml:space="preserve">Each </w:t>
      </w:r>
      <w:r w:rsidR="00160BD7" w:rsidRPr="00A439F0">
        <w:t>instrument</w:t>
      </w:r>
      <w:r w:rsidR="00083F48" w:rsidRPr="00A439F0">
        <w:t xml:space="preserve"> that is specified in a Schedule to </w:t>
      </w:r>
      <w:r w:rsidR="00072323" w:rsidRPr="00A439F0">
        <w:t>this instrument</w:t>
      </w:r>
      <w:r w:rsidR="00083F48" w:rsidRPr="00A439F0">
        <w:t xml:space="preserve"> is amended or repealed as set out in the applicable items in the Schedule concerned, and any other item in a Schedule to </w:t>
      </w:r>
      <w:r w:rsidR="00072323" w:rsidRPr="00A439F0">
        <w:t>this instrument</w:t>
      </w:r>
      <w:r w:rsidR="00083F48" w:rsidRPr="00A439F0">
        <w:t xml:space="preserve"> has effect according to its terms.</w:t>
      </w:r>
    </w:p>
    <w:p w14:paraId="39C6FFD7" w14:textId="77777777" w:rsidR="0048364F" w:rsidRPr="00A439F0" w:rsidRDefault="005773C9" w:rsidP="009C5989">
      <w:pPr>
        <w:pStyle w:val="ActHead6"/>
        <w:pageBreakBefore/>
      </w:pPr>
      <w:bookmarkStart w:id="5" w:name="_Toc69379213"/>
      <w:r w:rsidRPr="005B1329">
        <w:rPr>
          <w:rStyle w:val="CharAmSchNo"/>
        </w:rPr>
        <w:lastRenderedPageBreak/>
        <w:t>Schedule 1</w:t>
      </w:r>
      <w:r w:rsidR="0048364F" w:rsidRPr="00A439F0">
        <w:t>—</w:t>
      </w:r>
      <w:r w:rsidR="00B05EE6" w:rsidRPr="005B1329">
        <w:rPr>
          <w:rStyle w:val="CharAmSchText"/>
        </w:rPr>
        <w:t>Ongoing fee arrangements</w:t>
      </w:r>
      <w:bookmarkEnd w:id="5"/>
    </w:p>
    <w:p w14:paraId="2251B073" w14:textId="77777777" w:rsidR="0004044E" w:rsidRPr="005B1329" w:rsidRDefault="0004044E" w:rsidP="0004044E">
      <w:pPr>
        <w:pStyle w:val="Header"/>
      </w:pPr>
      <w:r w:rsidRPr="005B1329">
        <w:rPr>
          <w:rStyle w:val="CharAmPartNo"/>
        </w:rPr>
        <w:t xml:space="preserve"> </w:t>
      </w:r>
      <w:r w:rsidRPr="005B1329">
        <w:rPr>
          <w:rStyle w:val="CharAmPartText"/>
        </w:rPr>
        <w:t xml:space="preserve"> </w:t>
      </w:r>
    </w:p>
    <w:p w14:paraId="32EB0159" w14:textId="77777777" w:rsidR="00A11346" w:rsidRPr="00A439F0" w:rsidRDefault="00A11346" w:rsidP="00A11346">
      <w:pPr>
        <w:pStyle w:val="ActHead9"/>
      </w:pPr>
      <w:bookmarkStart w:id="6" w:name="_Toc69379214"/>
      <w:r w:rsidRPr="00A439F0">
        <w:t xml:space="preserve">Corporations </w:t>
      </w:r>
      <w:r w:rsidR="00A439F0">
        <w:t>Regulations 2</w:t>
      </w:r>
      <w:r w:rsidRPr="00A439F0">
        <w:t>001</w:t>
      </w:r>
      <w:bookmarkEnd w:id="6"/>
    </w:p>
    <w:p w14:paraId="7C9F7770" w14:textId="77777777" w:rsidR="00A11346" w:rsidRPr="00A439F0" w:rsidRDefault="00A11346" w:rsidP="00A11346">
      <w:pPr>
        <w:pStyle w:val="ItemHead"/>
      </w:pPr>
      <w:r w:rsidRPr="00A439F0">
        <w:t xml:space="preserve">1  </w:t>
      </w:r>
      <w:proofErr w:type="spellStart"/>
      <w:r w:rsidRPr="00A439F0">
        <w:t>Subregulation</w:t>
      </w:r>
      <w:proofErr w:type="spellEnd"/>
      <w:r w:rsidRPr="00A439F0">
        <w:t> 7.7A.11(2)</w:t>
      </w:r>
    </w:p>
    <w:p w14:paraId="0CB6082A" w14:textId="77777777" w:rsidR="00A11346" w:rsidRPr="00A439F0" w:rsidRDefault="00A11346" w:rsidP="00A11346">
      <w:pPr>
        <w:pStyle w:val="Item"/>
      </w:pPr>
      <w:r w:rsidRPr="00A439F0">
        <w:t>After “</w:t>
      </w:r>
      <w:r w:rsidR="005773C9" w:rsidRPr="00A439F0">
        <w:t>subsection 9</w:t>
      </w:r>
      <w:r w:rsidRPr="00A439F0">
        <w:t>62H(2)”, insert “or (2A)”.</w:t>
      </w:r>
    </w:p>
    <w:p w14:paraId="3E63EC21" w14:textId="77777777" w:rsidR="00A11346" w:rsidRPr="00A439F0" w:rsidRDefault="00A11346" w:rsidP="00A11346">
      <w:pPr>
        <w:pStyle w:val="ItemHead"/>
      </w:pPr>
      <w:r w:rsidRPr="00A439F0">
        <w:t>2  At the end of Division 3 of Part 7.7A</w:t>
      </w:r>
    </w:p>
    <w:p w14:paraId="1A6682A9" w14:textId="77777777" w:rsidR="00A11346" w:rsidRPr="00A439F0" w:rsidRDefault="00A11346" w:rsidP="00A11346">
      <w:pPr>
        <w:pStyle w:val="Item"/>
      </w:pPr>
      <w:r w:rsidRPr="00A439F0">
        <w:t>Add:</w:t>
      </w:r>
    </w:p>
    <w:p w14:paraId="69AF4A9C" w14:textId="77777777" w:rsidR="00A11346" w:rsidRPr="00A439F0" w:rsidRDefault="00A11346" w:rsidP="00A11346">
      <w:pPr>
        <w:pStyle w:val="ActHead5"/>
      </w:pPr>
      <w:bookmarkStart w:id="7" w:name="_Toc69379215"/>
      <w:r w:rsidRPr="005B1329">
        <w:rPr>
          <w:rStyle w:val="CharSectno"/>
        </w:rPr>
        <w:t>7.7A.11AA</w:t>
      </w:r>
      <w:r w:rsidRPr="00A439F0">
        <w:t xml:space="preserve">  Compliance records required to be kept by fee recipients</w:t>
      </w:r>
      <w:bookmarkEnd w:id="7"/>
    </w:p>
    <w:p w14:paraId="04CE2BE0" w14:textId="77777777" w:rsidR="00A11346" w:rsidRPr="00A439F0" w:rsidRDefault="00A11346" w:rsidP="00A11346">
      <w:pPr>
        <w:pStyle w:val="subsection"/>
      </w:pPr>
      <w:r w:rsidRPr="00A439F0">
        <w:tab/>
        <w:t>(1)</w:t>
      </w:r>
      <w:r w:rsidRPr="00A439F0">
        <w:tab/>
        <w:t>This regulation is made for the purposes of section 962X of the Act.</w:t>
      </w:r>
    </w:p>
    <w:p w14:paraId="7475E4BF" w14:textId="77777777" w:rsidR="00A11346" w:rsidRPr="00A439F0" w:rsidRDefault="00A11346" w:rsidP="00A11346">
      <w:pPr>
        <w:pStyle w:val="subsection"/>
      </w:pPr>
      <w:r w:rsidRPr="00A439F0">
        <w:tab/>
        <w:t>(2)</w:t>
      </w:r>
      <w:r w:rsidRPr="00A439F0">
        <w:tab/>
        <w:t>A fee recipient must keep the following records in relation to an ongoing fee arrangement the fee recipient has with the client:</w:t>
      </w:r>
    </w:p>
    <w:p w14:paraId="69D57250" w14:textId="77777777" w:rsidR="00A11346" w:rsidRPr="00A439F0" w:rsidRDefault="00A11346" w:rsidP="00A11346">
      <w:pPr>
        <w:pStyle w:val="paragraph"/>
      </w:pPr>
      <w:r w:rsidRPr="00A439F0">
        <w:tab/>
        <w:t>(a)</w:t>
      </w:r>
      <w:r w:rsidRPr="00A439F0">
        <w:tab/>
        <w:t>each fee disclosure statement the fee recipient has given to the client;</w:t>
      </w:r>
    </w:p>
    <w:p w14:paraId="3C8F5BE0" w14:textId="77777777" w:rsidR="00A11346" w:rsidRPr="00A439F0" w:rsidRDefault="00A11346" w:rsidP="00A11346">
      <w:pPr>
        <w:pStyle w:val="paragraph"/>
      </w:pPr>
      <w:r w:rsidRPr="00A439F0">
        <w:tab/>
        <w:t>(b)</w:t>
      </w:r>
      <w:r w:rsidRPr="00A439F0">
        <w:tab/>
        <w:t>the date on which each such fee disclosure statement was given to the client, and the manner in which it was given;</w:t>
      </w:r>
    </w:p>
    <w:p w14:paraId="62C48108" w14:textId="77777777" w:rsidR="00A11346" w:rsidRPr="00A439F0" w:rsidRDefault="00A11346" w:rsidP="00A11346">
      <w:pPr>
        <w:pStyle w:val="paragraph"/>
      </w:pPr>
      <w:r w:rsidRPr="00A439F0">
        <w:tab/>
        <w:t>(c)</w:t>
      </w:r>
      <w:r w:rsidRPr="00A439F0">
        <w:tab/>
        <w:t>if the client gives any of the following notifications to the fee recipient—the notification and the date on which the notification was given:</w:t>
      </w:r>
    </w:p>
    <w:p w14:paraId="2796F5E3" w14:textId="77777777" w:rsidR="00A11346" w:rsidRPr="00A439F0" w:rsidRDefault="00A11346" w:rsidP="00A11346">
      <w:pPr>
        <w:pStyle w:val="paragraphsub"/>
      </w:pPr>
      <w:r w:rsidRPr="00A439F0">
        <w:tab/>
        <w:t>(</w:t>
      </w:r>
      <w:proofErr w:type="spellStart"/>
      <w:r w:rsidRPr="00A439F0">
        <w:t>i</w:t>
      </w:r>
      <w:proofErr w:type="spellEnd"/>
      <w:r w:rsidRPr="00A439F0">
        <w:t>)</w:t>
      </w:r>
      <w:r w:rsidRPr="00A439F0">
        <w:tab/>
        <w:t>a notification of an election to renew the ongoing fee arrangement;</w:t>
      </w:r>
    </w:p>
    <w:p w14:paraId="6563C11B" w14:textId="77777777" w:rsidR="00A11346" w:rsidRPr="00A439F0" w:rsidRDefault="00A11346" w:rsidP="00A11346">
      <w:pPr>
        <w:pStyle w:val="paragraphsub"/>
      </w:pPr>
      <w:r w:rsidRPr="00A439F0">
        <w:tab/>
        <w:t>(ii)</w:t>
      </w:r>
      <w:r w:rsidRPr="00A439F0">
        <w:tab/>
        <w:t>a notification of an election not to renew the ongoing fee arrangement;</w:t>
      </w:r>
    </w:p>
    <w:p w14:paraId="3EF41920" w14:textId="77777777" w:rsidR="00A11346" w:rsidRPr="00A439F0" w:rsidRDefault="00A11346" w:rsidP="00A11346">
      <w:pPr>
        <w:pStyle w:val="paragraphsub"/>
      </w:pPr>
      <w:r w:rsidRPr="00A439F0">
        <w:tab/>
        <w:t>(iii)</w:t>
      </w:r>
      <w:r w:rsidRPr="00A439F0">
        <w:tab/>
        <w:t>a notification terminating the ongoing fee arrangement;</w:t>
      </w:r>
    </w:p>
    <w:p w14:paraId="3574C52E" w14:textId="77777777" w:rsidR="00A11346" w:rsidRPr="00A439F0" w:rsidRDefault="00A11346" w:rsidP="00A11346">
      <w:pPr>
        <w:pStyle w:val="paragraph"/>
      </w:pPr>
      <w:r w:rsidRPr="00A439F0">
        <w:tab/>
        <w:t>(d)</w:t>
      </w:r>
      <w:r w:rsidRPr="00A439F0">
        <w:tab/>
        <w:t>if the ongoing fee arrangement has terminated—the date on which the arrangement terminated and the basis on which the arrangement terminated.</w:t>
      </w:r>
    </w:p>
    <w:p w14:paraId="5BBD4668" w14:textId="77777777" w:rsidR="00A11346" w:rsidRPr="00A439F0" w:rsidRDefault="00A11346" w:rsidP="00A11346">
      <w:pPr>
        <w:pStyle w:val="subsection"/>
      </w:pPr>
      <w:r w:rsidRPr="00A439F0">
        <w:tab/>
        <w:t>(3)</w:t>
      </w:r>
      <w:r w:rsidRPr="00A439F0">
        <w:tab/>
        <w:t>A fee recipient must also keep the following records in relation to an ongoing fee arrangement:</w:t>
      </w:r>
    </w:p>
    <w:p w14:paraId="0742F5AD" w14:textId="77777777" w:rsidR="00A11346" w:rsidRPr="00A439F0" w:rsidRDefault="00A11346" w:rsidP="00A11346">
      <w:pPr>
        <w:pStyle w:val="paragraph"/>
      </w:pPr>
      <w:r w:rsidRPr="00A439F0">
        <w:tab/>
        <w:t>(a)</w:t>
      </w:r>
      <w:r w:rsidRPr="00A439F0">
        <w:tab/>
        <w:t>each consent for deductions relating to the ongoing fee arrangement given to the fee recipient for the purposes of section 962R or 962S of the Act;</w:t>
      </w:r>
    </w:p>
    <w:p w14:paraId="2ED7A4EC" w14:textId="77777777" w:rsidR="00A11346" w:rsidRPr="00A439F0" w:rsidRDefault="00A11346" w:rsidP="00A11346">
      <w:pPr>
        <w:pStyle w:val="paragraph"/>
      </w:pPr>
      <w:r w:rsidRPr="00A439F0">
        <w:tab/>
        <w:t>(b)</w:t>
      </w:r>
      <w:r w:rsidRPr="00A439F0">
        <w:tab/>
        <w:t>the date on which each such consent was given;</w:t>
      </w:r>
    </w:p>
    <w:p w14:paraId="21DEB89E" w14:textId="77777777" w:rsidR="00A11346" w:rsidRPr="00A439F0" w:rsidRDefault="00A11346" w:rsidP="00A11346">
      <w:pPr>
        <w:pStyle w:val="paragraph"/>
      </w:pPr>
      <w:r w:rsidRPr="00A439F0">
        <w:tab/>
        <w:t>(c)</w:t>
      </w:r>
      <w:r w:rsidRPr="00A439F0">
        <w:tab/>
        <w:t xml:space="preserve">each notice given to the fee recipient under </w:t>
      </w:r>
      <w:r w:rsidR="005773C9" w:rsidRPr="00A439F0">
        <w:t>subsection 9</w:t>
      </w:r>
      <w:r w:rsidRPr="00A439F0">
        <w:t>62U(1) of the Act withdrawing or varying such consent;</w:t>
      </w:r>
    </w:p>
    <w:p w14:paraId="785D58CA" w14:textId="77777777" w:rsidR="00A11346" w:rsidRPr="00A439F0" w:rsidRDefault="00A11346" w:rsidP="00A11346">
      <w:pPr>
        <w:pStyle w:val="paragraph"/>
      </w:pPr>
      <w:r w:rsidRPr="00A439F0">
        <w:tab/>
        <w:t>(d)</w:t>
      </w:r>
      <w:r w:rsidRPr="00A439F0">
        <w:tab/>
        <w:t>the date on which each such notice was given;</w:t>
      </w:r>
    </w:p>
    <w:p w14:paraId="302443F5" w14:textId="77777777" w:rsidR="00A11346" w:rsidRPr="00A439F0" w:rsidRDefault="00A11346" w:rsidP="00A11346">
      <w:pPr>
        <w:pStyle w:val="paragraph"/>
      </w:pPr>
      <w:r w:rsidRPr="00A439F0">
        <w:tab/>
        <w:t>(e)</w:t>
      </w:r>
      <w:r w:rsidRPr="00A439F0">
        <w:tab/>
        <w:t xml:space="preserve">each confirmation of receipt of such notice given by the fee recipient under </w:t>
      </w:r>
      <w:r w:rsidR="005773C9" w:rsidRPr="00A439F0">
        <w:t>subsection 9</w:t>
      </w:r>
      <w:r w:rsidRPr="00A439F0">
        <w:t>62U(2) of the Act;</w:t>
      </w:r>
    </w:p>
    <w:p w14:paraId="7A4FCA2B" w14:textId="77777777" w:rsidR="00A11346" w:rsidRPr="00A439F0" w:rsidRDefault="00A11346" w:rsidP="00A11346">
      <w:pPr>
        <w:pStyle w:val="paragraph"/>
      </w:pPr>
      <w:r w:rsidRPr="00A439F0">
        <w:tab/>
        <w:t>(f)</w:t>
      </w:r>
      <w:r w:rsidRPr="00A439F0">
        <w:tab/>
        <w:t xml:space="preserve">each of the following communications in relation to the consent referred to in </w:t>
      </w:r>
      <w:r w:rsidR="005773C9" w:rsidRPr="00A439F0">
        <w:t>paragraph (</w:t>
      </w:r>
      <w:r w:rsidRPr="00A439F0">
        <w:t>a), and the date on which the communication occurred:</w:t>
      </w:r>
    </w:p>
    <w:p w14:paraId="620BCE5A" w14:textId="77777777" w:rsidR="00A11346" w:rsidRPr="00A439F0" w:rsidRDefault="00A11346" w:rsidP="00A11346">
      <w:pPr>
        <w:pStyle w:val="paragraphsub"/>
      </w:pPr>
      <w:r w:rsidRPr="00A439F0">
        <w:tab/>
        <w:t>(</w:t>
      </w:r>
      <w:proofErr w:type="spellStart"/>
      <w:r w:rsidRPr="00A439F0">
        <w:t>i</w:t>
      </w:r>
      <w:proofErr w:type="spellEnd"/>
      <w:r w:rsidRPr="00A439F0">
        <w:t>)</w:t>
      </w:r>
      <w:r w:rsidRPr="00A439F0">
        <w:tab/>
        <w:t>giving a copy of the consent as required under paragraph 962S(3)(c) of the Act;</w:t>
      </w:r>
    </w:p>
    <w:p w14:paraId="79F840E9" w14:textId="77777777" w:rsidR="00A11346" w:rsidRPr="00A439F0" w:rsidRDefault="00A11346" w:rsidP="00A11346">
      <w:pPr>
        <w:pStyle w:val="paragraphsub"/>
      </w:pPr>
      <w:r w:rsidRPr="00A439F0">
        <w:tab/>
        <w:t>(ii)</w:t>
      </w:r>
      <w:r w:rsidRPr="00A439F0">
        <w:tab/>
        <w:t>giving a copy of a notice withdrawing or varying the consent as required under paragraph 962U(2)(b) of the Act;</w:t>
      </w:r>
    </w:p>
    <w:p w14:paraId="43DF3244" w14:textId="77777777" w:rsidR="00A11346" w:rsidRPr="00A439F0" w:rsidRDefault="00A11346" w:rsidP="00A11346">
      <w:pPr>
        <w:pStyle w:val="paragraphsub"/>
      </w:pPr>
      <w:r w:rsidRPr="00A439F0">
        <w:tab/>
        <w:t>(iii)</w:t>
      </w:r>
      <w:r w:rsidRPr="00A439F0">
        <w:tab/>
        <w:t xml:space="preserve">giving written notice of the cessation of the consent under </w:t>
      </w:r>
      <w:r w:rsidR="005773C9" w:rsidRPr="00A439F0">
        <w:t>subsection 9</w:t>
      </w:r>
      <w:r w:rsidRPr="00A439F0">
        <w:t>62V(2) of the Act;</w:t>
      </w:r>
    </w:p>
    <w:p w14:paraId="64982BD9" w14:textId="77777777" w:rsidR="00A11346" w:rsidRPr="00A439F0" w:rsidRDefault="00A11346" w:rsidP="00A11346">
      <w:pPr>
        <w:pStyle w:val="paragraph"/>
      </w:pPr>
      <w:r w:rsidRPr="00A439F0">
        <w:tab/>
        <w:t>(g)</w:t>
      </w:r>
      <w:r w:rsidRPr="00A439F0">
        <w:tab/>
        <w:t xml:space="preserve">if the fee recipient arranges with another person (the </w:t>
      </w:r>
      <w:r w:rsidRPr="00A439F0">
        <w:rPr>
          <w:b/>
          <w:i/>
        </w:rPr>
        <w:t>account provider</w:t>
      </w:r>
      <w:r w:rsidRPr="00A439F0">
        <w:t xml:space="preserve">) for deductions relating to the ongoing fee arrangement to be made, as referred </w:t>
      </w:r>
      <w:r w:rsidRPr="00A439F0">
        <w:lastRenderedPageBreak/>
        <w:t>to in paragraph 962S(1)(d) of the Act—the details of the arrangement with the account provider.</w:t>
      </w:r>
    </w:p>
    <w:p w14:paraId="3CD7192C" w14:textId="77777777" w:rsidR="00A11346" w:rsidRPr="00A439F0" w:rsidRDefault="00A11346" w:rsidP="00A11346">
      <w:pPr>
        <w:pStyle w:val="ItemHead"/>
      </w:pPr>
      <w:r w:rsidRPr="00A439F0">
        <w:t xml:space="preserve">3  </w:t>
      </w:r>
      <w:r w:rsidR="0015622C" w:rsidRPr="00A439F0">
        <w:t>Paragraph 9</w:t>
      </w:r>
      <w:r w:rsidRPr="00A439F0">
        <w:t>.4AB.02(2)(f)</w:t>
      </w:r>
    </w:p>
    <w:p w14:paraId="22ED71B2" w14:textId="77777777" w:rsidR="00A11346" w:rsidRPr="00A439F0" w:rsidRDefault="00A11346" w:rsidP="00A11346">
      <w:pPr>
        <w:pStyle w:val="Item"/>
      </w:pPr>
      <w:r w:rsidRPr="00A439F0">
        <w:t>Repeal the paragraph, substitute:</w:t>
      </w:r>
    </w:p>
    <w:p w14:paraId="0A2F82CC" w14:textId="77777777" w:rsidR="00A11346" w:rsidRPr="00A439F0" w:rsidRDefault="00A11346" w:rsidP="0015622C">
      <w:pPr>
        <w:pStyle w:val="paragraph"/>
      </w:pPr>
      <w:r w:rsidRPr="00A439F0">
        <w:tab/>
        <w:t>(f)</w:t>
      </w:r>
      <w:r w:rsidRPr="00A439F0">
        <w:tab/>
      </w:r>
      <w:r w:rsidR="005773C9" w:rsidRPr="00A439F0">
        <w:t>subsection 9</w:t>
      </w:r>
      <w:r w:rsidRPr="00A439F0">
        <w:t>62U(3);</w:t>
      </w:r>
    </w:p>
    <w:p w14:paraId="5BB98A60" w14:textId="77777777" w:rsidR="001C1D07" w:rsidRPr="00A439F0" w:rsidRDefault="005773C9" w:rsidP="001C1D07">
      <w:pPr>
        <w:pStyle w:val="ActHead6"/>
        <w:pageBreakBefore/>
      </w:pPr>
      <w:bookmarkStart w:id="8" w:name="_Toc69379216"/>
      <w:r w:rsidRPr="005B1329">
        <w:rPr>
          <w:rStyle w:val="CharAmSchNo"/>
        </w:rPr>
        <w:lastRenderedPageBreak/>
        <w:t>Schedule 2</w:t>
      </w:r>
      <w:r w:rsidR="001C1D07" w:rsidRPr="00A439F0">
        <w:t>—</w:t>
      </w:r>
      <w:r w:rsidR="001C1D07" w:rsidRPr="005B1329">
        <w:rPr>
          <w:rStyle w:val="CharAmSchText"/>
        </w:rPr>
        <w:t>Trustees’ obligations</w:t>
      </w:r>
      <w:bookmarkEnd w:id="8"/>
    </w:p>
    <w:p w14:paraId="77FE5C8A" w14:textId="77777777" w:rsidR="001C1D07" w:rsidRPr="005B1329" w:rsidRDefault="001C1D07" w:rsidP="001C1D07">
      <w:pPr>
        <w:pStyle w:val="Header"/>
      </w:pPr>
      <w:r w:rsidRPr="005B1329">
        <w:rPr>
          <w:rStyle w:val="CharAmPartNo"/>
        </w:rPr>
        <w:t xml:space="preserve"> </w:t>
      </w:r>
      <w:r w:rsidRPr="005B1329">
        <w:rPr>
          <w:rStyle w:val="CharAmPartText"/>
        </w:rPr>
        <w:t xml:space="preserve"> </w:t>
      </w:r>
    </w:p>
    <w:p w14:paraId="743107E6" w14:textId="77777777" w:rsidR="001C1D07" w:rsidRPr="00A439F0" w:rsidRDefault="001C1D07" w:rsidP="001C1D07">
      <w:pPr>
        <w:pStyle w:val="ActHead9"/>
      </w:pPr>
      <w:bookmarkStart w:id="9" w:name="_Toc69379217"/>
      <w:r w:rsidRPr="00A439F0">
        <w:t xml:space="preserve">Electronic Transactions </w:t>
      </w:r>
      <w:r w:rsidR="00A439F0">
        <w:t>Regulations 2</w:t>
      </w:r>
      <w:r w:rsidRPr="00A439F0">
        <w:t>020</w:t>
      </w:r>
      <w:bookmarkEnd w:id="9"/>
    </w:p>
    <w:p w14:paraId="180906CE" w14:textId="77777777" w:rsidR="001C1D07" w:rsidRPr="00A439F0" w:rsidRDefault="001C1D07" w:rsidP="001C1D07">
      <w:pPr>
        <w:pStyle w:val="ItemHead"/>
      </w:pPr>
      <w:r w:rsidRPr="00A439F0">
        <w:t xml:space="preserve">1  </w:t>
      </w:r>
      <w:r w:rsidR="005773C9" w:rsidRPr="00A439F0">
        <w:t>Clause 1</w:t>
      </w:r>
      <w:r w:rsidRPr="00A439F0">
        <w:t xml:space="preserve"> of </w:t>
      </w:r>
      <w:r w:rsidR="005773C9" w:rsidRPr="00A439F0">
        <w:t>Schedule 1</w:t>
      </w:r>
      <w:r w:rsidRPr="00A439F0">
        <w:t xml:space="preserve"> (table </w:t>
      </w:r>
      <w:r w:rsidR="005773C9" w:rsidRPr="00A439F0">
        <w:t>item 8</w:t>
      </w:r>
      <w:r w:rsidRPr="00A439F0">
        <w:t xml:space="preserve">9, column 1, </w:t>
      </w:r>
      <w:r w:rsidR="005773C9" w:rsidRPr="00A439F0">
        <w:t>paragraph (</w:t>
      </w:r>
      <w:r w:rsidRPr="00A439F0">
        <w:t>h))</w:t>
      </w:r>
    </w:p>
    <w:p w14:paraId="2D56D73E" w14:textId="77777777" w:rsidR="001C1D07" w:rsidRPr="00A439F0" w:rsidRDefault="001C1D07" w:rsidP="001C1D07">
      <w:pPr>
        <w:pStyle w:val="Item"/>
      </w:pPr>
      <w:r w:rsidRPr="00A439F0">
        <w:t>Repeal the paragraph, substitute:</w:t>
      </w:r>
    </w:p>
    <w:p w14:paraId="778C2728" w14:textId="77777777" w:rsidR="001C1D07" w:rsidRPr="00A439F0" w:rsidRDefault="001C1D07" w:rsidP="001C1D07">
      <w:pPr>
        <w:pStyle w:val="Tablea"/>
      </w:pPr>
      <w:r w:rsidRPr="00A439F0">
        <w:t xml:space="preserve">(h) </w:t>
      </w:r>
      <w:r w:rsidR="005773C9" w:rsidRPr="00A439F0">
        <w:t>subsection 9</w:t>
      </w:r>
      <w:r w:rsidRPr="00A439F0">
        <w:t>9FA(1)</w:t>
      </w:r>
    </w:p>
    <w:p w14:paraId="56C72E3A" w14:textId="77777777" w:rsidR="001C1D07" w:rsidRPr="00A439F0" w:rsidRDefault="001C1D07" w:rsidP="001C1D07">
      <w:pPr>
        <w:pStyle w:val="ItemHead"/>
      </w:pPr>
      <w:r w:rsidRPr="00A439F0">
        <w:t xml:space="preserve">2  </w:t>
      </w:r>
      <w:r w:rsidR="005773C9" w:rsidRPr="00A439F0">
        <w:t>Clause 1</w:t>
      </w:r>
      <w:r w:rsidRPr="00A439F0">
        <w:t xml:space="preserve"> of </w:t>
      </w:r>
      <w:r w:rsidR="005773C9" w:rsidRPr="00A439F0">
        <w:t>Schedule 1</w:t>
      </w:r>
      <w:r w:rsidRPr="00A439F0">
        <w:t xml:space="preserve"> (table </w:t>
      </w:r>
      <w:r w:rsidR="005773C9" w:rsidRPr="00A439F0">
        <w:t>item 9</w:t>
      </w:r>
      <w:r w:rsidRPr="00A439F0">
        <w:t xml:space="preserve">0, column 1, </w:t>
      </w:r>
      <w:r w:rsidR="005773C9" w:rsidRPr="00A439F0">
        <w:t>paragraph (</w:t>
      </w:r>
      <w:r w:rsidRPr="00A439F0">
        <w:t>a))</w:t>
      </w:r>
    </w:p>
    <w:p w14:paraId="32455B49" w14:textId="77777777" w:rsidR="001C1D07" w:rsidRPr="00A439F0" w:rsidRDefault="001C1D07" w:rsidP="001C1D07">
      <w:pPr>
        <w:pStyle w:val="Item"/>
      </w:pPr>
      <w:r w:rsidRPr="00A439F0">
        <w:t>Repeal the paragraph.</w:t>
      </w:r>
    </w:p>
    <w:sectPr w:rsidR="001C1D07" w:rsidRPr="00A439F0" w:rsidSect="005606E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45BF" w14:textId="77777777" w:rsidR="00C22E7E" w:rsidRDefault="00C22E7E" w:rsidP="0048364F">
      <w:pPr>
        <w:spacing w:line="240" w:lineRule="auto"/>
      </w:pPr>
      <w:r>
        <w:separator/>
      </w:r>
    </w:p>
  </w:endnote>
  <w:endnote w:type="continuationSeparator" w:id="0">
    <w:p w14:paraId="030A2EC8" w14:textId="77777777" w:rsidR="00C22E7E" w:rsidRDefault="00C22E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2DD7B" w14:textId="77777777" w:rsidR="00C22E7E" w:rsidRPr="005606EC" w:rsidRDefault="005606EC" w:rsidP="005606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606EC">
      <w:rPr>
        <w:i/>
        <w:sz w:val="18"/>
      </w:rPr>
      <w:t>OPC65192 -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8D17" w14:textId="77777777" w:rsidR="00C22E7E" w:rsidRDefault="00C22E7E" w:rsidP="00E97334"/>
  <w:p w14:paraId="53336CD8" w14:textId="77777777" w:rsidR="00C22E7E" w:rsidRPr="005606EC" w:rsidRDefault="005606EC" w:rsidP="005606EC">
    <w:pPr>
      <w:rPr>
        <w:rFonts w:cs="Times New Roman"/>
        <w:i/>
        <w:sz w:val="18"/>
      </w:rPr>
    </w:pPr>
    <w:r w:rsidRPr="005606EC">
      <w:rPr>
        <w:rFonts w:cs="Times New Roman"/>
        <w:i/>
        <w:sz w:val="18"/>
      </w:rPr>
      <w:t>OPC65192 -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0CDB7" w14:textId="77777777" w:rsidR="00C22E7E" w:rsidRPr="005606EC" w:rsidRDefault="005606EC" w:rsidP="005606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606EC">
      <w:rPr>
        <w:i/>
        <w:sz w:val="18"/>
      </w:rPr>
      <w:t>OPC65192 -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9464C" w14:textId="77777777" w:rsidR="00C22E7E" w:rsidRPr="00E33C1C" w:rsidRDefault="00C22E7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22E7E" w14:paraId="03AC895E" w14:textId="77777777" w:rsidTr="000C43F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EAB004" w14:textId="77777777" w:rsidR="00C22E7E" w:rsidRDefault="00C22E7E" w:rsidP="00C22E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6F848F" w14:textId="0C9B7B05" w:rsidR="00C22E7E" w:rsidRDefault="00C22E7E" w:rsidP="00C22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74CF">
            <w:rPr>
              <w:i/>
              <w:sz w:val="18"/>
            </w:rPr>
            <w:t>Financial Sector Reform (Hayne Royal Commission Response—Advice 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3D4C80" w14:textId="77777777" w:rsidR="00C22E7E" w:rsidRDefault="00C22E7E" w:rsidP="00C22E7E">
          <w:pPr>
            <w:spacing w:line="0" w:lineRule="atLeast"/>
            <w:jc w:val="right"/>
            <w:rPr>
              <w:sz w:val="18"/>
            </w:rPr>
          </w:pPr>
        </w:p>
      </w:tc>
    </w:tr>
  </w:tbl>
  <w:p w14:paraId="0D1E9DD7" w14:textId="77777777" w:rsidR="00C22E7E" w:rsidRPr="005606EC" w:rsidRDefault="005606EC" w:rsidP="005606EC">
    <w:pPr>
      <w:rPr>
        <w:rFonts w:cs="Times New Roman"/>
        <w:i/>
        <w:sz w:val="18"/>
      </w:rPr>
    </w:pPr>
    <w:r w:rsidRPr="005606EC">
      <w:rPr>
        <w:rFonts w:cs="Times New Roman"/>
        <w:i/>
        <w:sz w:val="18"/>
      </w:rPr>
      <w:t>OPC65192 -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4A04E" w14:textId="77777777" w:rsidR="00C22E7E" w:rsidRPr="00E33C1C" w:rsidRDefault="00C22E7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22E7E" w14:paraId="7A455539" w14:textId="77777777" w:rsidTr="000C43F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969DE4" w14:textId="77777777" w:rsidR="00C22E7E" w:rsidRDefault="00C22E7E" w:rsidP="00C22E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33E73C" w14:textId="3CB79CCD" w:rsidR="00C22E7E" w:rsidRDefault="00C22E7E" w:rsidP="00C22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74CF">
            <w:rPr>
              <w:i/>
              <w:sz w:val="18"/>
            </w:rPr>
            <w:t>Financial Sector Reform (Hayne Royal Commission Response—Advice 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D3A8D22" w14:textId="77777777" w:rsidR="00C22E7E" w:rsidRDefault="00C22E7E" w:rsidP="00C22E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E35FEC" w14:textId="77777777" w:rsidR="00C22E7E" w:rsidRPr="005606EC" w:rsidRDefault="005606EC" w:rsidP="005606EC">
    <w:pPr>
      <w:rPr>
        <w:rFonts w:cs="Times New Roman"/>
        <w:i/>
        <w:sz w:val="18"/>
      </w:rPr>
    </w:pPr>
    <w:r w:rsidRPr="005606EC">
      <w:rPr>
        <w:rFonts w:cs="Times New Roman"/>
        <w:i/>
        <w:sz w:val="18"/>
      </w:rPr>
      <w:t>OPC65192 -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748DF" w14:textId="77777777" w:rsidR="00C22E7E" w:rsidRPr="00E33C1C" w:rsidRDefault="00C22E7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22E7E" w14:paraId="7D2CFF9D" w14:textId="77777777" w:rsidTr="000C43F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B37A1C" w14:textId="77777777" w:rsidR="00C22E7E" w:rsidRDefault="00C22E7E" w:rsidP="00C22E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6081FA" w14:textId="504F6CE9" w:rsidR="00C22E7E" w:rsidRDefault="00C22E7E" w:rsidP="00C22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74CF">
            <w:rPr>
              <w:i/>
              <w:sz w:val="18"/>
            </w:rPr>
            <w:t>Financial Sector Reform (Hayne Royal Commission Response—Advice 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672CC2" w14:textId="77777777" w:rsidR="00C22E7E" w:rsidRDefault="00C22E7E" w:rsidP="00C22E7E">
          <w:pPr>
            <w:spacing w:line="0" w:lineRule="atLeast"/>
            <w:jc w:val="right"/>
            <w:rPr>
              <w:sz w:val="18"/>
            </w:rPr>
          </w:pPr>
        </w:p>
      </w:tc>
    </w:tr>
  </w:tbl>
  <w:p w14:paraId="425734E1" w14:textId="77777777" w:rsidR="00C22E7E" w:rsidRPr="005606EC" w:rsidRDefault="005606EC" w:rsidP="005606EC">
    <w:pPr>
      <w:rPr>
        <w:rFonts w:cs="Times New Roman"/>
        <w:i/>
        <w:sz w:val="18"/>
      </w:rPr>
    </w:pPr>
    <w:r w:rsidRPr="005606EC">
      <w:rPr>
        <w:rFonts w:cs="Times New Roman"/>
        <w:i/>
        <w:sz w:val="18"/>
      </w:rPr>
      <w:t>OPC65192 -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5C1D" w14:textId="77777777" w:rsidR="00C22E7E" w:rsidRPr="00E33C1C" w:rsidRDefault="00C22E7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22E7E" w14:paraId="1441910C" w14:textId="77777777" w:rsidTr="00C22E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C29D7A" w14:textId="77777777" w:rsidR="00C22E7E" w:rsidRDefault="00C22E7E" w:rsidP="00C22E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201C1A" w14:textId="7AF10975" w:rsidR="00C22E7E" w:rsidRDefault="00C22E7E" w:rsidP="00C22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74CF">
            <w:rPr>
              <w:i/>
              <w:sz w:val="18"/>
            </w:rPr>
            <w:t>Financial Sector Reform (Hayne Royal Commission Response—Advice 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E2CF90" w14:textId="77777777" w:rsidR="00C22E7E" w:rsidRDefault="00C22E7E" w:rsidP="00C22E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6622A5" w14:textId="77777777" w:rsidR="00C22E7E" w:rsidRPr="005606EC" w:rsidRDefault="005606EC" w:rsidP="005606EC">
    <w:pPr>
      <w:rPr>
        <w:rFonts w:cs="Times New Roman"/>
        <w:i/>
        <w:sz w:val="18"/>
      </w:rPr>
    </w:pPr>
    <w:r w:rsidRPr="005606EC">
      <w:rPr>
        <w:rFonts w:cs="Times New Roman"/>
        <w:i/>
        <w:sz w:val="18"/>
      </w:rPr>
      <w:t>OPC65192 -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9939" w14:textId="77777777" w:rsidR="00C22E7E" w:rsidRPr="00E33C1C" w:rsidRDefault="00C22E7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22E7E" w14:paraId="41BA464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0113D8" w14:textId="77777777" w:rsidR="00C22E7E" w:rsidRDefault="00C22E7E" w:rsidP="00C22E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63344B" w14:textId="524130DA" w:rsidR="00C22E7E" w:rsidRDefault="00C22E7E" w:rsidP="00C22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74CF">
            <w:rPr>
              <w:i/>
              <w:sz w:val="18"/>
            </w:rPr>
            <w:t>Financial Sector Reform (Hayne Royal Commission Response—Advice 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D9C729" w14:textId="77777777" w:rsidR="00C22E7E" w:rsidRDefault="00C22E7E" w:rsidP="00C22E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2748EB" w14:textId="77777777" w:rsidR="00C22E7E" w:rsidRPr="005606EC" w:rsidRDefault="005606EC" w:rsidP="005606EC">
    <w:pPr>
      <w:rPr>
        <w:rFonts w:cs="Times New Roman"/>
        <w:i/>
        <w:sz w:val="18"/>
      </w:rPr>
    </w:pPr>
    <w:r w:rsidRPr="005606EC">
      <w:rPr>
        <w:rFonts w:cs="Times New Roman"/>
        <w:i/>
        <w:sz w:val="18"/>
      </w:rPr>
      <w:t>OPC65192 -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7682B" w14:textId="77777777" w:rsidR="00C22E7E" w:rsidRDefault="00C22E7E" w:rsidP="0048364F">
      <w:pPr>
        <w:spacing w:line="240" w:lineRule="auto"/>
      </w:pPr>
      <w:r>
        <w:separator/>
      </w:r>
    </w:p>
  </w:footnote>
  <w:footnote w:type="continuationSeparator" w:id="0">
    <w:p w14:paraId="020C752E" w14:textId="77777777" w:rsidR="00C22E7E" w:rsidRDefault="00C22E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78510" w14:textId="77777777" w:rsidR="00C22E7E" w:rsidRPr="005F1388" w:rsidRDefault="00C22E7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4ACF0" w14:textId="77777777" w:rsidR="00C22E7E" w:rsidRPr="005F1388" w:rsidRDefault="00C22E7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4F7" w14:textId="77777777" w:rsidR="00C22E7E" w:rsidRPr="005F1388" w:rsidRDefault="00C22E7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4469" w14:textId="77777777" w:rsidR="00C22E7E" w:rsidRPr="00ED79B6" w:rsidRDefault="00C22E7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9EDF" w14:textId="77777777" w:rsidR="00C22E7E" w:rsidRPr="00ED79B6" w:rsidRDefault="00C22E7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FD2E" w14:textId="77777777" w:rsidR="00C22E7E" w:rsidRPr="00ED79B6" w:rsidRDefault="00C22E7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FDC15" w14:textId="3023248C" w:rsidR="00C22E7E" w:rsidRPr="00A961C4" w:rsidRDefault="00C22E7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F0A93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F0A93">
      <w:rPr>
        <w:noProof/>
        <w:sz w:val="20"/>
      </w:rPr>
      <w:t>Trustees’ obligations</w:t>
    </w:r>
    <w:r>
      <w:rPr>
        <w:sz w:val="20"/>
      </w:rPr>
      <w:fldChar w:fldCharType="end"/>
    </w:r>
  </w:p>
  <w:p w14:paraId="0B3AFE0E" w14:textId="3F0A5CA0" w:rsidR="00C22E7E" w:rsidRPr="00A961C4" w:rsidRDefault="00C22E7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1310C31" w14:textId="77777777" w:rsidR="00C22E7E" w:rsidRPr="00A961C4" w:rsidRDefault="00C22E7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F474D" w14:textId="68EEE258" w:rsidR="00C22E7E" w:rsidRPr="00A961C4" w:rsidRDefault="00C22E7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F0A93">
      <w:rPr>
        <w:sz w:val="20"/>
      </w:rPr>
      <w:fldChar w:fldCharType="separate"/>
    </w:r>
    <w:r w:rsidR="007F0A93">
      <w:rPr>
        <w:noProof/>
        <w:sz w:val="20"/>
      </w:rPr>
      <w:t>Ongoing fee arrangements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F0A93">
      <w:rPr>
        <w:b/>
        <w:sz w:val="20"/>
      </w:rPr>
      <w:fldChar w:fldCharType="separate"/>
    </w:r>
    <w:r w:rsidR="007F0A9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6FF570D" w14:textId="2E53306A" w:rsidR="00C22E7E" w:rsidRPr="00A961C4" w:rsidRDefault="00C22E7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CBB64DE" w14:textId="77777777" w:rsidR="00C22E7E" w:rsidRPr="00A961C4" w:rsidRDefault="00C22E7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97DC4" w14:textId="77777777" w:rsidR="00C22E7E" w:rsidRPr="00A961C4" w:rsidRDefault="00C22E7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2323"/>
    <w:rsid w:val="00000263"/>
    <w:rsid w:val="000100D7"/>
    <w:rsid w:val="000113BC"/>
    <w:rsid w:val="000136AF"/>
    <w:rsid w:val="0004044E"/>
    <w:rsid w:val="00045B4D"/>
    <w:rsid w:val="00046F47"/>
    <w:rsid w:val="0005120E"/>
    <w:rsid w:val="00054577"/>
    <w:rsid w:val="000614BF"/>
    <w:rsid w:val="0007169C"/>
    <w:rsid w:val="00072323"/>
    <w:rsid w:val="00077593"/>
    <w:rsid w:val="00083F48"/>
    <w:rsid w:val="000A74CF"/>
    <w:rsid w:val="000A7DF9"/>
    <w:rsid w:val="000C43F6"/>
    <w:rsid w:val="000D05EF"/>
    <w:rsid w:val="000D5485"/>
    <w:rsid w:val="000F21C1"/>
    <w:rsid w:val="00105D72"/>
    <w:rsid w:val="0010745C"/>
    <w:rsid w:val="00117277"/>
    <w:rsid w:val="0015622C"/>
    <w:rsid w:val="00160BD7"/>
    <w:rsid w:val="001643C9"/>
    <w:rsid w:val="00165568"/>
    <w:rsid w:val="00166082"/>
    <w:rsid w:val="00166C2F"/>
    <w:rsid w:val="00171589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1D07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B2750"/>
    <w:rsid w:val="002C152A"/>
    <w:rsid w:val="002D043A"/>
    <w:rsid w:val="002E78EC"/>
    <w:rsid w:val="0031713F"/>
    <w:rsid w:val="00321913"/>
    <w:rsid w:val="00324EE6"/>
    <w:rsid w:val="003316DC"/>
    <w:rsid w:val="00332B63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16A9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1681"/>
    <w:rsid w:val="0044291A"/>
    <w:rsid w:val="004429DD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0E87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6EC"/>
    <w:rsid w:val="00562A58"/>
    <w:rsid w:val="005773C9"/>
    <w:rsid w:val="00581211"/>
    <w:rsid w:val="00584811"/>
    <w:rsid w:val="00593AA6"/>
    <w:rsid w:val="00594161"/>
    <w:rsid w:val="00594512"/>
    <w:rsid w:val="00594749"/>
    <w:rsid w:val="005A482B"/>
    <w:rsid w:val="005B1329"/>
    <w:rsid w:val="005B3721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2A58"/>
    <w:rsid w:val="00731E00"/>
    <w:rsid w:val="00732E9D"/>
    <w:rsid w:val="0073491A"/>
    <w:rsid w:val="0073523F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0A93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2CCB"/>
    <w:rsid w:val="008D5A13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1D05"/>
    <w:rsid w:val="00A06860"/>
    <w:rsid w:val="00A11346"/>
    <w:rsid w:val="00A136F5"/>
    <w:rsid w:val="00A231E2"/>
    <w:rsid w:val="00A2550D"/>
    <w:rsid w:val="00A4169B"/>
    <w:rsid w:val="00A439F0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71FB"/>
    <w:rsid w:val="00AF55FF"/>
    <w:rsid w:val="00B032D8"/>
    <w:rsid w:val="00B05EE6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2E7E"/>
    <w:rsid w:val="00C42BF8"/>
    <w:rsid w:val="00C460AE"/>
    <w:rsid w:val="00C50043"/>
    <w:rsid w:val="00C50A0F"/>
    <w:rsid w:val="00C7573B"/>
    <w:rsid w:val="00C76CF3"/>
    <w:rsid w:val="00C81D87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C4B6D"/>
    <w:rsid w:val="00DE149E"/>
    <w:rsid w:val="00DE7BEA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6618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7F5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439F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9F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9F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9F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39F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9F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39F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39F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39F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439F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39F0"/>
  </w:style>
  <w:style w:type="paragraph" w:customStyle="1" w:styleId="OPCParaBase">
    <w:name w:val="OPCParaBase"/>
    <w:qFormat/>
    <w:rsid w:val="00A439F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39F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39F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39F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39F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39F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439F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39F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39F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39F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39F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39F0"/>
  </w:style>
  <w:style w:type="paragraph" w:customStyle="1" w:styleId="Blocks">
    <w:name w:val="Blocks"/>
    <w:aliases w:val="bb"/>
    <w:basedOn w:val="OPCParaBase"/>
    <w:qFormat/>
    <w:rsid w:val="00A439F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39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39F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39F0"/>
    <w:rPr>
      <w:i/>
    </w:rPr>
  </w:style>
  <w:style w:type="paragraph" w:customStyle="1" w:styleId="BoxList">
    <w:name w:val="BoxList"/>
    <w:aliases w:val="bl"/>
    <w:basedOn w:val="BoxText"/>
    <w:qFormat/>
    <w:rsid w:val="00A439F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39F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39F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39F0"/>
    <w:pPr>
      <w:ind w:left="1985" w:hanging="851"/>
    </w:pPr>
  </w:style>
  <w:style w:type="character" w:customStyle="1" w:styleId="CharAmPartNo">
    <w:name w:val="CharAmPartNo"/>
    <w:basedOn w:val="OPCCharBase"/>
    <w:qFormat/>
    <w:rsid w:val="00A439F0"/>
  </w:style>
  <w:style w:type="character" w:customStyle="1" w:styleId="CharAmPartText">
    <w:name w:val="CharAmPartText"/>
    <w:basedOn w:val="OPCCharBase"/>
    <w:qFormat/>
    <w:rsid w:val="00A439F0"/>
  </w:style>
  <w:style w:type="character" w:customStyle="1" w:styleId="CharAmSchNo">
    <w:name w:val="CharAmSchNo"/>
    <w:basedOn w:val="OPCCharBase"/>
    <w:qFormat/>
    <w:rsid w:val="00A439F0"/>
  </w:style>
  <w:style w:type="character" w:customStyle="1" w:styleId="CharAmSchText">
    <w:name w:val="CharAmSchText"/>
    <w:basedOn w:val="OPCCharBase"/>
    <w:qFormat/>
    <w:rsid w:val="00A439F0"/>
  </w:style>
  <w:style w:type="character" w:customStyle="1" w:styleId="CharBoldItalic">
    <w:name w:val="CharBoldItalic"/>
    <w:basedOn w:val="OPCCharBase"/>
    <w:uiPriority w:val="1"/>
    <w:qFormat/>
    <w:rsid w:val="00A439F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39F0"/>
  </w:style>
  <w:style w:type="character" w:customStyle="1" w:styleId="CharChapText">
    <w:name w:val="CharChapText"/>
    <w:basedOn w:val="OPCCharBase"/>
    <w:uiPriority w:val="1"/>
    <w:qFormat/>
    <w:rsid w:val="00A439F0"/>
  </w:style>
  <w:style w:type="character" w:customStyle="1" w:styleId="CharDivNo">
    <w:name w:val="CharDivNo"/>
    <w:basedOn w:val="OPCCharBase"/>
    <w:uiPriority w:val="1"/>
    <w:qFormat/>
    <w:rsid w:val="00A439F0"/>
  </w:style>
  <w:style w:type="character" w:customStyle="1" w:styleId="CharDivText">
    <w:name w:val="CharDivText"/>
    <w:basedOn w:val="OPCCharBase"/>
    <w:uiPriority w:val="1"/>
    <w:qFormat/>
    <w:rsid w:val="00A439F0"/>
  </w:style>
  <w:style w:type="character" w:customStyle="1" w:styleId="CharItalic">
    <w:name w:val="CharItalic"/>
    <w:basedOn w:val="OPCCharBase"/>
    <w:uiPriority w:val="1"/>
    <w:qFormat/>
    <w:rsid w:val="00A439F0"/>
    <w:rPr>
      <w:i/>
    </w:rPr>
  </w:style>
  <w:style w:type="character" w:customStyle="1" w:styleId="CharPartNo">
    <w:name w:val="CharPartNo"/>
    <w:basedOn w:val="OPCCharBase"/>
    <w:uiPriority w:val="1"/>
    <w:qFormat/>
    <w:rsid w:val="00A439F0"/>
  </w:style>
  <w:style w:type="character" w:customStyle="1" w:styleId="CharPartText">
    <w:name w:val="CharPartText"/>
    <w:basedOn w:val="OPCCharBase"/>
    <w:uiPriority w:val="1"/>
    <w:qFormat/>
    <w:rsid w:val="00A439F0"/>
  </w:style>
  <w:style w:type="character" w:customStyle="1" w:styleId="CharSectno">
    <w:name w:val="CharSectno"/>
    <w:basedOn w:val="OPCCharBase"/>
    <w:qFormat/>
    <w:rsid w:val="00A439F0"/>
  </w:style>
  <w:style w:type="character" w:customStyle="1" w:styleId="CharSubdNo">
    <w:name w:val="CharSubdNo"/>
    <w:basedOn w:val="OPCCharBase"/>
    <w:uiPriority w:val="1"/>
    <w:qFormat/>
    <w:rsid w:val="00A439F0"/>
  </w:style>
  <w:style w:type="character" w:customStyle="1" w:styleId="CharSubdText">
    <w:name w:val="CharSubdText"/>
    <w:basedOn w:val="OPCCharBase"/>
    <w:uiPriority w:val="1"/>
    <w:qFormat/>
    <w:rsid w:val="00A439F0"/>
  </w:style>
  <w:style w:type="paragraph" w:customStyle="1" w:styleId="CTA--">
    <w:name w:val="CTA --"/>
    <w:basedOn w:val="OPCParaBase"/>
    <w:next w:val="Normal"/>
    <w:rsid w:val="00A439F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39F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39F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39F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39F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39F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39F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39F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39F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39F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39F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39F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39F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39F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439F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39F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39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39F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39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39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39F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39F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39F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39F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39F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39F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39F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39F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39F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39F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39F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39F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39F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39F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39F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39F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39F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39F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39F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39F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39F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39F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39F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39F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39F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39F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39F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39F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39F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39F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39F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39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39F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39F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39F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439F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439F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439F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439F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439F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439F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439F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439F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439F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439F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39F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39F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39F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39F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39F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39F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39F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439F0"/>
    <w:rPr>
      <w:sz w:val="16"/>
    </w:rPr>
  </w:style>
  <w:style w:type="table" w:customStyle="1" w:styleId="CFlag">
    <w:name w:val="CFlag"/>
    <w:basedOn w:val="TableNormal"/>
    <w:uiPriority w:val="99"/>
    <w:rsid w:val="00A439F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439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39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39F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439F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39F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39F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39F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39F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439F0"/>
    <w:pPr>
      <w:spacing w:before="120"/>
    </w:pPr>
  </w:style>
  <w:style w:type="paragraph" w:customStyle="1" w:styleId="CompiledActNo">
    <w:name w:val="CompiledActNo"/>
    <w:basedOn w:val="OPCParaBase"/>
    <w:next w:val="Normal"/>
    <w:rsid w:val="00A439F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439F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39F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39F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39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39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39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439F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439F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39F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39F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39F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39F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39F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39F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39F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39F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39F0"/>
  </w:style>
  <w:style w:type="character" w:customStyle="1" w:styleId="CharSubPartNoCASA">
    <w:name w:val="CharSubPartNo(CASA)"/>
    <w:basedOn w:val="OPCCharBase"/>
    <w:uiPriority w:val="1"/>
    <w:rsid w:val="00A439F0"/>
  </w:style>
  <w:style w:type="paragraph" w:customStyle="1" w:styleId="ENoteTTIndentHeadingSub">
    <w:name w:val="ENoteTTIndentHeadingSub"/>
    <w:aliases w:val="enTTHis"/>
    <w:basedOn w:val="OPCParaBase"/>
    <w:rsid w:val="00A439F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39F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39F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39F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39F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439F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39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39F0"/>
    <w:rPr>
      <w:sz w:val="22"/>
    </w:rPr>
  </w:style>
  <w:style w:type="paragraph" w:customStyle="1" w:styleId="SOTextNote">
    <w:name w:val="SO TextNote"/>
    <w:aliases w:val="sont"/>
    <w:basedOn w:val="SOText"/>
    <w:qFormat/>
    <w:rsid w:val="00A439F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39F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39F0"/>
    <w:rPr>
      <w:sz w:val="22"/>
    </w:rPr>
  </w:style>
  <w:style w:type="paragraph" w:customStyle="1" w:styleId="FileName">
    <w:name w:val="FileName"/>
    <w:basedOn w:val="Normal"/>
    <w:rsid w:val="00A439F0"/>
  </w:style>
  <w:style w:type="paragraph" w:customStyle="1" w:styleId="TableHeading">
    <w:name w:val="TableHeading"/>
    <w:aliases w:val="th"/>
    <w:basedOn w:val="OPCParaBase"/>
    <w:next w:val="Tabletext"/>
    <w:rsid w:val="00A439F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39F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39F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39F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39F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39F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39F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39F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39F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39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39F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39F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9F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39F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3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39F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439F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439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39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439F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39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39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439F0"/>
  </w:style>
  <w:style w:type="character" w:customStyle="1" w:styleId="charlegsubtitle1">
    <w:name w:val="charlegsubtitle1"/>
    <w:basedOn w:val="DefaultParagraphFont"/>
    <w:rsid w:val="00A439F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439F0"/>
    <w:pPr>
      <w:ind w:left="240" w:hanging="240"/>
    </w:pPr>
  </w:style>
  <w:style w:type="paragraph" w:styleId="Index2">
    <w:name w:val="index 2"/>
    <w:basedOn w:val="Normal"/>
    <w:next w:val="Normal"/>
    <w:autoRedefine/>
    <w:rsid w:val="00A439F0"/>
    <w:pPr>
      <w:ind w:left="480" w:hanging="240"/>
    </w:pPr>
  </w:style>
  <w:style w:type="paragraph" w:styleId="Index3">
    <w:name w:val="index 3"/>
    <w:basedOn w:val="Normal"/>
    <w:next w:val="Normal"/>
    <w:autoRedefine/>
    <w:rsid w:val="00A439F0"/>
    <w:pPr>
      <w:ind w:left="720" w:hanging="240"/>
    </w:pPr>
  </w:style>
  <w:style w:type="paragraph" w:styleId="Index4">
    <w:name w:val="index 4"/>
    <w:basedOn w:val="Normal"/>
    <w:next w:val="Normal"/>
    <w:autoRedefine/>
    <w:rsid w:val="00A439F0"/>
    <w:pPr>
      <w:ind w:left="960" w:hanging="240"/>
    </w:pPr>
  </w:style>
  <w:style w:type="paragraph" w:styleId="Index5">
    <w:name w:val="index 5"/>
    <w:basedOn w:val="Normal"/>
    <w:next w:val="Normal"/>
    <w:autoRedefine/>
    <w:rsid w:val="00A439F0"/>
    <w:pPr>
      <w:ind w:left="1200" w:hanging="240"/>
    </w:pPr>
  </w:style>
  <w:style w:type="paragraph" w:styleId="Index6">
    <w:name w:val="index 6"/>
    <w:basedOn w:val="Normal"/>
    <w:next w:val="Normal"/>
    <w:autoRedefine/>
    <w:rsid w:val="00A439F0"/>
    <w:pPr>
      <w:ind w:left="1440" w:hanging="240"/>
    </w:pPr>
  </w:style>
  <w:style w:type="paragraph" w:styleId="Index7">
    <w:name w:val="index 7"/>
    <w:basedOn w:val="Normal"/>
    <w:next w:val="Normal"/>
    <w:autoRedefine/>
    <w:rsid w:val="00A439F0"/>
    <w:pPr>
      <w:ind w:left="1680" w:hanging="240"/>
    </w:pPr>
  </w:style>
  <w:style w:type="paragraph" w:styleId="Index8">
    <w:name w:val="index 8"/>
    <w:basedOn w:val="Normal"/>
    <w:next w:val="Normal"/>
    <w:autoRedefine/>
    <w:rsid w:val="00A439F0"/>
    <w:pPr>
      <w:ind w:left="1920" w:hanging="240"/>
    </w:pPr>
  </w:style>
  <w:style w:type="paragraph" w:styleId="Index9">
    <w:name w:val="index 9"/>
    <w:basedOn w:val="Normal"/>
    <w:next w:val="Normal"/>
    <w:autoRedefine/>
    <w:rsid w:val="00A439F0"/>
    <w:pPr>
      <w:ind w:left="2160" w:hanging="240"/>
    </w:pPr>
  </w:style>
  <w:style w:type="paragraph" w:styleId="NormalIndent">
    <w:name w:val="Normal Indent"/>
    <w:basedOn w:val="Normal"/>
    <w:rsid w:val="00A439F0"/>
    <w:pPr>
      <w:ind w:left="720"/>
    </w:pPr>
  </w:style>
  <w:style w:type="paragraph" w:styleId="FootnoteText">
    <w:name w:val="footnote text"/>
    <w:basedOn w:val="Normal"/>
    <w:link w:val="FootnoteTextChar"/>
    <w:rsid w:val="00A439F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39F0"/>
  </w:style>
  <w:style w:type="paragraph" w:styleId="CommentText">
    <w:name w:val="annotation text"/>
    <w:basedOn w:val="Normal"/>
    <w:link w:val="CommentTextChar"/>
    <w:rsid w:val="00A439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39F0"/>
  </w:style>
  <w:style w:type="paragraph" w:styleId="IndexHeading">
    <w:name w:val="index heading"/>
    <w:basedOn w:val="Normal"/>
    <w:next w:val="Index1"/>
    <w:rsid w:val="00A439F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439F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439F0"/>
    <w:pPr>
      <w:ind w:left="480" w:hanging="480"/>
    </w:pPr>
  </w:style>
  <w:style w:type="paragraph" w:styleId="EnvelopeAddress">
    <w:name w:val="envelope address"/>
    <w:basedOn w:val="Normal"/>
    <w:rsid w:val="00A439F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39F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439F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439F0"/>
    <w:rPr>
      <w:sz w:val="16"/>
      <w:szCs w:val="16"/>
    </w:rPr>
  </w:style>
  <w:style w:type="character" w:styleId="PageNumber">
    <w:name w:val="page number"/>
    <w:basedOn w:val="DefaultParagraphFont"/>
    <w:rsid w:val="00A439F0"/>
  </w:style>
  <w:style w:type="character" w:styleId="EndnoteReference">
    <w:name w:val="endnote reference"/>
    <w:basedOn w:val="DefaultParagraphFont"/>
    <w:rsid w:val="00A439F0"/>
    <w:rPr>
      <w:vertAlign w:val="superscript"/>
    </w:rPr>
  </w:style>
  <w:style w:type="paragraph" w:styleId="EndnoteText">
    <w:name w:val="endnote text"/>
    <w:basedOn w:val="Normal"/>
    <w:link w:val="EndnoteTextChar"/>
    <w:rsid w:val="00A439F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439F0"/>
  </w:style>
  <w:style w:type="paragraph" w:styleId="TableofAuthorities">
    <w:name w:val="table of authorities"/>
    <w:basedOn w:val="Normal"/>
    <w:next w:val="Normal"/>
    <w:rsid w:val="00A439F0"/>
    <w:pPr>
      <w:ind w:left="240" w:hanging="240"/>
    </w:pPr>
  </w:style>
  <w:style w:type="paragraph" w:styleId="MacroText">
    <w:name w:val="macro"/>
    <w:link w:val="MacroTextChar"/>
    <w:rsid w:val="00A439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439F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439F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439F0"/>
    <w:pPr>
      <w:ind w:left="283" w:hanging="283"/>
    </w:pPr>
  </w:style>
  <w:style w:type="paragraph" w:styleId="ListBullet">
    <w:name w:val="List Bullet"/>
    <w:basedOn w:val="Normal"/>
    <w:autoRedefine/>
    <w:rsid w:val="00A439F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439F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439F0"/>
    <w:pPr>
      <w:ind w:left="566" w:hanging="283"/>
    </w:pPr>
  </w:style>
  <w:style w:type="paragraph" w:styleId="List3">
    <w:name w:val="List 3"/>
    <w:basedOn w:val="Normal"/>
    <w:rsid w:val="00A439F0"/>
    <w:pPr>
      <w:ind w:left="849" w:hanging="283"/>
    </w:pPr>
  </w:style>
  <w:style w:type="paragraph" w:styleId="List4">
    <w:name w:val="List 4"/>
    <w:basedOn w:val="Normal"/>
    <w:rsid w:val="00A439F0"/>
    <w:pPr>
      <w:ind w:left="1132" w:hanging="283"/>
    </w:pPr>
  </w:style>
  <w:style w:type="paragraph" w:styleId="List5">
    <w:name w:val="List 5"/>
    <w:basedOn w:val="Normal"/>
    <w:rsid w:val="00A439F0"/>
    <w:pPr>
      <w:ind w:left="1415" w:hanging="283"/>
    </w:pPr>
  </w:style>
  <w:style w:type="paragraph" w:styleId="ListBullet2">
    <w:name w:val="List Bullet 2"/>
    <w:basedOn w:val="Normal"/>
    <w:autoRedefine/>
    <w:rsid w:val="00A439F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439F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439F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439F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439F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439F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439F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439F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439F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39F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439F0"/>
    <w:pPr>
      <w:ind w:left="4252"/>
    </w:pPr>
  </w:style>
  <w:style w:type="character" w:customStyle="1" w:styleId="ClosingChar">
    <w:name w:val="Closing Char"/>
    <w:basedOn w:val="DefaultParagraphFont"/>
    <w:link w:val="Closing"/>
    <w:rsid w:val="00A439F0"/>
    <w:rPr>
      <w:sz w:val="22"/>
    </w:rPr>
  </w:style>
  <w:style w:type="paragraph" w:styleId="Signature">
    <w:name w:val="Signature"/>
    <w:basedOn w:val="Normal"/>
    <w:link w:val="SignatureChar"/>
    <w:rsid w:val="00A439F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39F0"/>
    <w:rPr>
      <w:sz w:val="22"/>
    </w:rPr>
  </w:style>
  <w:style w:type="paragraph" w:styleId="BodyText">
    <w:name w:val="Body Text"/>
    <w:basedOn w:val="Normal"/>
    <w:link w:val="BodyTextChar"/>
    <w:rsid w:val="00A439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39F0"/>
    <w:rPr>
      <w:sz w:val="22"/>
    </w:rPr>
  </w:style>
  <w:style w:type="paragraph" w:styleId="BodyTextIndent">
    <w:name w:val="Body Text Indent"/>
    <w:basedOn w:val="Normal"/>
    <w:link w:val="BodyTextIndentChar"/>
    <w:rsid w:val="00A439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39F0"/>
    <w:rPr>
      <w:sz w:val="22"/>
    </w:rPr>
  </w:style>
  <w:style w:type="paragraph" w:styleId="ListContinue">
    <w:name w:val="List Continue"/>
    <w:basedOn w:val="Normal"/>
    <w:rsid w:val="00A439F0"/>
    <w:pPr>
      <w:spacing w:after="120"/>
      <w:ind w:left="283"/>
    </w:pPr>
  </w:style>
  <w:style w:type="paragraph" w:styleId="ListContinue2">
    <w:name w:val="List Continue 2"/>
    <w:basedOn w:val="Normal"/>
    <w:rsid w:val="00A439F0"/>
    <w:pPr>
      <w:spacing w:after="120"/>
      <w:ind w:left="566"/>
    </w:pPr>
  </w:style>
  <w:style w:type="paragraph" w:styleId="ListContinue3">
    <w:name w:val="List Continue 3"/>
    <w:basedOn w:val="Normal"/>
    <w:rsid w:val="00A439F0"/>
    <w:pPr>
      <w:spacing w:after="120"/>
      <w:ind w:left="849"/>
    </w:pPr>
  </w:style>
  <w:style w:type="paragraph" w:styleId="ListContinue4">
    <w:name w:val="List Continue 4"/>
    <w:basedOn w:val="Normal"/>
    <w:rsid w:val="00A439F0"/>
    <w:pPr>
      <w:spacing w:after="120"/>
      <w:ind w:left="1132"/>
    </w:pPr>
  </w:style>
  <w:style w:type="paragraph" w:styleId="ListContinue5">
    <w:name w:val="List Continue 5"/>
    <w:basedOn w:val="Normal"/>
    <w:rsid w:val="00A439F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439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439F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439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439F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439F0"/>
  </w:style>
  <w:style w:type="character" w:customStyle="1" w:styleId="SalutationChar">
    <w:name w:val="Salutation Char"/>
    <w:basedOn w:val="DefaultParagraphFont"/>
    <w:link w:val="Salutation"/>
    <w:rsid w:val="00A439F0"/>
    <w:rPr>
      <w:sz w:val="22"/>
    </w:rPr>
  </w:style>
  <w:style w:type="paragraph" w:styleId="Date">
    <w:name w:val="Date"/>
    <w:basedOn w:val="Normal"/>
    <w:next w:val="Normal"/>
    <w:link w:val="DateChar"/>
    <w:rsid w:val="00A439F0"/>
  </w:style>
  <w:style w:type="character" w:customStyle="1" w:styleId="DateChar">
    <w:name w:val="Date Char"/>
    <w:basedOn w:val="DefaultParagraphFont"/>
    <w:link w:val="Date"/>
    <w:rsid w:val="00A439F0"/>
    <w:rPr>
      <w:sz w:val="22"/>
    </w:rPr>
  </w:style>
  <w:style w:type="paragraph" w:styleId="BodyTextFirstIndent">
    <w:name w:val="Body Text First Indent"/>
    <w:basedOn w:val="BodyText"/>
    <w:link w:val="BodyTextFirstIndentChar"/>
    <w:rsid w:val="00A439F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439F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439F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439F0"/>
    <w:rPr>
      <w:sz w:val="22"/>
    </w:rPr>
  </w:style>
  <w:style w:type="paragraph" w:styleId="BodyText2">
    <w:name w:val="Body Text 2"/>
    <w:basedOn w:val="Normal"/>
    <w:link w:val="BodyText2Char"/>
    <w:rsid w:val="00A439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39F0"/>
    <w:rPr>
      <w:sz w:val="22"/>
    </w:rPr>
  </w:style>
  <w:style w:type="paragraph" w:styleId="BodyText3">
    <w:name w:val="Body Text 3"/>
    <w:basedOn w:val="Normal"/>
    <w:link w:val="BodyText3Char"/>
    <w:rsid w:val="00A439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39F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439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39F0"/>
    <w:rPr>
      <w:sz w:val="22"/>
    </w:rPr>
  </w:style>
  <w:style w:type="paragraph" w:styleId="BodyTextIndent3">
    <w:name w:val="Body Text Indent 3"/>
    <w:basedOn w:val="Normal"/>
    <w:link w:val="BodyTextIndent3Char"/>
    <w:rsid w:val="00A439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39F0"/>
    <w:rPr>
      <w:sz w:val="16"/>
      <w:szCs w:val="16"/>
    </w:rPr>
  </w:style>
  <w:style w:type="paragraph" w:styleId="BlockText">
    <w:name w:val="Block Text"/>
    <w:basedOn w:val="Normal"/>
    <w:rsid w:val="00A439F0"/>
    <w:pPr>
      <w:spacing w:after="120"/>
      <w:ind w:left="1440" w:right="1440"/>
    </w:pPr>
  </w:style>
  <w:style w:type="character" w:styleId="Hyperlink">
    <w:name w:val="Hyperlink"/>
    <w:basedOn w:val="DefaultParagraphFont"/>
    <w:rsid w:val="00A439F0"/>
    <w:rPr>
      <w:color w:val="0000FF"/>
      <w:u w:val="single"/>
    </w:rPr>
  </w:style>
  <w:style w:type="character" w:styleId="FollowedHyperlink">
    <w:name w:val="FollowedHyperlink"/>
    <w:basedOn w:val="DefaultParagraphFont"/>
    <w:rsid w:val="00A439F0"/>
    <w:rPr>
      <w:color w:val="800080"/>
      <w:u w:val="single"/>
    </w:rPr>
  </w:style>
  <w:style w:type="character" w:styleId="Strong">
    <w:name w:val="Strong"/>
    <w:basedOn w:val="DefaultParagraphFont"/>
    <w:qFormat/>
    <w:rsid w:val="00A439F0"/>
    <w:rPr>
      <w:b/>
      <w:bCs/>
    </w:rPr>
  </w:style>
  <w:style w:type="character" w:styleId="Emphasis">
    <w:name w:val="Emphasis"/>
    <w:basedOn w:val="DefaultParagraphFont"/>
    <w:qFormat/>
    <w:rsid w:val="00A439F0"/>
    <w:rPr>
      <w:i/>
      <w:iCs/>
    </w:rPr>
  </w:style>
  <w:style w:type="paragraph" w:styleId="DocumentMap">
    <w:name w:val="Document Map"/>
    <w:basedOn w:val="Normal"/>
    <w:link w:val="DocumentMapChar"/>
    <w:rsid w:val="00A439F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439F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439F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439F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439F0"/>
  </w:style>
  <w:style w:type="character" w:customStyle="1" w:styleId="E-mailSignatureChar">
    <w:name w:val="E-mail Signature Char"/>
    <w:basedOn w:val="DefaultParagraphFont"/>
    <w:link w:val="E-mailSignature"/>
    <w:rsid w:val="00A439F0"/>
    <w:rPr>
      <w:sz w:val="22"/>
    </w:rPr>
  </w:style>
  <w:style w:type="paragraph" w:styleId="NormalWeb">
    <w:name w:val="Normal (Web)"/>
    <w:basedOn w:val="Normal"/>
    <w:rsid w:val="00A439F0"/>
  </w:style>
  <w:style w:type="character" w:styleId="HTMLAcronym">
    <w:name w:val="HTML Acronym"/>
    <w:basedOn w:val="DefaultParagraphFont"/>
    <w:rsid w:val="00A439F0"/>
  </w:style>
  <w:style w:type="paragraph" w:styleId="HTMLAddress">
    <w:name w:val="HTML Address"/>
    <w:basedOn w:val="Normal"/>
    <w:link w:val="HTMLAddressChar"/>
    <w:rsid w:val="00A439F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39F0"/>
    <w:rPr>
      <w:i/>
      <w:iCs/>
      <w:sz w:val="22"/>
    </w:rPr>
  </w:style>
  <w:style w:type="character" w:styleId="HTMLCite">
    <w:name w:val="HTML Cite"/>
    <w:basedOn w:val="DefaultParagraphFont"/>
    <w:rsid w:val="00A439F0"/>
    <w:rPr>
      <w:i/>
      <w:iCs/>
    </w:rPr>
  </w:style>
  <w:style w:type="character" w:styleId="HTMLCode">
    <w:name w:val="HTML Code"/>
    <w:basedOn w:val="DefaultParagraphFont"/>
    <w:rsid w:val="00A439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439F0"/>
    <w:rPr>
      <w:i/>
      <w:iCs/>
    </w:rPr>
  </w:style>
  <w:style w:type="character" w:styleId="HTMLKeyboard">
    <w:name w:val="HTML Keyboard"/>
    <w:basedOn w:val="DefaultParagraphFont"/>
    <w:rsid w:val="00A439F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439F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439F0"/>
    <w:rPr>
      <w:rFonts w:ascii="Courier New" w:hAnsi="Courier New" w:cs="Courier New"/>
    </w:rPr>
  </w:style>
  <w:style w:type="character" w:styleId="HTMLSample">
    <w:name w:val="HTML Sample"/>
    <w:basedOn w:val="DefaultParagraphFont"/>
    <w:rsid w:val="00A439F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439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439F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43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39F0"/>
    <w:rPr>
      <w:b/>
      <w:bCs/>
    </w:rPr>
  </w:style>
  <w:style w:type="numbering" w:styleId="1ai">
    <w:name w:val="Outline List 1"/>
    <w:basedOn w:val="NoList"/>
    <w:rsid w:val="00A439F0"/>
    <w:pPr>
      <w:numPr>
        <w:numId w:val="14"/>
      </w:numPr>
    </w:pPr>
  </w:style>
  <w:style w:type="numbering" w:styleId="111111">
    <w:name w:val="Outline List 2"/>
    <w:basedOn w:val="NoList"/>
    <w:rsid w:val="00A439F0"/>
    <w:pPr>
      <w:numPr>
        <w:numId w:val="15"/>
      </w:numPr>
    </w:pPr>
  </w:style>
  <w:style w:type="numbering" w:styleId="ArticleSection">
    <w:name w:val="Outline List 3"/>
    <w:basedOn w:val="NoList"/>
    <w:rsid w:val="00A439F0"/>
    <w:pPr>
      <w:numPr>
        <w:numId w:val="17"/>
      </w:numPr>
    </w:pPr>
  </w:style>
  <w:style w:type="table" w:styleId="TableSimple1">
    <w:name w:val="Table Simple 1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439F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439F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439F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439F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439F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439F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439F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439F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439F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439F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439F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439F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439F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439F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439F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439F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439F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439F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439F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439F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439F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439F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439F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439F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439F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439F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39F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439F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39F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439F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39F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439F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39F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439F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439F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439F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845</Words>
  <Characters>4817</Characters>
  <Application>Microsoft Office Word</Application>
  <DocSecurity>0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Sector Reform (Hayne Royal Commission Response—Advice Fees) Regulations 2021</vt:lpstr>
    </vt:vector>
  </TitlesOfParts>
  <Manager/>
  <Company/>
  <LinksUpToDate>false</LinksUpToDate>
  <CharactersWithSpaces>5651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2021-05-13T01:04:00Z</dcterms:created>
  <dcterms:modified xsi:type="dcterms:W3CDTF">2021-05-14T02:56:00Z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Financial Sector Reform (Hayne Royal Commission Response—Advice Fees)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13 May 2021</vt:lpwstr>
  </property>
  <property fmtid="{D5CDD505-2E9C-101B-9397-08002B2CF9AE}" pid="10" name="ID">
    <vt:lpwstr>OPC65192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13 May 2021</vt:lpwstr>
  </property>
</Properties>
</file>