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D7583" w14:textId="4618D411" w:rsidR="00656583" w:rsidRPr="005060E0" w:rsidRDefault="001969DF" w:rsidP="00511A30">
      <w:pPr>
        <w:pStyle w:val="Title"/>
      </w:pPr>
      <w:bookmarkStart w:id="0" w:name="_GoBack"/>
      <w:bookmarkEnd w:id="0"/>
      <w:r w:rsidRPr="005060E0">
        <w:t>Impact Statement</w:t>
      </w:r>
    </w:p>
    <w:p w14:paraId="2A4D7585" w14:textId="713CCE7F" w:rsidR="0091231E" w:rsidRPr="005060E0" w:rsidRDefault="0091231E">
      <w:pPr>
        <w:pStyle w:val="DocControlNumber"/>
      </w:pPr>
    </w:p>
    <w:p w14:paraId="2A4D7586" w14:textId="38FF712A" w:rsidR="0091231E" w:rsidRPr="005060E0" w:rsidRDefault="007F77AB">
      <w:pPr>
        <w:pStyle w:val="Date"/>
      </w:pPr>
      <w:sdt>
        <w:sdtPr>
          <w:rPr>
            <w:rStyle w:val="DateCharacter"/>
          </w:rPr>
          <w:alias w:val="Report Date"/>
          <w:tag w:val="Report_Date"/>
          <w:id w:val="656278524"/>
          <w:placeholder>
            <w:docPart w:val="64BD802127E540FA92EDEAC2CEFAE6AD"/>
          </w:placeholder>
          <w:dataBinding w:xpath="/root[1]/propDate[1]" w:storeItemID="{AB744645-93F6-480A-9B81-25C04A394EE3}"/>
          <w:date w:fullDate="2019-04-22T00:00:00Z">
            <w:dateFormat w:val="d MMMM yyyy"/>
            <w:lid w:val="en-AU"/>
            <w:storeMappedDataAs w:val="dateTime"/>
            <w:calendar w:val="gregorian"/>
          </w:date>
        </w:sdtPr>
        <w:sdtEndPr>
          <w:rPr>
            <w:rStyle w:val="DateCharacter"/>
          </w:rPr>
        </w:sdtEndPr>
        <w:sdtContent>
          <w:r w:rsidR="001969DF" w:rsidRPr="005060E0">
            <w:rPr>
              <w:rStyle w:val="DateCharacter"/>
            </w:rPr>
            <w:t>22 April 2019</w:t>
          </w:r>
        </w:sdtContent>
      </w:sdt>
    </w:p>
    <w:p w14:paraId="2A4D758D" w14:textId="77777777" w:rsidR="0009766B" w:rsidRPr="005060E0" w:rsidRDefault="0009766B" w:rsidP="0009766B"/>
    <w:tbl>
      <w:tblPr>
        <w:tblpPr w:leftFromText="180" w:rightFromText="180" w:vertAnchor="page" w:horzAnchor="margin" w:tblpY="4806"/>
        <w:tblW w:w="0" w:type="auto"/>
        <w:tblLook w:val="04A0" w:firstRow="1" w:lastRow="0" w:firstColumn="1" w:lastColumn="0" w:noHBand="0" w:noVBand="1"/>
      </w:tblPr>
      <w:tblGrid>
        <w:gridCol w:w="5353"/>
      </w:tblGrid>
      <w:tr w:rsidR="003F086D" w:rsidRPr="003F086D" w14:paraId="1A2C9E70" w14:textId="77777777" w:rsidTr="003F086D">
        <w:tc>
          <w:tcPr>
            <w:tcW w:w="5353" w:type="dxa"/>
            <w:hideMark/>
          </w:tcPr>
          <w:p w14:paraId="16A02EB5" w14:textId="13DD7430" w:rsidR="003F086D" w:rsidRPr="003F086D" w:rsidRDefault="003F086D" w:rsidP="003F086D">
            <w:pPr>
              <w:spacing w:after="240" w:line="276" w:lineRule="auto"/>
              <w:rPr>
                <w:rFonts w:eastAsia="Times New Roman" w:cs="Arial"/>
                <w:b/>
                <w:sz w:val="24"/>
                <w:szCs w:val="24"/>
                <w:lang w:eastAsia="en-AU"/>
              </w:rPr>
            </w:pPr>
            <w:r w:rsidRPr="003F086D">
              <w:rPr>
                <w:rFonts w:eastAsia="Times New Roman" w:cs="Arial"/>
                <w:b/>
                <w:sz w:val="24"/>
                <w:szCs w:val="24"/>
                <w:lang w:eastAsia="en-AU"/>
              </w:rPr>
              <w:t xml:space="preserve">Draft Variation to the National Environment </w:t>
            </w:r>
            <w:r w:rsidR="00B8044F">
              <w:rPr>
                <w:rFonts w:eastAsia="Times New Roman" w:cs="Arial"/>
                <w:b/>
                <w:sz w:val="24"/>
                <w:szCs w:val="24"/>
                <w:lang w:eastAsia="en-AU"/>
              </w:rPr>
              <w:t>P</w:t>
            </w:r>
            <w:r w:rsidRPr="003F086D">
              <w:rPr>
                <w:rFonts w:eastAsia="Times New Roman" w:cs="Arial"/>
                <w:b/>
                <w:sz w:val="24"/>
                <w:szCs w:val="24"/>
                <w:lang w:eastAsia="en-AU"/>
              </w:rPr>
              <w:t>rotection (Ambient Air Quality) Measure</w:t>
            </w:r>
            <w:r w:rsidR="00BE4A8A">
              <w:rPr>
                <w:rFonts w:eastAsia="Times New Roman" w:cs="Arial"/>
                <w:b/>
                <w:sz w:val="24"/>
                <w:szCs w:val="24"/>
                <w:lang w:eastAsia="en-AU"/>
              </w:rPr>
              <w:t xml:space="preserve"> for sulfur dioxide</w:t>
            </w:r>
            <w:r w:rsidR="00163D34">
              <w:rPr>
                <w:rFonts w:eastAsia="Times New Roman" w:cs="Arial"/>
                <w:b/>
                <w:sz w:val="24"/>
                <w:szCs w:val="24"/>
                <w:lang w:eastAsia="en-AU"/>
              </w:rPr>
              <w:t>, nitrogen dioxide and ozone</w:t>
            </w:r>
          </w:p>
        </w:tc>
      </w:tr>
      <w:tr w:rsidR="003F086D" w:rsidRPr="003F086D" w14:paraId="35F8EA42" w14:textId="77777777" w:rsidTr="003F086D">
        <w:tc>
          <w:tcPr>
            <w:tcW w:w="5353" w:type="dxa"/>
          </w:tcPr>
          <w:p w14:paraId="3CC6E982" w14:textId="13C2F93F" w:rsidR="003F086D" w:rsidRPr="003F086D" w:rsidRDefault="003F086D" w:rsidP="003F086D">
            <w:pPr>
              <w:spacing w:after="240" w:line="276" w:lineRule="auto"/>
              <w:rPr>
                <w:rFonts w:eastAsia="Times New Roman" w:cs="Arial"/>
                <w:sz w:val="18"/>
                <w:szCs w:val="18"/>
                <w:lang w:eastAsia="en-AU"/>
              </w:rPr>
            </w:pPr>
          </w:p>
        </w:tc>
      </w:tr>
      <w:tr w:rsidR="003F086D" w:rsidRPr="003F086D" w14:paraId="0A952A4C" w14:textId="77777777" w:rsidTr="003F086D">
        <w:tc>
          <w:tcPr>
            <w:tcW w:w="5353" w:type="dxa"/>
          </w:tcPr>
          <w:p w14:paraId="293FAB23" w14:textId="77777777" w:rsidR="003F086D" w:rsidRPr="003F086D" w:rsidRDefault="003F086D" w:rsidP="003F086D">
            <w:pPr>
              <w:spacing w:after="240" w:line="276" w:lineRule="auto"/>
              <w:rPr>
                <w:rFonts w:eastAsia="Times New Roman" w:cs="Arial"/>
                <w:sz w:val="18"/>
                <w:szCs w:val="18"/>
                <w:lang w:eastAsia="en-AU"/>
              </w:rPr>
            </w:pPr>
          </w:p>
        </w:tc>
      </w:tr>
      <w:tr w:rsidR="003F086D" w:rsidRPr="003F086D" w14:paraId="4943CAB8" w14:textId="77777777" w:rsidTr="003F086D">
        <w:tc>
          <w:tcPr>
            <w:tcW w:w="5353" w:type="dxa"/>
            <w:hideMark/>
          </w:tcPr>
          <w:p w14:paraId="17844B27" w14:textId="77777777" w:rsidR="003F086D" w:rsidRPr="003F086D" w:rsidRDefault="003F086D" w:rsidP="003F086D">
            <w:pPr>
              <w:spacing w:after="240" w:line="276" w:lineRule="auto"/>
              <w:rPr>
                <w:rFonts w:eastAsia="Times New Roman" w:cs="Arial"/>
                <w:b/>
                <w:sz w:val="28"/>
                <w:szCs w:val="28"/>
                <w:lang w:eastAsia="en-AU"/>
              </w:rPr>
            </w:pPr>
            <w:r w:rsidRPr="003F086D">
              <w:rPr>
                <w:rFonts w:eastAsia="Times New Roman" w:cs="Arial"/>
                <w:b/>
                <w:sz w:val="28"/>
                <w:szCs w:val="28"/>
                <w:lang w:eastAsia="en-AU"/>
              </w:rPr>
              <w:t>Impact Statement</w:t>
            </w:r>
          </w:p>
        </w:tc>
      </w:tr>
      <w:tr w:rsidR="003F086D" w:rsidRPr="003F086D" w14:paraId="410BE351" w14:textId="77777777" w:rsidTr="003F086D">
        <w:tc>
          <w:tcPr>
            <w:tcW w:w="5353" w:type="dxa"/>
          </w:tcPr>
          <w:p w14:paraId="48C4CD7C" w14:textId="77777777" w:rsidR="003F086D" w:rsidRPr="003F086D" w:rsidRDefault="003F086D" w:rsidP="003F086D">
            <w:pPr>
              <w:spacing w:after="240" w:line="276" w:lineRule="auto"/>
              <w:rPr>
                <w:rFonts w:eastAsia="Times New Roman" w:cs="Arial"/>
                <w:sz w:val="18"/>
                <w:szCs w:val="18"/>
                <w:lang w:eastAsia="en-AU"/>
              </w:rPr>
            </w:pPr>
          </w:p>
        </w:tc>
      </w:tr>
      <w:tr w:rsidR="003F086D" w:rsidRPr="003F086D" w14:paraId="54C04C08" w14:textId="77777777" w:rsidTr="003F086D">
        <w:tc>
          <w:tcPr>
            <w:tcW w:w="5353" w:type="dxa"/>
          </w:tcPr>
          <w:p w14:paraId="001C6908" w14:textId="77777777" w:rsidR="003F086D" w:rsidRPr="003F086D" w:rsidRDefault="003F086D" w:rsidP="003F086D">
            <w:pPr>
              <w:spacing w:after="0" w:line="276" w:lineRule="auto"/>
              <w:ind w:left="3600" w:right="-79" w:hanging="3600"/>
              <w:rPr>
                <w:rFonts w:eastAsia="Times New Roman" w:cs="Arial"/>
                <w:b/>
                <w:bCs/>
                <w:color w:val="000000"/>
                <w:kern w:val="32"/>
                <w:sz w:val="22"/>
                <w:szCs w:val="32"/>
                <w:lang w:eastAsia="en-AU"/>
              </w:rPr>
            </w:pPr>
            <w:r w:rsidRPr="003F086D">
              <w:rPr>
                <w:rFonts w:eastAsia="Times New Roman" w:cs="Arial"/>
                <w:b/>
                <w:bCs/>
                <w:color w:val="000000"/>
                <w:kern w:val="32"/>
                <w:sz w:val="22"/>
                <w:szCs w:val="32"/>
                <w:lang w:eastAsia="en-AU"/>
              </w:rPr>
              <w:t>Prepared for:</w:t>
            </w:r>
          </w:p>
          <w:p w14:paraId="5CF5F9C6" w14:textId="77777777" w:rsidR="003F086D" w:rsidRPr="003F086D" w:rsidRDefault="003F086D" w:rsidP="003F086D">
            <w:pPr>
              <w:spacing w:after="0" w:line="276" w:lineRule="auto"/>
              <w:ind w:left="3600" w:right="-79" w:hanging="3600"/>
              <w:rPr>
                <w:rFonts w:eastAsia="Times New Roman" w:cs="Arial"/>
                <w:b/>
                <w:bCs/>
                <w:color w:val="000000"/>
                <w:kern w:val="32"/>
                <w:sz w:val="22"/>
                <w:szCs w:val="32"/>
                <w:lang w:eastAsia="en-AU"/>
              </w:rPr>
            </w:pPr>
            <w:r w:rsidRPr="003F086D">
              <w:rPr>
                <w:rFonts w:eastAsia="Times New Roman" w:cs="Arial"/>
                <w:b/>
                <w:bCs/>
                <w:color w:val="000000"/>
                <w:kern w:val="32"/>
                <w:sz w:val="22"/>
                <w:szCs w:val="32"/>
                <w:lang w:eastAsia="en-AU"/>
              </w:rPr>
              <w:t>National Environment Protection Council</w:t>
            </w:r>
          </w:p>
          <w:p w14:paraId="637BFEAA" w14:textId="77777777" w:rsidR="003F086D" w:rsidRPr="003F086D" w:rsidRDefault="003F086D" w:rsidP="003F086D">
            <w:pPr>
              <w:spacing w:after="0" w:line="276" w:lineRule="auto"/>
              <w:rPr>
                <w:rFonts w:eastAsia="Times New Roman" w:cs="Arial"/>
                <w:szCs w:val="20"/>
                <w:lang w:eastAsia="en-AU"/>
              </w:rPr>
            </w:pPr>
          </w:p>
          <w:p w14:paraId="26E5B0E7" w14:textId="77777777" w:rsidR="003F086D" w:rsidRPr="003F086D" w:rsidRDefault="003F086D" w:rsidP="003F086D">
            <w:pPr>
              <w:spacing w:after="240" w:line="276" w:lineRule="auto"/>
              <w:rPr>
                <w:rFonts w:eastAsia="Times New Roman" w:cs="Arial"/>
                <w:sz w:val="18"/>
                <w:szCs w:val="18"/>
                <w:lang w:eastAsia="en-AU"/>
              </w:rPr>
            </w:pPr>
          </w:p>
        </w:tc>
      </w:tr>
      <w:tr w:rsidR="003F086D" w:rsidRPr="003F086D" w14:paraId="3204321D" w14:textId="77777777" w:rsidTr="003F086D">
        <w:tc>
          <w:tcPr>
            <w:tcW w:w="5353" w:type="dxa"/>
          </w:tcPr>
          <w:p w14:paraId="7031BEFF" w14:textId="77777777" w:rsidR="003F086D" w:rsidRPr="003F086D" w:rsidRDefault="003F086D" w:rsidP="003F086D">
            <w:pPr>
              <w:spacing w:after="240" w:line="276" w:lineRule="auto"/>
              <w:rPr>
                <w:rFonts w:eastAsia="Times New Roman" w:cs="Arial"/>
                <w:sz w:val="18"/>
                <w:szCs w:val="18"/>
                <w:lang w:eastAsia="en-AU"/>
              </w:rPr>
            </w:pPr>
          </w:p>
          <w:p w14:paraId="3F7932A6" w14:textId="77777777" w:rsidR="003F086D" w:rsidRPr="003F086D" w:rsidRDefault="003F086D" w:rsidP="003F086D">
            <w:pPr>
              <w:spacing w:after="240" w:line="276" w:lineRule="auto"/>
              <w:rPr>
                <w:rFonts w:eastAsia="Times New Roman" w:cs="Arial"/>
                <w:sz w:val="18"/>
                <w:szCs w:val="18"/>
                <w:lang w:eastAsia="en-AU"/>
              </w:rPr>
            </w:pPr>
          </w:p>
          <w:p w14:paraId="2798E771" w14:textId="77777777" w:rsidR="003F086D" w:rsidRPr="003F086D" w:rsidRDefault="003F086D" w:rsidP="003F086D">
            <w:pPr>
              <w:spacing w:after="240" w:line="276" w:lineRule="auto"/>
              <w:rPr>
                <w:rFonts w:eastAsia="Times New Roman" w:cs="Arial"/>
                <w:sz w:val="18"/>
                <w:szCs w:val="18"/>
                <w:lang w:eastAsia="en-AU"/>
              </w:rPr>
            </w:pPr>
          </w:p>
          <w:p w14:paraId="2FF3AB6D" w14:textId="77777777" w:rsidR="003F086D" w:rsidRPr="003F086D" w:rsidRDefault="003F086D" w:rsidP="003F086D">
            <w:pPr>
              <w:spacing w:after="240" w:line="276" w:lineRule="auto"/>
              <w:rPr>
                <w:rFonts w:eastAsia="Times New Roman" w:cs="Arial"/>
                <w:sz w:val="18"/>
                <w:szCs w:val="18"/>
                <w:lang w:eastAsia="en-AU"/>
              </w:rPr>
            </w:pPr>
          </w:p>
        </w:tc>
      </w:tr>
      <w:tr w:rsidR="003F086D" w:rsidRPr="00264EBC" w14:paraId="2AB67824" w14:textId="77777777" w:rsidTr="003F086D">
        <w:tc>
          <w:tcPr>
            <w:tcW w:w="5353" w:type="dxa"/>
            <w:hideMark/>
          </w:tcPr>
          <w:p w14:paraId="6603613E" w14:textId="25C0F708" w:rsidR="003F086D" w:rsidRPr="00264EBC" w:rsidRDefault="0094743D" w:rsidP="003F086D">
            <w:pPr>
              <w:spacing w:after="0" w:line="240" w:lineRule="auto"/>
              <w:rPr>
                <w:rFonts w:eastAsia="Times New Roman" w:cs="Arial"/>
                <w:b/>
                <w:szCs w:val="20"/>
              </w:rPr>
            </w:pPr>
            <w:r w:rsidRPr="00264EBC">
              <w:rPr>
                <w:rFonts w:eastAsia="Times New Roman" w:cs="Arial"/>
                <w:b/>
                <w:szCs w:val="20"/>
              </w:rPr>
              <w:t xml:space="preserve">May </w:t>
            </w:r>
            <w:r w:rsidR="003F086D" w:rsidRPr="00264EBC">
              <w:rPr>
                <w:rFonts w:eastAsia="Times New Roman" w:cs="Arial"/>
                <w:b/>
                <w:szCs w:val="20"/>
              </w:rPr>
              <w:t>2019</w:t>
            </w:r>
          </w:p>
        </w:tc>
      </w:tr>
    </w:tbl>
    <w:p w14:paraId="2A4D758F" w14:textId="3CD85323" w:rsidR="00D1748F" w:rsidRPr="005060E0" w:rsidRDefault="00D1748F" w:rsidP="007E1DEA">
      <w:pPr>
        <w:tabs>
          <w:tab w:val="left" w:pos="4680"/>
        </w:tabs>
        <w:sectPr w:rsidR="00D1748F" w:rsidRPr="005060E0" w:rsidSect="00240B1D">
          <w:footerReference w:type="first" r:id="rId9"/>
          <w:pgSz w:w="11906" w:h="16838" w:code="9"/>
          <w:pgMar w:top="1440" w:right="1134" w:bottom="1701" w:left="1134" w:header="709" w:footer="130" w:gutter="0"/>
          <w:cols w:space="708"/>
          <w:docGrid w:linePitch="360"/>
        </w:sectPr>
      </w:pPr>
    </w:p>
    <w:p w14:paraId="2A4D75CB" w14:textId="4EDBABFF" w:rsidR="00C953EB" w:rsidRPr="005060E0" w:rsidRDefault="009A6430" w:rsidP="008A6692">
      <w:pPr>
        <w:pStyle w:val="PBL1plain"/>
      </w:pPr>
      <w:r w:rsidRPr="005060E0">
        <w:lastRenderedPageBreak/>
        <w:t>Disclaimer</w:t>
      </w:r>
    </w:p>
    <w:p w14:paraId="3B04727B" w14:textId="009F1A89" w:rsidR="003F086D" w:rsidRDefault="003F086D" w:rsidP="00B8044F">
      <w:pPr>
        <w:spacing w:after="240" w:line="259" w:lineRule="auto"/>
      </w:pPr>
      <w:r>
        <w:t xml:space="preserve">© 2019 Copyright vests in the Commonwealth of Australia and each Australian state and territory This work is copyright. Apart from any use as permitted under the Copyright Act 1968, no part may be reproduced by any process without prior written permission from the National Environment Protection Council (NEPC). </w:t>
      </w:r>
    </w:p>
    <w:p w14:paraId="48709DDC" w14:textId="77777777" w:rsidR="003F086D" w:rsidRDefault="003F086D" w:rsidP="00B8044F">
      <w:pPr>
        <w:spacing w:after="240" w:line="259" w:lineRule="auto"/>
      </w:pPr>
      <w:r>
        <w:t xml:space="preserve">Requests and enquiries concerning reproduction and rights should be addressed to Executive Officer, NEPC Service Corporation, Department of the Environment, GPO Box 787 Canberra ACT 2601. The views and opinions expressed in this publication are those of the authors and do not necessarily reflect those of the National Environment Protection Council. </w:t>
      </w:r>
    </w:p>
    <w:p w14:paraId="3A15B446" w14:textId="6D043536" w:rsidR="004B5316" w:rsidRPr="005060E0" w:rsidRDefault="003F086D" w:rsidP="00B8044F">
      <w:pPr>
        <w:spacing w:after="240" w:line="259" w:lineRule="auto"/>
      </w:pPr>
      <w:r>
        <w:t>While reasonable efforts have been made to ensure that the contents of this publication are factually correct, the National Environment Protection Council does not accept responsibility for the accuracy or completeness of the contents, and shall not be liable for any loss or damage that may be occasioned directly or indirectly through the use of, or reliance on, the contents of this publication</w:t>
      </w:r>
    </w:p>
    <w:p w14:paraId="38ECA52D" w14:textId="77777777" w:rsidR="004B5316" w:rsidRPr="005060E0" w:rsidRDefault="004B5316">
      <w:pPr>
        <w:spacing w:after="160" w:line="259" w:lineRule="auto"/>
      </w:pPr>
      <w:r w:rsidRPr="005060E0">
        <w:br w:type="page"/>
      </w:r>
    </w:p>
    <w:p w14:paraId="754DC4D3" w14:textId="77777777" w:rsidR="00F456A1" w:rsidRPr="005060E0" w:rsidRDefault="00F456A1" w:rsidP="00B246FA">
      <w:pPr>
        <w:pStyle w:val="TOCHeading"/>
        <w:spacing w:line="240" w:lineRule="auto"/>
      </w:pPr>
      <w:r w:rsidRPr="005060E0">
        <w:lastRenderedPageBreak/>
        <w:t>Contents</w:t>
      </w:r>
    </w:p>
    <w:p w14:paraId="79220612" w14:textId="6DF4EFD1" w:rsidR="005F7351" w:rsidRDefault="00F456A1">
      <w:pPr>
        <w:pStyle w:val="TOC1"/>
        <w:rPr>
          <w:rFonts w:asciiTheme="minorHAnsi" w:eastAsiaTheme="minorEastAsia" w:hAnsiTheme="minorHAnsi"/>
          <w:color w:val="auto"/>
          <w:sz w:val="22"/>
          <w:lang w:eastAsia="en-AU"/>
        </w:rPr>
      </w:pPr>
      <w:r>
        <w:fldChar w:fldCharType="begin"/>
      </w:r>
      <w:r>
        <w:instrText xml:space="preserve"> TOC \o "1-1" \h \z \t "Heading 2,2,Heading 2 no num,2,DLA Heading2,2,Schedule Level 1,2,L2 PB,2" </w:instrText>
      </w:r>
      <w:r>
        <w:fldChar w:fldCharType="separate"/>
      </w:r>
      <w:hyperlink w:anchor="_Toc3278913" w:history="1">
        <w:r w:rsidR="005F7351" w:rsidRPr="00BF74E1">
          <w:rPr>
            <w:rStyle w:val="Hyperlink"/>
          </w:rPr>
          <w:t>Executive summary</w:t>
        </w:r>
        <w:r w:rsidR="005F7351">
          <w:rPr>
            <w:webHidden/>
          </w:rPr>
          <w:tab/>
        </w:r>
        <w:r w:rsidR="005F7351">
          <w:rPr>
            <w:webHidden/>
          </w:rPr>
          <w:fldChar w:fldCharType="begin"/>
        </w:r>
        <w:r w:rsidR="005F7351">
          <w:rPr>
            <w:webHidden/>
          </w:rPr>
          <w:instrText xml:space="preserve"> PAGEREF _Toc3278913 \h </w:instrText>
        </w:r>
        <w:r w:rsidR="005F7351">
          <w:rPr>
            <w:webHidden/>
          </w:rPr>
        </w:r>
        <w:r w:rsidR="005F7351">
          <w:rPr>
            <w:webHidden/>
          </w:rPr>
          <w:fldChar w:fldCharType="separate"/>
        </w:r>
        <w:r w:rsidR="00F2067C">
          <w:rPr>
            <w:webHidden/>
          </w:rPr>
          <w:t>v</w:t>
        </w:r>
        <w:r w:rsidR="005F7351">
          <w:rPr>
            <w:webHidden/>
          </w:rPr>
          <w:fldChar w:fldCharType="end"/>
        </w:r>
      </w:hyperlink>
    </w:p>
    <w:p w14:paraId="294FD01C" w14:textId="4AAF168B" w:rsidR="005F7351" w:rsidRDefault="007F77AB">
      <w:pPr>
        <w:pStyle w:val="TOC1"/>
        <w:rPr>
          <w:rFonts w:asciiTheme="minorHAnsi" w:eastAsiaTheme="minorEastAsia" w:hAnsiTheme="minorHAnsi"/>
          <w:color w:val="auto"/>
          <w:sz w:val="22"/>
          <w:lang w:eastAsia="en-AU"/>
        </w:rPr>
      </w:pPr>
      <w:hyperlink w:anchor="_Toc3278914" w:history="1">
        <w:r w:rsidR="005F7351" w:rsidRPr="00BF74E1">
          <w:rPr>
            <w:rStyle w:val="Hyperlink"/>
          </w:rPr>
          <w:t>Abbreviations and acronyms</w:t>
        </w:r>
        <w:r w:rsidR="005F7351">
          <w:rPr>
            <w:webHidden/>
          </w:rPr>
          <w:tab/>
        </w:r>
        <w:r w:rsidR="005F7351">
          <w:rPr>
            <w:webHidden/>
          </w:rPr>
          <w:fldChar w:fldCharType="begin"/>
        </w:r>
        <w:r w:rsidR="005F7351">
          <w:rPr>
            <w:webHidden/>
          </w:rPr>
          <w:instrText xml:space="preserve"> PAGEREF _Toc3278914 \h </w:instrText>
        </w:r>
        <w:r w:rsidR="005F7351">
          <w:rPr>
            <w:webHidden/>
          </w:rPr>
        </w:r>
        <w:r w:rsidR="005F7351">
          <w:rPr>
            <w:webHidden/>
          </w:rPr>
          <w:fldChar w:fldCharType="separate"/>
        </w:r>
        <w:r w:rsidR="00F2067C">
          <w:rPr>
            <w:webHidden/>
          </w:rPr>
          <w:t>xi</w:t>
        </w:r>
        <w:r w:rsidR="005F7351">
          <w:rPr>
            <w:webHidden/>
          </w:rPr>
          <w:fldChar w:fldCharType="end"/>
        </w:r>
      </w:hyperlink>
    </w:p>
    <w:p w14:paraId="75EF877A" w14:textId="487E1E4A" w:rsidR="005F7351" w:rsidRDefault="007F77AB">
      <w:pPr>
        <w:pStyle w:val="TOC1"/>
        <w:rPr>
          <w:rFonts w:asciiTheme="minorHAnsi" w:eastAsiaTheme="minorEastAsia" w:hAnsiTheme="minorHAnsi"/>
          <w:color w:val="auto"/>
          <w:sz w:val="22"/>
          <w:lang w:eastAsia="en-AU"/>
        </w:rPr>
      </w:pPr>
      <w:hyperlink w:anchor="_Toc3278915" w:history="1">
        <w:r w:rsidR="005F7351" w:rsidRPr="00BF74E1">
          <w:rPr>
            <w:rStyle w:val="Hyperlink"/>
          </w:rPr>
          <w:t>Glossary</w:t>
        </w:r>
        <w:r w:rsidR="005F7351">
          <w:rPr>
            <w:webHidden/>
          </w:rPr>
          <w:tab/>
        </w:r>
        <w:r w:rsidR="005F7351">
          <w:rPr>
            <w:webHidden/>
          </w:rPr>
          <w:fldChar w:fldCharType="begin"/>
        </w:r>
        <w:r w:rsidR="005F7351">
          <w:rPr>
            <w:webHidden/>
          </w:rPr>
          <w:instrText xml:space="preserve"> PAGEREF _Toc3278915 \h </w:instrText>
        </w:r>
        <w:r w:rsidR="005F7351">
          <w:rPr>
            <w:webHidden/>
          </w:rPr>
        </w:r>
        <w:r w:rsidR="005F7351">
          <w:rPr>
            <w:webHidden/>
          </w:rPr>
          <w:fldChar w:fldCharType="separate"/>
        </w:r>
        <w:r w:rsidR="00F2067C">
          <w:rPr>
            <w:webHidden/>
          </w:rPr>
          <w:t>xii</w:t>
        </w:r>
        <w:r w:rsidR="005F7351">
          <w:rPr>
            <w:webHidden/>
          </w:rPr>
          <w:fldChar w:fldCharType="end"/>
        </w:r>
      </w:hyperlink>
    </w:p>
    <w:p w14:paraId="012D5433" w14:textId="6CA2E67A" w:rsidR="005F7351" w:rsidRDefault="007F77AB">
      <w:pPr>
        <w:pStyle w:val="TOC1"/>
        <w:rPr>
          <w:rFonts w:asciiTheme="minorHAnsi" w:eastAsiaTheme="minorEastAsia" w:hAnsiTheme="minorHAnsi"/>
          <w:color w:val="auto"/>
          <w:sz w:val="22"/>
          <w:lang w:eastAsia="en-AU"/>
        </w:rPr>
      </w:pPr>
      <w:hyperlink w:anchor="_Toc3278916" w:history="1">
        <w:r w:rsidR="005F7351" w:rsidRPr="00BF74E1">
          <w:rPr>
            <w:rStyle w:val="Hyperlink"/>
          </w:rPr>
          <w:t>Conversion of concentration units</w:t>
        </w:r>
        <w:r w:rsidR="005F7351">
          <w:rPr>
            <w:webHidden/>
          </w:rPr>
          <w:tab/>
        </w:r>
        <w:r w:rsidR="005F7351">
          <w:rPr>
            <w:webHidden/>
          </w:rPr>
          <w:fldChar w:fldCharType="begin"/>
        </w:r>
        <w:r w:rsidR="005F7351">
          <w:rPr>
            <w:webHidden/>
          </w:rPr>
          <w:instrText xml:space="preserve"> PAGEREF _Toc3278916 \h </w:instrText>
        </w:r>
        <w:r w:rsidR="005F7351">
          <w:rPr>
            <w:webHidden/>
          </w:rPr>
        </w:r>
        <w:r w:rsidR="005F7351">
          <w:rPr>
            <w:webHidden/>
          </w:rPr>
          <w:fldChar w:fldCharType="separate"/>
        </w:r>
        <w:r w:rsidR="00F2067C">
          <w:rPr>
            <w:webHidden/>
          </w:rPr>
          <w:t>xiii</w:t>
        </w:r>
        <w:r w:rsidR="005F7351">
          <w:rPr>
            <w:webHidden/>
          </w:rPr>
          <w:fldChar w:fldCharType="end"/>
        </w:r>
      </w:hyperlink>
    </w:p>
    <w:p w14:paraId="4303EC30" w14:textId="40844B39" w:rsidR="005F7351" w:rsidRDefault="007F77AB">
      <w:pPr>
        <w:pStyle w:val="TOC1"/>
        <w:rPr>
          <w:rFonts w:asciiTheme="minorHAnsi" w:eastAsiaTheme="minorEastAsia" w:hAnsiTheme="minorHAnsi"/>
          <w:color w:val="auto"/>
          <w:sz w:val="22"/>
          <w:lang w:eastAsia="en-AU"/>
        </w:rPr>
      </w:pPr>
      <w:hyperlink w:anchor="_Toc3278917" w:history="1">
        <w:r w:rsidR="005F7351" w:rsidRPr="00BF74E1">
          <w:rPr>
            <w:rStyle w:val="Hyperlink"/>
          </w:rPr>
          <w:t>1</w:t>
        </w:r>
        <w:r w:rsidR="005F7351">
          <w:rPr>
            <w:rFonts w:asciiTheme="minorHAnsi" w:eastAsiaTheme="minorEastAsia" w:hAnsiTheme="minorHAnsi"/>
            <w:color w:val="auto"/>
            <w:sz w:val="22"/>
            <w:lang w:eastAsia="en-AU"/>
          </w:rPr>
          <w:tab/>
        </w:r>
        <w:r w:rsidR="005F7351" w:rsidRPr="00BF74E1">
          <w:rPr>
            <w:rStyle w:val="Hyperlink"/>
          </w:rPr>
          <w:t>Introduction</w:t>
        </w:r>
        <w:r w:rsidR="005F7351">
          <w:rPr>
            <w:webHidden/>
          </w:rPr>
          <w:tab/>
        </w:r>
        <w:r w:rsidR="005F7351">
          <w:rPr>
            <w:webHidden/>
          </w:rPr>
          <w:fldChar w:fldCharType="begin"/>
        </w:r>
        <w:r w:rsidR="005F7351">
          <w:rPr>
            <w:webHidden/>
          </w:rPr>
          <w:instrText xml:space="preserve"> PAGEREF _Toc3278917 \h </w:instrText>
        </w:r>
        <w:r w:rsidR="005F7351">
          <w:rPr>
            <w:webHidden/>
          </w:rPr>
        </w:r>
        <w:r w:rsidR="005F7351">
          <w:rPr>
            <w:webHidden/>
          </w:rPr>
          <w:fldChar w:fldCharType="separate"/>
        </w:r>
        <w:r w:rsidR="00F2067C">
          <w:rPr>
            <w:webHidden/>
          </w:rPr>
          <w:t>1</w:t>
        </w:r>
        <w:r w:rsidR="005F7351">
          <w:rPr>
            <w:webHidden/>
          </w:rPr>
          <w:fldChar w:fldCharType="end"/>
        </w:r>
      </w:hyperlink>
    </w:p>
    <w:p w14:paraId="0888C81B" w14:textId="69448947" w:rsidR="005F7351" w:rsidRDefault="007F77AB">
      <w:pPr>
        <w:pStyle w:val="TOC2"/>
        <w:rPr>
          <w:rFonts w:asciiTheme="minorHAnsi" w:eastAsiaTheme="minorEastAsia" w:hAnsiTheme="minorHAnsi"/>
          <w:color w:val="auto"/>
          <w:sz w:val="22"/>
          <w:lang w:eastAsia="en-AU"/>
        </w:rPr>
      </w:pPr>
      <w:hyperlink w:anchor="_Toc3278918" w:history="1">
        <w:r w:rsidR="005F7351" w:rsidRPr="00BF74E1">
          <w:rPr>
            <w:rStyle w:val="Hyperlink"/>
          </w:rPr>
          <w:t>1.1</w:t>
        </w:r>
        <w:r w:rsidR="005F7351">
          <w:rPr>
            <w:rFonts w:asciiTheme="minorHAnsi" w:eastAsiaTheme="minorEastAsia" w:hAnsiTheme="minorHAnsi"/>
            <w:color w:val="auto"/>
            <w:sz w:val="22"/>
            <w:lang w:eastAsia="en-AU"/>
          </w:rPr>
          <w:tab/>
        </w:r>
        <w:r w:rsidR="005F7351" w:rsidRPr="00BF74E1">
          <w:rPr>
            <w:rStyle w:val="Hyperlink"/>
          </w:rPr>
          <w:t>Overview</w:t>
        </w:r>
        <w:r w:rsidR="005F7351">
          <w:rPr>
            <w:webHidden/>
          </w:rPr>
          <w:tab/>
        </w:r>
        <w:r w:rsidR="005F7351">
          <w:rPr>
            <w:webHidden/>
          </w:rPr>
          <w:fldChar w:fldCharType="begin"/>
        </w:r>
        <w:r w:rsidR="005F7351">
          <w:rPr>
            <w:webHidden/>
          </w:rPr>
          <w:instrText xml:space="preserve"> PAGEREF _Toc3278918 \h </w:instrText>
        </w:r>
        <w:r w:rsidR="005F7351">
          <w:rPr>
            <w:webHidden/>
          </w:rPr>
        </w:r>
        <w:r w:rsidR="005F7351">
          <w:rPr>
            <w:webHidden/>
          </w:rPr>
          <w:fldChar w:fldCharType="separate"/>
        </w:r>
        <w:r w:rsidR="00F2067C">
          <w:rPr>
            <w:webHidden/>
          </w:rPr>
          <w:t>1</w:t>
        </w:r>
        <w:r w:rsidR="005F7351">
          <w:rPr>
            <w:webHidden/>
          </w:rPr>
          <w:fldChar w:fldCharType="end"/>
        </w:r>
      </w:hyperlink>
    </w:p>
    <w:p w14:paraId="02716A83" w14:textId="673B667E" w:rsidR="005F7351" w:rsidRDefault="007F77AB">
      <w:pPr>
        <w:pStyle w:val="TOC2"/>
        <w:rPr>
          <w:rFonts w:asciiTheme="minorHAnsi" w:eastAsiaTheme="minorEastAsia" w:hAnsiTheme="minorHAnsi"/>
          <w:color w:val="auto"/>
          <w:sz w:val="22"/>
          <w:lang w:eastAsia="en-AU"/>
        </w:rPr>
      </w:pPr>
      <w:hyperlink w:anchor="_Toc3278919" w:history="1">
        <w:r w:rsidR="005F7351" w:rsidRPr="00BF74E1">
          <w:rPr>
            <w:rStyle w:val="Hyperlink"/>
          </w:rPr>
          <w:t>1.2</w:t>
        </w:r>
        <w:r w:rsidR="005F7351">
          <w:rPr>
            <w:rFonts w:asciiTheme="minorHAnsi" w:eastAsiaTheme="minorEastAsia" w:hAnsiTheme="minorHAnsi"/>
            <w:color w:val="auto"/>
            <w:sz w:val="22"/>
            <w:lang w:eastAsia="en-AU"/>
          </w:rPr>
          <w:tab/>
        </w:r>
        <w:r w:rsidR="005F7351" w:rsidRPr="00BF74E1">
          <w:rPr>
            <w:rStyle w:val="Hyperlink"/>
          </w:rPr>
          <w:t>The National Environment Protection (Ambient Air Quality) Measure</w:t>
        </w:r>
        <w:r w:rsidR="005F7351">
          <w:rPr>
            <w:webHidden/>
          </w:rPr>
          <w:tab/>
        </w:r>
        <w:r w:rsidR="005F7351">
          <w:rPr>
            <w:webHidden/>
          </w:rPr>
          <w:fldChar w:fldCharType="begin"/>
        </w:r>
        <w:r w:rsidR="005F7351">
          <w:rPr>
            <w:webHidden/>
          </w:rPr>
          <w:instrText xml:space="preserve"> PAGEREF _Toc3278919 \h </w:instrText>
        </w:r>
        <w:r w:rsidR="005F7351">
          <w:rPr>
            <w:webHidden/>
          </w:rPr>
        </w:r>
        <w:r w:rsidR="005F7351">
          <w:rPr>
            <w:webHidden/>
          </w:rPr>
          <w:fldChar w:fldCharType="separate"/>
        </w:r>
        <w:r w:rsidR="00F2067C">
          <w:rPr>
            <w:webHidden/>
          </w:rPr>
          <w:t>1</w:t>
        </w:r>
        <w:r w:rsidR="005F7351">
          <w:rPr>
            <w:webHidden/>
          </w:rPr>
          <w:fldChar w:fldCharType="end"/>
        </w:r>
      </w:hyperlink>
    </w:p>
    <w:p w14:paraId="540FC7A1" w14:textId="331B3B9F" w:rsidR="005F7351" w:rsidRDefault="007F77AB">
      <w:pPr>
        <w:pStyle w:val="TOC2"/>
        <w:rPr>
          <w:rFonts w:asciiTheme="minorHAnsi" w:eastAsiaTheme="minorEastAsia" w:hAnsiTheme="minorHAnsi"/>
          <w:color w:val="auto"/>
          <w:sz w:val="22"/>
          <w:lang w:eastAsia="en-AU"/>
        </w:rPr>
      </w:pPr>
      <w:hyperlink w:anchor="_Toc3278920" w:history="1">
        <w:r w:rsidR="005F7351" w:rsidRPr="00BF74E1">
          <w:rPr>
            <w:rStyle w:val="Hyperlink"/>
          </w:rPr>
          <w:t>1.3</w:t>
        </w:r>
        <w:r w:rsidR="005F7351">
          <w:rPr>
            <w:rFonts w:asciiTheme="minorHAnsi" w:eastAsiaTheme="minorEastAsia" w:hAnsiTheme="minorHAnsi"/>
            <w:color w:val="auto"/>
            <w:sz w:val="22"/>
            <w:lang w:eastAsia="en-AU"/>
          </w:rPr>
          <w:tab/>
        </w:r>
        <w:r w:rsidR="005F7351" w:rsidRPr="00BF74E1">
          <w:rPr>
            <w:rStyle w:val="Hyperlink"/>
          </w:rPr>
          <w:t>The 2011 review of the National Environment Protection (Ambient Air Quality) Measure</w:t>
        </w:r>
        <w:r w:rsidR="005F7351">
          <w:rPr>
            <w:webHidden/>
          </w:rPr>
          <w:tab/>
        </w:r>
        <w:r w:rsidR="005F7351">
          <w:rPr>
            <w:webHidden/>
          </w:rPr>
          <w:fldChar w:fldCharType="begin"/>
        </w:r>
        <w:r w:rsidR="005F7351">
          <w:rPr>
            <w:webHidden/>
          </w:rPr>
          <w:instrText xml:space="preserve"> PAGEREF _Toc3278920 \h </w:instrText>
        </w:r>
        <w:r w:rsidR="005F7351">
          <w:rPr>
            <w:webHidden/>
          </w:rPr>
        </w:r>
        <w:r w:rsidR="005F7351">
          <w:rPr>
            <w:webHidden/>
          </w:rPr>
          <w:fldChar w:fldCharType="separate"/>
        </w:r>
        <w:r w:rsidR="00F2067C">
          <w:rPr>
            <w:webHidden/>
          </w:rPr>
          <w:t>2</w:t>
        </w:r>
        <w:r w:rsidR="005F7351">
          <w:rPr>
            <w:webHidden/>
          </w:rPr>
          <w:fldChar w:fldCharType="end"/>
        </w:r>
      </w:hyperlink>
    </w:p>
    <w:p w14:paraId="7C6A537D" w14:textId="29A4CB27" w:rsidR="005F7351" w:rsidRDefault="007F77AB">
      <w:pPr>
        <w:pStyle w:val="TOC2"/>
        <w:rPr>
          <w:rFonts w:asciiTheme="minorHAnsi" w:eastAsiaTheme="minorEastAsia" w:hAnsiTheme="minorHAnsi"/>
          <w:color w:val="auto"/>
          <w:sz w:val="22"/>
          <w:lang w:eastAsia="en-AU"/>
        </w:rPr>
      </w:pPr>
      <w:hyperlink w:anchor="_Toc3278921" w:history="1">
        <w:r w:rsidR="005F7351" w:rsidRPr="00BF74E1">
          <w:rPr>
            <w:rStyle w:val="Hyperlink"/>
          </w:rPr>
          <w:t>1.4</w:t>
        </w:r>
        <w:r w:rsidR="005F7351">
          <w:rPr>
            <w:rFonts w:asciiTheme="minorHAnsi" w:eastAsiaTheme="minorEastAsia" w:hAnsiTheme="minorHAnsi"/>
            <w:color w:val="auto"/>
            <w:sz w:val="22"/>
            <w:lang w:eastAsia="en-AU"/>
          </w:rPr>
          <w:tab/>
        </w:r>
        <w:r w:rsidR="005F7351" w:rsidRPr="00BF74E1">
          <w:rPr>
            <w:rStyle w:val="Hyperlink"/>
          </w:rPr>
          <w:t>Review of standards for particulate matter</w:t>
        </w:r>
        <w:r w:rsidR="005F7351">
          <w:rPr>
            <w:webHidden/>
          </w:rPr>
          <w:tab/>
        </w:r>
        <w:r w:rsidR="005F7351">
          <w:rPr>
            <w:webHidden/>
          </w:rPr>
          <w:fldChar w:fldCharType="begin"/>
        </w:r>
        <w:r w:rsidR="005F7351">
          <w:rPr>
            <w:webHidden/>
          </w:rPr>
          <w:instrText xml:space="preserve"> PAGEREF _Toc3278921 \h </w:instrText>
        </w:r>
        <w:r w:rsidR="005F7351">
          <w:rPr>
            <w:webHidden/>
          </w:rPr>
        </w:r>
        <w:r w:rsidR="005F7351">
          <w:rPr>
            <w:webHidden/>
          </w:rPr>
          <w:fldChar w:fldCharType="separate"/>
        </w:r>
        <w:r w:rsidR="00F2067C">
          <w:rPr>
            <w:webHidden/>
          </w:rPr>
          <w:t>2</w:t>
        </w:r>
        <w:r w:rsidR="005F7351">
          <w:rPr>
            <w:webHidden/>
          </w:rPr>
          <w:fldChar w:fldCharType="end"/>
        </w:r>
      </w:hyperlink>
    </w:p>
    <w:p w14:paraId="1611D7C0" w14:textId="0652C4C0" w:rsidR="005F7351" w:rsidRDefault="007F77AB">
      <w:pPr>
        <w:pStyle w:val="TOC2"/>
        <w:rPr>
          <w:rFonts w:asciiTheme="minorHAnsi" w:eastAsiaTheme="minorEastAsia" w:hAnsiTheme="minorHAnsi"/>
          <w:color w:val="auto"/>
          <w:sz w:val="22"/>
          <w:lang w:eastAsia="en-AU"/>
        </w:rPr>
      </w:pPr>
      <w:hyperlink w:anchor="_Toc3278922" w:history="1">
        <w:r w:rsidR="005F7351" w:rsidRPr="00BF74E1">
          <w:rPr>
            <w:rStyle w:val="Hyperlink"/>
          </w:rPr>
          <w:t>1.5</w:t>
        </w:r>
        <w:r w:rsidR="005F7351">
          <w:rPr>
            <w:rFonts w:asciiTheme="minorHAnsi" w:eastAsiaTheme="minorEastAsia" w:hAnsiTheme="minorHAnsi"/>
            <w:color w:val="auto"/>
            <w:sz w:val="22"/>
            <w:lang w:eastAsia="en-AU"/>
          </w:rPr>
          <w:tab/>
        </w:r>
        <w:r w:rsidR="005F7351" w:rsidRPr="00BF74E1">
          <w:rPr>
            <w:rStyle w:val="Hyperlink"/>
          </w:rPr>
          <w:t>Review of standards for gaseous pollutants</w:t>
        </w:r>
        <w:r w:rsidR="005F7351">
          <w:rPr>
            <w:webHidden/>
          </w:rPr>
          <w:tab/>
        </w:r>
        <w:r w:rsidR="005F7351">
          <w:rPr>
            <w:webHidden/>
          </w:rPr>
          <w:fldChar w:fldCharType="begin"/>
        </w:r>
        <w:r w:rsidR="005F7351">
          <w:rPr>
            <w:webHidden/>
          </w:rPr>
          <w:instrText xml:space="preserve"> PAGEREF _Toc3278922 \h </w:instrText>
        </w:r>
        <w:r w:rsidR="005F7351">
          <w:rPr>
            <w:webHidden/>
          </w:rPr>
        </w:r>
        <w:r w:rsidR="005F7351">
          <w:rPr>
            <w:webHidden/>
          </w:rPr>
          <w:fldChar w:fldCharType="separate"/>
        </w:r>
        <w:r w:rsidR="00F2067C">
          <w:rPr>
            <w:webHidden/>
          </w:rPr>
          <w:t>3</w:t>
        </w:r>
        <w:r w:rsidR="005F7351">
          <w:rPr>
            <w:webHidden/>
          </w:rPr>
          <w:fldChar w:fldCharType="end"/>
        </w:r>
      </w:hyperlink>
    </w:p>
    <w:p w14:paraId="458EA59C" w14:textId="6F0B98E5" w:rsidR="005F7351" w:rsidRDefault="007F77AB">
      <w:pPr>
        <w:pStyle w:val="TOC2"/>
        <w:rPr>
          <w:rFonts w:asciiTheme="minorHAnsi" w:eastAsiaTheme="minorEastAsia" w:hAnsiTheme="minorHAnsi"/>
          <w:color w:val="auto"/>
          <w:sz w:val="22"/>
          <w:lang w:eastAsia="en-AU"/>
        </w:rPr>
      </w:pPr>
      <w:hyperlink w:anchor="_Toc3278923" w:history="1">
        <w:r w:rsidR="005F7351" w:rsidRPr="00BF74E1">
          <w:rPr>
            <w:rStyle w:val="Hyperlink"/>
          </w:rPr>
          <w:t>1.6</w:t>
        </w:r>
        <w:r w:rsidR="005F7351">
          <w:rPr>
            <w:rFonts w:asciiTheme="minorHAnsi" w:eastAsiaTheme="minorEastAsia" w:hAnsiTheme="minorHAnsi"/>
            <w:color w:val="auto"/>
            <w:sz w:val="22"/>
            <w:lang w:eastAsia="en-AU"/>
          </w:rPr>
          <w:tab/>
        </w:r>
        <w:r w:rsidR="005F7351" w:rsidRPr="00BF74E1">
          <w:rPr>
            <w:rStyle w:val="Hyperlink"/>
          </w:rPr>
          <w:t>Report objectives</w:t>
        </w:r>
        <w:r w:rsidR="005F7351">
          <w:rPr>
            <w:webHidden/>
          </w:rPr>
          <w:tab/>
        </w:r>
        <w:r w:rsidR="005F7351">
          <w:rPr>
            <w:webHidden/>
          </w:rPr>
          <w:fldChar w:fldCharType="begin"/>
        </w:r>
        <w:r w:rsidR="005F7351">
          <w:rPr>
            <w:webHidden/>
          </w:rPr>
          <w:instrText xml:space="preserve"> PAGEREF _Toc3278923 \h </w:instrText>
        </w:r>
        <w:r w:rsidR="005F7351">
          <w:rPr>
            <w:webHidden/>
          </w:rPr>
        </w:r>
        <w:r w:rsidR="005F7351">
          <w:rPr>
            <w:webHidden/>
          </w:rPr>
          <w:fldChar w:fldCharType="separate"/>
        </w:r>
        <w:r w:rsidR="00F2067C">
          <w:rPr>
            <w:webHidden/>
          </w:rPr>
          <w:t>7</w:t>
        </w:r>
        <w:r w:rsidR="005F7351">
          <w:rPr>
            <w:webHidden/>
          </w:rPr>
          <w:fldChar w:fldCharType="end"/>
        </w:r>
      </w:hyperlink>
    </w:p>
    <w:p w14:paraId="0C7428BE" w14:textId="267CD245" w:rsidR="005F7351" w:rsidRDefault="007F77AB">
      <w:pPr>
        <w:pStyle w:val="TOC2"/>
        <w:rPr>
          <w:rFonts w:asciiTheme="minorHAnsi" w:eastAsiaTheme="minorEastAsia" w:hAnsiTheme="minorHAnsi"/>
          <w:color w:val="auto"/>
          <w:sz w:val="22"/>
          <w:lang w:eastAsia="en-AU"/>
        </w:rPr>
      </w:pPr>
      <w:hyperlink w:anchor="_Toc3278924" w:history="1">
        <w:r w:rsidR="005F7351" w:rsidRPr="00BF74E1">
          <w:rPr>
            <w:rStyle w:val="Hyperlink"/>
          </w:rPr>
          <w:t>1.7</w:t>
        </w:r>
        <w:r w:rsidR="005F7351">
          <w:rPr>
            <w:rFonts w:asciiTheme="minorHAnsi" w:eastAsiaTheme="minorEastAsia" w:hAnsiTheme="minorHAnsi"/>
            <w:color w:val="auto"/>
            <w:sz w:val="22"/>
            <w:lang w:eastAsia="en-AU"/>
          </w:rPr>
          <w:tab/>
        </w:r>
        <w:r w:rsidR="005F7351" w:rsidRPr="00BF74E1">
          <w:rPr>
            <w:rStyle w:val="Hyperlink"/>
          </w:rPr>
          <w:t>Scope and structure of the Impact Statement</w:t>
        </w:r>
        <w:r w:rsidR="005F7351">
          <w:rPr>
            <w:webHidden/>
          </w:rPr>
          <w:tab/>
        </w:r>
        <w:r w:rsidR="005F7351">
          <w:rPr>
            <w:webHidden/>
          </w:rPr>
          <w:fldChar w:fldCharType="begin"/>
        </w:r>
        <w:r w:rsidR="005F7351">
          <w:rPr>
            <w:webHidden/>
          </w:rPr>
          <w:instrText xml:space="preserve"> PAGEREF _Toc3278924 \h </w:instrText>
        </w:r>
        <w:r w:rsidR="005F7351">
          <w:rPr>
            <w:webHidden/>
          </w:rPr>
        </w:r>
        <w:r w:rsidR="005F7351">
          <w:rPr>
            <w:webHidden/>
          </w:rPr>
          <w:fldChar w:fldCharType="separate"/>
        </w:r>
        <w:r w:rsidR="00F2067C">
          <w:rPr>
            <w:webHidden/>
          </w:rPr>
          <w:t>9</w:t>
        </w:r>
        <w:r w:rsidR="005F7351">
          <w:rPr>
            <w:webHidden/>
          </w:rPr>
          <w:fldChar w:fldCharType="end"/>
        </w:r>
      </w:hyperlink>
    </w:p>
    <w:p w14:paraId="5F4BB70C" w14:textId="6F991588" w:rsidR="005F7351" w:rsidRDefault="007F77AB">
      <w:pPr>
        <w:pStyle w:val="TOC1"/>
        <w:rPr>
          <w:rFonts w:asciiTheme="minorHAnsi" w:eastAsiaTheme="minorEastAsia" w:hAnsiTheme="minorHAnsi"/>
          <w:color w:val="auto"/>
          <w:sz w:val="22"/>
          <w:lang w:eastAsia="en-AU"/>
        </w:rPr>
      </w:pPr>
      <w:hyperlink w:anchor="_Toc3278925" w:history="1">
        <w:r w:rsidR="005F7351" w:rsidRPr="00BF74E1">
          <w:rPr>
            <w:rStyle w:val="Hyperlink"/>
          </w:rPr>
          <w:t>2</w:t>
        </w:r>
        <w:r w:rsidR="005F7351">
          <w:rPr>
            <w:rFonts w:asciiTheme="minorHAnsi" w:eastAsiaTheme="minorEastAsia" w:hAnsiTheme="minorHAnsi"/>
            <w:color w:val="auto"/>
            <w:sz w:val="22"/>
            <w:lang w:eastAsia="en-AU"/>
          </w:rPr>
          <w:tab/>
        </w:r>
        <w:r w:rsidR="005F7351" w:rsidRPr="00BF74E1">
          <w:rPr>
            <w:rStyle w:val="Hyperlink"/>
          </w:rPr>
          <w:t>Air quality management in Australia</w:t>
        </w:r>
        <w:r w:rsidR="005F7351">
          <w:rPr>
            <w:webHidden/>
          </w:rPr>
          <w:tab/>
        </w:r>
        <w:r w:rsidR="005F7351">
          <w:rPr>
            <w:webHidden/>
          </w:rPr>
          <w:fldChar w:fldCharType="begin"/>
        </w:r>
        <w:r w:rsidR="005F7351">
          <w:rPr>
            <w:webHidden/>
          </w:rPr>
          <w:instrText xml:space="preserve"> PAGEREF _Toc3278925 \h </w:instrText>
        </w:r>
        <w:r w:rsidR="005F7351">
          <w:rPr>
            <w:webHidden/>
          </w:rPr>
        </w:r>
        <w:r w:rsidR="005F7351">
          <w:rPr>
            <w:webHidden/>
          </w:rPr>
          <w:fldChar w:fldCharType="separate"/>
        </w:r>
        <w:r w:rsidR="00F2067C">
          <w:rPr>
            <w:webHidden/>
          </w:rPr>
          <w:t>13</w:t>
        </w:r>
        <w:r w:rsidR="005F7351">
          <w:rPr>
            <w:webHidden/>
          </w:rPr>
          <w:fldChar w:fldCharType="end"/>
        </w:r>
      </w:hyperlink>
    </w:p>
    <w:p w14:paraId="76BA1FC6" w14:textId="3526FCD8" w:rsidR="005F7351" w:rsidRDefault="007F77AB">
      <w:pPr>
        <w:pStyle w:val="TOC2"/>
        <w:rPr>
          <w:rFonts w:asciiTheme="minorHAnsi" w:eastAsiaTheme="minorEastAsia" w:hAnsiTheme="minorHAnsi"/>
          <w:color w:val="auto"/>
          <w:sz w:val="22"/>
          <w:lang w:eastAsia="en-AU"/>
        </w:rPr>
      </w:pPr>
      <w:hyperlink w:anchor="_Toc3278926" w:history="1">
        <w:r w:rsidR="005F7351" w:rsidRPr="00BF74E1">
          <w:rPr>
            <w:rStyle w:val="Hyperlink"/>
          </w:rPr>
          <w:t>2.1</w:t>
        </w:r>
        <w:r w:rsidR="005F7351">
          <w:rPr>
            <w:rFonts w:asciiTheme="minorHAnsi" w:eastAsiaTheme="minorEastAsia" w:hAnsiTheme="minorHAnsi"/>
            <w:color w:val="auto"/>
            <w:sz w:val="22"/>
            <w:lang w:eastAsia="en-AU"/>
          </w:rPr>
          <w:tab/>
        </w:r>
        <w:r w:rsidR="005F7351" w:rsidRPr="00BF74E1">
          <w:rPr>
            <w:rStyle w:val="Hyperlink"/>
          </w:rPr>
          <w:t>National Environment Protection Council</w:t>
        </w:r>
        <w:r w:rsidR="005F7351">
          <w:rPr>
            <w:webHidden/>
          </w:rPr>
          <w:tab/>
        </w:r>
        <w:r w:rsidR="005F7351">
          <w:rPr>
            <w:webHidden/>
          </w:rPr>
          <w:fldChar w:fldCharType="begin"/>
        </w:r>
        <w:r w:rsidR="005F7351">
          <w:rPr>
            <w:webHidden/>
          </w:rPr>
          <w:instrText xml:space="preserve"> PAGEREF _Toc3278926 \h </w:instrText>
        </w:r>
        <w:r w:rsidR="005F7351">
          <w:rPr>
            <w:webHidden/>
          </w:rPr>
        </w:r>
        <w:r w:rsidR="005F7351">
          <w:rPr>
            <w:webHidden/>
          </w:rPr>
          <w:fldChar w:fldCharType="separate"/>
        </w:r>
        <w:r w:rsidR="00F2067C">
          <w:rPr>
            <w:webHidden/>
          </w:rPr>
          <w:t>13</w:t>
        </w:r>
        <w:r w:rsidR="005F7351">
          <w:rPr>
            <w:webHidden/>
          </w:rPr>
          <w:fldChar w:fldCharType="end"/>
        </w:r>
      </w:hyperlink>
    </w:p>
    <w:p w14:paraId="5D61D5A8" w14:textId="344DAC9C" w:rsidR="005F7351" w:rsidRDefault="007F77AB">
      <w:pPr>
        <w:pStyle w:val="TOC2"/>
        <w:rPr>
          <w:rFonts w:asciiTheme="minorHAnsi" w:eastAsiaTheme="minorEastAsia" w:hAnsiTheme="minorHAnsi"/>
          <w:color w:val="auto"/>
          <w:sz w:val="22"/>
          <w:lang w:eastAsia="en-AU"/>
        </w:rPr>
      </w:pPr>
      <w:hyperlink w:anchor="_Toc3278927" w:history="1">
        <w:r w:rsidR="005F7351" w:rsidRPr="00BF74E1">
          <w:rPr>
            <w:rStyle w:val="Hyperlink"/>
          </w:rPr>
          <w:t>2.2</w:t>
        </w:r>
        <w:r w:rsidR="005F7351">
          <w:rPr>
            <w:rFonts w:asciiTheme="minorHAnsi" w:eastAsiaTheme="minorEastAsia" w:hAnsiTheme="minorHAnsi"/>
            <w:color w:val="auto"/>
            <w:sz w:val="22"/>
            <w:lang w:eastAsia="en-AU"/>
          </w:rPr>
          <w:tab/>
        </w:r>
        <w:r w:rsidR="005F7351" w:rsidRPr="00BF74E1">
          <w:rPr>
            <w:rStyle w:val="Hyperlink"/>
          </w:rPr>
          <w:t>The National Environment Protection (Ambient Air Quality) Measure</w:t>
        </w:r>
        <w:r w:rsidR="005F7351">
          <w:rPr>
            <w:webHidden/>
          </w:rPr>
          <w:tab/>
        </w:r>
        <w:r w:rsidR="005F7351">
          <w:rPr>
            <w:webHidden/>
          </w:rPr>
          <w:fldChar w:fldCharType="begin"/>
        </w:r>
        <w:r w:rsidR="005F7351">
          <w:rPr>
            <w:webHidden/>
          </w:rPr>
          <w:instrText xml:space="preserve"> PAGEREF _Toc3278927 \h </w:instrText>
        </w:r>
        <w:r w:rsidR="005F7351">
          <w:rPr>
            <w:webHidden/>
          </w:rPr>
        </w:r>
        <w:r w:rsidR="005F7351">
          <w:rPr>
            <w:webHidden/>
          </w:rPr>
          <w:fldChar w:fldCharType="separate"/>
        </w:r>
        <w:r w:rsidR="00F2067C">
          <w:rPr>
            <w:webHidden/>
          </w:rPr>
          <w:t>13</w:t>
        </w:r>
        <w:r w:rsidR="005F7351">
          <w:rPr>
            <w:webHidden/>
          </w:rPr>
          <w:fldChar w:fldCharType="end"/>
        </w:r>
      </w:hyperlink>
    </w:p>
    <w:p w14:paraId="0D4E6913" w14:textId="1530ED84" w:rsidR="005F7351" w:rsidRDefault="007F77AB">
      <w:pPr>
        <w:pStyle w:val="TOC2"/>
        <w:rPr>
          <w:rFonts w:asciiTheme="minorHAnsi" w:eastAsiaTheme="minorEastAsia" w:hAnsiTheme="minorHAnsi"/>
          <w:color w:val="auto"/>
          <w:sz w:val="22"/>
          <w:lang w:eastAsia="en-AU"/>
        </w:rPr>
      </w:pPr>
      <w:hyperlink w:anchor="_Toc3278928" w:history="1">
        <w:r w:rsidR="005F7351" w:rsidRPr="00BF74E1">
          <w:rPr>
            <w:rStyle w:val="Hyperlink"/>
          </w:rPr>
          <w:t>2.3</w:t>
        </w:r>
        <w:r w:rsidR="005F7351">
          <w:rPr>
            <w:rFonts w:asciiTheme="minorHAnsi" w:eastAsiaTheme="minorEastAsia" w:hAnsiTheme="minorHAnsi"/>
            <w:color w:val="auto"/>
            <w:sz w:val="22"/>
            <w:lang w:eastAsia="en-AU"/>
          </w:rPr>
          <w:tab/>
        </w:r>
        <w:r w:rsidR="005F7351" w:rsidRPr="00BF74E1">
          <w:rPr>
            <w:rStyle w:val="Hyperlink"/>
          </w:rPr>
          <w:t>Use of the standards and goals in the National Environment Protection (Ambient Air Quality) Measure by jurisdictions</w:t>
        </w:r>
        <w:r w:rsidR="005F7351">
          <w:rPr>
            <w:webHidden/>
          </w:rPr>
          <w:tab/>
        </w:r>
        <w:r w:rsidR="005F7351">
          <w:rPr>
            <w:webHidden/>
          </w:rPr>
          <w:fldChar w:fldCharType="begin"/>
        </w:r>
        <w:r w:rsidR="005F7351">
          <w:rPr>
            <w:webHidden/>
          </w:rPr>
          <w:instrText xml:space="preserve"> PAGEREF _Toc3278928 \h </w:instrText>
        </w:r>
        <w:r w:rsidR="005F7351">
          <w:rPr>
            <w:webHidden/>
          </w:rPr>
        </w:r>
        <w:r w:rsidR="005F7351">
          <w:rPr>
            <w:webHidden/>
          </w:rPr>
          <w:fldChar w:fldCharType="separate"/>
        </w:r>
        <w:r w:rsidR="00F2067C">
          <w:rPr>
            <w:webHidden/>
          </w:rPr>
          <w:t>16</w:t>
        </w:r>
        <w:r w:rsidR="005F7351">
          <w:rPr>
            <w:webHidden/>
          </w:rPr>
          <w:fldChar w:fldCharType="end"/>
        </w:r>
      </w:hyperlink>
    </w:p>
    <w:p w14:paraId="1421A59E" w14:textId="5CD43A0A" w:rsidR="005F7351" w:rsidRDefault="007F77AB">
      <w:pPr>
        <w:pStyle w:val="TOC2"/>
        <w:rPr>
          <w:rFonts w:asciiTheme="minorHAnsi" w:eastAsiaTheme="minorEastAsia" w:hAnsiTheme="minorHAnsi"/>
          <w:color w:val="auto"/>
          <w:sz w:val="22"/>
          <w:lang w:eastAsia="en-AU"/>
        </w:rPr>
      </w:pPr>
      <w:hyperlink w:anchor="_Toc3278929" w:history="1">
        <w:r w:rsidR="005F7351" w:rsidRPr="00BF74E1">
          <w:rPr>
            <w:rStyle w:val="Hyperlink"/>
          </w:rPr>
          <w:t>2.4</w:t>
        </w:r>
        <w:r w:rsidR="005F7351">
          <w:rPr>
            <w:rFonts w:asciiTheme="minorHAnsi" w:eastAsiaTheme="minorEastAsia" w:hAnsiTheme="minorHAnsi"/>
            <w:color w:val="auto"/>
            <w:sz w:val="22"/>
            <w:lang w:eastAsia="en-AU"/>
          </w:rPr>
          <w:tab/>
        </w:r>
        <w:r w:rsidR="005F7351" w:rsidRPr="00BF74E1">
          <w:rPr>
            <w:rStyle w:val="Hyperlink"/>
          </w:rPr>
          <w:t>Sectoral approaches</w:t>
        </w:r>
        <w:r w:rsidR="005F7351">
          <w:rPr>
            <w:webHidden/>
          </w:rPr>
          <w:tab/>
        </w:r>
        <w:r w:rsidR="005F7351">
          <w:rPr>
            <w:webHidden/>
          </w:rPr>
          <w:fldChar w:fldCharType="begin"/>
        </w:r>
        <w:r w:rsidR="005F7351">
          <w:rPr>
            <w:webHidden/>
          </w:rPr>
          <w:instrText xml:space="preserve"> PAGEREF _Toc3278929 \h </w:instrText>
        </w:r>
        <w:r w:rsidR="005F7351">
          <w:rPr>
            <w:webHidden/>
          </w:rPr>
        </w:r>
        <w:r w:rsidR="005F7351">
          <w:rPr>
            <w:webHidden/>
          </w:rPr>
          <w:fldChar w:fldCharType="separate"/>
        </w:r>
        <w:r w:rsidR="00F2067C">
          <w:rPr>
            <w:webHidden/>
          </w:rPr>
          <w:t>19</w:t>
        </w:r>
        <w:r w:rsidR="005F7351">
          <w:rPr>
            <w:webHidden/>
          </w:rPr>
          <w:fldChar w:fldCharType="end"/>
        </w:r>
      </w:hyperlink>
    </w:p>
    <w:p w14:paraId="69DB5C36" w14:textId="67D3B491" w:rsidR="005F7351" w:rsidRDefault="007F77AB">
      <w:pPr>
        <w:pStyle w:val="TOC2"/>
        <w:rPr>
          <w:rFonts w:asciiTheme="minorHAnsi" w:eastAsiaTheme="minorEastAsia" w:hAnsiTheme="minorHAnsi"/>
          <w:color w:val="auto"/>
          <w:sz w:val="22"/>
          <w:lang w:eastAsia="en-AU"/>
        </w:rPr>
      </w:pPr>
      <w:hyperlink w:anchor="_Toc3278930" w:history="1">
        <w:r w:rsidR="005F7351" w:rsidRPr="00BF74E1">
          <w:rPr>
            <w:rStyle w:val="Hyperlink"/>
          </w:rPr>
          <w:t>2.5</w:t>
        </w:r>
        <w:r w:rsidR="005F7351">
          <w:rPr>
            <w:rFonts w:asciiTheme="minorHAnsi" w:eastAsiaTheme="minorEastAsia" w:hAnsiTheme="minorHAnsi"/>
            <w:color w:val="auto"/>
            <w:sz w:val="22"/>
            <w:lang w:eastAsia="en-AU"/>
          </w:rPr>
          <w:tab/>
        </w:r>
        <w:r w:rsidR="005F7351" w:rsidRPr="00BF74E1">
          <w:rPr>
            <w:rStyle w:val="Hyperlink"/>
          </w:rPr>
          <w:t>National Clean Air Agreement</w:t>
        </w:r>
        <w:r w:rsidR="005F7351">
          <w:rPr>
            <w:webHidden/>
          </w:rPr>
          <w:tab/>
        </w:r>
        <w:r w:rsidR="005F7351">
          <w:rPr>
            <w:webHidden/>
          </w:rPr>
          <w:fldChar w:fldCharType="begin"/>
        </w:r>
        <w:r w:rsidR="005F7351">
          <w:rPr>
            <w:webHidden/>
          </w:rPr>
          <w:instrText xml:space="preserve"> PAGEREF _Toc3278930 \h </w:instrText>
        </w:r>
        <w:r w:rsidR="005F7351">
          <w:rPr>
            <w:webHidden/>
          </w:rPr>
        </w:r>
        <w:r w:rsidR="005F7351">
          <w:rPr>
            <w:webHidden/>
          </w:rPr>
          <w:fldChar w:fldCharType="separate"/>
        </w:r>
        <w:r w:rsidR="00F2067C">
          <w:rPr>
            <w:webHidden/>
          </w:rPr>
          <w:t>20</w:t>
        </w:r>
        <w:r w:rsidR="005F7351">
          <w:rPr>
            <w:webHidden/>
          </w:rPr>
          <w:fldChar w:fldCharType="end"/>
        </w:r>
      </w:hyperlink>
    </w:p>
    <w:p w14:paraId="1F6D7E34" w14:textId="393729EC" w:rsidR="005F7351" w:rsidRDefault="007F77AB">
      <w:pPr>
        <w:pStyle w:val="TOC1"/>
        <w:rPr>
          <w:rFonts w:asciiTheme="minorHAnsi" w:eastAsiaTheme="minorEastAsia" w:hAnsiTheme="minorHAnsi"/>
          <w:color w:val="auto"/>
          <w:sz w:val="22"/>
          <w:lang w:eastAsia="en-AU"/>
        </w:rPr>
      </w:pPr>
      <w:hyperlink w:anchor="_Toc3278931" w:history="1">
        <w:r w:rsidR="005F7351" w:rsidRPr="00BF74E1">
          <w:rPr>
            <w:rStyle w:val="Hyperlink"/>
          </w:rPr>
          <w:t>3</w:t>
        </w:r>
        <w:r w:rsidR="005F7351">
          <w:rPr>
            <w:rFonts w:asciiTheme="minorHAnsi" w:eastAsiaTheme="minorEastAsia" w:hAnsiTheme="minorHAnsi"/>
            <w:color w:val="auto"/>
            <w:sz w:val="22"/>
            <w:lang w:eastAsia="en-AU"/>
          </w:rPr>
          <w:tab/>
        </w:r>
        <w:r w:rsidR="005F7351" w:rsidRPr="00BF74E1">
          <w:rPr>
            <w:rStyle w:val="Hyperlink"/>
          </w:rPr>
          <w:t>Statement of the problem</w:t>
        </w:r>
        <w:r w:rsidR="005F7351">
          <w:rPr>
            <w:webHidden/>
          </w:rPr>
          <w:tab/>
        </w:r>
        <w:r w:rsidR="005F7351">
          <w:rPr>
            <w:webHidden/>
          </w:rPr>
          <w:fldChar w:fldCharType="begin"/>
        </w:r>
        <w:r w:rsidR="005F7351">
          <w:rPr>
            <w:webHidden/>
          </w:rPr>
          <w:instrText xml:space="preserve"> PAGEREF _Toc3278931 \h </w:instrText>
        </w:r>
        <w:r w:rsidR="005F7351">
          <w:rPr>
            <w:webHidden/>
          </w:rPr>
        </w:r>
        <w:r w:rsidR="005F7351">
          <w:rPr>
            <w:webHidden/>
          </w:rPr>
          <w:fldChar w:fldCharType="separate"/>
        </w:r>
        <w:r w:rsidR="00F2067C">
          <w:rPr>
            <w:webHidden/>
          </w:rPr>
          <w:t>22</w:t>
        </w:r>
        <w:r w:rsidR="005F7351">
          <w:rPr>
            <w:webHidden/>
          </w:rPr>
          <w:fldChar w:fldCharType="end"/>
        </w:r>
      </w:hyperlink>
    </w:p>
    <w:p w14:paraId="468F4AA9" w14:textId="6073646D" w:rsidR="005F7351" w:rsidRDefault="007F77AB">
      <w:pPr>
        <w:pStyle w:val="TOC2"/>
        <w:rPr>
          <w:rFonts w:asciiTheme="minorHAnsi" w:eastAsiaTheme="minorEastAsia" w:hAnsiTheme="minorHAnsi"/>
          <w:color w:val="auto"/>
          <w:sz w:val="22"/>
          <w:lang w:eastAsia="en-AU"/>
        </w:rPr>
      </w:pPr>
      <w:hyperlink w:anchor="_Toc3278932" w:history="1">
        <w:r w:rsidR="005F7351" w:rsidRPr="00BF74E1">
          <w:rPr>
            <w:rStyle w:val="Hyperlink"/>
          </w:rPr>
          <w:t>3.1</w:t>
        </w:r>
        <w:r w:rsidR="005F7351">
          <w:rPr>
            <w:rFonts w:asciiTheme="minorHAnsi" w:eastAsiaTheme="minorEastAsia" w:hAnsiTheme="minorHAnsi"/>
            <w:color w:val="auto"/>
            <w:sz w:val="22"/>
            <w:lang w:eastAsia="en-AU"/>
          </w:rPr>
          <w:tab/>
        </w:r>
        <w:r w:rsidR="005F7351" w:rsidRPr="00BF74E1">
          <w:rPr>
            <w:rStyle w:val="Hyperlink"/>
          </w:rPr>
          <w:t>Background</w:t>
        </w:r>
        <w:r w:rsidR="005F7351">
          <w:rPr>
            <w:webHidden/>
          </w:rPr>
          <w:tab/>
        </w:r>
        <w:r w:rsidR="005F7351">
          <w:rPr>
            <w:webHidden/>
          </w:rPr>
          <w:fldChar w:fldCharType="begin"/>
        </w:r>
        <w:r w:rsidR="005F7351">
          <w:rPr>
            <w:webHidden/>
          </w:rPr>
          <w:instrText xml:space="preserve"> PAGEREF _Toc3278932 \h </w:instrText>
        </w:r>
        <w:r w:rsidR="005F7351">
          <w:rPr>
            <w:webHidden/>
          </w:rPr>
        </w:r>
        <w:r w:rsidR="005F7351">
          <w:rPr>
            <w:webHidden/>
          </w:rPr>
          <w:fldChar w:fldCharType="separate"/>
        </w:r>
        <w:r w:rsidR="00F2067C">
          <w:rPr>
            <w:webHidden/>
          </w:rPr>
          <w:t>22</w:t>
        </w:r>
        <w:r w:rsidR="005F7351">
          <w:rPr>
            <w:webHidden/>
          </w:rPr>
          <w:fldChar w:fldCharType="end"/>
        </w:r>
      </w:hyperlink>
    </w:p>
    <w:p w14:paraId="023010F6" w14:textId="53B7337C" w:rsidR="005F7351" w:rsidRDefault="007F77AB">
      <w:pPr>
        <w:pStyle w:val="TOC2"/>
        <w:rPr>
          <w:rFonts w:asciiTheme="minorHAnsi" w:eastAsiaTheme="minorEastAsia" w:hAnsiTheme="minorHAnsi"/>
          <w:color w:val="auto"/>
          <w:sz w:val="22"/>
          <w:lang w:eastAsia="en-AU"/>
        </w:rPr>
      </w:pPr>
      <w:hyperlink w:anchor="_Toc3278933" w:history="1">
        <w:r w:rsidR="005F7351" w:rsidRPr="00BF74E1">
          <w:rPr>
            <w:rStyle w:val="Hyperlink"/>
          </w:rPr>
          <w:t>3.2</w:t>
        </w:r>
        <w:r w:rsidR="005F7351">
          <w:rPr>
            <w:rFonts w:asciiTheme="minorHAnsi" w:eastAsiaTheme="minorEastAsia" w:hAnsiTheme="minorHAnsi"/>
            <w:color w:val="auto"/>
            <w:sz w:val="22"/>
            <w:lang w:eastAsia="en-AU"/>
          </w:rPr>
          <w:tab/>
        </w:r>
        <w:r w:rsidR="005F7351" w:rsidRPr="00BF74E1">
          <w:rPr>
            <w:rStyle w:val="Hyperlink"/>
          </w:rPr>
          <w:t>Why the standards for sulfur dioxide, nitrogen dioxide and ozone are being reviewed</w:t>
        </w:r>
        <w:r w:rsidR="005F7351">
          <w:rPr>
            <w:webHidden/>
          </w:rPr>
          <w:tab/>
        </w:r>
        <w:r w:rsidR="005F7351">
          <w:rPr>
            <w:webHidden/>
          </w:rPr>
          <w:fldChar w:fldCharType="begin"/>
        </w:r>
        <w:r w:rsidR="005F7351">
          <w:rPr>
            <w:webHidden/>
          </w:rPr>
          <w:instrText xml:space="preserve"> PAGEREF _Toc3278933 \h </w:instrText>
        </w:r>
        <w:r w:rsidR="005F7351">
          <w:rPr>
            <w:webHidden/>
          </w:rPr>
        </w:r>
        <w:r w:rsidR="005F7351">
          <w:rPr>
            <w:webHidden/>
          </w:rPr>
          <w:fldChar w:fldCharType="separate"/>
        </w:r>
        <w:r w:rsidR="00F2067C">
          <w:rPr>
            <w:webHidden/>
          </w:rPr>
          <w:t>22</w:t>
        </w:r>
        <w:r w:rsidR="005F7351">
          <w:rPr>
            <w:webHidden/>
          </w:rPr>
          <w:fldChar w:fldCharType="end"/>
        </w:r>
      </w:hyperlink>
    </w:p>
    <w:p w14:paraId="09075F7F" w14:textId="296BABA1" w:rsidR="005F7351" w:rsidRDefault="007F77AB">
      <w:pPr>
        <w:pStyle w:val="TOC2"/>
        <w:rPr>
          <w:rFonts w:asciiTheme="minorHAnsi" w:eastAsiaTheme="minorEastAsia" w:hAnsiTheme="minorHAnsi"/>
          <w:color w:val="auto"/>
          <w:sz w:val="22"/>
          <w:lang w:eastAsia="en-AU"/>
        </w:rPr>
      </w:pPr>
      <w:hyperlink w:anchor="_Toc3278934" w:history="1">
        <w:r w:rsidR="005F7351" w:rsidRPr="00BF74E1">
          <w:rPr>
            <w:rStyle w:val="Hyperlink"/>
          </w:rPr>
          <w:t>3.3</w:t>
        </w:r>
        <w:r w:rsidR="005F7351">
          <w:rPr>
            <w:rFonts w:asciiTheme="minorHAnsi" w:eastAsiaTheme="minorEastAsia" w:hAnsiTheme="minorHAnsi"/>
            <w:color w:val="auto"/>
            <w:sz w:val="22"/>
            <w:lang w:eastAsia="en-AU"/>
          </w:rPr>
          <w:tab/>
        </w:r>
        <w:r w:rsidR="005F7351" w:rsidRPr="00BF74E1">
          <w:rPr>
            <w:rStyle w:val="Hyperlink"/>
          </w:rPr>
          <w:t>Rationale and objectives of government intervention</w:t>
        </w:r>
        <w:r w:rsidR="005F7351">
          <w:rPr>
            <w:webHidden/>
          </w:rPr>
          <w:tab/>
        </w:r>
        <w:r w:rsidR="005F7351">
          <w:rPr>
            <w:webHidden/>
          </w:rPr>
          <w:fldChar w:fldCharType="begin"/>
        </w:r>
        <w:r w:rsidR="005F7351">
          <w:rPr>
            <w:webHidden/>
          </w:rPr>
          <w:instrText xml:space="preserve"> PAGEREF _Toc3278934 \h </w:instrText>
        </w:r>
        <w:r w:rsidR="005F7351">
          <w:rPr>
            <w:webHidden/>
          </w:rPr>
        </w:r>
        <w:r w:rsidR="005F7351">
          <w:rPr>
            <w:webHidden/>
          </w:rPr>
          <w:fldChar w:fldCharType="separate"/>
        </w:r>
        <w:r w:rsidR="00F2067C">
          <w:rPr>
            <w:webHidden/>
          </w:rPr>
          <w:t>24</w:t>
        </w:r>
        <w:r w:rsidR="005F7351">
          <w:rPr>
            <w:webHidden/>
          </w:rPr>
          <w:fldChar w:fldCharType="end"/>
        </w:r>
      </w:hyperlink>
    </w:p>
    <w:p w14:paraId="7AE75278" w14:textId="09224315" w:rsidR="005F7351" w:rsidRDefault="007F77AB">
      <w:pPr>
        <w:pStyle w:val="TOC2"/>
        <w:rPr>
          <w:rFonts w:asciiTheme="minorHAnsi" w:eastAsiaTheme="minorEastAsia" w:hAnsiTheme="minorHAnsi"/>
          <w:color w:val="auto"/>
          <w:sz w:val="22"/>
          <w:lang w:eastAsia="en-AU"/>
        </w:rPr>
      </w:pPr>
      <w:hyperlink w:anchor="_Toc3278935" w:history="1">
        <w:r w:rsidR="005F7351" w:rsidRPr="00BF74E1">
          <w:rPr>
            <w:rStyle w:val="Hyperlink"/>
          </w:rPr>
          <w:t>3.4</w:t>
        </w:r>
        <w:r w:rsidR="005F7351">
          <w:rPr>
            <w:rFonts w:asciiTheme="minorHAnsi" w:eastAsiaTheme="minorEastAsia" w:hAnsiTheme="minorHAnsi"/>
            <w:color w:val="auto"/>
            <w:sz w:val="22"/>
            <w:lang w:eastAsia="en-AU"/>
          </w:rPr>
          <w:tab/>
        </w:r>
        <w:r w:rsidR="005F7351" w:rsidRPr="00BF74E1">
          <w:rPr>
            <w:rStyle w:val="Hyperlink"/>
          </w:rPr>
          <w:t>Possible approaches and options</w:t>
        </w:r>
        <w:r w:rsidR="005F7351">
          <w:rPr>
            <w:webHidden/>
          </w:rPr>
          <w:tab/>
        </w:r>
        <w:r w:rsidR="005F7351">
          <w:rPr>
            <w:webHidden/>
          </w:rPr>
          <w:fldChar w:fldCharType="begin"/>
        </w:r>
        <w:r w:rsidR="005F7351">
          <w:rPr>
            <w:webHidden/>
          </w:rPr>
          <w:instrText xml:space="preserve"> PAGEREF _Toc3278935 \h </w:instrText>
        </w:r>
        <w:r w:rsidR="005F7351">
          <w:rPr>
            <w:webHidden/>
          </w:rPr>
        </w:r>
        <w:r w:rsidR="005F7351">
          <w:rPr>
            <w:webHidden/>
          </w:rPr>
          <w:fldChar w:fldCharType="separate"/>
        </w:r>
        <w:r w:rsidR="00F2067C">
          <w:rPr>
            <w:webHidden/>
          </w:rPr>
          <w:t>24</w:t>
        </w:r>
        <w:r w:rsidR="005F7351">
          <w:rPr>
            <w:webHidden/>
          </w:rPr>
          <w:fldChar w:fldCharType="end"/>
        </w:r>
      </w:hyperlink>
    </w:p>
    <w:p w14:paraId="1753B36F" w14:textId="410F8ED5" w:rsidR="005F7351" w:rsidRDefault="007F77AB">
      <w:pPr>
        <w:pStyle w:val="TOC2"/>
        <w:rPr>
          <w:rFonts w:asciiTheme="minorHAnsi" w:eastAsiaTheme="minorEastAsia" w:hAnsiTheme="minorHAnsi"/>
          <w:color w:val="auto"/>
          <w:sz w:val="22"/>
          <w:lang w:eastAsia="en-AU"/>
        </w:rPr>
      </w:pPr>
      <w:hyperlink w:anchor="_Toc3278936" w:history="1">
        <w:r w:rsidR="005F7351" w:rsidRPr="00BF74E1">
          <w:rPr>
            <w:rStyle w:val="Hyperlink"/>
          </w:rPr>
          <w:t>3.5</w:t>
        </w:r>
        <w:r w:rsidR="005F7351">
          <w:rPr>
            <w:rFonts w:asciiTheme="minorHAnsi" w:eastAsiaTheme="minorEastAsia" w:hAnsiTheme="minorHAnsi"/>
            <w:color w:val="auto"/>
            <w:sz w:val="22"/>
            <w:lang w:eastAsia="en-AU"/>
          </w:rPr>
          <w:tab/>
        </w:r>
        <w:r w:rsidR="005F7351" w:rsidRPr="00BF74E1">
          <w:rPr>
            <w:rStyle w:val="Hyperlink"/>
          </w:rPr>
          <w:t>Consequences of not varying the National Environment Protection (Ambient Air Quality) Measure</w:t>
        </w:r>
        <w:r w:rsidR="005F7351">
          <w:rPr>
            <w:webHidden/>
          </w:rPr>
          <w:tab/>
        </w:r>
        <w:r w:rsidR="005F7351">
          <w:rPr>
            <w:webHidden/>
          </w:rPr>
          <w:fldChar w:fldCharType="begin"/>
        </w:r>
        <w:r w:rsidR="005F7351">
          <w:rPr>
            <w:webHidden/>
          </w:rPr>
          <w:instrText xml:space="preserve"> PAGEREF _Toc3278936 \h </w:instrText>
        </w:r>
        <w:r w:rsidR="005F7351">
          <w:rPr>
            <w:webHidden/>
          </w:rPr>
        </w:r>
        <w:r w:rsidR="005F7351">
          <w:rPr>
            <w:webHidden/>
          </w:rPr>
          <w:fldChar w:fldCharType="separate"/>
        </w:r>
        <w:r w:rsidR="00F2067C">
          <w:rPr>
            <w:webHidden/>
          </w:rPr>
          <w:t>27</w:t>
        </w:r>
        <w:r w:rsidR="005F7351">
          <w:rPr>
            <w:webHidden/>
          </w:rPr>
          <w:fldChar w:fldCharType="end"/>
        </w:r>
      </w:hyperlink>
    </w:p>
    <w:p w14:paraId="0117589C" w14:textId="1FEE9B30" w:rsidR="005F7351" w:rsidRDefault="007F77AB">
      <w:pPr>
        <w:pStyle w:val="TOC2"/>
        <w:rPr>
          <w:rFonts w:asciiTheme="minorHAnsi" w:eastAsiaTheme="minorEastAsia" w:hAnsiTheme="minorHAnsi"/>
          <w:color w:val="auto"/>
          <w:sz w:val="22"/>
          <w:lang w:eastAsia="en-AU"/>
        </w:rPr>
      </w:pPr>
      <w:hyperlink w:anchor="_Toc3278937" w:history="1">
        <w:r w:rsidR="005F7351" w:rsidRPr="00BF74E1">
          <w:rPr>
            <w:rStyle w:val="Hyperlink"/>
          </w:rPr>
          <w:t>3.6</w:t>
        </w:r>
        <w:r w:rsidR="005F7351">
          <w:rPr>
            <w:rFonts w:asciiTheme="minorHAnsi" w:eastAsiaTheme="minorEastAsia" w:hAnsiTheme="minorHAnsi"/>
            <w:color w:val="auto"/>
            <w:sz w:val="22"/>
            <w:lang w:eastAsia="en-AU"/>
          </w:rPr>
          <w:tab/>
        </w:r>
        <w:r w:rsidR="005F7351" w:rsidRPr="00BF74E1">
          <w:rPr>
            <w:rStyle w:val="Hyperlink"/>
          </w:rPr>
          <w:t>Issues to be addressed in the variation</w:t>
        </w:r>
        <w:r w:rsidR="005F7351">
          <w:rPr>
            <w:webHidden/>
          </w:rPr>
          <w:tab/>
        </w:r>
        <w:r w:rsidR="005F7351">
          <w:rPr>
            <w:webHidden/>
          </w:rPr>
          <w:fldChar w:fldCharType="begin"/>
        </w:r>
        <w:r w:rsidR="005F7351">
          <w:rPr>
            <w:webHidden/>
          </w:rPr>
          <w:instrText xml:space="preserve"> PAGEREF _Toc3278937 \h </w:instrText>
        </w:r>
        <w:r w:rsidR="005F7351">
          <w:rPr>
            <w:webHidden/>
          </w:rPr>
        </w:r>
        <w:r w:rsidR="005F7351">
          <w:rPr>
            <w:webHidden/>
          </w:rPr>
          <w:fldChar w:fldCharType="separate"/>
        </w:r>
        <w:r w:rsidR="00F2067C">
          <w:rPr>
            <w:webHidden/>
          </w:rPr>
          <w:t>27</w:t>
        </w:r>
        <w:r w:rsidR="005F7351">
          <w:rPr>
            <w:webHidden/>
          </w:rPr>
          <w:fldChar w:fldCharType="end"/>
        </w:r>
      </w:hyperlink>
    </w:p>
    <w:p w14:paraId="77AEFD62" w14:textId="48B73F43" w:rsidR="005F7351" w:rsidRDefault="007F77AB">
      <w:pPr>
        <w:pStyle w:val="TOC1"/>
        <w:rPr>
          <w:rFonts w:asciiTheme="minorHAnsi" w:eastAsiaTheme="minorEastAsia" w:hAnsiTheme="minorHAnsi"/>
          <w:color w:val="auto"/>
          <w:sz w:val="22"/>
          <w:lang w:eastAsia="en-AU"/>
        </w:rPr>
      </w:pPr>
      <w:hyperlink w:anchor="_Toc3278938" w:history="1">
        <w:r w:rsidR="005F7351" w:rsidRPr="00BF74E1">
          <w:rPr>
            <w:rStyle w:val="Hyperlink"/>
          </w:rPr>
          <w:t>4</w:t>
        </w:r>
        <w:r w:rsidR="005F7351">
          <w:rPr>
            <w:rFonts w:asciiTheme="minorHAnsi" w:eastAsiaTheme="minorEastAsia" w:hAnsiTheme="minorHAnsi"/>
            <w:color w:val="auto"/>
            <w:sz w:val="22"/>
            <w:lang w:eastAsia="en-AU"/>
          </w:rPr>
          <w:tab/>
        </w:r>
        <w:r w:rsidR="005F7351" w:rsidRPr="00BF74E1">
          <w:rPr>
            <w:rStyle w:val="Hyperlink"/>
          </w:rPr>
          <w:t>Methodology</w:t>
        </w:r>
        <w:r w:rsidR="005F7351">
          <w:rPr>
            <w:webHidden/>
          </w:rPr>
          <w:tab/>
        </w:r>
        <w:r w:rsidR="005F7351">
          <w:rPr>
            <w:webHidden/>
          </w:rPr>
          <w:fldChar w:fldCharType="begin"/>
        </w:r>
        <w:r w:rsidR="005F7351">
          <w:rPr>
            <w:webHidden/>
          </w:rPr>
          <w:instrText xml:space="preserve"> PAGEREF _Toc3278938 \h </w:instrText>
        </w:r>
        <w:r w:rsidR="005F7351">
          <w:rPr>
            <w:webHidden/>
          </w:rPr>
        </w:r>
        <w:r w:rsidR="005F7351">
          <w:rPr>
            <w:webHidden/>
          </w:rPr>
          <w:fldChar w:fldCharType="separate"/>
        </w:r>
        <w:r w:rsidR="00F2067C">
          <w:rPr>
            <w:webHidden/>
          </w:rPr>
          <w:t>29</w:t>
        </w:r>
        <w:r w:rsidR="005F7351">
          <w:rPr>
            <w:webHidden/>
          </w:rPr>
          <w:fldChar w:fldCharType="end"/>
        </w:r>
      </w:hyperlink>
    </w:p>
    <w:p w14:paraId="0F3B98F5" w14:textId="3935D1AE" w:rsidR="005F7351" w:rsidRDefault="007F77AB">
      <w:pPr>
        <w:pStyle w:val="TOC2"/>
        <w:rPr>
          <w:rFonts w:asciiTheme="minorHAnsi" w:eastAsiaTheme="minorEastAsia" w:hAnsiTheme="minorHAnsi"/>
          <w:color w:val="auto"/>
          <w:sz w:val="22"/>
          <w:lang w:eastAsia="en-AU"/>
        </w:rPr>
      </w:pPr>
      <w:hyperlink w:anchor="_Toc3278939" w:history="1">
        <w:r w:rsidR="005F7351" w:rsidRPr="00BF74E1">
          <w:rPr>
            <w:rStyle w:val="Hyperlink"/>
          </w:rPr>
          <w:t>4.1</w:t>
        </w:r>
        <w:r w:rsidR="005F7351">
          <w:rPr>
            <w:rFonts w:asciiTheme="minorHAnsi" w:eastAsiaTheme="minorEastAsia" w:hAnsiTheme="minorHAnsi"/>
            <w:color w:val="auto"/>
            <w:sz w:val="22"/>
            <w:lang w:eastAsia="en-AU"/>
          </w:rPr>
          <w:tab/>
        </w:r>
        <w:r w:rsidR="005F7351" w:rsidRPr="00BF74E1">
          <w:rPr>
            <w:rStyle w:val="Hyperlink"/>
          </w:rPr>
          <w:t>Standard-setting methodology</w:t>
        </w:r>
        <w:r w:rsidR="005F7351">
          <w:rPr>
            <w:webHidden/>
          </w:rPr>
          <w:tab/>
        </w:r>
        <w:r w:rsidR="005F7351">
          <w:rPr>
            <w:webHidden/>
          </w:rPr>
          <w:fldChar w:fldCharType="begin"/>
        </w:r>
        <w:r w:rsidR="005F7351">
          <w:rPr>
            <w:webHidden/>
          </w:rPr>
          <w:instrText xml:space="preserve"> PAGEREF _Toc3278939 \h </w:instrText>
        </w:r>
        <w:r w:rsidR="005F7351">
          <w:rPr>
            <w:webHidden/>
          </w:rPr>
        </w:r>
        <w:r w:rsidR="005F7351">
          <w:rPr>
            <w:webHidden/>
          </w:rPr>
          <w:fldChar w:fldCharType="separate"/>
        </w:r>
        <w:r w:rsidR="00F2067C">
          <w:rPr>
            <w:webHidden/>
          </w:rPr>
          <w:t>29</w:t>
        </w:r>
        <w:r w:rsidR="005F7351">
          <w:rPr>
            <w:webHidden/>
          </w:rPr>
          <w:fldChar w:fldCharType="end"/>
        </w:r>
      </w:hyperlink>
    </w:p>
    <w:p w14:paraId="7C67B3DC" w14:textId="523195F3" w:rsidR="005F7351" w:rsidRDefault="007F77AB">
      <w:pPr>
        <w:pStyle w:val="TOC2"/>
        <w:rPr>
          <w:rFonts w:asciiTheme="minorHAnsi" w:eastAsiaTheme="minorEastAsia" w:hAnsiTheme="minorHAnsi"/>
          <w:color w:val="auto"/>
          <w:sz w:val="22"/>
          <w:lang w:eastAsia="en-AU"/>
        </w:rPr>
      </w:pPr>
      <w:hyperlink w:anchor="_Toc3278940" w:history="1">
        <w:r w:rsidR="005F7351" w:rsidRPr="00BF74E1">
          <w:rPr>
            <w:rStyle w:val="Hyperlink"/>
          </w:rPr>
          <w:t>4.2</w:t>
        </w:r>
        <w:r w:rsidR="005F7351">
          <w:rPr>
            <w:rFonts w:asciiTheme="minorHAnsi" w:eastAsiaTheme="minorEastAsia" w:hAnsiTheme="minorHAnsi"/>
            <w:color w:val="auto"/>
            <w:sz w:val="22"/>
            <w:lang w:eastAsia="en-AU"/>
          </w:rPr>
          <w:tab/>
        </w:r>
        <w:r w:rsidR="005F7351" w:rsidRPr="00BF74E1">
          <w:rPr>
            <w:rStyle w:val="Hyperlink"/>
          </w:rPr>
          <w:t>Step 1: Health effects update</w:t>
        </w:r>
        <w:r w:rsidR="005F7351">
          <w:rPr>
            <w:webHidden/>
          </w:rPr>
          <w:tab/>
        </w:r>
        <w:r w:rsidR="005F7351">
          <w:rPr>
            <w:webHidden/>
          </w:rPr>
          <w:fldChar w:fldCharType="begin"/>
        </w:r>
        <w:r w:rsidR="005F7351">
          <w:rPr>
            <w:webHidden/>
          </w:rPr>
          <w:instrText xml:space="preserve"> PAGEREF _Toc3278940 \h </w:instrText>
        </w:r>
        <w:r w:rsidR="005F7351">
          <w:rPr>
            <w:webHidden/>
          </w:rPr>
        </w:r>
        <w:r w:rsidR="005F7351">
          <w:rPr>
            <w:webHidden/>
          </w:rPr>
          <w:fldChar w:fldCharType="separate"/>
        </w:r>
        <w:r w:rsidR="00F2067C">
          <w:rPr>
            <w:webHidden/>
          </w:rPr>
          <w:t>30</w:t>
        </w:r>
        <w:r w:rsidR="005F7351">
          <w:rPr>
            <w:webHidden/>
          </w:rPr>
          <w:fldChar w:fldCharType="end"/>
        </w:r>
      </w:hyperlink>
    </w:p>
    <w:p w14:paraId="316BFC5A" w14:textId="1C233462" w:rsidR="005F7351" w:rsidRDefault="007F77AB">
      <w:pPr>
        <w:pStyle w:val="TOC2"/>
        <w:rPr>
          <w:rFonts w:asciiTheme="minorHAnsi" w:eastAsiaTheme="minorEastAsia" w:hAnsiTheme="minorHAnsi"/>
          <w:color w:val="auto"/>
          <w:sz w:val="22"/>
          <w:lang w:eastAsia="en-AU"/>
        </w:rPr>
      </w:pPr>
      <w:hyperlink w:anchor="_Toc3278941" w:history="1">
        <w:r w:rsidR="005F7351" w:rsidRPr="00BF74E1">
          <w:rPr>
            <w:rStyle w:val="Hyperlink"/>
          </w:rPr>
          <w:t>4.3</w:t>
        </w:r>
        <w:r w:rsidR="005F7351">
          <w:rPr>
            <w:rFonts w:asciiTheme="minorHAnsi" w:eastAsiaTheme="minorEastAsia" w:hAnsiTheme="minorHAnsi"/>
            <w:color w:val="auto"/>
            <w:sz w:val="22"/>
            <w:lang w:eastAsia="en-AU"/>
          </w:rPr>
          <w:tab/>
        </w:r>
        <w:r w:rsidR="005F7351" w:rsidRPr="00BF74E1">
          <w:rPr>
            <w:rStyle w:val="Hyperlink"/>
          </w:rPr>
          <w:t>Step 2: Review of international air quality standards</w:t>
        </w:r>
        <w:r w:rsidR="005F7351">
          <w:rPr>
            <w:webHidden/>
          </w:rPr>
          <w:tab/>
        </w:r>
        <w:r w:rsidR="005F7351">
          <w:rPr>
            <w:webHidden/>
          </w:rPr>
          <w:fldChar w:fldCharType="begin"/>
        </w:r>
        <w:r w:rsidR="005F7351">
          <w:rPr>
            <w:webHidden/>
          </w:rPr>
          <w:instrText xml:space="preserve"> PAGEREF _Toc3278941 \h </w:instrText>
        </w:r>
        <w:r w:rsidR="005F7351">
          <w:rPr>
            <w:webHidden/>
          </w:rPr>
        </w:r>
        <w:r w:rsidR="005F7351">
          <w:rPr>
            <w:webHidden/>
          </w:rPr>
          <w:fldChar w:fldCharType="separate"/>
        </w:r>
        <w:r w:rsidR="00F2067C">
          <w:rPr>
            <w:webHidden/>
          </w:rPr>
          <w:t>30</w:t>
        </w:r>
        <w:r w:rsidR="005F7351">
          <w:rPr>
            <w:webHidden/>
          </w:rPr>
          <w:fldChar w:fldCharType="end"/>
        </w:r>
      </w:hyperlink>
    </w:p>
    <w:p w14:paraId="16BCE53C" w14:textId="65EA99DE" w:rsidR="005F7351" w:rsidRDefault="007F77AB">
      <w:pPr>
        <w:pStyle w:val="TOC2"/>
        <w:rPr>
          <w:rFonts w:asciiTheme="minorHAnsi" w:eastAsiaTheme="minorEastAsia" w:hAnsiTheme="minorHAnsi"/>
          <w:color w:val="auto"/>
          <w:sz w:val="22"/>
          <w:lang w:eastAsia="en-AU"/>
        </w:rPr>
      </w:pPr>
      <w:hyperlink w:anchor="_Toc3278942" w:history="1">
        <w:r w:rsidR="005F7351" w:rsidRPr="00BF74E1">
          <w:rPr>
            <w:rStyle w:val="Hyperlink"/>
          </w:rPr>
          <w:t>4.4</w:t>
        </w:r>
        <w:r w:rsidR="005F7351">
          <w:rPr>
            <w:rFonts w:asciiTheme="minorHAnsi" w:eastAsiaTheme="minorEastAsia" w:hAnsiTheme="minorHAnsi"/>
            <w:color w:val="auto"/>
            <w:sz w:val="22"/>
            <w:lang w:eastAsia="en-AU"/>
          </w:rPr>
          <w:tab/>
        </w:r>
        <w:r w:rsidR="005F7351" w:rsidRPr="00BF74E1">
          <w:rPr>
            <w:rStyle w:val="Hyperlink"/>
          </w:rPr>
          <w:t>Step 3: Proposed air quality standards</w:t>
        </w:r>
        <w:r w:rsidR="005F7351">
          <w:rPr>
            <w:webHidden/>
          </w:rPr>
          <w:tab/>
        </w:r>
        <w:r w:rsidR="005F7351">
          <w:rPr>
            <w:webHidden/>
          </w:rPr>
          <w:fldChar w:fldCharType="begin"/>
        </w:r>
        <w:r w:rsidR="005F7351">
          <w:rPr>
            <w:webHidden/>
          </w:rPr>
          <w:instrText xml:space="preserve"> PAGEREF _Toc3278942 \h </w:instrText>
        </w:r>
        <w:r w:rsidR="005F7351">
          <w:rPr>
            <w:webHidden/>
          </w:rPr>
        </w:r>
        <w:r w:rsidR="005F7351">
          <w:rPr>
            <w:webHidden/>
          </w:rPr>
          <w:fldChar w:fldCharType="separate"/>
        </w:r>
        <w:r w:rsidR="00F2067C">
          <w:rPr>
            <w:webHidden/>
          </w:rPr>
          <w:t>31</w:t>
        </w:r>
        <w:r w:rsidR="005F7351">
          <w:rPr>
            <w:webHidden/>
          </w:rPr>
          <w:fldChar w:fldCharType="end"/>
        </w:r>
      </w:hyperlink>
    </w:p>
    <w:p w14:paraId="67B2EEC9" w14:textId="3408423C" w:rsidR="005F7351" w:rsidRDefault="007F77AB">
      <w:pPr>
        <w:pStyle w:val="TOC2"/>
        <w:rPr>
          <w:rFonts w:asciiTheme="minorHAnsi" w:eastAsiaTheme="minorEastAsia" w:hAnsiTheme="minorHAnsi"/>
          <w:color w:val="auto"/>
          <w:sz w:val="22"/>
          <w:lang w:eastAsia="en-AU"/>
        </w:rPr>
      </w:pPr>
      <w:hyperlink w:anchor="_Toc3278943" w:history="1">
        <w:r w:rsidR="005F7351" w:rsidRPr="00BF74E1">
          <w:rPr>
            <w:rStyle w:val="Hyperlink"/>
          </w:rPr>
          <w:t>4.5</w:t>
        </w:r>
        <w:r w:rsidR="005F7351">
          <w:rPr>
            <w:rFonts w:asciiTheme="minorHAnsi" w:eastAsiaTheme="minorEastAsia" w:hAnsiTheme="minorHAnsi"/>
            <w:color w:val="auto"/>
            <w:sz w:val="22"/>
            <w:lang w:eastAsia="en-AU"/>
          </w:rPr>
          <w:tab/>
        </w:r>
        <w:r w:rsidR="005F7351" w:rsidRPr="00BF74E1">
          <w:rPr>
            <w:rStyle w:val="Hyperlink"/>
          </w:rPr>
          <w:t>Step 4: Analysis of historical air quality</w:t>
        </w:r>
        <w:r w:rsidR="005F7351">
          <w:rPr>
            <w:webHidden/>
          </w:rPr>
          <w:tab/>
        </w:r>
        <w:r w:rsidR="005F7351">
          <w:rPr>
            <w:webHidden/>
          </w:rPr>
          <w:fldChar w:fldCharType="begin"/>
        </w:r>
        <w:r w:rsidR="005F7351">
          <w:rPr>
            <w:webHidden/>
          </w:rPr>
          <w:instrText xml:space="preserve"> PAGEREF _Toc3278943 \h </w:instrText>
        </w:r>
        <w:r w:rsidR="005F7351">
          <w:rPr>
            <w:webHidden/>
          </w:rPr>
        </w:r>
        <w:r w:rsidR="005F7351">
          <w:rPr>
            <w:webHidden/>
          </w:rPr>
          <w:fldChar w:fldCharType="separate"/>
        </w:r>
        <w:r w:rsidR="00F2067C">
          <w:rPr>
            <w:webHidden/>
          </w:rPr>
          <w:t>31</w:t>
        </w:r>
        <w:r w:rsidR="005F7351">
          <w:rPr>
            <w:webHidden/>
          </w:rPr>
          <w:fldChar w:fldCharType="end"/>
        </w:r>
      </w:hyperlink>
    </w:p>
    <w:p w14:paraId="567F7381" w14:textId="6225A106" w:rsidR="005F7351" w:rsidRDefault="007F77AB">
      <w:pPr>
        <w:pStyle w:val="TOC2"/>
        <w:rPr>
          <w:rFonts w:asciiTheme="minorHAnsi" w:eastAsiaTheme="minorEastAsia" w:hAnsiTheme="minorHAnsi"/>
          <w:color w:val="auto"/>
          <w:sz w:val="22"/>
          <w:lang w:eastAsia="en-AU"/>
        </w:rPr>
      </w:pPr>
      <w:hyperlink w:anchor="_Toc3278944" w:history="1">
        <w:r w:rsidR="005F7351" w:rsidRPr="00BF74E1">
          <w:rPr>
            <w:rStyle w:val="Hyperlink"/>
          </w:rPr>
          <w:t>4.6</w:t>
        </w:r>
        <w:r w:rsidR="005F7351">
          <w:rPr>
            <w:rFonts w:asciiTheme="minorHAnsi" w:eastAsiaTheme="minorEastAsia" w:hAnsiTheme="minorHAnsi"/>
            <w:color w:val="auto"/>
            <w:sz w:val="22"/>
            <w:lang w:eastAsia="en-AU"/>
          </w:rPr>
          <w:tab/>
        </w:r>
        <w:r w:rsidR="005F7351" w:rsidRPr="00BF74E1">
          <w:rPr>
            <w:rStyle w:val="Hyperlink"/>
          </w:rPr>
          <w:t>Step 5: Projections of future air quality</w:t>
        </w:r>
        <w:r w:rsidR="005F7351">
          <w:rPr>
            <w:webHidden/>
          </w:rPr>
          <w:tab/>
        </w:r>
        <w:r w:rsidR="005F7351">
          <w:rPr>
            <w:webHidden/>
          </w:rPr>
          <w:fldChar w:fldCharType="begin"/>
        </w:r>
        <w:r w:rsidR="005F7351">
          <w:rPr>
            <w:webHidden/>
          </w:rPr>
          <w:instrText xml:space="preserve"> PAGEREF _Toc3278944 \h </w:instrText>
        </w:r>
        <w:r w:rsidR="005F7351">
          <w:rPr>
            <w:webHidden/>
          </w:rPr>
        </w:r>
        <w:r w:rsidR="005F7351">
          <w:rPr>
            <w:webHidden/>
          </w:rPr>
          <w:fldChar w:fldCharType="separate"/>
        </w:r>
        <w:r w:rsidR="00F2067C">
          <w:rPr>
            <w:webHidden/>
          </w:rPr>
          <w:t>31</w:t>
        </w:r>
        <w:r w:rsidR="005F7351">
          <w:rPr>
            <w:webHidden/>
          </w:rPr>
          <w:fldChar w:fldCharType="end"/>
        </w:r>
      </w:hyperlink>
    </w:p>
    <w:p w14:paraId="727EF793" w14:textId="6FC0FCD0" w:rsidR="005F7351" w:rsidRDefault="007F77AB">
      <w:pPr>
        <w:pStyle w:val="TOC2"/>
        <w:rPr>
          <w:rFonts w:asciiTheme="minorHAnsi" w:eastAsiaTheme="minorEastAsia" w:hAnsiTheme="minorHAnsi"/>
          <w:color w:val="auto"/>
          <w:sz w:val="22"/>
          <w:lang w:eastAsia="en-AU"/>
        </w:rPr>
      </w:pPr>
      <w:hyperlink w:anchor="_Toc3278945" w:history="1">
        <w:r w:rsidR="005F7351" w:rsidRPr="00BF74E1">
          <w:rPr>
            <w:rStyle w:val="Hyperlink"/>
          </w:rPr>
          <w:t>4.7</w:t>
        </w:r>
        <w:r w:rsidR="005F7351">
          <w:rPr>
            <w:rFonts w:asciiTheme="minorHAnsi" w:eastAsiaTheme="minorEastAsia" w:hAnsiTheme="minorHAnsi"/>
            <w:color w:val="auto"/>
            <w:sz w:val="22"/>
            <w:lang w:eastAsia="en-AU"/>
          </w:rPr>
          <w:tab/>
        </w:r>
        <w:r w:rsidR="005F7351" w:rsidRPr="00BF74E1">
          <w:rPr>
            <w:rStyle w:val="Hyperlink"/>
          </w:rPr>
          <w:t>Step 6: Health risk assessment</w:t>
        </w:r>
        <w:r w:rsidR="005F7351">
          <w:rPr>
            <w:webHidden/>
          </w:rPr>
          <w:tab/>
        </w:r>
        <w:r w:rsidR="005F7351">
          <w:rPr>
            <w:webHidden/>
          </w:rPr>
          <w:fldChar w:fldCharType="begin"/>
        </w:r>
        <w:r w:rsidR="005F7351">
          <w:rPr>
            <w:webHidden/>
          </w:rPr>
          <w:instrText xml:space="preserve"> PAGEREF _Toc3278945 \h </w:instrText>
        </w:r>
        <w:r w:rsidR="005F7351">
          <w:rPr>
            <w:webHidden/>
          </w:rPr>
        </w:r>
        <w:r w:rsidR="005F7351">
          <w:rPr>
            <w:webHidden/>
          </w:rPr>
          <w:fldChar w:fldCharType="separate"/>
        </w:r>
        <w:r w:rsidR="00F2067C">
          <w:rPr>
            <w:webHidden/>
          </w:rPr>
          <w:t>35</w:t>
        </w:r>
        <w:r w:rsidR="005F7351">
          <w:rPr>
            <w:webHidden/>
          </w:rPr>
          <w:fldChar w:fldCharType="end"/>
        </w:r>
      </w:hyperlink>
    </w:p>
    <w:p w14:paraId="0BECA8D5" w14:textId="44B6B11F" w:rsidR="005F7351" w:rsidRDefault="007F77AB">
      <w:pPr>
        <w:pStyle w:val="TOC2"/>
        <w:rPr>
          <w:rFonts w:asciiTheme="minorHAnsi" w:eastAsiaTheme="minorEastAsia" w:hAnsiTheme="minorHAnsi"/>
          <w:color w:val="auto"/>
          <w:sz w:val="22"/>
          <w:lang w:eastAsia="en-AU"/>
        </w:rPr>
      </w:pPr>
      <w:hyperlink w:anchor="_Toc3278946" w:history="1">
        <w:r w:rsidR="005F7351" w:rsidRPr="00BF74E1">
          <w:rPr>
            <w:rStyle w:val="Hyperlink"/>
          </w:rPr>
          <w:t>4.8</w:t>
        </w:r>
        <w:r w:rsidR="005F7351">
          <w:rPr>
            <w:rFonts w:asciiTheme="minorHAnsi" w:eastAsiaTheme="minorEastAsia" w:hAnsiTheme="minorHAnsi"/>
            <w:color w:val="auto"/>
            <w:sz w:val="22"/>
            <w:lang w:eastAsia="en-AU"/>
          </w:rPr>
          <w:tab/>
        </w:r>
        <w:r w:rsidR="005F7351" w:rsidRPr="00BF74E1">
          <w:rPr>
            <w:rStyle w:val="Hyperlink"/>
          </w:rPr>
          <w:t>Cost–benefit analysis</w:t>
        </w:r>
        <w:r w:rsidR="005F7351">
          <w:rPr>
            <w:webHidden/>
          </w:rPr>
          <w:tab/>
        </w:r>
        <w:r w:rsidR="005F7351">
          <w:rPr>
            <w:webHidden/>
          </w:rPr>
          <w:fldChar w:fldCharType="begin"/>
        </w:r>
        <w:r w:rsidR="005F7351">
          <w:rPr>
            <w:webHidden/>
          </w:rPr>
          <w:instrText xml:space="preserve"> PAGEREF _Toc3278946 \h </w:instrText>
        </w:r>
        <w:r w:rsidR="005F7351">
          <w:rPr>
            <w:webHidden/>
          </w:rPr>
        </w:r>
        <w:r w:rsidR="005F7351">
          <w:rPr>
            <w:webHidden/>
          </w:rPr>
          <w:fldChar w:fldCharType="separate"/>
        </w:r>
        <w:r w:rsidR="00F2067C">
          <w:rPr>
            <w:webHidden/>
          </w:rPr>
          <w:t>38</w:t>
        </w:r>
        <w:r w:rsidR="005F7351">
          <w:rPr>
            <w:webHidden/>
          </w:rPr>
          <w:fldChar w:fldCharType="end"/>
        </w:r>
      </w:hyperlink>
    </w:p>
    <w:p w14:paraId="1115B28C" w14:textId="6F12D435" w:rsidR="005F7351" w:rsidRDefault="007F77AB">
      <w:pPr>
        <w:pStyle w:val="TOC1"/>
        <w:rPr>
          <w:rFonts w:asciiTheme="minorHAnsi" w:eastAsiaTheme="minorEastAsia" w:hAnsiTheme="minorHAnsi"/>
          <w:color w:val="auto"/>
          <w:sz w:val="22"/>
          <w:lang w:eastAsia="en-AU"/>
        </w:rPr>
      </w:pPr>
      <w:hyperlink w:anchor="_Toc3278947" w:history="1">
        <w:r w:rsidR="005F7351" w:rsidRPr="00BF74E1">
          <w:rPr>
            <w:rStyle w:val="Hyperlink"/>
          </w:rPr>
          <w:t>5</w:t>
        </w:r>
        <w:r w:rsidR="005F7351">
          <w:rPr>
            <w:rFonts w:asciiTheme="minorHAnsi" w:eastAsiaTheme="minorEastAsia" w:hAnsiTheme="minorHAnsi"/>
            <w:color w:val="auto"/>
            <w:sz w:val="22"/>
            <w:lang w:eastAsia="en-AU"/>
          </w:rPr>
          <w:tab/>
        </w:r>
        <w:r w:rsidR="005F7351" w:rsidRPr="00BF74E1">
          <w:rPr>
            <w:rStyle w:val="Hyperlink"/>
          </w:rPr>
          <w:t>Assessment of desired environmental outcome and goal</w:t>
        </w:r>
        <w:r w:rsidR="005F7351">
          <w:rPr>
            <w:webHidden/>
          </w:rPr>
          <w:tab/>
        </w:r>
        <w:r w:rsidR="005F7351">
          <w:rPr>
            <w:webHidden/>
          </w:rPr>
          <w:fldChar w:fldCharType="begin"/>
        </w:r>
        <w:r w:rsidR="005F7351">
          <w:rPr>
            <w:webHidden/>
          </w:rPr>
          <w:instrText xml:space="preserve"> PAGEREF _Toc3278947 \h </w:instrText>
        </w:r>
        <w:r w:rsidR="005F7351">
          <w:rPr>
            <w:webHidden/>
          </w:rPr>
        </w:r>
        <w:r w:rsidR="005F7351">
          <w:rPr>
            <w:webHidden/>
          </w:rPr>
          <w:fldChar w:fldCharType="separate"/>
        </w:r>
        <w:r w:rsidR="00F2067C">
          <w:rPr>
            <w:webHidden/>
          </w:rPr>
          <w:t>42</w:t>
        </w:r>
        <w:r w:rsidR="005F7351">
          <w:rPr>
            <w:webHidden/>
          </w:rPr>
          <w:fldChar w:fldCharType="end"/>
        </w:r>
      </w:hyperlink>
    </w:p>
    <w:p w14:paraId="086F5D0F" w14:textId="51DB6892" w:rsidR="005F7351" w:rsidRDefault="007F77AB">
      <w:pPr>
        <w:pStyle w:val="TOC2"/>
        <w:rPr>
          <w:rFonts w:asciiTheme="minorHAnsi" w:eastAsiaTheme="minorEastAsia" w:hAnsiTheme="minorHAnsi"/>
          <w:color w:val="auto"/>
          <w:sz w:val="22"/>
          <w:lang w:eastAsia="en-AU"/>
        </w:rPr>
      </w:pPr>
      <w:hyperlink w:anchor="_Toc3278948" w:history="1">
        <w:r w:rsidR="005F7351" w:rsidRPr="00BF74E1">
          <w:rPr>
            <w:rStyle w:val="Hyperlink"/>
          </w:rPr>
          <w:t>5.1</w:t>
        </w:r>
        <w:r w:rsidR="005F7351">
          <w:rPr>
            <w:rFonts w:asciiTheme="minorHAnsi" w:eastAsiaTheme="minorEastAsia" w:hAnsiTheme="minorHAnsi"/>
            <w:color w:val="auto"/>
            <w:sz w:val="22"/>
            <w:lang w:eastAsia="en-AU"/>
          </w:rPr>
          <w:tab/>
        </w:r>
        <w:r w:rsidR="005F7351" w:rsidRPr="00BF74E1">
          <w:rPr>
            <w:rStyle w:val="Hyperlink"/>
          </w:rPr>
          <w:t>Background</w:t>
        </w:r>
        <w:r w:rsidR="005F7351">
          <w:rPr>
            <w:webHidden/>
          </w:rPr>
          <w:tab/>
        </w:r>
        <w:r w:rsidR="005F7351">
          <w:rPr>
            <w:webHidden/>
          </w:rPr>
          <w:fldChar w:fldCharType="begin"/>
        </w:r>
        <w:r w:rsidR="005F7351">
          <w:rPr>
            <w:webHidden/>
          </w:rPr>
          <w:instrText xml:space="preserve"> PAGEREF _Toc3278948 \h </w:instrText>
        </w:r>
        <w:r w:rsidR="005F7351">
          <w:rPr>
            <w:webHidden/>
          </w:rPr>
        </w:r>
        <w:r w:rsidR="005F7351">
          <w:rPr>
            <w:webHidden/>
          </w:rPr>
          <w:fldChar w:fldCharType="separate"/>
        </w:r>
        <w:r w:rsidR="00F2067C">
          <w:rPr>
            <w:webHidden/>
          </w:rPr>
          <w:t>42</w:t>
        </w:r>
        <w:r w:rsidR="005F7351">
          <w:rPr>
            <w:webHidden/>
          </w:rPr>
          <w:fldChar w:fldCharType="end"/>
        </w:r>
      </w:hyperlink>
    </w:p>
    <w:p w14:paraId="3351C4C5" w14:textId="75B177B6" w:rsidR="005F7351" w:rsidRDefault="007F77AB">
      <w:pPr>
        <w:pStyle w:val="TOC2"/>
        <w:rPr>
          <w:rFonts w:asciiTheme="minorHAnsi" w:eastAsiaTheme="minorEastAsia" w:hAnsiTheme="minorHAnsi"/>
          <w:color w:val="auto"/>
          <w:sz w:val="22"/>
          <w:lang w:eastAsia="en-AU"/>
        </w:rPr>
      </w:pPr>
      <w:hyperlink w:anchor="_Toc3278949" w:history="1">
        <w:r w:rsidR="005F7351" w:rsidRPr="00BF74E1">
          <w:rPr>
            <w:rStyle w:val="Hyperlink"/>
          </w:rPr>
          <w:t>5.2</w:t>
        </w:r>
        <w:r w:rsidR="005F7351">
          <w:rPr>
            <w:rFonts w:asciiTheme="minorHAnsi" w:eastAsiaTheme="minorEastAsia" w:hAnsiTheme="minorHAnsi"/>
            <w:color w:val="auto"/>
            <w:sz w:val="22"/>
            <w:lang w:eastAsia="en-AU"/>
          </w:rPr>
          <w:tab/>
        </w:r>
        <w:r w:rsidR="005F7351" w:rsidRPr="00BF74E1">
          <w:rPr>
            <w:rStyle w:val="Hyperlink"/>
          </w:rPr>
          <w:t>Discussion</w:t>
        </w:r>
        <w:r w:rsidR="005F7351">
          <w:rPr>
            <w:webHidden/>
          </w:rPr>
          <w:tab/>
        </w:r>
        <w:r w:rsidR="005F7351">
          <w:rPr>
            <w:webHidden/>
          </w:rPr>
          <w:fldChar w:fldCharType="begin"/>
        </w:r>
        <w:r w:rsidR="005F7351">
          <w:rPr>
            <w:webHidden/>
          </w:rPr>
          <w:instrText xml:space="preserve"> PAGEREF _Toc3278949 \h </w:instrText>
        </w:r>
        <w:r w:rsidR="005F7351">
          <w:rPr>
            <w:webHidden/>
          </w:rPr>
        </w:r>
        <w:r w:rsidR="005F7351">
          <w:rPr>
            <w:webHidden/>
          </w:rPr>
          <w:fldChar w:fldCharType="separate"/>
        </w:r>
        <w:r w:rsidR="00F2067C">
          <w:rPr>
            <w:webHidden/>
          </w:rPr>
          <w:t>42</w:t>
        </w:r>
        <w:r w:rsidR="005F7351">
          <w:rPr>
            <w:webHidden/>
          </w:rPr>
          <w:fldChar w:fldCharType="end"/>
        </w:r>
      </w:hyperlink>
    </w:p>
    <w:p w14:paraId="62F67582" w14:textId="28786229" w:rsidR="005F7351" w:rsidRDefault="007F77AB">
      <w:pPr>
        <w:pStyle w:val="TOC2"/>
        <w:rPr>
          <w:rFonts w:asciiTheme="minorHAnsi" w:eastAsiaTheme="minorEastAsia" w:hAnsiTheme="minorHAnsi"/>
          <w:color w:val="auto"/>
          <w:sz w:val="22"/>
          <w:lang w:eastAsia="en-AU"/>
        </w:rPr>
      </w:pPr>
      <w:hyperlink w:anchor="_Toc3278950" w:history="1">
        <w:r w:rsidR="005F7351" w:rsidRPr="00BF74E1">
          <w:rPr>
            <w:rStyle w:val="Hyperlink"/>
          </w:rPr>
          <w:t>5.3</w:t>
        </w:r>
        <w:r w:rsidR="005F7351">
          <w:rPr>
            <w:rFonts w:asciiTheme="minorHAnsi" w:eastAsiaTheme="minorEastAsia" w:hAnsiTheme="minorHAnsi"/>
            <w:color w:val="auto"/>
            <w:sz w:val="22"/>
            <w:lang w:eastAsia="en-AU"/>
          </w:rPr>
          <w:tab/>
        </w:r>
        <w:r w:rsidR="005F7351" w:rsidRPr="00BF74E1">
          <w:rPr>
            <w:rStyle w:val="Hyperlink"/>
          </w:rPr>
          <w:t>Recommendations</w:t>
        </w:r>
        <w:r w:rsidR="005F7351">
          <w:rPr>
            <w:webHidden/>
          </w:rPr>
          <w:tab/>
        </w:r>
        <w:r w:rsidR="005F7351">
          <w:rPr>
            <w:webHidden/>
          </w:rPr>
          <w:fldChar w:fldCharType="begin"/>
        </w:r>
        <w:r w:rsidR="005F7351">
          <w:rPr>
            <w:webHidden/>
          </w:rPr>
          <w:instrText xml:space="preserve"> PAGEREF _Toc3278950 \h </w:instrText>
        </w:r>
        <w:r w:rsidR="005F7351">
          <w:rPr>
            <w:webHidden/>
          </w:rPr>
        </w:r>
        <w:r w:rsidR="005F7351">
          <w:rPr>
            <w:webHidden/>
          </w:rPr>
          <w:fldChar w:fldCharType="separate"/>
        </w:r>
        <w:r w:rsidR="00F2067C">
          <w:rPr>
            <w:webHidden/>
          </w:rPr>
          <w:t>43</w:t>
        </w:r>
        <w:r w:rsidR="005F7351">
          <w:rPr>
            <w:webHidden/>
          </w:rPr>
          <w:fldChar w:fldCharType="end"/>
        </w:r>
      </w:hyperlink>
    </w:p>
    <w:p w14:paraId="2406E20E" w14:textId="07E452FF" w:rsidR="005F7351" w:rsidRDefault="007F77AB">
      <w:pPr>
        <w:pStyle w:val="TOC1"/>
        <w:rPr>
          <w:rFonts w:asciiTheme="minorHAnsi" w:eastAsiaTheme="minorEastAsia" w:hAnsiTheme="minorHAnsi"/>
          <w:color w:val="auto"/>
          <w:sz w:val="22"/>
          <w:lang w:eastAsia="en-AU"/>
        </w:rPr>
      </w:pPr>
      <w:hyperlink w:anchor="_Toc3278951" w:history="1">
        <w:r w:rsidR="005F7351" w:rsidRPr="00BF74E1">
          <w:rPr>
            <w:rStyle w:val="Hyperlink"/>
          </w:rPr>
          <w:t>6</w:t>
        </w:r>
        <w:r w:rsidR="005F7351">
          <w:rPr>
            <w:rFonts w:asciiTheme="minorHAnsi" w:eastAsiaTheme="minorEastAsia" w:hAnsiTheme="minorHAnsi"/>
            <w:color w:val="auto"/>
            <w:sz w:val="22"/>
            <w:lang w:eastAsia="en-AU"/>
          </w:rPr>
          <w:tab/>
        </w:r>
        <w:r w:rsidR="005F7351" w:rsidRPr="00BF74E1">
          <w:rPr>
            <w:rStyle w:val="Hyperlink"/>
          </w:rPr>
          <w:t>Impact assessment for sulfur dioxide</w:t>
        </w:r>
        <w:r w:rsidR="005F7351">
          <w:rPr>
            <w:webHidden/>
          </w:rPr>
          <w:tab/>
        </w:r>
        <w:r w:rsidR="005F7351">
          <w:rPr>
            <w:webHidden/>
          </w:rPr>
          <w:fldChar w:fldCharType="begin"/>
        </w:r>
        <w:r w:rsidR="005F7351">
          <w:rPr>
            <w:webHidden/>
          </w:rPr>
          <w:instrText xml:space="preserve"> PAGEREF _Toc3278951 \h </w:instrText>
        </w:r>
        <w:r w:rsidR="005F7351">
          <w:rPr>
            <w:webHidden/>
          </w:rPr>
        </w:r>
        <w:r w:rsidR="005F7351">
          <w:rPr>
            <w:webHidden/>
          </w:rPr>
          <w:fldChar w:fldCharType="separate"/>
        </w:r>
        <w:r w:rsidR="00F2067C">
          <w:rPr>
            <w:webHidden/>
          </w:rPr>
          <w:t>44</w:t>
        </w:r>
        <w:r w:rsidR="005F7351">
          <w:rPr>
            <w:webHidden/>
          </w:rPr>
          <w:fldChar w:fldCharType="end"/>
        </w:r>
      </w:hyperlink>
    </w:p>
    <w:p w14:paraId="371B0728" w14:textId="7F144BEF" w:rsidR="005F7351" w:rsidRDefault="007F77AB">
      <w:pPr>
        <w:pStyle w:val="TOC2"/>
        <w:rPr>
          <w:rFonts w:asciiTheme="minorHAnsi" w:eastAsiaTheme="minorEastAsia" w:hAnsiTheme="minorHAnsi"/>
          <w:color w:val="auto"/>
          <w:sz w:val="22"/>
          <w:lang w:eastAsia="en-AU"/>
        </w:rPr>
      </w:pPr>
      <w:hyperlink w:anchor="_Toc3278952" w:history="1">
        <w:r w:rsidR="005F7351" w:rsidRPr="00BF74E1">
          <w:rPr>
            <w:rStyle w:val="Hyperlink"/>
          </w:rPr>
          <w:t>6.1</w:t>
        </w:r>
        <w:r w:rsidR="005F7351">
          <w:rPr>
            <w:rFonts w:asciiTheme="minorHAnsi" w:eastAsiaTheme="minorEastAsia" w:hAnsiTheme="minorHAnsi"/>
            <w:color w:val="auto"/>
            <w:sz w:val="22"/>
            <w:lang w:eastAsia="en-AU"/>
          </w:rPr>
          <w:tab/>
        </w:r>
        <w:r w:rsidR="005F7351" w:rsidRPr="00BF74E1">
          <w:rPr>
            <w:rStyle w:val="Hyperlink"/>
          </w:rPr>
          <w:t>Characteristics and sources</w:t>
        </w:r>
        <w:r w:rsidR="005F7351">
          <w:rPr>
            <w:webHidden/>
          </w:rPr>
          <w:tab/>
        </w:r>
        <w:r w:rsidR="005F7351">
          <w:rPr>
            <w:webHidden/>
          </w:rPr>
          <w:fldChar w:fldCharType="begin"/>
        </w:r>
        <w:r w:rsidR="005F7351">
          <w:rPr>
            <w:webHidden/>
          </w:rPr>
          <w:instrText xml:space="preserve"> PAGEREF _Toc3278952 \h </w:instrText>
        </w:r>
        <w:r w:rsidR="005F7351">
          <w:rPr>
            <w:webHidden/>
          </w:rPr>
        </w:r>
        <w:r w:rsidR="005F7351">
          <w:rPr>
            <w:webHidden/>
          </w:rPr>
          <w:fldChar w:fldCharType="separate"/>
        </w:r>
        <w:r w:rsidR="00F2067C">
          <w:rPr>
            <w:webHidden/>
          </w:rPr>
          <w:t>44</w:t>
        </w:r>
        <w:r w:rsidR="005F7351">
          <w:rPr>
            <w:webHidden/>
          </w:rPr>
          <w:fldChar w:fldCharType="end"/>
        </w:r>
      </w:hyperlink>
    </w:p>
    <w:p w14:paraId="22EE5BBB" w14:textId="6F5D6E0C" w:rsidR="005F7351" w:rsidRDefault="007F77AB">
      <w:pPr>
        <w:pStyle w:val="TOC2"/>
        <w:rPr>
          <w:rFonts w:asciiTheme="minorHAnsi" w:eastAsiaTheme="minorEastAsia" w:hAnsiTheme="minorHAnsi"/>
          <w:color w:val="auto"/>
          <w:sz w:val="22"/>
          <w:lang w:eastAsia="en-AU"/>
        </w:rPr>
      </w:pPr>
      <w:hyperlink w:anchor="_Toc3278953" w:history="1">
        <w:r w:rsidR="005F7351" w:rsidRPr="00BF74E1">
          <w:rPr>
            <w:rStyle w:val="Hyperlink"/>
          </w:rPr>
          <w:t>6.2</w:t>
        </w:r>
        <w:r w:rsidR="005F7351">
          <w:rPr>
            <w:rFonts w:asciiTheme="minorHAnsi" w:eastAsiaTheme="minorEastAsia" w:hAnsiTheme="minorHAnsi"/>
            <w:color w:val="auto"/>
            <w:sz w:val="22"/>
            <w:lang w:eastAsia="en-AU"/>
          </w:rPr>
          <w:tab/>
        </w:r>
        <w:r w:rsidR="005F7351" w:rsidRPr="00BF74E1">
          <w:rPr>
            <w:rStyle w:val="Hyperlink"/>
          </w:rPr>
          <w:t>Health evidence</w:t>
        </w:r>
        <w:r w:rsidR="005F7351">
          <w:rPr>
            <w:webHidden/>
          </w:rPr>
          <w:tab/>
        </w:r>
        <w:r w:rsidR="005F7351">
          <w:rPr>
            <w:webHidden/>
          </w:rPr>
          <w:fldChar w:fldCharType="begin"/>
        </w:r>
        <w:r w:rsidR="005F7351">
          <w:rPr>
            <w:webHidden/>
          </w:rPr>
          <w:instrText xml:space="preserve"> PAGEREF _Toc3278953 \h </w:instrText>
        </w:r>
        <w:r w:rsidR="005F7351">
          <w:rPr>
            <w:webHidden/>
          </w:rPr>
        </w:r>
        <w:r w:rsidR="005F7351">
          <w:rPr>
            <w:webHidden/>
          </w:rPr>
          <w:fldChar w:fldCharType="separate"/>
        </w:r>
        <w:r w:rsidR="00F2067C">
          <w:rPr>
            <w:webHidden/>
          </w:rPr>
          <w:t>44</w:t>
        </w:r>
        <w:r w:rsidR="005F7351">
          <w:rPr>
            <w:webHidden/>
          </w:rPr>
          <w:fldChar w:fldCharType="end"/>
        </w:r>
      </w:hyperlink>
    </w:p>
    <w:p w14:paraId="2D41D260" w14:textId="1C7615FE" w:rsidR="005F7351" w:rsidRDefault="007F77AB">
      <w:pPr>
        <w:pStyle w:val="TOC2"/>
        <w:rPr>
          <w:rFonts w:asciiTheme="minorHAnsi" w:eastAsiaTheme="minorEastAsia" w:hAnsiTheme="minorHAnsi"/>
          <w:color w:val="auto"/>
          <w:sz w:val="22"/>
          <w:lang w:eastAsia="en-AU"/>
        </w:rPr>
      </w:pPr>
      <w:hyperlink w:anchor="_Toc3278954" w:history="1">
        <w:r w:rsidR="005F7351" w:rsidRPr="00BF74E1">
          <w:rPr>
            <w:rStyle w:val="Hyperlink"/>
          </w:rPr>
          <w:t>6.3</w:t>
        </w:r>
        <w:r w:rsidR="005F7351">
          <w:rPr>
            <w:rFonts w:asciiTheme="minorHAnsi" w:eastAsiaTheme="minorEastAsia" w:hAnsiTheme="minorHAnsi"/>
            <w:color w:val="auto"/>
            <w:sz w:val="22"/>
            <w:lang w:eastAsia="en-AU"/>
          </w:rPr>
          <w:tab/>
        </w:r>
        <w:r w:rsidR="005F7351" w:rsidRPr="00BF74E1">
          <w:rPr>
            <w:rStyle w:val="Hyperlink"/>
          </w:rPr>
          <w:t>World Health Organization guidelines</w:t>
        </w:r>
        <w:r w:rsidR="005F7351">
          <w:rPr>
            <w:webHidden/>
          </w:rPr>
          <w:tab/>
        </w:r>
        <w:r w:rsidR="005F7351">
          <w:rPr>
            <w:webHidden/>
          </w:rPr>
          <w:fldChar w:fldCharType="begin"/>
        </w:r>
        <w:r w:rsidR="005F7351">
          <w:rPr>
            <w:webHidden/>
          </w:rPr>
          <w:instrText xml:space="preserve"> PAGEREF _Toc3278954 \h </w:instrText>
        </w:r>
        <w:r w:rsidR="005F7351">
          <w:rPr>
            <w:webHidden/>
          </w:rPr>
        </w:r>
        <w:r w:rsidR="005F7351">
          <w:rPr>
            <w:webHidden/>
          </w:rPr>
          <w:fldChar w:fldCharType="separate"/>
        </w:r>
        <w:r w:rsidR="00F2067C">
          <w:rPr>
            <w:webHidden/>
          </w:rPr>
          <w:t>45</w:t>
        </w:r>
        <w:r w:rsidR="005F7351">
          <w:rPr>
            <w:webHidden/>
          </w:rPr>
          <w:fldChar w:fldCharType="end"/>
        </w:r>
      </w:hyperlink>
    </w:p>
    <w:p w14:paraId="5130849E" w14:textId="39AF49CC" w:rsidR="005F7351" w:rsidRDefault="007F77AB">
      <w:pPr>
        <w:pStyle w:val="TOC2"/>
        <w:rPr>
          <w:rFonts w:asciiTheme="minorHAnsi" w:eastAsiaTheme="minorEastAsia" w:hAnsiTheme="minorHAnsi"/>
          <w:color w:val="auto"/>
          <w:sz w:val="22"/>
          <w:lang w:eastAsia="en-AU"/>
        </w:rPr>
      </w:pPr>
      <w:hyperlink w:anchor="_Toc3278955" w:history="1">
        <w:r w:rsidR="005F7351" w:rsidRPr="00BF74E1">
          <w:rPr>
            <w:rStyle w:val="Hyperlink"/>
          </w:rPr>
          <w:t>6.4</w:t>
        </w:r>
        <w:r w:rsidR="005F7351">
          <w:rPr>
            <w:rFonts w:asciiTheme="minorHAnsi" w:eastAsiaTheme="minorEastAsia" w:hAnsiTheme="minorHAnsi"/>
            <w:color w:val="auto"/>
            <w:sz w:val="22"/>
            <w:lang w:eastAsia="en-AU"/>
          </w:rPr>
          <w:tab/>
        </w:r>
        <w:r w:rsidR="005F7351" w:rsidRPr="00BF74E1">
          <w:rPr>
            <w:rStyle w:val="Hyperlink"/>
          </w:rPr>
          <w:t>Air quality standards in other leading countries</w:t>
        </w:r>
        <w:r w:rsidR="005F7351">
          <w:rPr>
            <w:webHidden/>
          </w:rPr>
          <w:tab/>
        </w:r>
        <w:r w:rsidR="005F7351">
          <w:rPr>
            <w:webHidden/>
          </w:rPr>
          <w:fldChar w:fldCharType="begin"/>
        </w:r>
        <w:r w:rsidR="005F7351">
          <w:rPr>
            <w:webHidden/>
          </w:rPr>
          <w:instrText xml:space="preserve"> PAGEREF _Toc3278955 \h </w:instrText>
        </w:r>
        <w:r w:rsidR="005F7351">
          <w:rPr>
            <w:webHidden/>
          </w:rPr>
        </w:r>
        <w:r w:rsidR="005F7351">
          <w:rPr>
            <w:webHidden/>
          </w:rPr>
          <w:fldChar w:fldCharType="separate"/>
        </w:r>
        <w:r w:rsidR="00F2067C">
          <w:rPr>
            <w:webHidden/>
          </w:rPr>
          <w:t>45</w:t>
        </w:r>
        <w:r w:rsidR="005F7351">
          <w:rPr>
            <w:webHidden/>
          </w:rPr>
          <w:fldChar w:fldCharType="end"/>
        </w:r>
      </w:hyperlink>
    </w:p>
    <w:p w14:paraId="4D5C6FC6" w14:textId="16BA67D0" w:rsidR="005F7351" w:rsidRDefault="007F77AB">
      <w:pPr>
        <w:pStyle w:val="TOC2"/>
        <w:rPr>
          <w:rFonts w:asciiTheme="minorHAnsi" w:eastAsiaTheme="minorEastAsia" w:hAnsiTheme="minorHAnsi"/>
          <w:color w:val="auto"/>
          <w:sz w:val="22"/>
          <w:lang w:eastAsia="en-AU"/>
        </w:rPr>
      </w:pPr>
      <w:hyperlink w:anchor="_Toc3278956" w:history="1">
        <w:r w:rsidR="005F7351" w:rsidRPr="00BF74E1">
          <w:rPr>
            <w:rStyle w:val="Hyperlink"/>
          </w:rPr>
          <w:t>6.5</w:t>
        </w:r>
        <w:r w:rsidR="005F7351">
          <w:rPr>
            <w:rFonts w:asciiTheme="minorHAnsi" w:eastAsiaTheme="minorEastAsia" w:hAnsiTheme="minorHAnsi"/>
            <w:color w:val="auto"/>
            <w:sz w:val="22"/>
            <w:lang w:eastAsia="en-AU"/>
          </w:rPr>
          <w:tab/>
        </w:r>
        <w:r w:rsidR="005F7351" w:rsidRPr="00BF74E1">
          <w:rPr>
            <w:rStyle w:val="Hyperlink"/>
          </w:rPr>
          <w:t>Proposed air quality standards for review</w:t>
        </w:r>
        <w:r w:rsidR="005F7351">
          <w:rPr>
            <w:webHidden/>
          </w:rPr>
          <w:tab/>
        </w:r>
        <w:r w:rsidR="005F7351">
          <w:rPr>
            <w:webHidden/>
          </w:rPr>
          <w:fldChar w:fldCharType="begin"/>
        </w:r>
        <w:r w:rsidR="005F7351">
          <w:rPr>
            <w:webHidden/>
          </w:rPr>
          <w:instrText xml:space="preserve"> PAGEREF _Toc3278956 \h </w:instrText>
        </w:r>
        <w:r w:rsidR="005F7351">
          <w:rPr>
            <w:webHidden/>
          </w:rPr>
        </w:r>
        <w:r w:rsidR="005F7351">
          <w:rPr>
            <w:webHidden/>
          </w:rPr>
          <w:fldChar w:fldCharType="separate"/>
        </w:r>
        <w:r w:rsidR="00F2067C">
          <w:rPr>
            <w:webHidden/>
          </w:rPr>
          <w:t>46</w:t>
        </w:r>
        <w:r w:rsidR="005F7351">
          <w:rPr>
            <w:webHidden/>
          </w:rPr>
          <w:fldChar w:fldCharType="end"/>
        </w:r>
      </w:hyperlink>
    </w:p>
    <w:p w14:paraId="6E38D89E" w14:textId="4FA8CED6" w:rsidR="005F7351" w:rsidRDefault="007F77AB">
      <w:pPr>
        <w:pStyle w:val="TOC2"/>
        <w:rPr>
          <w:rFonts w:asciiTheme="minorHAnsi" w:eastAsiaTheme="minorEastAsia" w:hAnsiTheme="minorHAnsi"/>
          <w:color w:val="auto"/>
          <w:sz w:val="22"/>
          <w:lang w:eastAsia="en-AU"/>
        </w:rPr>
      </w:pPr>
      <w:hyperlink w:anchor="_Toc3278957" w:history="1">
        <w:r w:rsidR="005F7351" w:rsidRPr="00BF74E1">
          <w:rPr>
            <w:rStyle w:val="Hyperlink"/>
          </w:rPr>
          <w:t>6.6</w:t>
        </w:r>
        <w:r w:rsidR="005F7351">
          <w:rPr>
            <w:rFonts w:asciiTheme="minorHAnsi" w:eastAsiaTheme="minorEastAsia" w:hAnsiTheme="minorHAnsi"/>
            <w:color w:val="auto"/>
            <w:sz w:val="22"/>
            <w:lang w:eastAsia="en-AU"/>
          </w:rPr>
          <w:tab/>
        </w:r>
        <w:r w:rsidR="005F7351" w:rsidRPr="00BF74E1">
          <w:rPr>
            <w:rStyle w:val="Hyperlink"/>
          </w:rPr>
          <w:t>Concentrations and exceedances</w:t>
        </w:r>
        <w:r w:rsidR="005F7351">
          <w:rPr>
            <w:webHidden/>
          </w:rPr>
          <w:tab/>
        </w:r>
        <w:r w:rsidR="005F7351">
          <w:rPr>
            <w:webHidden/>
          </w:rPr>
          <w:fldChar w:fldCharType="begin"/>
        </w:r>
        <w:r w:rsidR="005F7351">
          <w:rPr>
            <w:webHidden/>
          </w:rPr>
          <w:instrText xml:space="preserve"> PAGEREF _Toc3278957 \h </w:instrText>
        </w:r>
        <w:r w:rsidR="005F7351">
          <w:rPr>
            <w:webHidden/>
          </w:rPr>
        </w:r>
        <w:r w:rsidR="005F7351">
          <w:rPr>
            <w:webHidden/>
          </w:rPr>
          <w:fldChar w:fldCharType="separate"/>
        </w:r>
        <w:r w:rsidR="00F2067C">
          <w:rPr>
            <w:webHidden/>
          </w:rPr>
          <w:t>47</w:t>
        </w:r>
        <w:r w:rsidR="005F7351">
          <w:rPr>
            <w:webHidden/>
          </w:rPr>
          <w:fldChar w:fldCharType="end"/>
        </w:r>
      </w:hyperlink>
    </w:p>
    <w:p w14:paraId="15DB0F80" w14:textId="0135D6FB" w:rsidR="005F7351" w:rsidRDefault="007F77AB">
      <w:pPr>
        <w:pStyle w:val="TOC2"/>
        <w:rPr>
          <w:rFonts w:asciiTheme="minorHAnsi" w:eastAsiaTheme="minorEastAsia" w:hAnsiTheme="minorHAnsi"/>
          <w:color w:val="auto"/>
          <w:sz w:val="22"/>
          <w:lang w:eastAsia="en-AU"/>
        </w:rPr>
      </w:pPr>
      <w:hyperlink w:anchor="_Toc3278958" w:history="1">
        <w:r w:rsidR="005F7351" w:rsidRPr="00BF74E1">
          <w:rPr>
            <w:rStyle w:val="Hyperlink"/>
          </w:rPr>
          <w:t>6.7</w:t>
        </w:r>
        <w:r w:rsidR="005F7351">
          <w:rPr>
            <w:rFonts w:asciiTheme="minorHAnsi" w:eastAsiaTheme="minorEastAsia" w:hAnsiTheme="minorHAnsi"/>
            <w:color w:val="auto"/>
            <w:sz w:val="22"/>
            <w:lang w:eastAsia="en-AU"/>
          </w:rPr>
          <w:tab/>
        </w:r>
        <w:r w:rsidR="005F7351" w:rsidRPr="00BF74E1">
          <w:rPr>
            <w:rStyle w:val="Hyperlink"/>
          </w:rPr>
          <w:t>Health risk assessment</w:t>
        </w:r>
        <w:r w:rsidR="005F7351">
          <w:rPr>
            <w:webHidden/>
          </w:rPr>
          <w:tab/>
        </w:r>
        <w:r w:rsidR="005F7351">
          <w:rPr>
            <w:webHidden/>
          </w:rPr>
          <w:fldChar w:fldCharType="begin"/>
        </w:r>
        <w:r w:rsidR="005F7351">
          <w:rPr>
            <w:webHidden/>
          </w:rPr>
          <w:instrText xml:space="preserve"> PAGEREF _Toc3278958 \h </w:instrText>
        </w:r>
        <w:r w:rsidR="005F7351">
          <w:rPr>
            <w:webHidden/>
          </w:rPr>
        </w:r>
        <w:r w:rsidR="005F7351">
          <w:rPr>
            <w:webHidden/>
          </w:rPr>
          <w:fldChar w:fldCharType="separate"/>
        </w:r>
        <w:r w:rsidR="00F2067C">
          <w:rPr>
            <w:webHidden/>
          </w:rPr>
          <w:t>52</w:t>
        </w:r>
        <w:r w:rsidR="005F7351">
          <w:rPr>
            <w:webHidden/>
          </w:rPr>
          <w:fldChar w:fldCharType="end"/>
        </w:r>
      </w:hyperlink>
    </w:p>
    <w:p w14:paraId="0FEE5CC6" w14:textId="4F1A8BE1" w:rsidR="005F7351" w:rsidRDefault="007F77AB">
      <w:pPr>
        <w:pStyle w:val="TOC2"/>
        <w:rPr>
          <w:rFonts w:asciiTheme="minorHAnsi" w:eastAsiaTheme="minorEastAsia" w:hAnsiTheme="minorHAnsi"/>
          <w:color w:val="auto"/>
          <w:sz w:val="22"/>
          <w:lang w:eastAsia="en-AU"/>
        </w:rPr>
      </w:pPr>
      <w:hyperlink w:anchor="_Toc3278959" w:history="1">
        <w:r w:rsidR="005F7351" w:rsidRPr="00BF74E1">
          <w:rPr>
            <w:rStyle w:val="Hyperlink"/>
          </w:rPr>
          <w:t>6.8</w:t>
        </w:r>
        <w:r w:rsidR="005F7351">
          <w:rPr>
            <w:rFonts w:asciiTheme="minorHAnsi" w:eastAsiaTheme="minorEastAsia" w:hAnsiTheme="minorHAnsi"/>
            <w:color w:val="auto"/>
            <w:sz w:val="22"/>
            <w:lang w:eastAsia="en-AU"/>
          </w:rPr>
          <w:tab/>
        </w:r>
        <w:r w:rsidR="005F7351" w:rsidRPr="00BF74E1">
          <w:rPr>
            <w:rStyle w:val="Hyperlink"/>
          </w:rPr>
          <w:t>Cost–benefit analysis</w:t>
        </w:r>
        <w:r w:rsidR="005F7351">
          <w:rPr>
            <w:webHidden/>
          </w:rPr>
          <w:tab/>
        </w:r>
        <w:r w:rsidR="005F7351">
          <w:rPr>
            <w:webHidden/>
          </w:rPr>
          <w:fldChar w:fldCharType="begin"/>
        </w:r>
        <w:r w:rsidR="005F7351">
          <w:rPr>
            <w:webHidden/>
          </w:rPr>
          <w:instrText xml:space="preserve"> PAGEREF _Toc3278959 \h </w:instrText>
        </w:r>
        <w:r w:rsidR="005F7351">
          <w:rPr>
            <w:webHidden/>
          </w:rPr>
        </w:r>
        <w:r w:rsidR="005F7351">
          <w:rPr>
            <w:webHidden/>
          </w:rPr>
          <w:fldChar w:fldCharType="separate"/>
        </w:r>
        <w:r w:rsidR="00F2067C">
          <w:rPr>
            <w:webHidden/>
          </w:rPr>
          <w:t>54</w:t>
        </w:r>
        <w:r w:rsidR="005F7351">
          <w:rPr>
            <w:webHidden/>
          </w:rPr>
          <w:fldChar w:fldCharType="end"/>
        </w:r>
      </w:hyperlink>
    </w:p>
    <w:p w14:paraId="4669BF0B" w14:textId="4F7E0EBA" w:rsidR="005F7351" w:rsidRDefault="007F77AB">
      <w:pPr>
        <w:pStyle w:val="TOC2"/>
        <w:rPr>
          <w:rFonts w:asciiTheme="minorHAnsi" w:eastAsiaTheme="minorEastAsia" w:hAnsiTheme="minorHAnsi"/>
          <w:color w:val="auto"/>
          <w:sz w:val="22"/>
          <w:lang w:eastAsia="en-AU"/>
        </w:rPr>
      </w:pPr>
      <w:hyperlink w:anchor="_Toc3278960" w:history="1">
        <w:r w:rsidR="005F7351" w:rsidRPr="00BF74E1">
          <w:rPr>
            <w:rStyle w:val="Hyperlink"/>
          </w:rPr>
          <w:t>6.9</w:t>
        </w:r>
        <w:r w:rsidR="005F7351">
          <w:rPr>
            <w:rFonts w:asciiTheme="minorHAnsi" w:eastAsiaTheme="minorEastAsia" w:hAnsiTheme="minorHAnsi"/>
            <w:color w:val="auto"/>
            <w:sz w:val="22"/>
            <w:lang w:eastAsia="en-AU"/>
          </w:rPr>
          <w:tab/>
        </w:r>
        <w:r w:rsidR="005F7351" w:rsidRPr="00BF74E1">
          <w:rPr>
            <w:rStyle w:val="Hyperlink"/>
          </w:rPr>
          <w:t>Non-quantified benefits and disbenefits</w:t>
        </w:r>
        <w:r w:rsidR="005F7351">
          <w:rPr>
            <w:webHidden/>
          </w:rPr>
          <w:tab/>
        </w:r>
        <w:r w:rsidR="005F7351">
          <w:rPr>
            <w:webHidden/>
          </w:rPr>
          <w:fldChar w:fldCharType="begin"/>
        </w:r>
        <w:r w:rsidR="005F7351">
          <w:rPr>
            <w:webHidden/>
          </w:rPr>
          <w:instrText xml:space="preserve"> PAGEREF _Toc3278960 \h </w:instrText>
        </w:r>
        <w:r w:rsidR="005F7351">
          <w:rPr>
            <w:webHidden/>
          </w:rPr>
        </w:r>
        <w:r w:rsidR="005F7351">
          <w:rPr>
            <w:webHidden/>
          </w:rPr>
          <w:fldChar w:fldCharType="separate"/>
        </w:r>
        <w:r w:rsidR="00F2067C">
          <w:rPr>
            <w:webHidden/>
          </w:rPr>
          <w:t>54</w:t>
        </w:r>
        <w:r w:rsidR="005F7351">
          <w:rPr>
            <w:webHidden/>
          </w:rPr>
          <w:fldChar w:fldCharType="end"/>
        </w:r>
      </w:hyperlink>
    </w:p>
    <w:p w14:paraId="61D2DBCA" w14:textId="71A3F5B1" w:rsidR="005F7351" w:rsidRDefault="007F77AB">
      <w:pPr>
        <w:pStyle w:val="TOC2"/>
        <w:tabs>
          <w:tab w:val="left" w:pos="992"/>
        </w:tabs>
        <w:rPr>
          <w:rFonts w:asciiTheme="minorHAnsi" w:eastAsiaTheme="minorEastAsia" w:hAnsiTheme="minorHAnsi"/>
          <w:color w:val="auto"/>
          <w:sz w:val="22"/>
          <w:lang w:eastAsia="en-AU"/>
        </w:rPr>
      </w:pPr>
      <w:hyperlink w:anchor="_Toc3278961" w:history="1">
        <w:r w:rsidR="005F7351" w:rsidRPr="00BF74E1">
          <w:rPr>
            <w:rStyle w:val="Hyperlink"/>
          </w:rPr>
          <w:t>6.10</w:t>
        </w:r>
        <w:r w:rsidR="005F7351">
          <w:rPr>
            <w:rFonts w:asciiTheme="minorHAnsi" w:eastAsiaTheme="minorEastAsia" w:hAnsiTheme="minorHAnsi"/>
            <w:color w:val="auto"/>
            <w:sz w:val="22"/>
            <w:lang w:eastAsia="en-AU"/>
          </w:rPr>
          <w:tab/>
        </w:r>
        <w:r w:rsidR="005F7351" w:rsidRPr="00BF74E1">
          <w:rPr>
            <w:rStyle w:val="Hyperlink"/>
          </w:rPr>
          <w:t>Exposure-reduction framework</w:t>
        </w:r>
        <w:r w:rsidR="005F7351">
          <w:rPr>
            <w:webHidden/>
          </w:rPr>
          <w:tab/>
        </w:r>
        <w:r w:rsidR="005F7351">
          <w:rPr>
            <w:webHidden/>
          </w:rPr>
          <w:fldChar w:fldCharType="begin"/>
        </w:r>
        <w:r w:rsidR="005F7351">
          <w:rPr>
            <w:webHidden/>
          </w:rPr>
          <w:instrText xml:space="preserve"> PAGEREF _Toc3278961 \h </w:instrText>
        </w:r>
        <w:r w:rsidR="005F7351">
          <w:rPr>
            <w:webHidden/>
          </w:rPr>
        </w:r>
        <w:r w:rsidR="005F7351">
          <w:rPr>
            <w:webHidden/>
          </w:rPr>
          <w:fldChar w:fldCharType="separate"/>
        </w:r>
        <w:r w:rsidR="00F2067C">
          <w:rPr>
            <w:webHidden/>
          </w:rPr>
          <w:t>54</w:t>
        </w:r>
        <w:r w:rsidR="005F7351">
          <w:rPr>
            <w:webHidden/>
          </w:rPr>
          <w:fldChar w:fldCharType="end"/>
        </w:r>
      </w:hyperlink>
    </w:p>
    <w:p w14:paraId="7146C991" w14:textId="658C4229" w:rsidR="005F7351" w:rsidRDefault="007F77AB">
      <w:pPr>
        <w:pStyle w:val="TOC2"/>
        <w:tabs>
          <w:tab w:val="left" w:pos="992"/>
        </w:tabs>
        <w:rPr>
          <w:rFonts w:asciiTheme="minorHAnsi" w:eastAsiaTheme="minorEastAsia" w:hAnsiTheme="minorHAnsi"/>
          <w:color w:val="auto"/>
          <w:sz w:val="22"/>
          <w:lang w:eastAsia="en-AU"/>
        </w:rPr>
      </w:pPr>
      <w:hyperlink w:anchor="_Toc3278962" w:history="1">
        <w:r w:rsidR="005F7351" w:rsidRPr="00BF74E1">
          <w:rPr>
            <w:rStyle w:val="Hyperlink"/>
          </w:rPr>
          <w:t>6.11</w:t>
        </w:r>
        <w:r w:rsidR="005F7351">
          <w:rPr>
            <w:rFonts w:asciiTheme="minorHAnsi" w:eastAsiaTheme="minorEastAsia" w:hAnsiTheme="minorHAnsi"/>
            <w:color w:val="auto"/>
            <w:sz w:val="22"/>
            <w:lang w:eastAsia="en-AU"/>
          </w:rPr>
          <w:tab/>
        </w:r>
        <w:r w:rsidR="005F7351" w:rsidRPr="00BF74E1">
          <w:rPr>
            <w:rStyle w:val="Hyperlink"/>
          </w:rPr>
          <w:t>Summary of sulfur dioxide assessment</w:t>
        </w:r>
        <w:r w:rsidR="005F7351">
          <w:rPr>
            <w:webHidden/>
          </w:rPr>
          <w:tab/>
        </w:r>
        <w:r w:rsidR="005F7351">
          <w:rPr>
            <w:webHidden/>
          </w:rPr>
          <w:fldChar w:fldCharType="begin"/>
        </w:r>
        <w:r w:rsidR="005F7351">
          <w:rPr>
            <w:webHidden/>
          </w:rPr>
          <w:instrText xml:space="preserve"> PAGEREF _Toc3278962 \h </w:instrText>
        </w:r>
        <w:r w:rsidR="005F7351">
          <w:rPr>
            <w:webHidden/>
          </w:rPr>
        </w:r>
        <w:r w:rsidR="005F7351">
          <w:rPr>
            <w:webHidden/>
          </w:rPr>
          <w:fldChar w:fldCharType="separate"/>
        </w:r>
        <w:r w:rsidR="00F2067C">
          <w:rPr>
            <w:webHidden/>
          </w:rPr>
          <w:t>55</w:t>
        </w:r>
        <w:r w:rsidR="005F7351">
          <w:rPr>
            <w:webHidden/>
          </w:rPr>
          <w:fldChar w:fldCharType="end"/>
        </w:r>
      </w:hyperlink>
    </w:p>
    <w:p w14:paraId="43AFC32D" w14:textId="4DE6F90E" w:rsidR="005F7351" w:rsidRDefault="007F77AB">
      <w:pPr>
        <w:pStyle w:val="TOC2"/>
        <w:tabs>
          <w:tab w:val="left" w:pos="992"/>
        </w:tabs>
        <w:rPr>
          <w:rFonts w:asciiTheme="minorHAnsi" w:eastAsiaTheme="minorEastAsia" w:hAnsiTheme="minorHAnsi"/>
          <w:color w:val="auto"/>
          <w:sz w:val="22"/>
          <w:lang w:eastAsia="en-AU"/>
        </w:rPr>
      </w:pPr>
      <w:hyperlink w:anchor="_Toc3278963" w:history="1">
        <w:r w:rsidR="005F7351" w:rsidRPr="00BF74E1">
          <w:rPr>
            <w:rStyle w:val="Hyperlink"/>
          </w:rPr>
          <w:t>6.12</w:t>
        </w:r>
        <w:r w:rsidR="005F7351">
          <w:rPr>
            <w:rFonts w:asciiTheme="minorHAnsi" w:eastAsiaTheme="minorEastAsia" w:hAnsiTheme="minorHAnsi"/>
            <w:color w:val="auto"/>
            <w:sz w:val="22"/>
            <w:lang w:eastAsia="en-AU"/>
          </w:rPr>
          <w:tab/>
        </w:r>
        <w:r w:rsidR="005F7351" w:rsidRPr="00BF74E1">
          <w:rPr>
            <w:rStyle w:val="Hyperlink"/>
          </w:rPr>
          <w:t>Recommendations</w:t>
        </w:r>
        <w:r w:rsidR="005F7351">
          <w:rPr>
            <w:webHidden/>
          </w:rPr>
          <w:tab/>
        </w:r>
        <w:r w:rsidR="005F7351">
          <w:rPr>
            <w:webHidden/>
          </w:rPr>
          <w:fldChar w:fldCharType="begin"/>
        </w:r>
        <w:r w:rsidR="005F7351">
          <w:rPr>
            <w:webHidden/>
          </w:rPr>
          <w:instrText xml:space="preserve"> PAGEREF _Toc3278963 \h </w:instrText>
        </w:r>
        <w:r w:rsidR="005F7351">
          <w:rPr>
            <w:webHidden/>
          </w:rPr>
        </w:r>
        <w:r w:rsidR="005F7351">
          <w:rPr>
            <w:webHidden/>
          </w:rPr>
          <w:fldChar w:fldCharType="separate"/>
        </w:r>
        <w:r w:rsidR="00F2067C">
          <w:rPr>
            <w:webHidden/>
          </w:rPr>
          <w:t>56</w:t>
        </w:r>
        <w:r w:rsidR="005F7351">
          <w:rPr>
            <w:webHidden/>
          </w:rPr>
          <w:fldChar w:fldCharType="end"/>
        </w:r>
      </w:hyperlink>
    </w:p>
    <w:p w14:paraId="48DF66CB" w14:textId="20FA86C7" w:rsidR="005F7351" w:rsidRDefault="007F77AB">
      <w:pPr>
        <w:pStyle w:val="TOC1"/>
        <w:rPr>
          <w:rFonts w:asciiTheme="minorHAnsi" w:eastAsiaTheme="minorEastAsia" w:hAnsiTheme="minorHAnsi"/>
          <w:color w:val="auto"/>
          <w:sz w:val="22"/>
          <w:lang w:eastAsia="en-AU"/>
        </w:rPr>
      </w:pPr>
      <w:hyperlink w:anchor="_Toc3278964" w:history="1">
        <w:r w:rsidR="005F7351" w:rsidRPr="00BF74E1">
          <w:rPr>
            <w:rStyle w:val="Hyperlink"/>
          </w:rPr>
          <w:t>7</w:t>
        </w:r>
        <w:r w:rsidR="005F7351">
          <w:rPr>
            <w:rFonts w:asciiTheme="minorHAnsi" w:eastAsiaTheme="minorEastAsia" w:hAnsiTheme="minorHAnsi"/>
            <w:color w:val="auto"/>
            <w:sz w:val="22"/>
            <w:lang w:eastAsia="en-AU"/>
          </w:rPr>
          <w:tab/>
        </w:r>
        <w:r w:rsidR="005F7351" w:rsidRPr="00BF74E1">
          <w:rPr>
            <w:rStyle w:val="Hyperlink"/>
          </w:rPr>
          <w:t>Impact assessment for nitrogen dioxide</w:t>
        </w:r>
        <w:r w:rsidR="005F7351">
          <w:rPr>
            <w:webHidden/>
          </w:rPr>
          <w:tab/>
        </w:r>
        <w:r w:rsidR="005F7351">
          <w:rPr>
            <w:webHidden/>
          </w:rPr>
          <w:fldChar w:fldCharType="begin"/>
        </w:r>
        <w:r w:rsidR="005F7351">
          <w:rPr>
            <w:webHidden/>
          </w:rPr>
          <w:instrText xml:space="preserve"> PAGEREF _Toc3278964 \h </w:instrText>
        </w:r>
        <w:r w:rsidR="005F7351">
          <w:rPr>
            <w:webHidden/>
          </w:rPr>
        </w:r>
        <w:r w:rsidR="005F7351">
          <w:rPr>
            <w:webHidden/>
          </w:rPr>
          <w:fldChar w:fldCharType="separate"/>
        </w:r>
        <w:r w:rsidR="00F2067C">
          <w:rPr>
            <w:webHidden/>
          </w:rPr>
          <w:t>62</w:t>
        </w:r>
        <w:r w:rsidR="005F7351">
          <w:rPr>
            <w:webHidden/>
          </w:rPr>
          <w:fldChar w:fldCharType="end"/>
        </w:r>
      </w:hyperlink>
    </w:p>
    <w:p w14:paraId="3D776498" w14:textId="1F4363FD" w:rsidR="005F7351" w:rsidRDefault="007F77AB">
      <w:pPr>
        <w:pStyle w:val="TOC2"/>
        <w:rPr>
          <w:rFonts w:asciiTheme="minorHAnsi" w:eastAsiaTheme="minorEastAsia" w:hAnsiTheme="minorHAnsi"/>
          <w:color w:val="auto"/>
          <w:sz w:val="22"/>
          <w:lang w:eastAsia="en-AU"/>
        </w:rPr>
      </w:pPr>
      <w:hyperlink w:anchor="_Toc3278965" w:history="1">
        <w:r w:rsidR="005F7351" w:rsidRPr="00BF74E1">
          <w:rPr>
            <w:rStyle w:val="Hyperlink"/>
          </w:rPr>
          <w:t>7.1</w:t>
        </w:r>
        <w:r w:rsidR="005F7351">
          <w:rPr>
            <w:rFonts w:asciiTheme="minorHAnsi" w:eastAsiaTheme="minorEastAsia" w:hAnsiTheme="minorHAnsi"/>
            <w:color w:val="auto"/>
            <w:sz w:val="22"/>
            <w:lang w:eastAsia="en-AU"/>
          </w:rPr>
          <w:tab/>
        </w:r>
        <w:r w:rsidR="005F7351" w:rsidRPr="00BF74E1">
          <w:rPr>
            <w:rStyle w:val="Hyperlink"/>
          </w:rPr>
          <w:t>Characteristics and sources</w:t>
        </w:r>
        <w:r w:rsidR="005F7351">
          <w:rPr>
            <w:webHidden/>
          </w:rPr>
          <w:tab/>
        </w:r>
        <w:r w:rsidR="005F7351">
          <w:rPr>
            <w:webHidden/>
          </w:rPr>
          <w:fldChar w:fldCharType="begin"/>
        </w:r>
        <w:r w:rsidR="005F7351">
          <w:rPr>
            <w:webHidden/>
          </w:rPr>
          <w:instrText xml:space="preserve"> PAGEREF _Toc3278965 \h </w:instrText>
        </w:r>
        <w:r w:rsidR="005F7351">
          <w:rPr>
            <w:webHidden/>
          </w:rPr>
        </w:r>
        <w:r w:rsidR="005F7351">
          <w:rPr>
            <w:webHidden/>
          </w:rPr>
          <w:fldChar w:fldCharType="separate"/>
        </w:r>
        <w:r w:rsidR="00F2067C">
          <w:rPr>
            <w:webHidden/>
          </w:rPr>
          <w:t>62</w:t>
        </w:r>
        <w:r w:rsidR="005F7351">
          <w:rPr>
            <w:webHidden/>
          </w:rPr>
          <w:fldChar w:fldCharType="end"/>
        </w:r>
      </w:hyperlink>
    </w:p>
    <w:p w14:paraId="285AF5CF" w14:textId="29D7BF9C" w:rsidR="005F7351" w:rsidRDefault="007F77AB">
      <w:pPr>
        <w:pStyle w:val="TOC2"/>
        <w:rPr>
          <w:rFonts w:asciiTheme="minorHAnsi" w:eastAsiaTheme="minorEastAsia" w:hAnsiTheme="minorHAnsi"/>
          <w:color w:val="auto"/>
          <w:sz w:val="22"/>
          <w:lang w:eastAsia="en-AU"/>
        </w:rPr>
      </w:pPr>
      <w:hyperlink w:anchor="_Toc3278966" w:history="1">
        <w:r w:rsidR="005F7351" w:rsidRPr="00BF74E1">
          <w:rPr>
            <w:rStyle w:val="Hyperlink"/>
          </w:rPr>
          <w:t>7.2</w:t>
        </w:r>
        <w:r w:rsidR="005F7351">
          <w:rPr>
            <w:rFonts w:asciiTheme="minorHAnsi" w:eastAsiaTheme="minorEastAsia" w:hAnsiTheme="minorHAnsi"/>
            <w:color w:val="auto"/>
            <w:sz w:val="22"/>
            <w:lang w:eastAsia="en-AU"/>
          </w:rPr>
          <w:tab/>
        </w:r>
        <w:r w:rsidR="005F7351" w:rsidRPr="00BF74E1">
          <w:rPr>
            <w:rStyle w:val="Hyperlink"/>
          </w:rPr>
          <w:t>Health evidence</w:t>
        </w:r>
        <w:r w:rsidR="005F7351">
          <w:rPr>
            <w:webHidden/>
          </w:rPr>
          <w:tab/>
        </w:r>
        <w:r w:rsidR="005F7351">
          <w:rPr>
            <w:webHidden/>
          </w:rPr>
          <w:fldChar w:fldCharType="begin"/>
        </w:r>
        <w:r w:rsidR="005F7351">
          <w:rPr>
            <w:webHidden/>
          </w:rPr>
          <w:instrText xml:space="preserve"> PAGEREF _Toc3278966 \h </w:instrText>
        </w:r>
        <w:r w:rsidR="005F7351">
          <w:rPr>
            <w:webHidden/>
          </w:rPr>
        </w:r>
        <w:r w:rsidR="005F7351">
          <w:rPr>
            <w:webHidden/>
          </w:rPr>
          <w:fldChar w:fldCharType="separate"/>
        </w:r>
        <w:r w:rsidR="00F2067C">
          <w:rPr>
            <w:webHidden/>
          </w:rPr>
          <w:t>63</w:t>
        </w:r>
        <w:r w:rsidR="005F7351">
          <w:rPr>
            <w:webHidden/>
          </w:rPr>
          <w:fldChar w:fldCharType="end"/>
        </w:r>
      </w:hyperlink>
    </w:p>
    <w:p w14:paraId="4494D0D4" w14:textId="7B4D7C42" w:rsidR="005F7351" w:rsidRDefault="007F77AB">
      <w:pPr>
        <w:pStyle w:val="TOC2"/>
        <w:rPr>
          <w:rFonts w:asciiTheme="minorHAnsi" w:eastAsiaTheme="minorEastAsia" w:hAnsiTheme="minorHAnsi"/>
          <w:color w:val="auto"/>
          <w:sz w:val="22"/>
          <w:lang w:eastAsia="en-AU"/>
        </w:rPr>
      </w:pPr>
      <w:hyperlink w:anchor="_Toc3278967" w:history="1">
        <w:r w:rsidR="005F7351" w:rsidRPr="00BF74E1">
          <w:rPr>
            <w:rStyle w:val="Hyperlink"/>
          </w:rPr>
          <w:t>7.3</w:t>
        </w:r>
        <w:r w:rsidR="005F7351">
          <w:rPr>
            <w:rFonts w:asciiTheme="minorHAnsi" w:eastAsiaTheme="minorEastAsia" w:hAnsiTheme="minorHAnsi"/>
            <w:color w:val="auto"/>
            <w:sz w:val="22"/>
            <w:lang w:eastAsia="en-AU"/>
          </w:rPr>
          <w:tab/>
        </w:r>
        <w:r w:rsidR="005F7351" w:rsidRPr="00BF74E1">
          <w:rPr>
            <w:rStyle w:val="Hyperlink"/>
          </w:rPr>
          <w:t>World Health Organization guidelines</w:t>
        </w:r>
        <w:r w:rsidR="005F7351">
          <w:rPr>
            <w:webHidden/>
          </w:rPr>
          <w:tab/>
        </w:r>
        <w:r w:rsidR="005F7351">
          <w:rPr>
            <w:webHidden/>
          </w:rPr>
          <w:fldChar w:fldCharType="begin"/>
        </w:r>
        <w:r w:rsidR="005F7351">
          <w:rPr>
            <w:webHidden/>
          </w:rPr>
          <w:instrText xml:space="preserve"> PAGEREF _Toc3278967 \h </w:instrText>
        </w:r>
        <w:r w:rsidR="005F7351">
          <w:rPr>
            <w:webHidden/>
          </w:rPr>
        </w:r>
        <w:r w:rsidR="005F7351">
          <w:rPr>
            <w:webHidden/>
          </w:rPr>
          <w:fldChar w:fldCharType="separate"/>
        </w:r>
        <w:r w:rsidR="00F2067C">
          <w:rPr>
            <w:webHidden/>
          </w:rPr>
          <w:t>64</w:t>
        </w:r>
        <w:r w:rsidR="005F7351">
          <w:rPr>
            <w:webHidden/>
          </w:rPr>
          <w:fldChar w:fldCharType="end"/>
        </w:r>
      </w:hyperlink>
    </w:p>
    <w:p w14:paraId="1C1C2B8F" w14:textId="608DA73B" w:rsidR="005F7351" w:rsidRDefault="007F77AB">
      <w:pPr>
        <w:pStyle w:val="TOC2"/>
        <w:rPr>
          <w:rFonts w:asciiTheme="minorHAnsi" w:eastAsiaTheme="minorEastAsia" w:hAnsiTheme="minorHAnsi"/>
          <w:color w:val="auto"/>
          <w:sz w:val="22"/>
          <w:lang w:eastAsia="en-AU"/>
        </w:rPr>
      </w:pPr>
      <w:hyperlink w:anchor="_Toc3278968" w:history="1">
        <w:r w:rsidR="005F7351" w:rsidRPr="00BF74E1">
          <w:rPr>
            <w:rStyle w:val="Hyperlink"/>
          </w:rPr>
          <w:t>7.4</w:t>
        </w:r>
        <w:r w:rsidR="005F7351">
          <w:rPr>
            <w:rFonts w:asciiTheme="minorHAnsi" w:eastAsiaTheme="minorEastAsia" w:hAnsiTheme="minorHAnsi"/>
            <w:color w:val="auto"/>
            <w:sz w:val="22"/>
            <w:lang w:eastAsia="en-AU"/>
          </w:rPr>
          <w:tab/>
        </w:r>
        <w:r w:rsidR="005F7351" w:rsidRPr="00BF74E1">
          <w:rPr>
            <w:rStyle w:val="Hyperlink"/>
          </w:rPr>
          <w:t>Air quality standards in other leading countries</w:t>
        </w:r>
        <w:r w:rsidR="005F7351">
          <w:rPr>
            <w:webHidden/>
          </w:rPr>
          <w:tab/>
        </w:r>
        <w:r w:rsidR="005F7351">
          <w:rPr>
            <w:webHidden/>
          </w:rPr>
          <w:fldChar w:fldCharType="begin"/>
        </w:r>
        <w:r w:rsidR="005F7351">
          <w:rPr>
            <w:webHidden/>
          </w:rPr>
          <w:instrText xml:space="preserve"> PAGEREF _Toc3278968 \h </w:instrText>
        </w:r>
        <w:r w:rsidR="005F7351">
          <w:rPr>
            <w:webHidden/>
          </w:rPr>
        </w:r>
        <w:r w:rsidR="005F7351">
          <w:rPr>
            <w:webHidden/>
          </w:rPr>
          <w:fldChar w:fldCharType="separate"/>
        </w:r>
        <w:r w:rsidR="00F2067C">
          <w:rPr>
            <w:webHidden/>
          </w:rPr>
          <w:t>64</w:t>
        </w:r>
        <w:r w:rsidR="005F7351">
          <w:rPr>
            <w:webHidden/>
          </w:rPr>
          <w:fldChar w:fldCharType="end"/>
        </w:r>
      </w:hyperlink>
    </w:p>
    <w:p w14:paraId="7FBFDEEB" w14:textId="2B70652D" w:rsidR="005F7351" w:rsidRDefault="007F77AB">
      <w:pPr>
        <w:pStyle w:val="TOC2"/>
        <w:rPr>
          <w:rFonts w:asciiTheme="minorHAnsi" w:eastAsiaTheme="minorEastAsia" w:hAnsiTheme="minorHAnsi"/>
          <w:color w:val="auto"/>
          <w:sz w:val="22"/>
          <w:lang w:eastAsia="en-AU"/>
        </w:rPr>
      </w:pPr>
      <w:hyperlink w:anchor="_Toc3278969" w:history="1">
        <w:r w:rsidR="005F7351" w:rsidRPr="00BF74E1">
          <w:rPr>
            <w:rStyle w:val="Hyperlink"/>
          </w:rPr>
          <w:t>7.5</w:t>
        </w:r>
        <w:r w:rsidR="005F7351">
          <w:rPr>
            <w:rFonts w:asciiTheme="minorHAnsi" w:eastAsiaTheme="minorEastAsia" w:hAnsiTheme="minorHAnsi"/>
            <w:color w:val="auto"/>
            <w:sz w:val="22"/>
            <w:lang w:eastAsia="en-AU"/>
          </w:rPr>
          <w:tab/>
        </w:r>
        <w:r w:rsidR="005F7351" w:rsidRPr="00BF74E1">
          <w:rPr>
            <w:rStyle w:val="Hyperlink"/>
          </w:rPr>
          <w:t>Proposed air quality standards for review</w:t>
        </w:r>
        <w:r w:rsidR="005F7351">
          <w:rPr>
            <w:webHidden/>
          </w:rPr>
          <w:tab/>
        </w:r>
        <w:r w:rsidR="005F7351">
          <w:rPr>
            <w:webHidden/>
          </w:rPr>
          <w:fldChar w:fldCharType="begin"/>
        </w:r>
        <w:r w:rsidR="005F7351">
          <w:rPr>
            <w:webHidden/>
          </w:rPr>
          <w:instrText xml:space="preserve"> PAGEREF _Toc3278969 \h </w:instrText>
        </w:r>
        <w:r w:rsidR="005F7351">
          <w:rPr>
            <w:webHidden/>
          </w:rPr>
        </w:r>
        <w:r w:rsidR="005F7351">
          <w:rPr>
            <w:webHidden/>
          </w:rPr>
          <w:fldChar w:fldCharType="separate"/>
        </w:r>
        <w:r w:rsidR="00F2067C">
          <w:rPr>
            <w:webHidden/>
          </w:rPr>
          <w:t>64</w:t>
        </w:r>
        <w:r w:rsidR="005F7351">
          <w:rPr>
            <w:webHidden/>
          </w:rPr>
          <w:fldChar w:fldCharType="end"/>
        </w:r>
      </w:hyperlink>
    </w:p>
    <w:p w14:paraId="7ED7D2A1" w14:textId="45EF5D85" w:rsidR="005F7351" w:rsidRDefault="007F77AB">
      <w:pPr>
        <w:pStyle w:val="TOC2"/>
        <w:rPr>
          <w:rFonts w:asciiTheme="minorHAnsi" w:eastAsiaTheme="minorEastAsia" w:hAnsiTheme="minorHAnsi"/>
          <w:color w:val="auto"/>
          <w:sz w:val="22"/>
          <w:lang w:eastAsia="en-AU"/>
        </w:rPr>
      </w:pPr>
      <w:hyperlink w:anchor="_Toc3278970" w:history="1">
        <w:r w:rsidR="005F7351" w:rsidRPr="00BF74E1">
          <w:rPr>
            <w:rStyle w:val="Hyperlink"/>
          </w:rPr>
          <w:t>7.6</w:t>
        </w:r>
        <w:r w:rsidR="005F7351">
          <w:rPr>
            <w:rFonts w:asciiTheme="minorHAnsi" w:eastAsiaTheme="minorEastAsia" w:hAnsiTheme="minorHAnsi"/>
            <w:color w:val="auto"/>
            <w:sz w:val="22"/>
            <w:lang w:eastAsia="en-AU"/>
          </w:rPr>
          <w:tab/>
        </w:r>
        <w:r w:rsidR="005F7351" w:rsidRPr="00BF74E1">
          <w:rPr>
            <w:rStyle w:val="Hyperlink"/>
          </w:rPr>
          <w:t>Concentrations and exceedances</w:t>
        </w:r>
        <w:r w:rsidR="005F7351">
          <w:rPr>
            <w:webHidden/>
          </w:rPr>
          <w:tab/>
        </w:r>
        <w:r w:rsidR="005F7351">
          <w:rPr>
            <w:webHidden/>
          </w:rPr>
          <w:fldChar w:fldCharType="begin"/>
        </w:r>
        <w:r w:rsidR="005F7351">
          <w:rPr>
            <w:webHidden/>
          </w:rPr>
          <w:instrText xml:space="preserve"> PAGEREF _Toc3278970 \h </w:instrText>
        </w:r>
        <w:r w:rsidR="005F7351">
          <w:rPr>
            <w:webHidden/>
          </w:rPr>
        </w:r>
        <w:r w:rsidR="005F7351">
          <w:rPr>
            <w:webHidden/>
          </w:rPr>
          <w:fldChar w:fldCharType="separate"/>
        </w:r>
        <w:r w:rsidR="00F2067C">
          <w:rPr>
            <w:webHidden/>
          </w:rPr>
          <w:t>65</w:t>
        </w:r>
        <w:r w:rsidR="005F7351">
          <w:rPr>
            <w:webHidden/>
          </w:rPr>
          <w:fldChar w:fldCharType="end"/>
        </w:r>
      </w:hyperlink>
    </w:p>
    <w:p w14:paraId="38B87508" w14:textId="594CC5CB" w:rsidR="005F7351" w:rsidRDefault="007F77AB">
      <w:pPr>
        <w:pStyle w:val="TOC2"/>
        <w:rPr>
          <w:rFonts w:asciiTheme="minorHAnsi" w:eastAsiaTheme="minorEastAsia" w:hAnsiTheme="minorHAnsi"/>
          <w:color w:val="auto"/>
          <w:sz w:val="22"/>
          <w:lang w:eastAsia="en-AU"/>
        </w:rPr>
      </w:pPr>
      <w:hyperlink w:anchor="_Toc3278971" w:history="1">
        <w:r w:rsidR="005F7351" w:rsidRPr="00BF74E1">
          <w:rPr>
            <w:rStyle w:val="Hyperlink"/>
          </w:rPr>
          <w:t>7.7</w:t>
        </w:r>
        <w:r w:rsidR="005F7351">
          <w:rPr>
            <w:rFonts w:asciiTheme="minorHAnsi" w:eastAsiaTheme="minorEastAsia" w:hAnsiTheme="minorHAnsi"/>
            <w:color w:val="auto"/>
            <w:sz w:val="22"/>
            <w:lang w:eastAsia="en-AU"/>
          </w:rPr>
          <w:tab/>
        </w:r>
        <w:r w:rsidR="005F7351" w:rsidRPr="00BF74E1">
          <w:rPr>
            <w:rStyle w:val="Hyperlink"/>
          </w:rPr>
          <w:t>Health risk assessment</w:t>
        </w:r>
        <w:r w:rsidR="005F7351">
          <w:rPr>
            <w:webHidden/>
          </w:rPr>
          <w:tab/>
        </w:r>
        <w:r w:rsidR="005F7351">
          <w:rPr>
            <w:webHidden/>
          </w:rPr>
          <w:fldChar w:fldCharType="begin"/>
        </w:r>
        <w:r w:rsidR="005F7351">
          <w:rPr>
            <w:webHidden/>
          </w:rPr>
          <w:instrText xml:space="preserve"> PAGEREF _Toc3278971 \h </w:instrText>
        </w:r>
        <w:r w:rsidR="005F7351">
          <w:rPr>
            <w:webHidden/>
          </w:rPr>
        </w:r>
        <w:r w:rsidR="005F7351">
          <w:rPr>
            <w:webHidden/>
          </w:rPr>
          <w:fldChar w:fldCharType="separate"/>
        </w:r>
        <w:r w:rsidR="00F2067C">
          <w:rPr>
            <w:webHidden/>
          </w:rPr>
          <w:t>69</w:t>
        </w:r>
        <w:r w:rsidR="005F7351">
          <w:rPr>
            <w:webHidden/>
          </w:rPr>
          <w:fldChar w:fldCharType="end"/>
        </w:r>
      </w:hyperlink>
    </w:p>
    <w:p w14:paraId="176E8834" w14:textId="2EF30615" w:rsidR="005F7351" w:rsidRDefault="007F77AB">
      <w:pPr>
        <w:pStyle w:val="TOC2"/>
        <w:rPr>
          <w:rFonts w:asciiTheme="minorHAnsi" w:eastAsiaTheme="minorEastAsia" w:hAnsiTheme="minorHAnsi"/>
          <w:color w:val="auto"/>
          <w:sz w:val="22"/>
          <w:lang w:eastAsia="en-AU"/>
        </w:rPr>
      </w:pPr>
      <w:hyperlink w:anchor="_Toc3278972" w:history="1">
        <w:r w:rsidR="005F7351" w:rsidRPr="00BF74E1">
          <w:rPr>
            <w:rStyle w:val="Hyperlink"/>
          </w:rPr>
          <w:t>7.8</w:t>
        </w:r>
        <w:r w:rsidR="005F7351">
          <w:rPr>
            <w:rFonts w:asciiTheme="minorHAnsi" w:eastAsiaTheme="minorEastAsia" w:hAnsiTheme="minorHAnsi"/>
            <w:color w:val="auto"/>
            <w:sz w:val="22"/>
            <w:lang w:eastAsia="en-AU"/>
          </w:rPr>
          <w:tab/>
        </w:r>
        <w:r w:rsidR="005F7351" w:rsidRPr="00BF74E1">
          <w:rPr>
            <w:rStyle w:val="Hyperlink"/>
          </w:rPr>
          <w:t>Cost–benefit analysis</w:t>
        </w:r>
        <w:r w:rsidR="005F7351">
          <w:rPr>
            <w:webHidden/>
          </w:rPr>
          <w:tab/>
        </w:r>
        <w:r w:rsidR="005F7351">
          <w:rPr>
            <w:webHidden/>
          </w:rPr>
          <w:fldChar w:fldCharType="begin"/>
        </w:r>
        <w:r w:rsidR="005F7351">
          <w:rPr>
            <w:webHidden/>
          </w:rPr>
          <w:instrText xml:space="preserve"> PAGEREF _Toc3278972 \h </w:instrText>
        </w:r>
        <w:r w:rsidR="005F7351">
          <w:rPr>
            <w:webHidden/>
          </w:rPr>
        </w:r>
        <w:r w:rsidR="005F7351">
          <w:rPr>
            <w:webHidden/>
          </w:rPr>
          <w:fldChar w:fldCharType="separate"/>
        </w:r>
        <w:r w:rsidR="00F2067C">
          <w:rPr>
            <w:webHidden/>
          </w:rPr>
          <w:t>71</w:t>
        </w:r>
        <w:r w:rsidR="005F7351">
          <w:rPr>
            <w:webHidden/>
          </w:rPr>
          <w:fldChar w:fldCharType="end"/>
        </w:r>
      </w:hyperlink>
    </w:p>
    <w:p w14:paraId="066BF3A2" w14:textId="1222E4FA" w:rsidR="005F7351" w:rsidRDefault="007F77AB">
      <w:pPr>
        <w:pStyle w:val="TOC2"/>
        <w:rPr>
          <w:rFonts w:asciiTheme="minorHAnsi" w:eastAsiaTheme="minorEastAsia" w:hAnsiTheme="minorHAnsi"/>
          <w:color w:val="auto"/>
          <w:sz w:val="22"/>
          <w:lang w:eastAsia="en-AU"/>
        </w:rPr>
      </w:pPr>
      <w:hyperlink w:anchor="_Toc3278973" w:history="1">
        <w:r w:rsidR="005F7351" w:rsidRPr="00BF74E1">
          <w:rPr>
            <w:rStyle w:val="Hyperlink"/>
          </w:rPr>
          <w:t>7.9</w:t>
        </w:r>
        <w:r w:rsidR="005F7351">
          <w:rPr>
            <w:rFonts w:asciiTheme="minorHAnsi" w:eastAsiaTheme="minorEastAsia" w:hAnsiTheme="minorHAnsi"/>
            <w:color w:val="auto"/>
            <w:sz w:val="22"/>
            <w:lang w:eastAsia="en-AU"/>
          </w:rPr>
          <w:tab/>
        </w:r>
        <w:r w:rsidR="005F7351" w:rsidRPr="00BF74E1">
          <w:rPr>
            <w:rStyle w:val="Hyperlink"/>
          </w:rPr>
          <w:t>Non-quantified benefits and disbenefits</w:t>
        </w:r>
        <w:r w:rsidR="005F7351">
          <w:rPr>
            <w:webHidden/>
          </w:rPr>
          <w:tab/>
        </w:r>
        <w:r w:rsidR="005F7351">
          <w:rPr>
            <w:webHidden/>
          </w:rPr>
          <w:fldChar w:fldCharType="begin"/>
        </w:r>
        <w:r w:rsidR="005F7351">
          <w:rPr>
            <w:webHidden/>
          </w:rPr>
          <w:instrText xml:space="preserve"> PAGEREF _Toc3278973 \h </w:instrText>
        </w:r>
        <w:r w:rsidR="005F7351">
          <w:rPr>
            <w:webHidden/>
          </w:rPr>
        </w:r>
        <w:r w:rsidR="005F7351">
          <w:rPr>
            <w:webHidden/>
          </w:rPr>
          <w:fldChar w:fldCharType="separate"/>
        </w:r>
        <w:r w:rsidR="00F2067C">
          <w:rPr>
            <w:webHidden/>
          </w:rPr>
          <w:t>72</w:t>
        </w:r>
        <w:r w:rsidR="005F7351">
          <w:rPr>
            <w:webHidden/>
          </w:rPr>
          <w:fldChar w:fldCharType="end"/>
        </w:r>
      </w:hyperlink>
    </w:p>
    <w:p w14:paraId="766E3EED" w14:textId="09C800FA" w:rsidR="005F7351" w:rsidRDefault="007F77AB">
      <w:pPr>
        <w:pStyle w:val="TOC2"/>
        <w:tabs>
          <w:tab w:val="left" w:pos="992"/>
        </w:tabs>
        <w:rPr>
          <w:rFonts w:asciiTheme="minorHAnsi" w:eastAsiaTheme="minorEastAsia" w:hAnsiTheme="minorHAnsi"/>
          <w:color w:val="auto"/>
          <w:sz w:val="22"/>
          <w:lang w:eastAsia="en-AU"/>
        </w:rPr>
      </w:pPr>
      <w:hyperlink w:anchor="_Toc3278974" w:history="1">
        <w:r w:rsidR="005F7351" w:rsidRPr="00BF74E1">
          <w:rPr>
            <w:rStyle w:val="Hyperlink"/>
          </w:rPr>
          <w:t>7.10</w:t>
        </w:r>
        <w:r w:rsidR="005F7351">
          <w:rPr>
            <w:rFonts w:asciiTheme="minorHAnsi" w:eastAsiaTheme="minorEastAsia" w:hAnsiTheme="minorHAnsi"/>
            <w:color w:val="auto"/>
            <w:sz w:val="22"/>
            <w:lang w:eastAsia="en-AU"/>
          </w:rPr>
          <w:tab/>
        </w:r>
        <w:r w:rsidR="005F7351" w:rsidRPr="00BF74E1">
          <w:rPr>
            <w:rStyle w:val="Hyperlink"/>
          </w:rPr>
          <w:t>Exposure-reduction framework</w:t>
        </w:r>
        <w:r w:rsidR="005F7351">
          <w:rPr>
            <w:webHidden/>
          </w:rPr>
          <w:tab/>
        </w:r>
        <w:r w:rsidR="005F7351">
          <w:rPr>
            <w:webHidden/>
          </w:rPr>
          <w:fldChar w:fldCharType="begin"/>
        </w:r>
        <w:r w:rsidR="005F7351">
          <w:rPr>
            <w:webHidden/>
          </w:rPr>
          <w:instrText xml:space="preserve"> PAGEREF _Toc3278974 \h </w:instrText>
        </w:r>
        <w:r w:rsidR="005F7351">
          <w:rPr>
            <w:webHidden/>
          </w:rPr>
        </w:r>
        <w:r w:rsidR="005F7351">
          <w:rPr>
            <w:webHidden/>
          </w:rPr>
          <w:fldChar w:fldCharType="separate"/>
        </w:r>
        <w:r w:rsidR="00F2067C">
          <w:rPr>
            <w:webHidden/>
          </w:rPr>
          <w:t>72</w:t>
        </w:r>
        <w:r w:rsidR="005F7351">
          <w:rPr>
            <w:webHidden/>
          </w:rPr>
          <w:fldChar w:fldCharType="end"/>
        </w:r>
      </w:hyperlink>
    </w:p>
    <w:p w14:paraId="7E710953" w14:textId="42F1CA2A" w:rsidR="005F7351" w:rsidRDefault="007F77AB">
      <w:pPr>
        <w:pStyle w:val="TOC2"/>
        <w:tabs>
          <w:tab w:val="left" w:pos="992"/>
        </w:tabs>
        <w:rPr>
          <w:rFonts w:asciiTheme="minorHAnsi" w:eastAsiaTheme="minorEastAsia" w:hAnsiTheme="minorHAnsi"/>
          <w:color w:val="auto"/>
          <w:sz w:val="22"/>
          <w:lang w:eastAsia="en-AU"/>
        </w:rPr>
      </w:pPr>
      <w:hyperlink w:anchor="_Toc3278975" w:history="1">
        <w:r w:rsidR="005F7351" w:rsidRPr="00BF74E1">
          <w:rPr>
            <w:rStyle w:val="Hyperlink"/>
          </w:rPr>
          <w:t>7.11</w:t>
        </w:r>
        <w:r w:rsidR="005F7351">
          <w:rPr>
            <w:rFonts w:asciiTheme="minorHAnsi" w:eastAsiaTheme="minorEastAsia" w:hAnsiTheme="minorHAnsi"/>
            <w:color w:val="auto"/>
            <w:sz w:val="22"/>
            <w:lang w:eastAsia="en-AU"/>
          </w:rPr>
          <w:tab/>
        </w:r>
        <w:r w:rsidR="005F7351" w:rsidRPr="00BF74E1">
          <w:rPr>
            <w:rStyle w:val="Hyperlink"/>
          </w:rPr>
          <w:t>Summary of nitrogen dioxide assessment</w:t>
        </w:r>
        <w:r w:rsidR="005F7351">
          <w:rPr>
            <w:webHidden/>
          </w:rPr>
          <w:tab/>
        </w:r>
        <w:r w:rsidR="005F7351">
          <w:rPr>
            <w:webHidden/>
          </w:rPr>
          <w:fldChar w:fldCharType="begin"/>
        </w:r>
        <w:r w:rsidR="005F7351">
          <w:rPr>
            <w:webHidden/>
          </w:rPr>
          <w:instrText xml:space="preserve"> PAGEREF _Toc3278975 \h </w:instrText>
        </w:r>
        <w:r w:rsidR="005F7351">
          <w:rPr>
            <w:webHidden/>
          </w:rPr>
        </w:r>
        <w:r w:rsidR="005F7351">
          <w:rPr>
            <w:webHidden/>
          </w:rPr>
          <w:fldChar w:fldCharType="separate"/>
        </w:r>
        <w:r w:rsidR="00F2067C">
          <w:rPr>
            <w:webHidden/>
          </w:rPr>
          <w:t>72</w:t>
        </w:r>
        <w:r w:rsidR="005F7351">
          <w:rPr>
            <w:webHidden/>
          </w:rPr>
          <w:fldChar w:fldCharType="end"/>
        </w:r>
      </w:hyperlink>
    </w:p>
    <w:p w14:paraId="517F9F7A" w14:textId="0E99B17C" w:rsidR="005F7351" w:rsidRDefault="007F77AB">
      <w:pPr>
        <w:pStyle w:val="TOC2"/>
        <w:tabs>
          <w:tab w:val="left" w:pos="992"/>
        </w:tabs>
        <w:rPr>
          <w:rFonts w:asciiTheme="minorHAnsi" w:eastAsiaTheme="minorEastAsia" w:hAnsiTheme="minorHAnsi"/>
          <w:color w:val="auto"/>
          <w:sz w:val="22"/>
          <w:lang w:eastAsia="en-AU"/>
        </w:rPr>
      </w:pPr>
      <w:hyperlink w:anchor="_Toc3278976" w:history="1">
        <w:r w:rsidR="005F7351" w:rsidRPr="00BF74E1">
          <w:rPr>
            <w:rStyle w:val="Hyperlink"/>
          </w:rPr>
          <w:t>7.12</w:t>
        </w:r>
        <w:r w:rsidR="005F7351">
          <w:rPr>
            <w:rFonts w:asciiTheme="minorHAnsi" w:eastAsiaTheme="minorEastAsia" w:hAnsiTheme="minorHAnsi"/>
            <w:color w:val="auto"/>
            <w:sz w:val="22"/>
            <w:lang w:eastAsia="en-AU"/>
          </w:rPr>
          <w:tab/>
        </w:r>
        <w:r w:rsidR="005F7351" w:rsidRPr="00BF74E1">
          <w:rPr>
            <w:rStyle w:val="Hyperlink"/>
          </w:rPr>
          <w:t>Recommendations</w:t>
        </w:r>
        <w:r w:rsidR="005F7351">
          <w:rPr>
            <w:webHidden/>
          </w:rPr>
          <w:tab/>
        </w:r>
        <w:r w:rsidR="005F7351">
          <w:rPr>
            <w:webHidden/>
          </w:rPr>
          <w:fldChar w:fldCharType="begin"/>
        </w:r>
        <w:r w:rsidR="005F7351">
          <w:rPr>
            <w:webHidden/>
          </w:rPr>
          <w:instrText xml:space="preserve"> PAGEREF _Toc3278976 \h </w:instrText>
        </w:r>
        <w:r w:rsidR="005F7351">
          <w:rPr>
            <w:webHidden/>
          </w:rPr>
        </w:r>
        <w:r w:rsidR="005F7351">
          <w:rPr>
            <w:webHidden/>
          </w:rPr>
          <w:fldChar w:fldCharType="separate"/>
        </w:r>
        <w:r w:rsidR="00F2067C">
          <w:rPr>
            <w:webHidden/>
          </w:rPr>
          <w:t>74</w:t>
        </w:r>
        <w:r w:rsidR="005F7351">
          <w:rPr>
            <w:webHidden/>
          </w:rPr>
          <w:fldChar w:fldCharType="end"/>
        </w:r>
      </w:hyperlink>
    </w:p>
    <w:p w14:paraId="2815DB92" w14:textId="17BAC507" w:rsidR="005F7351" w:rsidRDefault="007F77AB">
      <w:pPr>
        <w:pStyle w:val="TOC1"/>
        <w:rPr>
          <w:rFonts w:asciiTheme="minorHAnsi" w:eastAsiaTheme="minorEastAsia" w:hAnsiTheme="minorHAnsi"/>
          <w:color w:val="auto"/>
          <w:sz w:val="22"/>
          <w:lang w:eastAsia="en-AU"/>
        </w:rPr>
      </w:pPr>
      <w:hyperlink w:anchor="_Toc3278977" w:history="1">
        <w:r w:rsidR="005F7351" w:rsidRPr="00BF74E1">
          <w:rPr>
            <w:rStyle w:val="Hyperlink"/>
          </w:rPr>
          <w:t>8</w:t>
        </w:r>
        <w:r w:rsidR="005F7351">
          <w:rPr>
            <w:rFonts w:asciiTheme="minorHAnsi" w:eastAsiaTheme="minorEastAsia" w:hAnsiTheme="minorHAnsi"/>
            <w:color w:val="auto"/>
            <w:sz w:val="22"/>
            <w:lang w:eastAsia="en-AU"/>
          </w:rPr>
          <w:tab/>
        </w:r>
        <w:r w:rsidR="005F7351" w:rsidRPr="00BF74E1">
          <w:rPr>
            <w:rStyle w:val="Hyperlink"/>
          </w:rPr>
          <w:t>Impact assessment for ozone</w:t>
        </w:r>
        <w:r w:rsidR="005F7351">
          <w:rPr>
            <w:webHidden/>
          </w:rPr>
          <w:tab/>
        </w:r>
        <w:r w:rsidR="005F7351">
          <w:rPr>
            <w:webHidden/>
          </w:rPr>
          <w:fldChar w:fldCharType="begin"/>
        </w:r>
        <w:r w:rsidR="005F7351">
          <w:rPr>
            <w:webHidden/>
          </w:rPr>
          <w:instrText xml:space="preserve"> PAGEREF _Toc3278977 \h </w:instrText>
        </w:r>
        <w:r w:rsidR="005F7351">
          <w:rPr>
            <w:webHidden/>
          </w:rPr>
        </w:r>
        <w:r w:rsidR="005F7351">
          <w:rPr>
            <w:webHidden/>
          </w:rPr>
          <w:fldChar w:fldCharType="separate"/>
        </w:r>
        <w:r w:rsidR="00F2067C">
          <w:rPr>
            <w:webHidden/>
          </w:rPr>
          <w:t>78</w:t>
        </w:r>
        <w:r w:rsidR="005F7351">
          <w:rPr>
            <w:webHidden/>
          </w:rPr>
          <w:fldChar w:fldCharType="end"/>
        </w:r>
      </w:hyperlink>
    </w:p>
    <w:p w14:paraId="6995381E" w14:textId="79F27ADD" w:rsidR="005F7351" w:rsidRDefault="007F77AB">
      <w:pPr>
        <w:pStyle w:val="TOC2"/>
        <w:rPr>
          <w:rFonts w:asciiTheme="minorHAnsi" w:eastAsiaTheme="minorEastAsia" w:hAnsiTheme="minorHAnsi"/>
          <w:color w:val="auto"/>
          <w:sz w:val="22"/>
          <w:lang w:eastAsia="en-AU"/>
        </w:rPr>
      </w:pPr>
      <w:hyperlink w:anchor="_Toc3278978" w:history="1">
        <w:r w:rsidR="005F7351" w:rsidRPr="00BF74E1">
          <w:rPr>
            <w:rStyle w:val="Hyperlink"/>
          </w:rPr>
          <w:t>8.1</w:t>
        </w:r>
        <w:r w:rsidR="005F7351">
          <w:rPr>
            <w:rFonts w:asciiTheme="minorHAnsi" w:eastAsiaTheme="minorEastAsia" w:hAnsiTheme="minorHAnsi"/>
            <w:color w:val="auto"/>
            <w:sz w:val="22"/>
            <w:lang w:eastAsia="en-AU"/>
          </w:rPr>
          <w:tab/>
        </w:r>
        <w:r w:rsidR="005F7351" w:rsidRPr="00BF74E1">
          <w:rPr>
            <w:rStyle w:val="Hyperlink"/>
          </w:rPr>
          <w:t>Characteristics and sources</w:t>
        </w:r>
        <w:r w:rsidR="005F7351">
          <w:rPr>
            <w:webHidden/>
          </w:rPr>
          <w:tab/>
        </w:r>
        <w:r w:rsidR="005F7351">
          <w:rPr>
            <w:webHidden/>
          </w:rPr>
          <w:fldChar w:fldCharType="begin"/>
        </w:r>
        <w:r w:rsidR="005F7351">
          <w:rPr>
            <w:webHidden/>
          </w:rPr>
          <w:instrText xml:space="preserve"> PAGEREF _Toc3278978 \h </w:instrText>
        </w:r>
        <w:r w:rsidR="005F7351">
          <w:rPr>
            <w:webHidden/>
          </w:rPr>
        </w:r>
        <w:r w:rsidR="005F7351">
          <w:rPr>
            <w:webHidden/>
          </w:rPr>
          <w:fldChar w:fldCharType="separate"/>
        </w:r>
        <w:r w:rsidR="00F2067C">
          <w:rPr>
            <w:webHidden/>
          </w:rPr>
          <w:t>78</w:t>
        </w:r>
        <w:r w:rsidR="005F7351">
          <w:rPr>
            <w:webHidden/>
          </w:rPr>
          <w:fldChar w:fldCharType="end"/>
        </w:r>
      </w:hyperlink>
    </w:p>
    <w:p w14:paraId="1C96CD10" w14:textId="1CB13E32" w:rsidR="005F7351" w:rsidRDefault="007F77AB">
      <w:pPr>
        <w:pStyle w:val="TOC2"/>
        <w:rPr>
          <w:rFonts w:asciiTheme="minorHAnsi" w:eastAsiaTheme="minorEastAsia" w:hAnsiTheme="minorHAnsi"/>
          <w:color w:val="auto"/>
          <w:sz w:val="22"/>
          <w:lang w:eastAsia="en-AU"/>
        </w:rPr>
      </w:pPr>
      <w:hyperlink w:anchor="_Toc3278979" w:history="1">
        <w:r w:rsidR="005F7351" w:rsidRPr="00BF74E1">
          <w:rPr>
            <w:rStyle w:val="Hyperlink"/>
          </w:rPr>
          <w:t>8.2</w:t>
        </w:r>
        <w:r w:rsidR="005F7351">
          <w:rPr>
            <w:rFonts w:asciiTheme="minorHAnsi" w:eastAsiaTheme="minorEastAsia" w:hAnsiTheme="minorHAnsi"/>
            <w:color w:val="auto"/>
            <w:sz w:val="22"/>
            <w:lang w:eastAsia="en-AU"/>
          </w:rPr>
          <w:tab/>
        </w:r>
        <w:r w:rsidR="005F7351" w:rsidRPr="00BF74E1">
          <w:rPr>
            <w:rStyle w:val="Hyperlink"/>
          </w:rPr>
          <w:t>Health evidence</w:t>
        </w:r>
        <w:r w:rsidR="005F7351">
          <w:rPr>
            <w:webHidden/>
          </w:rPr>
          <w:tab/>
        </w:r>
        <w:r w:rsidR="005F7351">
          <w:rPr>
            <w:webHidden/>
          </w:rPr>
          <w:fldChar w:fldCharType="begin"/>
        </w:r>
        <w:r w:rsidR="005F7351">
          <w:rPr>
            <w:webHidden/>
          </w:rPr>
          <w:instrText xml:space="preserve"> PAGEREF _Toc3278979 \h </w:instrText>
        </w:r>
        <w:r w:rsidR="005F7351">
          <w:rPr>
            <w:webHidden/>
          </w:rPr>
        </w:r>
        <w:r w:rsidR="005F7351">
          <w:rPr>
            <w:webHidden/>
          </w:rPr>
          <w:fldChar w:fldCharType="separate"/>
        </w:r>
        <w:r w:rsidR="00F2067C">
          <w:rPr>
            <w:webHidden/>
          </w:rPr>
          <w:t>79</w:t>
        </w:r>
        <w:r w:rsidR="005F7351">
          <w:rPr>
            <w:webHidden/>
          </w:rPr>
          <w:fldChar w:fldCharType="end"/>
        </w:r>
      </w:hyperlink>
    </w:p>
    <w:p w14:paraId="6045A372" w14:textId="14DBFE50" w:rsidR="005F7351" w:rsidRDefault="007F77AB">
      <w:pPr>
        <w:pStyle w:val="TOC2"/>
        <w:rPr>
          <w:rFonts w:asciiTheme="minorHAnsi" w:eastAsiaTheme="minorEastAsia" w:hAnsiTheme="minorHAnsi"/>
          <w:color w:val="auto"/>
          <w:sz w:val="22"/>
          <w:lang w:eastAsia="en-AU"/>
        </w:rPr>
      </w:pPr>
      <w:hyperlink w:anchor="_Toc3278980" w:history="1">
        <w:r w:rsidR="005F7351" w:rsidRPr="00BF74E1">
          <w:rPr>
            <w:rStyle w:val="Hyperlink"/>
          </w:rPr>
          <w:t>8.3</w:t>
        </w:r>
        <w:r w:rsidR="005F7351">
          <w:rPr>
            <w:rFonts w:asciiTheme="minorHAnsi" w:eastAsiaTheme="minorEastAsia" w:hAnsiTheme="minorHAnsi"/>
            <w:color w:val="auto"/>
            <w:sz w:val="22"/>
            <w:lang w:eastAsia="en-AU"/>
          </w:rPr>
          <w:tab/>
        </w:r>
        <w:r w:rsidR="005F7351" w:rsidRPr="00BF74E1">
          <w:rPr>
            <w:rStyle w:val="Hyperlink"/>
          </w:rPr>
          <w:t>World Health Organization guidelines</w:t>
        </w:r>
        <w:r w:rsidR="005F7351">
          <w:rPr>
            <w:webHidden/>
          </w:rPr>
          <w:tab/>
        </w:r>
        <w:r w:rsidR="005F7351">
          <w:rPr>
            <w:webHidden/>
          </w:rPr>
          <w:fldChar w:fldCharType="begin"/>
        </w:r>
        <w:r w:rsidR="005F7351">
          <w:rPr>
            <w:webHidden/>
          </w:rPr>
          <w:instrText xml:space="preserve"> PAGEREF _Toc3278980 \h </w:instrText>
        </w:r>
        <w:r w:rsidR="005F7351">
          <w:rPr>
            <w:webHidden/>
          </w:rPr>
        </w:r>
        <w:r w:rsidR="005F7351">
          <w:rPr>
            <w:webHidden/>
          </w:rPr>
          <w:fldChar w:fldCharType="separate"/>
        </w:r>
        <w:r w:rsidR="00F2067C">
          <w:rPr>
            <w:webHidden/>
          </w:rPr>
          <w:t>79</w:t>
        </w:r>
        <w:r w:rsidR="005F7351">
          <w:rPr>
            <w:webHidden/>
          </w:rPr>
          <w:fldChar w:fldCharType="end"/>
        </w:r>
      </w:hyperlink>
    </w:p>
    <w:p w14:paraId="6A9C34F0" w14:textId="6CA4A4D8" w:rsidR="005F7351" w:rsidRDefault="007F77AB">
      <w:pPr>
        <w:pStyle w:val="TOC2"/>
        <w:rPr>
          <w:rFonts w:asciiTheme="minorHAnsi" w:eastAsiaTheme="minorEastAsia" w:hAnsiTheme="minorHAnsi"/>
          <w:color w:val="auto"/>
          <w:sz w:val="22"/>
          <w:lang w:eastAsia="en-AU"/>
        </w:rPr>
      </w:pPr>
      <w:hyperlink w:anchor="_Toc3278981" w:history="1">
        <w:r w:rsidR="005F7351" w:rsidRPr="00BF74E1">
          <w:rPr>
            <w:rStyle w:val="Hyperlink"/>
          </w:rPr>
          <w:t>8.4</w:t>
        </w:r>
        <w:r w:rsidR="005F7351">
          <w:rPr>
            <w:rFonts w:asciiTheme="minorHAnsi" w:eastAsiaTheme="minorEastAsia" w:hAnsiTheme="minorHAnsi"/>
            <w:color w:val="auto"/>
            <w:sz w:val="22"/>
            <w:lang w:eastAsia="en-AU"/>
          </w:rPr>
          <w:tab/>
        </w:r>
        <w:r w:rsidR="005F7351" w:rsidRPr="00BF74E1">
          <w:rPr>
            <w:rStyle w:val="Hyperlink"/>
          </w:rPr>
          <w:t>Air quality standards in other leading countries</w:t>
        </w:r>
        <w:r w:rsidR="005F7351">
          <w:rPr>
            <w:webHidden/>
          </w:rPr>
          <w:tab/>
        </w:r>
        <w:r w:rsidR="005F7351">
          <w:rPr>
            <w:webHidden/>
          </w:rPr>
          <w:fldChar w:fldCharType="begin"/>
        </w:r>
        <w:r w:rsidR="005F7351">
          <w:rPr>
            <w:webHidden/>
          </w:rPr>
          <w:instrText xml:space="preserve"> PAGEREF _Toc3278981 \h </w:instrText>
        </w:r>
        <w:r w:rsidR="005F7351">
          <w:rPr>
            <w:webHidden/>
          </w:rPr>
        </w:r>
        <w:r w:rsidR="005F7351">
          <w:rPr>
            <w:webHidden/>
          </w:rPr>
          <w:fldChar w:fldCharType="separate"/>
        </w:r>
        <w:r w:rsidR="00F2067C">
          <w:rPr>
            <w:webHidden/>
          </w:rPr>
          <w:t>80</w:t>
        </w:r>
        <w:r w:rsidR="005F7351">
          <w:rPr>
            <w:webHidden/>
          </w:rPr>
          <w:fldChar w:fldCharType="end"/>
        </w:r>
      </w:hyperlink>
    </w:p>
    <w:p w14:paraId="05A7C3F1" w14:textId="68A75394" w:rsidR="005F7351" w:rsidRDefault="007F77AB">
      <w:pPr>
        <w:pStyle w:val="TOC2"/>
        <w:rPr>
          <w:rFonts w:asciiTheme="minorHAnsi" w:eastAsiaTheme="minorEastAsia" w:hAnsiTheme="minorHAnsi"/>
          <w:color w:val="auto"/>
          <w:sz w:val="22"/>
          <w:lang w:eastAsia="en-AU"/>
        </w:rPr>
      </w:pPr>
      <w:hyperlink w:anchor="_Toc3278982" w:history="1">
        <w:r w:rsidR="005F7351" w:rsidRPr="00BF74E1">
          <w:rPr>
            <w:rStyle w:val="Hyperlink"/>
          </w:rPr>
          <w:t>8.5</w:t>
        </w:r>
        <w:r w:rsidR="005F7351">
          <w:rPr>
            <w:rFonts w:asciiTheme="minorHAnsi" w:eastAsiaTheme="minorEastAsia" w:hAnsiTheme="minorHAnsi"/>
            <w:color w:val="auto"/>
            <w:sz w:val="22"/>
            <w:lang w:eastAsia="en-AU"/>
          </w:rPr>
          <w:tab/>
        </w:r>
        <w:r w:rsidR="005F7351" w:rsidRPr="00BF74E1">
          <w:rPr>
            <w:rStyle w:val="Hyperlink"/>
          </w:rPr>
          <w:t>Proposed air quality standards for review</w:t>
        </w:r>
        <w:r w:rsidR="005F7351">
          <w:rPr>
            <w:webHidden/>
          </w:rPr>
          <w:tab/>
        </w:r>
        <w:r w:rsidR="005F7351">
          <w:rPr>
            <w:webHidden/>
          </w:rPr>
          <w:fldChar w:fldCharType="begin"/>
        </w:r>
        <w:r w:rsidR="005F7351">
          <w:rPr>
            <w:webHidden/>
          </w:rPr>
          <w:instrText xml:space="preserve"> PAGEREF _Toc3278982 \h </w:instrText>
        </w:r>
        <w:r w:rsidR="005F7351">
          <w:rPr>
            <w:webHidden/>
          </w:rPr>
        </w:r>
        <w:r w:rsidR="005F7351">
          <w:rPr>
            <w:webHidden/>
          </w:rPr>
          <w:fldChar w:fldCharType="separate"/>
        </w:r>
        <w:r w:rsidR="00F2067C">
          <w:rPr>
            <w:webHidden/>
          </w:rPr>
          <w:t>82</w:t>
        </w:r>
        <w:r w:rsidR="005F7351">
          <w:rPr>
            <w:webHidden/>
          </w:rPr>
          <w:fldChar w:fldCharType="end"/>
        </w:r>
      </w:hyperlink>
    </w:p>
    <w:p w14:paraId="1014A57B" w14:textId="4C29E67D" w:rsidR="005F7351" w:rsidRDefault="007F77AB">
      <w:pPr>
        <w:pStyle w:val="TOC2"/>
        <w:rPr>
          <w:rFonts w:asciiTheme="minorHAnsi" w:eastAsiaTheme="minorEastAsia" w:hAnsiTheme="minorHAnsi"/>
          <w:color w:val="auto"/>
          <w:sz w:val="22"/>
          <w:lang w:eastAsia="en-AU"/>
        </w:rPr>
      </w:pPr>
      <w:hyperlink w:anchor="_Toc3278983" w:history="1">
        <w:r w:rsidR="005F7351" w:rsidRPr="00BF74E1">
          <w:rPr>
            <w:rStyle w:val="Hyperlink"/>
          </w:rPr>
          <w:t>8.6</w:t>
        </w:r>
        <w:r w:rsidR="005F7351">
          <w:rPr>
            <w:rFonts w:asciiTheme="minorHAnsi" w:eastAsiaTheme="minorEastAsia" w:hAnsiTheme="minorHAnsi"/>
            <w:color w:val="auto"/>
            <w:sz w:val="22"/>
            <w:lang w:eastAsia="en-AU"/>
          </w:rPr>
          <w:tab/>
        </w:r>
        <w:r w:rsidR="005F7351" w:rsidRPr="00BF74E1">
          <w:rPr>
            <w:rStyle w:val="Hyperlink"/>
          </w:rPr>
          <w:t>Concentrations and exceedances</w:t>
        </w:r>
        <w:r w:rsidR="005F7351">
          <w:rPr>
            <w:webHidden/>
          </w:rPr>
          <w:tab/>
        </w:r>
        <w:r w:rsidR="005F7351">
          <w:rPr>
            <w:webHidden/>
          </w:rPr>
          <w:fldChar w:fldCharType="begin"/>
        </w:r>
        <w:r w:rsidR="005F7351">
          <w:rPr>
            <w:webHidden/>
          </w:rPr>
          <w:instrText xml:space="preserve"> PAGEREF _Toc3278983 \h </w:instrText>
        </w:r>
        <w:r w:rsidR="005F7351">
          <w:rPr>
            <w:webHidden/>
          </w:rPr>
        </w:r>
        <w:r w:rsidR="005F7351">
          <w:rPr>
            <w:webHidden/>
          </w:rPr>
          <w:fldChar w:fldCharType="separate"/>
        </w:r>
        <w:r w:rsidR="00F2067C">
          <w:rPr>
            <w:webHidden/>
          </w:rPr>
          <w:t>83</w:t>
        </w:r>
        <w:r w:rsidR="005F7351">
          <w:rPr>
            <w:webHidden/>
          </w:rPr>
          <w:fldChar w:fldCharType="end"/>
        </w:r>
      </w:hyperlink>
    </w:p>
    <w:p w14:paraId="031D2A9E" w14:textId="7DA0060E" w:rsidR="005F7351" w:rsidRDefault="007F77AB">
      <w:pPr>
        <w:pStyle w:val="TOC2"/>
        <w:rPr>
          <w:rFonts w:asciiTheme="minorHAnsi" w:eastAsiaTheme="minorEastAsia" w:hAnsiTheme="minorHAnsi"/>
          <w:color w:val="auto"/>
          <w:sz w:val="22"/>
          <w:lang w:eastAsia="en-AU"/>
        </w:rPr>
      </w:pPr>
      <w:hyperlink w:anchor="_Toc3278984" w:history="1">
        <w:r w:rsidR="005F7351" w:rsidRPr="00BF74E1">
          <w:rPr>
            <w:rStyle w:val="Hyperlink"/>
          </w:rPr>
          <w:t>8.7</w:t>
        </w:r>
        <w:r w:rsidR="005F7351">
          <w:rPr>
            <w:rFonts w:asciiTheme="minorHAnsi" w:eastAsiaTheme="minorEastAsia" w:hAnsiTheme="minorHAnsi"/>
            <w:color w:val="auto"/>
            <w:sz w:val="22"/>
            <w:lang w:eastAsia="en-AU"/>
          </w:rPr>
          <w:tab/>
        </w:r>
        <w:r w:rsidR="005F7351" w:rsidRPr="00BF74E1">
          <w:rPr>
            <w:rStyle w:val="Hyperlink"/>
          </w:rPr>
          <w:t>Health risk assessment</w:t>
        </w:r>
        <w:r w:rsidR="005F7351">
          <w:rPr>
            <w:webHidden/>
          </w:rPr>
          <w:tab/>
        </w:r>
        <w:r w:rsidR="005F7351">
          <w:rPr>
            <w:webHidden/>
          </w:rPr>
          <w:fldChar w:fldCharType="begin"/>
        </w:r>
        <w:r w:rsidR="005F7351">
          <w:rPr>
            <w:webHidden/>
          </w:rPr>
          <w:instrText xml:space="preserve"> PAGEREF _Toc3278984 \h </w:instrText>
        </w:r>
        <w:r w:rsidR="005F7351">
          <w:rPr>
            <w:webHidden/>
          </w:rPr>
        </w:r>
        <w:r w:rsidR="005F7351">
          <w:rPr>
            <w:webHidden/>
          </w:rPr>
          <w:fldChar w:fldCharType="separate"/>
        </w:r>
        <w:r w:rsidR="00F2067C">
          <w:rPr>
            <w:webHidden/>
          </w:rPr>
          <w:t>89</w:t>
        </w:r>
        <w:r w:rsidR="005F7351">
          <w:rPr>
            <w:webHidden/>
          </w:rPr>
          <w:fldChar w:fldCharType="end"/>
        </w:r>
      </w:hyperlink>
    </w:p>
    <w:p w14:paraId="10F89517" w14:textId="6B885438" w:rsidR="005F7351" w:rsidRDefault="007F77AB">
      <w:pPr>
        <w:pStyle w:val="TOC2"/>
        <w:rPr>
          <w:rFonts w:asciiTheme="minorHAnsi" w:eastAsiaTheme="minorEastAsia" w:hAnsiTheme="minorHAnsi"/>
          <w:color w:val="auto"/>
          <w:sz w:val="22"/>
          <w:lang w:eastAsia="en-AU"/>
        </w:rPr>
      </w:pPr>
      <w:hyperlink w:anchor="_Toc3278985" w:history="1">
        <w:r w:rsidR="005F7351" w:rsidRPr="00BF74E1">
          <w:rPr>
            <w:rStyle w:val="Hyperlink"/>
          </w:rPr>
          <w:t>8.8</w:t>
        </w:r>
        <w:r w:rsidR="005F7351">
          <w:rPr>
            <w:rFonts w:asciiTheme="minorHAnsi" w:eastAsiaTheme="minorEastAsia" w:hAnsiTheme="minorHAnsi"/>
            <w:color w:val="auto"/>
            <w:sz w:val="22"/>
            <w:lang w:eastAsia="en-AU"/>
          </w:rPr>
          <w:tab/>
        </w:r>
        <w:r w:rsidR="005F7351" w:rsidRPr="00BF74E1">
          <w:rPr>
            <w:rStyle w:val="Hyperlink"/>
          </w:rPr>
          <w:t>Cost–benefit analysis</w:t>
        </w:r>
        <w:r w:rsidR="005F7351">
          <w:rPr>
            <w:webHidden/>
          </w:rPr>
          <w:tab/>
        </w:r>
        <w:r w:rsidR="005F7351">
          <w:rPr>
            <w:webHidden/>
          </w:rPr>
          <w:fldChar w:fldCharType="begin"/>
        </w:r>
        <w:r w:rsidR="005F7351">
          <w:rPr>
            <w:webHidden/>
          </w:rPr>
          <w:instrText xml:space="preserve"> PAGEREF _Toc3278985 \h </w:instrText>
        </w:r>
        <w:r w:rsidR="005F7351">
          <w:rPr>
            <w:webHidden/>
          </w:rPr>
        </w:r>
        <w:r w:rsidR="005F7351">
          <w:rPr>
            <w:webHidden/>
          </w:rPr>
          <w:fldChar w:fldCharType="separate"/>
        </w:r>
        <w:r w:rsidR="00F2067C">
          <w:rPr>
            <w:webHidden/>
          </w:rPr>
          <w:t>91</w:t>
        </w:r>
        <w:r w:rsidR="005F7351">
          <w:rPr>
            <w:webHidden/>
          </w:rPr>
          <w:fldChar w:fldCharType="end"/>
        </w:r>
      </w:hyperlink>
    </w:p>
    <w:p w14:paraId="2B7C54D9" w14:textId="5A71C6C9" w:rsidR="005F7351" w:rsidRDefault="007F77AB">
      <w:pPr>
        <w:pStyle w:val="TOC2"/>
        <w:rPr>
          <w:rFonts w:asciiTheme="minorHAnsi" w:eastAsiaTheme="minorEastAsia" w:hAnsiTheme="minorHAnsi"/>
          <w:color w:val="auto"/>
          <w:sz w:val="22"/>
          <w:lang w:eastAsia="en-AU"/>
        </w:rPr>
      </w:pPr>
      <w:hyperlink w:anchor="_Toc3278986" w:history="1">
        <w:r w:rsidR="005F7351" w:rsidRPr="00BF74E1">
          <w:rPr>
            <w:rStyle w:val="Hyperlink"/>
          </w:rPr>
          <w:t>8.9</w:t>
        </w:r>
        <w:r w:rsidR="005F7351">
          <w:rPr>
            <w:rFonts w:asciiTheme="minorHAnsi" w:eastAsiaTheme="minorEastAsia" w:hAnsiTheme="minorHAnsi"/>
            <w:color w:val="auto"/>
            <w:sz w:val="22"/>
            <w:lang w:eastAsia="en-AU"/>
          </w:rPr>
          <w:tab/>
        </w:r>
        <w:r w:rsidR="005F7351" w:rsidRPr="00BF74E1">
          <w:rPr>
            <w:rStyle w:val="Hyperlink"/>
          </w:rPr>
          <w:t>Non-quantified benefits and disbenefits</w:t>
        </w:r>
        <w:r w:rsidR="005F7351">
          <w:rPr>
            <w:webHidden/>
          </w:rPr>
          <w:tab/>
        </w:r>
        <w:r w:rsidR="005F7351">
          <w:rPr>
            <w:webHidden/>
          </w:rPr>
          <w:fldChar w:fldCharType="begin"/>
        </w:r>
        <w:r w:rsidR="005F7351">
          <w:rPr>
            <w:webHidden/>
          </w:rPr>
          <w:instrText xml:space="preserve"> PAGEREF _Toc3278986 \h </w:instrText>
        </w:r>
        <w:r w:rsidR="005F7351">
          <w:rPr>
            <w:webHidden/>
          </w:rPr>
        </w:r>
        <w:r w:rsidR="005F7351">
          <w:rPr>
            <w:webHidden/>
          </w:rPr>
          <w:fldChar w:fldCharType="separate"/>
        </w:r>
        <w:r w:rsidR="00F2067C">
          <w:rPr>
            <w:webHidden/>
          </w:rPr>
          <w:t>91</w:t>
        </w:r>
        <w:r w:rsidR="005F7351">
          <w:rPr>
            <w:webHidden/>
          </w:rPr>
          <w:fldChar w:fldCharType="end"/>
        </w:r>
      </w:hyperlink>
    </w:p>
    <w:p w14:paraId="5BCFC9DE" w14:textId="163F018E" w:rsidR="005F7351" w:rsidRDefault="007F77AB">
      <w:pPr>
        <w:pStyle w:val="TOC2"/>
        <w:tabs>
          <w:tab w:val="left" w:pos="992"/>
        </w:tabs>
        <w:rPr>
          <w:rFonts w:asciiTheme="minorHAnsi" w:eastAsiaTheme="minorEastAsia" w:hAnsiTheme="minorHAnsi"/>
          <w:color w:val="auto"/>
          <w:sz w:val="22"/>
          <w:lang w:eastAsia="en-AU"/>
        </w:rPr>
      </w:pPr>
      <w:hyperlink w:anchor="_Toc3278987" w:history="1">
        <w:r w:rsidR="005F7351" w:rsidRPr="00BF74E1">
          <w:rPr>
            <w:rStyle w:val="Hyperlink"/>
          </w:rPr>
          <w:t>8.10</w:t>
        </w:r>
        <w:r w:rsidR="005F7351">
          <w:rPr>
            <w:rFonts w:asciiTheme="minorHAnsi" w:eastAsiaTheme="minorEastAsia" w:hAnsiTheme="minorHAnsi"/>
            <w:color w:val="auto"/>
            <w:sz w:val="22"/>
            <w:lang w:eastAsia="en-AU"/>
          </w:rPr>
          <w:tab/>
        </w:r>
        <w:r w:rsidR="005F7351" w:rsidRPr="00BF74E1">
          <w:rPr>
            <w:rStyle w:val="Hyperlink"/>
          </w:rPr>
          <w:t>Exposure-reduction framework</w:t>
        </w:r>
        <w:r w:rsidR="005F7351">
          <w:rPr>
            <w:webHidden/>
          </w:rPr>
          <w:tab/>
        </w:r>
        <w:r w:rsidR="005F7351">
          <w:rPr>
            <w:webHidden/>
          </w:rPr>
          <w:fldChar w:fldCharType="begin"/>
        </w:r>
        <w:r w:rsidR="005F7351">
          <w:rPr>
            <w:webHidden/>
          </w:rPr>
          <w:instrText xml:space="preserve"> PAGEREF _Toc3278987 \h </w:instrText>
        </w:r>
        <w:r w:rsidR="005F7351">
          <w:rPr>
            <w:webHidden/>
          </w:rPr>
        </w:r>
        <w:r w:rsidR="005F7351">
          <w:rPr>
            <w:webHidden/>
          </w:rPr>
          <w:fldChar w:fldCharType="separate"/>
        </w:r>
        <w:r w:rsidR="00F2067C">
          <w:rPr>
            <w:webHidden/>
          </w:rPr>
          <w:t>92</w:t>
        </w:r>
        <w:r w:rsidR="005F7351">
          <w:rPr>
            <w:webHidden/>
          </w:rPr>
          <w:fldChar w:fldCharType="end"/>
        </w:r>
      </w:hyperlink>
    </w:p>
    <w:p w14:paraId="4D803CF6" w14:textId="3D5C7E49" w:rsidR="005F7351" w:rsidRDefault="007F77AB">
      <w:pPr>
        <w:pStyle w:val="TOC2"/>
        <w:tabs>
          <w:tab w:val="left" w:pos="992"/>
        </w:tabs>
        <w:rPr>
          <w:rFonts w:asciiTheme="minorHAnsi" w:eastAsiaTheme="minorEastAsia" w:hAnsiTheme="minorHAnsi"/>
          <w:color w:val="auto"/>
          <w:sz w:val="22"/>
          <w:lang w:eastAsia="en-AU"/>
        </w:rPr>
      </w:pPr>
      <w:hyperlink w:anchor="_Toc3278988" w:history="1">
        <w:r w:rsidR="005F7351" w:rsidRPr="00BF74E1">
          <w:rPr>
            <w:rStyle w:val="Hyperlink"/>
          </w:rPr>
          <w:t>8.11</w:t>
        </w:r>
        <w:r w:rsidR="005F7351">
          <w:rPr>
            <w:rFonts w:asciiTheme="minorHAnsi" w:eastAsiaTheme="minorEastAsia" w:hAnsiTheme="minorHAnsi"/>
            <w:color w:val="auto"/>
            <w:sz w:val="22"/>
            <w:lang w:eastAsia="en-AU"/>
          </w:rPr>
          <w:tab/>
        </w:r>
        <w:r w:rsidR="005F7351" w:rsidRPr="00BF74E1">
          <w:rPr>
            <w:rStyle w:val="Hyperlink"/>
          </w:rPr>
          <w:t>Summary of ozone assessment</w:t>
        </w:r>
        <w:r w:rsidR="005F7351">
          <w:rPr>
            <w:webHidden/>
          </w:rPr>
          <w:tab/>
        </w:r>
        <w:r w:rsidR="005F7351">
          <w:rPr>
            <w:webHidden/>
          </w:rPr>
          <w:fldChar w:fldCharType="begin"/>
        </w:r>
        <w:r w:rsidR="005F7351">
          <w:rPr>
            <w:webHidden/>
          </w:rPr>
          <w:instrText xml:space="preserve"> PAGEREF _Toc3278988 \h </w:instrText>
        </w:r>
        <w:r w:rsidR="005F7351">
          <w:rPr>
            <w:webHidden/>
          </w:rPr>
        </w:r>
        <w:r w:rsidR="005F7351">
          <w:rPr>
            <w:webHidden/>
          </w:rPr>
          <w:fldChar w:fldCharType="separate"/>
        </w:r>
        <w:r w:rsidR="00F2067C">
          <w:rPr>
            <w:webHidden/>
          </w:rPr>
          <w:t>92</w:t>
        </w:r>
        <w:r w:rsidR="005F7351">
          <w:rPr>
            <w:webHidden/>
          </w:rPr>
          <w:fldChar w:fldCharType="end"/>
        </w:r>
      </w:hyperlink>
    </w:p>
    <w:p w14:paraId="4BAF981C" w14:textId="71A81EE1" w:rsidR="005F7351" w:rsidRDefault="007F77AB">
      <w:pPr>
        <w:pStyle w:val="TOC2"/>
        <w:tabs>
          <w:tab w:val="left" w:pos="992"/>
        </w:tabs>
        <w:rPr>
          <w:rFonts w:asciiTheme="minorHAnsi" w:eastAsiaTheme="minorEastAsia" w:hAnsiTheme="minorHAnsi"/>
          <w:color w:val="auto"/>
          <w:sz w:val="22"/>
          <w:lang w:eastAsia="en-AU"/>
        </w:rPr>
      </w:pPr>
      <w:hyperlink w:anchor="_Toc3278989" w:history="1">
        <w:r w:rsidR="005F7351" w:rsidRPr="00BF74E1">
          <w:rPr>
            <w:rStyle w:val="Hyperlink"/>
          </w:rPr>
          <w:t>8.12</w:t>
        </w:r>
        <w:r w:rsidR="005F7351">
          <w:rPr>
            <w:rFonts w:asciiTheme="minorHAnsi" w:eastAsiaTheme="minorEastAsia" w:hAnsiTheme="minorHAnsi"/>
            <w:color w:val="auto"/>
            <w:sz w:val="22"/>
            <w:lang w:eastAsia="en-AU"/>
          </w:rPr>
          <w:tab/>
        </w:r>
        <w:r w:rsidR="005F7351" w:rsidRPr="00BF74E1">
          <w:rPr>
            <w:rStyle w:val="Hyperlink"/>
          </w:rPr>
          <w:t>Recommendations</w:t>
        </w:r>
        <w:r w:rsidR="005F7351">
          <w:rPr>
            <w:webHidden/>
          </w:rPr>
          <w:tab/>
        </w:r>
        <w:r w:rsidR="005F7351">
          <w:rPr>
            <w:webHidden/>
          </w:rPr>
          <w:fldChar w:fldCharType="begin"/>
        </w:r>
        <w:r w:rsidR="005F7351">
          <w:rPr>
            <w:webHidden/>
          </w:rPr>
          <w:instrText xml:space="preserve"> PAGEREF _Toc3278989 \h </w:instrText>
        </w:r>
        <w:r w:rsidR="005F7351">
          <w:rPr>
            <w:webHidden/>
          </w:rPr>
        </w:r>
        <w:r w:rsidR="005F7351">
          <w:rPr>
            <w:webHidden/>
          </w:rPr>
          <w:fldChar w:fldCharType="separate"/>
        </w:r>
        <w:r w:rsidR="00F2067C">
          <w:rPr>
            <w:webHidden/>
          </w:rPr>
          <w:t>94</w:t>
        </w:r>
        <w:r w:rsidR="005F7351">
          <w:rPr>
            <w:webHidden/>
          </w:rPr>
          <w:fldChar w:fldCharType="end"/>
        </w:r>
      </w:hyperlink>
    </w:p>
    <w:p w14:paraId="2A6B55D8" w14:textId="2428FE60" w:rsidR="005F7351" w:rsidRDefault="007F77AB">
      <w:pPr>
        <w:pStyle w:val="TOC1"/>
        <w:rPr>
          <w:rFonts w:asciiTheme="minorHAnsi" w:eastAsiaTheme="minorEastAsia" w:hAnsiTheme="minorHAnsi"/>
          <w:color w:val="auto"/>
          <w:sz w:val="22"/>
          <w:lang w:eastAsia="en-AU"/>
        </w:rPr>
      </w:pPr>
      <w:hyperlink w:anchor="_Toc3278990" w:history="1">
        <w:r w:rsidR="005F7351" w:rsidRPr="00BF74E1">
          <w:rPr>
            <w:rStyle w:val="Hyperlink"/>
          </w:rPr>
          <w:t>9</w:t>
        </w:r>
        <w:r w:rsidR="005F7351">
          <w:rPr>
            <w:rFonts w:asciiTheme="minorHAnsi" w:eastAsiaTheme="minorEastAsia" w:hAnsiTheme="minorHAnsi"/>
            <w:color w:val="auto"/>
            <w:sz w:val="22"/>
            <w:lang w:eastAsia="en-AU"/>
          </w:rPr>
          <w:tab/>
        </w:r>
        <w:r w:rsidR="005F7351" w:rsidRPr="00BF74E1">
          <w:rPr>
            <w:rStyle w:val="Hyperlink"/>
          </w:rPr>
          <w:t>Results of cost–benefit analysis</w:t>
        </w:r>
        <w:r w:rsidR="005F7351">
          <w:rPr>
            <w:webHidden/>
          </w:rPr>
          <w:tab/>
        </w:r>
        <w:r w:rsidR="005F7351">
          <w:rPr>
            <w:webHidden/>
          </w:rPr>
          <w:fldChar w:fldCharType="begin"/>
        </w:r>
        <w:r w:rsidR="005F7351">
          <w:rPr>
            <w:webHidden/>
          </w:rPr>
          <w:instrText xml:space="preserve"> PAGEREF _Toc3278990 \h </w:instrText>
        </w:r>
        <w:r w:rsidR="005F7351">
          <w:rPr>
            <w:webHidden/>
          </w:rPr>
        </w:r>
        <w:r w:rsidR="005F7351">
          <w:rPr>
            <w:webHidden/>
          </w:rPr>
          <w:fldChar w:fldCharType="separate"/>
        </w:r>
        <w:r w:rsidR="00F2067C">
          <w:rPr>
            <w:webHidden/>
          </w:rPr>
          <w:t>100</w:t>
        </w:r>
        <w:r w:rsidR="005F7351">
          <w:rPr>
            <w:webHidden/>
          </w:rPr>
          <w:fldChar w:fldCharType="end"/>
        </w:r>
      </w:hyperlink>
    </w:p>
    <w:p w14:paraId="72C919FB" w14:textId="26D02D7E" w:rsidR="005F7351" w:rsidRDefault="007F77AB">
      <w:pPr>
        <w:pStyle w:val="TOC2"/>
        <w:rPr>
          <w:rFonts w:asciiTheme="minorHAnsi" w:eastAsiaTheme="minorEastAsia" w:hAnsiTheme="minorHAnsi"/>
          <w:color w:val="auto"/>
          <w:sz w:val="22"/>
          <w:lang w:eastAsia="en-AU"/>
        </w:rPr>
      </w:pPr>
      <w:hyperlink w:anchor="_Toc3278991" w:history="1">
        <w:r w:rsidR="005F7351" w:rsidRPr="00BF74E1">
          <w:rPr>
            <w:rStyle w:val="Hyperlink"/>
          </w:rPr>
          <w:t>9.1</w:t>
        </w:r>
        <w:r w:rsidR="005F7351">
          <w:rPr>
            <w:rFonts w:asciiTheme="minorHAnsi" w:eastAsiaTheme="minorEastAsia" w:hAnsiTheme="minorHAnsi"/>
            <w:color w:val="auto"/>
            <w:sz w:val="22"/>
            <w:lang w:eastAsia="en-AU"/>
          </w:rPr>
          <w:tab/>
        </w:r>
        <w:r w:rsidR="005F7351" w:rsidRPr="00BF74E1">
          <w:rPr>
            <w:rStyle w:val="Hyperlink"/>
          </w:rPr>
          <w:t>Cost of existing health burden</w:t>
        </w:r>
        <w:r w:rsidR="005F7351">
          <w:rPr>
            <w:webHidden/>
          </w:rPr>
          <w:tab/>
        </w:r>
        <w:r w:rsidR="005F7351">
          <w:rPr>
            <w:webHidden/>
          </w:rPr>
          <w:fldChar w:fldCharType="begin"/>
        </w:r>
        <w:r w:rsidR="005F7351">
          <w:rPr>
            <w:webHidden/>
          </w:rPr>
          <w:instrText xml:space="preserve"> PAGEREF _Toc3278991 \h </w:instrText>
        </w:r>
        <w:r w:rsidR="005F7351">
          <w:rPr>
            <w:webHidden/>
          </w:rPr>
        </w:r>
        <w:r w:rsidR="005F7351">
          <w:rPr>
            <w:webHidden/>
          </w:rPr>
          <w:fldChar w:fldCharType="separate"/>
        </w:r>
        <w:r w:rsidR="00F2067C">
          <w:rPr>
            <w:webHidden/>
          </w:rPr>
          <w:t>100</w:t>
        </w:r>
        <w:r w:rsidR="005F7351">
          <w:rPr>
            <w:webHidden/>
          </w:rPr>
          <w:fldChar w:fldCharType="end"/>
        </w:r>
      </w:hyperlink>
    </w:p>
    <w:p w14:paraId="27F69C35" w14:textId="67730FB7" w:rsidR="005F7351" w:rsidRDefault="007F77AB">
      <w:pPr>
        <w:pStyle w:val="TOC2"/>
        <w:rPr>
          <w:rFonts w:asciiTheme="minorHAnsi" w:eastAsiaTheme="minorEastAsia" w:hAnsiTheme="minorHAnsi"/>
          <w:color w:val="auto"/>
          <w:sz w:val="22"/>
          <w:lang w:eastAsia="en-AU"/>
        </w:rPr>
      </w:pPr>
      <w:hyperlink w:anchor="_Toc3278992" w:history="1">
        <w:r w:rsidR="005F7351" w:rsidRPr="00BF74E1">
          <w:rPr>
            <w:rStyle w:val="Hyperlink"/>
          </w:rPr>
          <w:t>9.2</w:t>
        </w:r>
        <w:r w:rsidR="005F7351">
          <w:rPr>
            <w:rFonts w:asciiTheme="minorHAnsi" w:eastAsiaTheme="minorEastAsia" w:hAnsiTheme="minorHAnsi"/>
            <w:color w:val="auto"/>
            <w:sz w:val="22"/>
            <w:lang w:eastAsia="en-AU"/>
          </w:rPr>
          <w:tab/>
        </w:r>
        <w:r w:rsidR="005F7351" w:rsidRPr="00BF74E1">
          <w:rPr>
            <w:rStyle w:val="Hyperlink"/>
          </w:rPr>
          <w:t>Costs and benefits of the Abatement Package</w:t>
        </w:r>
        <w:r w:rsidR="005F7351">
          <w:rPr>
            <w:webHidden/>
          </w:rPr>
          <w:tab/>
        </w:r>
        <w:r w:rsidR="005F7351">
          <w:rPr>
            <w:webHidden/>
          </w:rPr>
          <w:fldChar w:fldCharType="begin"/>
        </w:r>
        <w:r w:rsidR="005F7351">
          <w:rPr>
            <w:webHidden/>
          </w:rPr>
          <w:instrText xml:space="preserve"> PAGEREF _Toc3278992 \h </w:instrText>
        </w:r>
        <w:r w:rsidR="005F7351">
          <w:rPr>
            <w:webHidden/>
          </w:rPr>
        </w:r>
        <w:r w:rsidR="005F7351">
          <w:rPr>
            <w:webHidden/>
          </w:rPr>
          <w:fldChar w:fldCharType="separate"/>
        </w:r>
        <w:r w:rsidR="00F2067C">
          <w:rPr>
            <w:webHidden/>
          </w:rPr>
          <w:t>101</w:t>
        </w:r>
        <w:r w:rsidR="005F7351">
          <w:rPr>
            <w:webHidden/>
          </w:rPr>
          <w:fldChar w:fldCharType="end"/>
        </w:r>
      </w:hyperlink>
    </w:p>
    <w:p w14:paraId="3AD377FE" w14:textId="54033CDC" w:rsidR="005F7351" w:rsidRDefault="007F77AB">
      <w:pPr>
        <w:pStyle w:val="TOC1"/>
        <w:rPr>
          <w:rFonts w:asciiTheme="minorHAnsi" w:eastAsiaTheme="minorEastAsia" w:hAnsiTheme="minorHAnsi"/>
          <w:color w:val="auto"/>
          <w:sz w:val="22"/>
          <w:lang w:eastAsia="en-AU"/>
        </w:rPr>
      </w:pPr>
      <w:hyperlink w:anchor="_Toc3278993" w:history="1">
        <w:r w:rsidR="005F7351" w:rsidRPr="00BF74E1">
          <w:rPr>
            <w:rStyle w:val="Hyperlink"/>
          </w:rPr>
          <w:t>10</w:t>
        </w:r>
        <w:r w:rsidR="005F7351">
          <w:rPr>
            <w:rFonts w:asciiTheme="minorHAnsi" w:eastAsiaTheme="minorEastAsia" w:hAnsiTheme="minorHAnsi"/>
            <w:color w:val="auto"/>
            <w:sz w:val="22"/>
            <w:lang w:eastAsia="en-AU"/>
          </w:rPr>
          <w:tab/>
        </w:r>
        <w:r w:rsidR="005F7351" w:rsidRPr="00BF74E1">
          <w:rPr>
            <w:rStyle w:val="Hyperlink"/>
          </w:rPr>
          <w:t>Overall summary and recommendations</w:t>
        </w:r>
        <w:r w:rsidR="005F7351">
          <w:rPr>
            <w:webHidden/>
          </w:rPr>
          <w:tab/>
        </w:r>
        <w:r w:rsidR="005F7351">
          <w:rPr>
            <w:webHidden/>
          </w:rPr>
          <w:fldChar w:fldCharType="begin"/>
        </w:r>
        <w:r w:rsidR="005F7351">
          <w:rPr>
            <w:webHidden/>
          </w:rPr>
          <w:instrText xml:space="preserve"> PAGEREF _Toc3278993 \h </w:instrText>
        </w:r>
        <w:r w:rsidR="005F7351">
          <w:rPr>
            <w:webHidden/>
          </w:rPr>
        </w:r>
        <w:r w:rsidR="005F7351">
          <w:rPr>
            <w:webHidden/>
          </w:rPr>
          <w:fldChar w:fldCharType="separate"/>
        </w:r>
        <w:r w:rsidR="00F2067C">
          <w:rPr>
            <w:webHidden/>
          </w:rPr>
          <w:t>104</w:t>
        </w:r>
        <w:r w:rsidR="005F7351">
          <w:rPr>
            <w:webHidden/>
          </w:rPr>
          <w:fldChar w:fldCharType="end"/>
        </w:r>
      </w:hyperlink>
    </w:p>
    <w:p w14:paraId="5DAF23D6" w14:textId="6665EB1A" w:rsidR="005F7351" w:rsidRDefault="007F77AB">
      <w:pPr>
        <w:pStyle w:val="TOC2"/>
        <w:tabs>
          <w:tab w:val="left" w:pos="992"/>
        </w:tabs>
        <w:rPr>
          <w:rFonts w:asciiTheme="minorHAnsi" w:eastAsiaTheme="minorEastAsia" w:hAnsiTheme="minorHAnsi"/>
          <w:color w:val="auto"/>
          <w:sz w:val="22"/>
          <w:lang w:eastAsia="en-AU"/>
        </w:rPr>
      </w:pPr>
      <w:hyperlink w:anchor="_Toc3278994" w:history="1">
        <w:r w:rsidR="005F7351" w:rsidRPr="00BF74E1">
          <w:rPr>
            <w:rStyle w:val="Hyperlink"/>
          </w:rPr>
          <w:t>10.1</w:t>
        </w:r>
        <w:r w:rsidR="005F7351">
          <w:rPr>
            <w:rFonts w:asciiTheme="minorHAnsi" w:eastAsiaTheme="minorEastAsia" w:hAnsiTheme="minorHAnsi"/>
            <w:color w:val="auto"/>
            <w:sz w:val="22"/>
            <w:lang w:eastAsia="en-AU"/>
          </w:rPr>
          <w:tab/>
        </w:r>
        <w:r w:rsidR="005F7351" w:rsidRPr="00BF74E1">
          <w:rPr>
            <w:rStyle w:val="Hyperlink"/>
          </w:rPr>
          <w:t>Overview</w:t>
        </w:r>
        <w:r w:rsidR="005F7351">
          <w:rPr>
            <w:webHidden/>
          </w:rPr>
          <w:tab/>
        </w:r>
        <w:r w:rsidR="005F7351">
          <w:rPr>
            <w:webHidden/>
          </w:rPr>
          <w:fldChar w:fldCharType="begin"/>
        </w:r>
        <w:r w:rsidR="005F7351">
          <w:rPr>
            <w:webHidden/>
          </w:rPr>
          <w:instrText xml:space="preserve"> PAGEREF _Toc3278994 \h </w:instrText>
        </w:r>
        <w:r w:rsidR="005F7351">
          <w:rPr>
            <w:webHidden/>
          </w:rPr>
        </w:r>
        <w:r w:rsidR="005F7351">
          <w:rPr>
            <w:webHidden/>
          </w:rPr>
          <w:fldChar w:fldCharType="separate"/>
        </w:r>
        <w:r w:rsidR="00F2067C">
          <w:rPr>
            <w:webHidden/>
          </w:rPr>
          <w:t>104</w:t>
        </w:r>
        <w:r w:rsidR="005F7351">
          <w:rPr>
            <w:webHidden/>
          </w:rPr>
          <w:fldChar w:fldCharType="end"/>
        </w:r>
      </w:hyperlink>
    </w:p>
    <w:p w14:paraId="22FEBD68" w14:textId="6BD40596" w:rsidR="005F7351" w:rsidRDefault="007F77AB">
      <w:pPr>
        <w:pStyle w:val="TOC2"/>
        <w:tabs>
          <w:tab w:val="left" w:pos="992"/>
        </w:tabs>
        <w:rPr>
          <w:rFonts w:asciiTheme="minorHAnsi" w:eastAsiaTheme="minorEastAsia" w:hAnsiTheme="minorHAnsi"/>
          <w:color w:val="auto"/>
          <w:sz w:val="22"/>
          <w:lang w:eastAsia="en-AU"/>
        </w:rPr>
      </w:pPr>
      <w:hyperlink w:anchor="_Toc3278995" w:history="1">
        <w:r w:rsidR="005F7351" w:rsidRPr="00BF74E1">
          <w:rPr>
            <w:rStyle w:val="Hyperlink"/>
          </w:rPr>
          <w:t>10.2</w:t>
        </w:r>
        <w:r w:rsidR="005F7351">
          <w:rPr>
            <w:rFonts w:asciiTheme="minorHAnsi" w:eastAsiaTheme="minorEastAsia" w:hAnsiTheme="minorHAnsi"/>
            <w:color w:val="auto"/>
            <w:sz w:val="22"/>
            <w:lang w:eastAsia="en-AU"/>
          </w:rPr>
          <w:tab/>
        </w:r>
        <w:r w:rsidR="005F7351" w:rsidRPr="00BF74E1">
          <w:rPr>
            <w:rStyle w:val="Hyperlink"/>
          </w:rPr>
          <w:t>Recommendations for the National Environment Protection (Ambient Air Quality) Measure</w:t>
        </w:r>
        <w:r w:rsidR="005F7351">
          <w:rPr>
            <w:webHidden/>
          </w:rPr>
          <w:tab/>
        </w:r>
        <w:r w:rsidR="005F7351">
          <w:rPr>
            <w:webHidden/>
          </w:rPr>
          <w:fldChar w:fldCharType="begin"/>
        </w:r>
        <w:r w:rsidR="005F7351">
          <w:rPr>
            <w:webHidden/>
          </w:rPr>
          <w:instrText xml:space="preserve"> PAGEREF _Toc3278995 \h </w:instrText>
        </w:r>
        <w:r w:rsidR="005F7351">
          <w:rPr>
            <w:webHidden/>
          </w:rPr>
        </w:r>
        <w:r w:rsidR="005F7351">
          <w:rPr>
            <w:webHidden/>
          </w:rPr>
          <w:fldChar w:fldCharType="separate"/>
        </w:r>
        <w:r w:rsidR="00F2067C">
          <w:rPr>
            <w:webHidden/>
          </w:rPr>
          <w:t>104</w:t>
        </w:r>
        <w:r w:rsidR="005F7351">
          <w:rPr>
            <w:webHidden/>
          </w:rPr>
          <w:fldChar w:fldCharType="end"/>
        </w:r>
      </w:hyperlink>
    </w:p>
    <w:p w14:paraId="21B51181" w14:textId="25671366" w:rsidR="005F7351" w:rsidRDefault="007F77AB">
      <w:pPr>
        <w:pStyle w:val="TOC2"/>
        <w:tabs>
          <w:tab w:val="left" w:pos="992"/>
        </w:tabs>
        <w:rPr>
          <w:rFonts w:asciiTheme="minorHAnsi" w:eastAsiaTheme="minorEastAsia" w:hAnsiTheme="minorHAnsi"/>
          <w:color w:val="auto"/>
          <w:sz w:val="22"/>
          <w:lang w:eastAsia="en-AU"/>
        </w:rPr>
      </w:pPr>
      <w:hyperlink w:anchor="_Toc3278996" w:history="1">
        <w:r w:rsidR="005F7351" w:rsidRPr="00BF74E1">
          <w:rPr>
            <w:rStyle w:val="Hyperlink"/>
          </w:rPr>
          <w:t>10.3</w:t>
        </w:r>
        <w:r w:rsidR="005F7351">
          <w:rPr>
            <w:rFonts w:asciiTheme="minorHAnsi" w:eastAsiaTheme="minorEastAsia" w:hAnsiTheme="minorHAnsi"/>
            <w:color w:val="auto"/>
            <w:sz w:val="22"/>
            <w:lang w:eastAsia="en-AU"/>
          </w:rPr>
          <w:tab/>
        </w:r>
        <w:r w:rsidR="005F7351" w:rsidRPr="00BF74E1">
          <w:rPr>
            <w:rStyle w:val="Hyperlink"/>
          </w:rPr>
          <w:t>Other recommendations</w:t>
        </w:r>
        <w:r w:rsidR="005F7351">
          <w:rPr>
            <w:webHidden/>
          </w:rPr>
          <w:tab/>
        </w:r>
        <w:r w:rsidR="005F7351">
          <w:rPr>
            <w:webHidden/>
          </w:rPr>
          <w:fldChar w:fldCharType="begin"/>
        </w:r>
        <w:r w:rsidR="005F7351">
          <w:rPr>
            <w:webHidden/>
          </w:rPr>
          <w:instrText xml:space="preserve"> PAGEREF _Toc3278996 \h </w:instrText>
        </w:r>
        <w:r w:rsidR="005F7351">
          <w:rPr>
            <w:webHidden/>
          </w:rPr>
        </w:r>
        <w:r w:rsidR="005F7351">
          <w:rPr>
            <w:webHidden/>
          </w:rPr>
          <w:fldChar w:fldCharType="separate"/>
        </w:r>
        <w:r w:rsidR="00F2067C">
          <w:rPr>
            <w:webHidden/>
          </w:rPr>
          <w:t>106</w:t>
        </w:r>
        <w:r w:rsidR="005F7351">
          <w:rPr>
            <w:webHidden/>
          </w:rPr>
          <w:fldChar w:fldCharType="end"/>
        </w:r>
      </w:hyperlink>
    </w:p>
    <w:p w14:paraId="3A6D49B8" w14:textId="4223ED7F" w:rsidR="005F7351" w:rsidRDefault="007F77AB">
      <w:pPr>
        <w:pStyle w:val="TOC1"/>
        <w:rPr>
          <w:rFonts w:asciiTheme="minorHAnsi" w:eastAsiaTheme="minorEastAsia" w:hAnsiTheme="minorHAnsi"/>
          <w:color w:val="auto"/>
          <w:sz w:val="22"/>
          <w:lang w:eastAsia="en-AU"/>
        </w:rPr>
      </w:pPr>
      <w:hyperlink w:anchor="_Toc3278997" w:history="1">
        <w:r w:rsidR="005F7351" w:rsidRPr="00BF74E1">
          <w:rPr>
            <w:rStyle w:val="Hyperlink"/>
          </w:rPr>
          <w:t>11</w:t>
        </w:r>
        <w:r w:rsidR="005F7351">
          <w:rPr>
            <w:rFonts w:asciiTheme="minorHAnsi" w:eastAsiaTheme="minorEastAsia" w:hAnsiTheme="minorHAnsi"/>
            <w:color w:val="auto"/>
            <w:sz w:val="22"/>
            <w:lang w:eastAsia="en-AU"/>
          </w:rPr>
          <w:tab/>
        </w:r>
        <w:r w:rsidR="005F7351" w:rsidRPr="00BF74E1">
          <w:rPr>
            <w:rStyle w:val="Hyperlink"/>
          </w:rPr>
          <w:t>Limitations and uncertainties</w:t>
        </w:r>
        <w:r w:rsidR="005F7351">
          <w:rPr>
            <w:webHidden/>
          </w:rPr>
          <w:tab/>
        </w:r>
        <w:r w:rsidR="005F7351">
          <w:rPr>
            <w:webHidden/>
          </w:rPr>
          <w:fldChar w:fldCharType="begin"/>
        </w:r>
        <w:r w:rsidR="005F7351">
          <w:rPr>
            <w:webHidden/>
          </w:rPr>
          <w:instrText xml:space="preserve"> PAGEREF _Toc3278997 \h </w:instrText>
        </w:r>
        <w:r w:rsidR="005F7351">
          <w:rPr>
            <w:webHidden/>
          </w:rPr>
        </w:r>
        <w:r w:rsidR="005F7351">
          <w:rPr>
            <w:webHidden/>
          </w:rPr>
          <w:fldChar w:fldCharType="separate"/>
        </w:r>
        <w:r w:rsidR="00F2067C">
          <w:rPr>
            <w:webHidden/>
          </w:rPr>
          <w:t>107</w:t>
        </w:r>
        <w:r w:rsidR="005F7351">
          <w:rPr>
            <w:webHidden/>
          </w:rPr>
          <w:fldChar w:fldCharType="end"/>
        </w:r>
      </w:hyperlink>
    </w:p>
    <w:p w14:paraId="0DB1F91B" w14:textId="79CB09EF" w:rsidR="005F7351" w:rsidRDefault="007F77AB">
      <w:pPr>
        <w:pStyle w:val="TOC2"/>
        <w:tabs>
          <w:tab w:val="left" w:pos="992"/>
        </w:tabs>
        <w:rPr>
          <w:rFonts w:asciiTheme="minorHAnsi" w:eastAsiaTheme="minorEastAsia" w:hAnsiTheme="minorHAnsi"/>
          <w:color w:val="auto"/>
          <w:sz w:val="22"/>
          <w:lang w:eastAsia="en-AU"/>
        </w:rPr>
      </w:pPr>
      <w:hyperlink w:anchor="_Toc3278998" w:history="1">
        <w:r w:rsidR="005F7351" w:rsidRPr="00BF74E1">
          <w:rPr>
            <w:rStyle w:val="Hyperlink"/>
          </w:rPr>
          <w:t>11.1</w:t>
        </w:r>
        <w:r w:rsidR="005F7351">
          <w:rPr>
            <w:rFonts w:asciiTheme="minorHAnsi" w:eastAsiaTheme="minorEastAsia" w:hAnsiTheme="minorHAnsi"/>
            <w:color w:val="auto"/>
            <w:sz w:val="22"/>
            <w:lang w:eastAsia="en-AU"/>
          </w:rPr>
          <w:tab/>
        </w:r>
        <w:r w:rsidR="005F7351" w:rsidRPr="00BF74E1">
          <w:rPr>
            <w:rStyle w:val="Hyperlink"/>
          </w:rPr>
          <w:t>Overview</w:t>
        </w:r>
        <w:r w:rsidR="005F7351">
          <w:rPr>
            <w:webHidden/>
          </w:rPr>
          <w:tab/>
        </w:r>
        <w:r w:rsidR="005F7351">
          <w:rPr>
            <w:webHidden/>
          </w:rPr>
          <w:fldChar w:fldCharType="begin"/>
        </w:r>
        <w:r w:rsidR="005F7351">
          <w:rPr>
            <w:webHidden/>
          </w:rPr>
          <w:instrText xml:space="preserve"> PAGEREF _Toc3278998 \h </w:instrText>
        </w:r>
        <w:r w:rsidR="005F7351">
          <w:rPr>
            <w:webHidden/>
          </w:rPr>
        </w:r>
        <w:r w:rsidR="005F7351">
          <w:rPr>
            <w:webHidden/>
          </w:rPr>
          <w:fldChar w:fldCharType="separate"/>
        </w:r>
        <w:r w:rsidR="00F2067C">
          <w:rPr>
            <w:webHidden/>
          </w:rPr>
          <w:t>107</w:t>
        </w:r>
        <w:r w:rsidR="005F7351">
          <w:rPr>
            <w:webHidden/>
          </w:rPr>
          <w:fldChar w:fldCharType="end"/>
        </w:r>
      </w:hyperlink>
    </w:p>
    <w:p w14:paraId="7FAE2B70" w14:textId="79434C40" w:rsidR="005F7351" w:rsidRDefault="007F77AB">
      <w:pPr>
        <w:pStyle w:val="TOC2"/>
        <w:tabs>
          <w:tab w:val="left" w:pos="992"/>
        </w:tabs>
        <w:rPr>
          <w:rFonts w:asciiTheme="minorHAnsi" w:eastAsiaTheme="minorEastAsia" w:hAnsiTheme="minorHAnsi"/>
          <w:color w:val="auto"/>
          <w:sz w:val="22"/>
          <w:lang w:eastAsia="en-AU"/>
        </w:rPr>
      </w:pPr>
      <w:hyperlink w:anchor="_Toc3278999" w:history="1">
        <w:r w:rsidR="005F7351" w:rsidRPr="00BF74E1">
          <w:rPr>
            <w:rStyle w:val="Hyperlink"/>
          </w:rPr>
          <w:t>11.2</w:t>
        </w:r>
        <w:r w:rsidR="005F7351">
          <w:rPr>
            <w:rFonts w:asciiTheme="minorHAnsi" w:eastAsiaTheme="minorEastAsia" w:hAnsiTheme="minorHAnsi"/>
            <w:color w:val="auto"/>
            <w:sz w:val="22"/>
            <w:lang w:eastAsia="en-AU"/>
          </w:rPr>
          <w:tab/>
        </w:r>
        <w:r w:rsidR="005F7351" w:rsidRPr="00BF74E1">
          <w:rPr>
            <w:rStyle w:val="Hyperlink"/>
          </w:rPr>
          <w:t>Dispersion modelling</w:t>
        </w:r>
        <w:r w:rsidR="005F7351">
          <w:rPr>
            <w:webHidden/>
          </w:rPr>
          <w:tab/>
        </w:r>
        <w:r w:rsidR="005F7351">
          <w:rPr>
            <w:webHidden/>
          </w:rPr>
          <w:fldChar w:fldCharType="begin"/>
        </w:r>
        <w:r w:rsidR="005F7351">
          <w:rPr>
            <w:webHidden/>
          </w:rPr>
          <w:instrText xml:space="preserve"> PAGEREF _Toc3278999 \h </w:instrText>
        </w:r>
        <w:r w:rsidR="005F7351">
          <w:rPr>
            <w:webHidden/>
          </w:rPr>
        </w:r>
        <w:r w:rsidR="005F7351">
          <w:rPr>
            <w:webHidden/>
          </w:rPr>
          <w:fldChar w:fldCharType="separate"/>
        </w:r>
        <w:r w:rsidR="00F2067C">
          <w:rPr>
            <w:webHidden/>
          </w:rPr>
          <w:t>107</w:t>
        </w:r>
        <w:r w:rsidR="005F7351">
          <w:rPr>
            <w:webHidden/>
          </w:rPr>
          <w:fldChar w:fldCharType="end"/>
        </w:r>
      </w:hyperlink>
    </w:p>
    <w:p w14:paraId="57C57573" w14:textId="64D544B7" w:rsidR="005F7351" w:rsidRDefault="007F77AB">
      <w:pPr>
        <w:pStyle w:val="TOC2"/>
        <w:tabs>
          <w:tab w:val="left" w:pos="992"/>
        </w:tabs>
        <w:rPr>
          <w:rFonts w:asciiTheme="minorHAnsi" w:eastAsiaTheme="minorEastAsia" w:hAnsiTheme="minorHAnsi"/>
          <w:color w:val="auto"/>
          <w:sz w:val="22"/>
          <w:lang w:eastAsia="en-AU"/>
        </w:rPr>
      </w:pPr>
      <w:hyperlink w:anchor="_Toc3279000" w:history="1">
        <w:r w:rsidR="005F7351" w:rsidRPr="00BF74E1">
          <w:rPr>
            <w:rStyle w:val="Hyperlink"/>
          </w:rPr>
          <w:t>11.3</w:t>
        </w:r>
        <w:r w:rsidR="005F7351">
          <w:rPr>
            <w:rFonts w:asciiTheme="minorHAnsi" w:eastAsiaTheme="minorEastAsia" w:hAnsiTheme="minorHAnsi"/>
            <w:color w:val="auto"/>
            <w:sz w:val="22"/>
            <w:lang w:eastAsia="en-AU"/>
          </w:rPr>
          <w:tab/>
        </w:r>
        <w:r w:rsidR="005F7351" w:rsidRPr="00BF74E1">
          <w:rPr>
            <w:rStyle w:val="Hyperlink"/>
          </w:rPr>
          <w:t>Health risk assessment</w:t>
        </w:r>
        <w:r w:rsidR="005F7351">
          <w:rPr>
            <w:webHidden/>
          </w:rPr>
          <w:tab/>
        </w:r>
        <w:r w:rsidR="005F7351">
          <w:rPr>
            <w:webHidden/>
          </w:rPr>
          <w:fldChar w:fldCharType="begin"/>
        </w:r>
        <w:r w:rsidR="005F7351">
          <w:rPr>
            <w:webHidden/>
          </w:rPr>
          <w:instrText xml:space="preserve"> PAGEREF _Toc3279000 \h </w:instrText>
        </w:r>
        <w:r w:rsidR="005F7351">
          <w:rPr>
            <w:webHidden/>
          </w:rPr>
        </w:r>
        <w:r w:rsidR="005F7351">
          <w:rPr>
            <w:webHidden/>
          </w:rPr>
          <w:fldChar w:fldCharType="separate"/>
        </w:r>
        <w:r w:rsidR="00F2067C">
          <w:rPr>
            <w:webHidden/>
          </w:rPr>
          <w:t>107</w:t>
        </w:r>
        <w:r w:rsidR="005F7351">
          <w:rPr>
            <w:webHidden/>
          </w:rPr>
          <w:fldChar w:fldCharType="end"/>
        </w:r>
      </w:hyperlink>
    </w:p>
    <w:p w14:paraId="4D37B017" w14:textId="4FB07758" w:rsidR="005F7351" w:rsidRDefault="007F77AB">
      <w:pPr>
        <w:pStyle w:val="TOC2"/>
        <w:tabs>
          <w:tab w:val="left" w:pos="992"/>
        </w:tabs>
        <w:rPr>
          <w:rFonts w:asciiTheme="minorHAnsi" w:eastAsiaTheme="minorEastAsia" w:hAnsiTheme="minorHAnsi"/>
          <w:color w:val="auto"/>
          <w:sz w:val="22"/>
          <w:lang w:eastAsia="en-AU"/>
        </w:rPr>
      </w:pPr>
      <w:hyperlink w:anchor="_Toc3279001" w:history="1">
        <w:r w:rsidR="005F7351" w:rsidRPr="00BF74E1">
          <w:rPr>
            <w:rStyle w:val="Hyperlink"/>
          </w:rPr>
          <w:t>11.4</w:t>
        </w:r>
        <w:r w:rsidR="005F7351">
          <w:rPr>
            <w:rFonts w:asciiTheme="minorHAnsi" w:eastAsiaTheme="minorEastAsia" w:hAnsiTheme="minorHAnsi"/>
            <w:color w:val="auto"/>
            <w:sz w:val="22"/>
            <w:lang w:eastAsia="en-AU"/>
          </w:rPr>
          <w:tab/>
        </w:r>
        <w:r w:rsidR="005F7351" w:rsidRPr="00BF74E1">
          <w:rPr>
            <w:rStyle w:val="Hyperlink"/>
          </w:rPr>
          <w:t>Cost–benefit analysis</w:t>
        </w:r>
        <w:r w:rsidR="005F7351">
          <w:rPr>
            <w:webHidden/>
          </w:rPr>
          <w:tab/>
        </w:r>
        <w:r w:rsidR="005F7351">
          <w:rPr>
            <w:webHidden/>
          </w:rPr>
          <w:fldChar w:fldCharType="begin"/>
        </w:r>
        <w:r w:rsidR="005F7351">
          <w:rPr>
            <w:webHidden/>
          </w:rPr>
          <w:instrText xml:space="preserve"> PAGEREF _Toc3279001 \h </w:instrText>
        </w:r>
        <w:r w:rsidR="005F7351">
          <w:rPr>
            <w:webHidden/>
          </w:rPr>
        </w:r>
        <w:r w:rsidR="005F7351">
          <w:rPr>
            <w:webHidden/>
          </w:rPr>
          <w:fldChar w:fldCharType="separate"/>
        </w:r>
        <w:r w:rsidR="00F2067C">
          <w:rPr>
            <w:webHidden/>
          </w:rPr>
          <w:t>108</w:t>
        </w:r>
        <w:r w:rsidR="005F7351">
          <w:rPr>
            <w:webHidden/>
          </w:rPr>
          <w:fldChar w:fldCharType="end"/>
        </w:r>
      </w:hyperlink>
    </w:p>
    <w:p w14:paraId="6C6B5119" w14:textId="76EEC1DF" w:rsidR="005F7351" w:rsidRDefault="007F77AB">
      <w:pPr>
        <w:pStyle w:val="TOC1"/>
        <w:rPr>
          <w:rFonts w:asciiTheme="minorHAnsi" w:eastAsiaTheme="minorEastAsia" w:hAnsiTheme="minorHAnsi"/>
          <w:color w:val="auto"/>
          <w:sz w:val="22"/>
          <w:lang w:eastAsia="en-AU"/>
        </w:rPr>
      </w:pPr>
      <w:hyperlink w:anchor="_Toc3279002" w:history="1">
        <w:r w:rsidR="005F7351" w:rsidRPr="00BF74E1">
          <w:rPr>
            <w:rStyle w:val="Hyperlink"/>
          </w:rPr>
          <w:t>12</w:t>
        </w:r>
        <w:r w:rsidR="005F7351">
          <w:rPr>
            <w:rFonts w:asciiTheme="minorHAnsi" w:eastAsiaTheme="minorEastAsia" w:hAnsiTheme="minorHAnsi"/>
            <w:color w:val="auto"/>
            <w:sz w:val="22"/>
            <w:lang w:eastAsia="en-AU"/>
          </w:rPr>
          <w:tab/>
        </w:r>
        <w:r w:rsidR="005F7351" w:rsidRPr="00BF74E1">
          <w:rPr>
            <w:rStyle w:val="Hyperlink"/>
          </w:rPr>
          <w:t>Consultation</w:t>
        </w:r>
        <w:r w:rsidR="005F7351">
          <w:rPr>
            <w:webHidden/>
          </w:rPr>
          <w:tab/>
        </w:r>
        <w:r w:rsidR="005F7351">
          <w:rPr>
            <w:webHidden/>
          </w:rPr>
          <w:fldChar w:fldCharType="begin"/>
        </w:r>
        <w:r w:rsidR="005F7351">
          <w:rPr>
            <w:webHidden/>
          </w:rPr>
          <w:instrText xml:space="preserve"> PAGEREF _Toc3279002 \h </w:instrText>
        </w:r>
        <w:r w:rsidR="005F7351">
          <w:rPr>
            <w:webHidden/>
          </w:rPr>
        </w:r>
        <w:r w:rsidR="005F7351">
          <w:rPr>
            <w:webHidden/>
          </w:rPr>
          <w:fldChar w:fldCharType="separate"/>
        </w:r>
        <w:r w:rsidR="00F2067C">
          <w:rPr>
            <w:webHidden/>
          </w:rPr>
          <w:t>109</w:t>
        </w:r>
        <w:r w:rsidR="005F7351">
          <w:rPr>
            <w:webHidden/>
          </w:rPr>
          <w:fldChar w:fldCharType="end"/>
        </w:r>
      </w:hyperlink>
    </w:p>
    <w:p w14:paraId="6C1317C0" w14:textId="03679C13" w:rsidR="005F7351" w:rsidRDefault="007F77AB">
      <w:pPr>
        <w:pStyle w:val="TOC1"/>
        <w:rPr>
          <w:rFonts w:asciiTheme="minorHAnsi" w:eastAsiaTheme="minorEastAsia" w:hAnsiTheme="minorHAnsi"/>
          <w:color w:val="auto"/>
          <w:sz w:val="22"/>
          <w:lang w:eastAsia="en-AU"/>
        </w:rPr>
      </w:pPr>
      <w:hyperlink w:anchor="_Toc3279003" w:history="1">
        <w:r w:rsidR="005F7351" w:rsidRPr="00BF74E1">
          <w:rPr>
            <w:rStyle w:val="Hyperlink"/>
          </w:rPr>
          <w:t>13</w:t>
        </w:r>
        <w:r w:rsidR="005F7351">
          <w:rPr>
            <w:rFonts w:asciiTheme="minorHAnsi" w:eastAsiaTheme="minorEastAsia" w:hAnsiTheme="minorHAnsi"/>
            <w:color w:val="auto"/>
            <w:sz w:val="22"/>
            <w:lang w:eastAsia="en-AU"/>
          </w:rPr>
          <w:tab/>
        </w:r>
        <w:r w:rsidR="005F7351" w:rsidRPr="00BF74E1">
          <w:rPr>
            <w:rStyle w:val="Hyperlink"/>
          </w:rPr>
          <w:t>References</w:t>
        </w:r>
        <w:r w:rsidR="005F7351">
          <w:rPr>
            <w:webHidden/>
          </w:rPr>
          <w:tab/>
        </w:r>
        <w:r w:rsidR="005F7351">
          <w:rPr>
            <w:webHidden/>
          </w:rPr>
          <w:fldChar w:fldCharType="begin"/>
        </w:r>
        <w:r w:rsidR="005F7351">
          <w:rPr>
            <w:webHidden/>
          </w:rPr>
          <w:instrText xml:space="preserve"> PAGEREF _Toc3279003 \h </w:instrText>
        </w:r>
        <w:r w:rsidR="005F7351">
          <w:rPr>
            <w:webHidden/>
          </w:rPr>
        </w:r>
        <w:r w:rsidR="005F7351">
          <w:rPr>
            <w:webHidden/>
          </w:rPr>
          <w:fldChar w:fldCharType="separate"/>
        </w:r>
        <w:r w:rsidR="00F2067C">
          <w:rPr>
            <w:webHidden/>
          </w:rPr>
          <w:t>112</w:t>
        </w:r>
        <w:r w:rsidR="005F7351">
          <w:rPr>
            <w:webHidden/>
          </w:rPr>
          <w:fldChar w:fldCharType="end"/>
        </w:r>
      </w:hyperlink>
    </w:p>
    <w:p w14:paraId="7DA25B98" w14:textId="7970D82C" w:rsidR="00F456A1" w:rsidRPr="005060E0" w:rsidRDefault="00F456A1" w:rsidP="00B246FA">
      <w:pPr>
        <w:pStyle w:val="BodyText"/>
        <w:tabs>
          <w:tab w:val="left" w:pos="1701"/>
        </w:tabs>
        <w:spacing w:before="120" w:after="0" w:line="260" w:lineRule="atLeast"/>
        <w:ind w:left="1701" w:hanging="1701"/>
        <w:rPr>
          <w:color w:val="0076C0"/>
          <w:sz w:val="24"/>
        </w:rPr>
      </w:pPr>
      <w:r>
        <w:rPr>
          <w:noProof/>
          <w:color w:val="0076C0"/>
          <w:sz w:val="24"/>
        </w:rPr>
        <w:fldChar w:fldCharType="end"/>
      </w:r>
      <w:r w:rsidRPr="005060E0">
        <w:rPr>
          <w:color w:val="0076C0"/>
          <w:sz w:val="24"/>
        </w:rPr>
        <w:t>Appendix A:</w:t>
      </w:r>
      <w:r w:rsidRPr="005060E0">
        <w:rPr>
          <w:color w:val="0076C0"/>
          <w:sz w:val="24"/>
        </w:rPr>
        <w:tab/>
        <w:t>Air quality report</w:t>
      </w:r>
    </w:p>
    <w:p w14:paraId="58A0E269" w14:textId="77777777" w:rsidR="00F456A1" w:rsidRPr="005060E0" w:rsidRDefault="00F456A1" w:rsidP="00B246FA">
      <w:pPr>
        <w:pStyle w:val="BodyText"/>
        <w:tabs>
          <w:tab w:val="left" w:pos="1701"/>
        </w:tabs>
        <w:spacing w:before="90" w:after="0" w:line="260" w:lineRule="atLeast"/>
        <w:ind w:left="1701" w:hanging="1701"/>
        <w:rPr>
          <w:color w:val="0076C0"/>
          <w:sz w:val="24"/>
        </w:rPr>
      </w:pPr>
      <w:r w:rsidRPr="005060E0">
        <w:rPr>
          <w:color w:val="0076C0"/>
          <w:sz w:val="24"/>
        </w:rPr>
        <w:t>Appendix B:</w:t>
      </w:r>
      <w:r w:rsidRPr="005060E0">
        <w:rPr>
          <w:color w:val="0076C0"/>
          <w:sz w:val="24"/>
        </w:rPr>
        <w:tab/>
        <w:t>Health risk assessment report</w:t>
      </w:r>
    </w:p>
    <w:p w14:paraId="2D03B20D" w14:textId="78D9ED60" w:rsidR="00F456A1" w:rsidRPr="005060E0" w:rsidRDefault="00F456A1" w:rsidP="00B246FA">
      <w:pPr>
        <w:pStyle w:val="BodyText"/>
        <w:tabs>
          <w:tab w:val="left" w:pos="1701"/>
        </w:tabs>
        <w:spacing w:before="90" w:after="0" w:line="260" w:lineRule="atLeast"/>
        <w:ind w:left="1701" w:hanging="1701"/>
      </w:pPr>
      <w:r w:rsidRPr="005060E0">
        <w:rPr>
          <w:color w:val="0076C0"/>
          <w:sz w:val="24"/>
        </w:rPr>
        <w:t>Appendix C:</w:t>
      </w:r>
      <w:r w:rsidRPr="005060E0">
        <w:rPr>
          <w:color w:val="0076C0"/>
          <w:sz w:val="24"/>
        </w:rPr>
        <w:tab/>
        <w:t>Cost–benefit analysis report</w:t>
      </w:r>
    </w:p>
    <w:p w14:paraId="5A38F9B1" w14:textId="77777777" w:rsidR="00861C04" w:rsidRDefault="00861C04" w:rsidP="00F456A1">
      <w:pPr>
        <w:pStyle w:val="Heading1nonum"/>
        <w:pageBreakBefore/>
        <w:sectPr w:rsidR="00861C04" w:rsidSect="00512B87">
          <w:headerReference w:type="default" r:id="rId10"/>
          <w:footerReference w:type="default" r:id="rId11"/>
          <w:pgSz w:w="11906" w:h="16838" w:code="9"/>
          <w:pgMar w:top="1440" w:right="1134" w:bottom="1701" w:left="1134" w:header="709" w:footer="130" w:gutter="0"/>
          <w:pgNumType w:fmt="lowerRoman"/>
          <w:cols w:space="708"/>
          <w:docGrid w:linePitch="360"/>
        </w:sectPr>
      </w:pPr>
    </w:p>
    <w:p w14:paraId="5BFE261E" w14:textId="596A3325" w:rsidR="00F456A1" w:rsidRPr="005060E0" w:rsidRDefault="00F456A1" w:rsidP="00F456A1">
      <w:pPr>
        <w:pStyle w:val="Heading1nonum"/>
        <w:pageBreakBefore/>
      </w:pPr>
      <w:bookmarkStart w:id="2" w:name="_Toc3278913"/>
      <w:r w:rsidRPr="005060E0">
        <w:lastRenderedPageBreak/>
        <w:t>Executive summary</w:t>
      </w:r>
      <w:bookmarkEnd w:id="2"/>
    </w:p>
    <w:p w14:paraId="40093DD1" w14:textId="77777777" w:rsidR="00F456A1" w:rsidRPr="005060E0" w:rsidRDefault="00F456A1" w:rsidP="00F456A1">
      <w:pPr>
        <w:spacing w:before="320" w:after="120"/>
        <w:rPr>
          <w:b/>
          <w:sz w:val="28"/>
          <w:szCs w:val="28"/>
          <w:highlight w:val="yellow"/>
        </w:rPr>
      </w:pPr>
      <w:r w:rsidRPr="005060E0">
        <w:rPr>
          <w:b/>
          <w:color w:val="0070C0"/>
          <w:sz w:val="28"/>
          <w:szCs w:val="28"/>
        </w:rPr>
        <w:t>E.1</w:t>
      </w:r>
      <w:r w:rsidRPr="005060E0">
        <w:rPr>
          <w:b/>
          <w:color w:val="0070C0"/>
          <w:sz w:val="28"/>
          <w:szCs w:val="28"/>
        </w:rPr>
        <w:tab/>
        <w:t>Introduction</w:t>
      </w:r>
    </w:p>
    <w:p w14:paraId="3D954A80" w14:textId="77777777" w:rsidR="00F456A1" w:rsidRPr="005060E0" w:rsidRDefault="00F456A1" w:rsidP="00F456A1">
      <w:pPr>
        <w:spacing w:after="140"/>
      </w:pPr>
      <w:r w:rsidRPr="005060E0">
        <w:t xml:space="preserve">This Impact Statement has been prepared for the National Environment Protection Council (NEPC) with reference to the requirements of the </w:t>
      </w:r>
      <w:r w:rsidRPr="005060E0">
        <w:rPr>
          <w:i/>
        </w:rPr>
        <w:t>National Environment Protection Act 1994</w:t>
      </w:r>
      <w:r w:rsidRPr="005060E0">
        <w:t xml:space="preserve"> (NEPC Act</w:t>
      </w:r>
      <w:r>
        <w:t>)</w:t>
      </w:r>
      <w:r w:rsidRPr="005060E0">
        <w:t>. It provides information on the sulfur dioxide (SO</w:t>
      </w:r>
      <w:r w:rsidRPr="005060E0">
        <w:rPr>
          <w:vertAlign w:val="subscript"/>
        </w:rPr>
        <w:t>2</w:t>
      </w:r>
      <w:r w:rsidRPr="005060E0">
        <w:t>), nitrogen dioxide (NO</w:t>
      </w:r>
      <w:r w:rsidRPr="005060E0">
        <w:rPr>
          <w:vertAlign w:val="subscript"/>
        </w:rPr>
        <w:t>2</w:t>
      </w:r>
      <w:r w:rsidRPr="005060E0">
        <w:t>) and ozone (O</w:t>
      </w:r>
      <w:r w:rsidRPr="005060E0">
        <w:rPr>
          <w:vertAlign w:val="subscript"/>
        </w:rPr>
        <w:t>3</w:t>
      </w:r>
      <w:r w:rsidRPr="005060E0">
        <w:t xml:space="preserve">) standards in the National Environment Protection (Ambient Air Quality) Measure (AAQ NEPM) and options to vary standards. </w:t>
      </w:r>
      <w:r w:rsidRPr="005060E0">
        <w:rPr>
          <w:szCs w:val="20"/>
        </w:rPr>
        <w:t>The scope of the Impact Statement was defined largely in terms of the recommendations of the AAQ NEPM review (NEPC 2011a).</w:t>
      </w:r>
      <w:r w:rsidRPr="005060E0">
        <w:t xml:space="preserve"> </w:t>
      </w:r>
    </w:p>
    <w:p w14:paraId="2357E698" w14:textId="77777777" w:rsidR="00F456A1" w:rsidRPr="005060E0" w:rsidRDefault="00F456A1" w:rsidP="00F456A1">
      <w:pPr>
        <w:spacing w:after="140"/>
        <w:rPr>
          <w:szCs w:val="20"/>
        </w:rPr>
      </w:pPr>
      <w:r w:rsidRPr="005060E0">
        <w:rPr>
          <w:szCs w:val="20"/>
        </w:rPr>
        <w:t xml:space="preserve">The standards in the AAQ NEPM were based on the understanding of the health effects at the time it was introduced (1998). There is now a large body of information that identifies health effects associated with exposure to air pollution at levels below the current AAQ NEPM standards. Even at levels currently experienced in Australian </w:t>
      </w:r>
      <w:r>
        <w:rPr>
          <w:szCs w:val="20"/>
        </w:rPr>
        <w:t>c</w:t>
      </w:r>
      <w:r w:rsidRPr="005060E0">
        <w:rPr>
          <w:szCs w:val="20"/>
        </w:rPr>
        <w:t>ities, there are strong associations between exposure to NO</w:t>
      </w:r>
      <w:r w:rsidRPr="005060E0">
        <w:rPr>
          <w:szCs w:val="20"/>
          <w:vertAlign w:val="subscript"/>
        </w:rPr>
        <w:t>2</w:t>
      </w:r>
      <w:r w:rsidRPr="005060E0">
        <w:rPr>
          <w:szCs w:val="20"/>
        </w:rPr>
        <w:t>, O</w:t>
      </w:r>
      <w:r w:rsidRPr="005060E0">
        <w:rPr>
          <w:szCs w:val="20"/>
          <w:vertAlign w:val="subscript"/>
        </w:rPr>
        <w:t>3</w:t>
      </w:r>
      <w:r w:rsidRPr="005060E0">
        <w:rPr>
          <w:szCs w:val="20"/>
        </w:rPr>
        <w:t>, and SO</w:t>
      </w:r>
      <w:r w:rsidRPr="005060E0">
        <w:rPr>
          <w:szCs w:val="20"/>
          <w:vertAlign w:val="subscript"/>
        </w:rPr>
        <w:t>2</w:t>
      </w:r>
      <w:r w:rsidRPr="005060E0">
        <w:rPr>
          <w:szCs w:val="20"/>
        </w:rPr>
        <w:t xml:space="preserve"> and increases in daily mortality and hospital admissions for respiratory and cardiovascular causes. </w:t>
      </w:r>
      <w:r w:rsidRPr="005060E0">
        <w:t xml:space="preserve">The 2011 AAQ NEPM review concluded there was sufficient evidence to support the review of the standards in the AAQ NEPM. </w:t>
      </w:r>
    </w:p>
    <w:p w14:paraId="7E3623BD" w14:textId="77777777" w:rsidR="00F456A1" w:rsidRPr="005060E0" w:rsidRDefault="00F456A1" w:rsidP="00F456A1">
      <w:pPr>
        <w:spacing w:after="140"/>
      </w:pPr>
      <w:r w:rsidRPr="005060E0">
        <w:t>The Impact Statement collates and analyses the available air quality and health information for these three pollutants in Australia, and considers the feasibility of updating the standards, and the costs and benefits of a range of potential abatement measures that could be introduced to lower concentrations for these pollutants. For each pollutant a number of alternative standards have been considered (NB: for the purpose of this Impact Statement these have been referred to collectively as ‘proposed standards’). The preferred options for the standards in this Impact Statement are referred to as ‘recommendations’ for the standards.</w:t>
      </w:r>
    </w:p>
    <w:p w14:paraId="7E0617A5" w14:textId="77777777" w:rsidR="00F456A1" w:rsidRPr="005060E0" w:rsidRDefault="00F456A1" w:rsidP="00F456A1">
      <w:pPr>
        <w:spacing w:after="140"/>
        <w:rPr>
          <w:highlight w:val="yellow"/>
        </w:rPr>
      </w:pPr>
      <w:r w:rsidRPr="005060E0">
        <w:t>The Impact Statement includes a review of the environmental outcome and goal of the AAQ NEPM, the Australian and international standards, the form of the standards, the treatment of exceptional events, and the need for an exposure-reduction framework.</w:t>
      </w:r>
    </w:p>
    <w:p w14:paraId="4AC61D3C" w14:textId="77777777" w:rsidR="00F456A1" w:rsidRPr="005060E0" w:rsidRDefault="00F456A1" w:rsidP="00F456A1">
      <w:pPr>
        <w:spacing w:before="320" w:after="120"/>
        <w:rPr>
          <w:b/>
          <w:sz w:val="28"/>
          <w:szCs w:val="28"/>
          <w:highlight w:val="yellow"/>
        </w:rPr>
      </w:pPr>
      <w:r w:rsidRPr="005060E0">
        <w:rPr>
          <w:b/>
          <w:color w:val="0070C0"/>
          <w:sz w:val="28"/>
          <w:szCs w:val="28"/>
        </w:rPr>
        <w:t>E.2</w:t>
      </w:r>
      <w:r w:rsidRPr="005060E0">
        <w:rPr>
          <w:b/>
          <w:color w:val="0070C0"/>
          <w:sz w:val="28"/>
          <w:szCs w:val="28"/>
        </w:rPr>
        <w:tab/>
        <w:t>General approach</w:t>
      </w:r>
    </w:p>
    <w:p w14:paraId="2D5C7039" w14:textId="77777777" w:rsidR="00F456A1" w:rsidRPr="005060E0" w:rsidRDefault="00F456A1" w:rsidP="00F456A1">
      <w:pPr>
        <w:spacing w:after="120"/>
      </w:pPr>
      <w:r w:rsidRPr="005060E0">
        <w:t>When developing air quality standards a ‘weight-of-evidence’ approach is typically used. A ‘weight-of-evidence’ approach comprises decision-making based on a range of available information, logical reasoning and expert judgement. Several broad decision criteria / factors have been considered in the recommendation of the standards for SO</w:t>
      </w:r>
      <w:r w:rsidRPr="005060E0">
        <w:rPr>
          <w:vertAlign w:val="subscript"/>
        </w:rPr>
        <w:t>2</w:t>
      </w:r>
      <w:r w:rsidRPr="005060E0">
        <w:t>, NO</w:t>
      </w:r>
      <w:r w:rsidRPr="005060E0">
        <w:rPr>
          <w:vertAlign w:val="subscript"/>
        </w:rPr>
        <w:t>2</w:t>
      </w:r>
      <w:r w:rsidRPr="005060E0">
        <w:t xml:space="preserve"> and O</w:t>
      </w:r>
      <w:r w:rsidRPr="005060E0">
        <w:rPr>
          <w:vertAlign w:val="subscript"/>
        </w:rPr>
        <w:t>3</w:t>
      </w:r>
      <w:r w:rsidRPr="005060E0">
        <w:t xml:space="preserve">. The decision criteria / factors included: </w:t>
      </w:r>
    </w:p>
    <w:p w14:paraId="4E4A03FD" w14:textId="77777777" w:rsidR="00F456A1" w:rsidRPr="005060E0" w:rsidRDefault="00F456A1" w:rsidP="00F456A1">
      <w:pPr>
        <w:pStyle w:val="ListBullet"/>
        <w:spacing w:after="80"/>
        <w:ind w:left="714" w:hanging="357"/>
      </w:pPr>
      <w:r w:rsidRPr="005060E0">
        <w:t>the averaging periods for SO</w:t>
      </w:r>
      <w:r w:rsidRPr="005060E0">
        <w:rPr>
          <w:vertAlign w:val="subscript"/>
        </w:rPr>
        <w:t>2</w:t>
      </w:r>
      <w:r w:rsidRPr="005060E0">
        <w:t>, NO</w:t>
      </w:r>
      <w:r w:rsidRPr="005060E0">
        <w:rPr>
          <w:vertAlign w:val="subscript"/>
        </w:rPr>
        <w:t>2</w:t>
      </w:r>
      <w:r w:rsidRPr="005060E0">
        <w:t xml:space="preserve"> and O</w:t>
      </w:r>
      <w:r w:rsidRPr="005060E0">
        <w:rPr>
          <w:vertAlign w:val="subscript"/>
        </w:rPr>
        <w:t>3</w:t>
      </w:r>
      <w:r w:rsidRPr="005060E0">
        <w:t xml:space="preserve"> in the AAQ NEPM</w:t>
      </w:r>
    </w:p>
    <w:p w14:paraId="0887CD1E" w14:textId="77777777" w:rsidR="00F456A1" w:rsidRPr="005060E0" w:rsidRDefault="00F456A1" w:rsidP="00F456A1">
      <w:pPr>
        <w:pStyle w:val="ListBullet"/>
        <w:spacing w:after="80"/>
        <w:ind w:left="714" w:hanging="357"/>
      </w:pPr>
      <w:r w:rsidRPr="005060E0">
        <w:t>the numerical values of the SO</w:t>
      </w:r>
      <w:r w:rsidRPr="005060E0">
        <w:rPr>
          <w:vertAlign w:val="subscript"/>
        </w:rPr>
        <w:t>2</w:t>
      </w:r>
      <w:r w:rsidRPr="005060E0">
        <w:t>, NO</w:t>
      </w:r>
      <w:r w:rsidRPr="005060E0">
        <w:rPr>
          <w:vertAlign w:val="subscript"/>
        </w:rPr>
        <w:t>2</w:t>
      </w:r>
      <w:r w:rsidRPr="005060E0">
        <w:t xml:space="preserve"> and O</w:t>
      </w:r>
      <w:r w:rsidRPr="005060E0">
        <w:rPr>
          <w:vertAlign w:val="subscript"/>
        </w:rPr>
        <w:t>3</w:t>
      </w:r>
      <w:r w:rsidRPr="005060E0">
        <w:t xml:space="preserve"> standards</w:t>
      </w:r>
    </w:p>
    <w:p w14:paraId="5CD4A0F5" w14:textId="77777777" w:rsidR="00F456A1" w:rsidRPr="005060E0" w:rsidRDefault="00F456A1" w:rsidP="00F456A1">
      <w:pPr>
        <w:pStyle w:val="ListBullet"/>
        <w:spacing w:after="80"/>
        <w:ind w:left="714" w:hanging="357"/>
      </w:pPr>
      <w:r w:rsidRPr="005060E0">
        <w:t>the form of the SO</w:t>
      </w:r>
      <w:r w:rsidRPr="005060E0">
        <w:rPr>
          <w:vertAlign w:val="subscript"/>
        </w:rPr>
        <w:t>2</w:t>
      </w:r>
      <w:r w:rsidRPr="005060E0">
        <w:t>, NO</w:t>
      </w:r>
      <w:r w:rsidRPr="005060E0">
        <w:rPr>
          <w:vertAlign w:val="subscript"/>
        </w:rPr>
        <w:t>2</w:t>
      </w:r>
      <w:r w:rsidRPr="005060E0">
        <w:t xml:space="preserve"> and O</w:t>
      </w:r>
      <w:r w:rsidRPr="005060E0">
        <w:rPr>
          <w:vertAlign w:val="subscript"/>
        </w:rPr>
        <w:t>3</w:t>
      </w:r>
      <w:r w:rsidRPr="005060E0">
        <w:t xml:space="preserve"> standards (e.g. allowed exceedances)</w:t>
      </w:r>
    </w:p>
    <w:p w14:paraId="642FC585" w14:textId="77777777" w:rsidR="00F456A1" w:rsidRPr="005060E0" w:rsidRDefault="00F456A1" w:rsidP="00F456A1">
      <w:pPr>
        <w:pStyle w:val="ListBullet"/>
        <w:spacing w:after="80"/>
        <w:ind w:left="714" w:hanging="357"/>
      </w:pPr>
      <w:r w:rsidRPr="005060E0">
        <w:t xml:space="preserve">the adequacy of the health protection afforded by </w:t>
      </w:r>
      <w:r>
        <w:t xml:space="preserve">the </w:t>
      </w:r>
      <w:r w:rsidRPr="005060E0">
        <w:t>standards</w:t>
      </w:r>
    </w:p>
    <w:p w14:paraId="17B97C73" w14:textId="77777777" w:rsidR="00F456A1" w:rsidRPr="005060E0" w:rsidRDefault="00F456A1" w:rsidP="00F456A1">
      <w:pPr>
        <w:pStyle w:val="ListBullet"/>
        <w:spacing w:after="80"/>
        <w:ind w:left="714" w:hanging="357"/>
      </w:pPr>
      <w:r w:rsidRPr="005060E0">
        <w:t>the weight of evidence that supports any proposed standards including, for instance, the advice of the World Health Organization (WHO)</w:t>
      </w:r>
    </w:p>
    <w:p w14:paraId="41E8084A" w14:textId="77777777" w:rsidR="00F456A1" w:rsidRPr="005060E0" w:rsidRDefault="00F456A1" w:rsidP="00F456A1">
      <w:pPr>
        <w:pStyle w:val="ListBullet"/>
        <w:spacing w:after="80"/>
        <w:ind w:left="714" w:hanging="357"/>
      </w:pPr>
      <w:r w:rsidRPr="005060E0">
        <w:t>the relevance and achievability of the proposed standards including, for instance, the form of the standards with regards to exceptional events such as bushfires</w:t>
      </w:r>
    </w:p>
    <w:p w14:paraId="7D92E7C7" w14:textId="77777777" w:rsidR="00F456A1" w:rsidRPr="005060E0" w:rsidRDefault="00F456A1" w:rsidP="00F456A1">
      <w:pPr>
        <w:pStyle w:val="ListBullet"/>
        <w:spacing w:after="80"/>
        <w:ind w:left="714" w:hanging="357"/>
      </w:pPr>
      <w:r w:rsidRPr="005060E0">
        <w:t>any regional environmental differences</w:t>
      </w:r>
    </w:p>
    <w:p w14:paraId="07D2C8E3" w14:textId="77777777" w:rsidR="00F456A1" w:rsidRPr="005060E0" w:rsidRDefault="00F456A1" w:rsidP="00F456A1">
      <w:pPr>
        <w:pStyle w:val="ListBullet"/>
        <w:spacing w:after="80"/>
        <w:ind w:left="714" w:hanging="357"/>
      </w:pPr>
      <w:r w:rsidRPr="005060E0">
        <w:t>societal costs and benefits of meeting proposed standards</w:t>
      </w:r>
    </w:p>
    <w:p w14:paraId="3C716F3A" w14:textId="77777777" w:rsidR="00F456A1" w:rsidRPr="005060E0" w:rsidRDefault="00F456A1" w:rsidP="00F456A1">
      <w:pPr>
        <w:pStyle w:val="ListBullet"/>
        <w:spacing w:after="80"/>
        <w:ind w:left="714" w:hanging="357"/>
      </w:pPr>
      <w:r w:rsidRPr="005060E0">
        <w:t>the options for an exposure-reduction framework for SO</w:t>
      </w:r>
      <w:r w:rsidRPr="005060E0">
        <w:rPr>
          <w:vertAlign w:val="subscript"/>
        </w:rPr>
        <w:t>2</w:t>
      </w:r>
      <w:r w:rsidRPr="005060E0">
        <w:t>, NO</w:t>
      </w:r>
      <w:r w:rsidRPr="005060E0">
        <w:rPr>
          <w:vertAlign w:val="subscript"/>
        </w:rPr>
        <w:t>2</w:t>
      </w:r>
      <w:r w:rsidRPr="005060E0">
        <w:t xml:space="preserve"> and O</w:t>
      </w:r>
      <w:r w:rsidRPr="005060E0">
        <w:rPr>
          <w:vertAlign w:val="subscript"/>
        </w:rPr>
        <w:t>3</w:t>
      </w:r>
      <w:r w:rsidRPr="005060E0">
        <w:t>.</w:t>
      </w:r>
    </w:p>
    <w:p w14:paraId="66C4D7D7" w14:textId="77777777" w:rsidR="00F456A1" w:rsidRPr="005060E0" w:rsidRDefault="00F456A1" w:rsidP="00F456A1">
      <w:pPr>
        <w:spacing w:before="360" w:after="240"/>
        <w:rPr>
          <w:b/>
          <w:sz w:val="28"/>
          <w:szCs w:val="28"/>
          <w:highlight w:val="yellow"/>
        </w:rPr>
      </w:pPr>
      <w:r w:rsidRPr="005060E0">
        <w:rPr>
          <w:b/>
          <w:color w:val="0070C0"/>
          <w:sz w:val="28"/>
          <w:szCs w:val="28"/>
        </w:rPr>
        <w:lastRenderedPageBreak/>
        <w:t>E.3</w:t>
      </w:r>
      <w:r w:rsidRPr="005060E0">
        <w:rPr>
          <w:b/>
          <w:color w:val="0070C0"/>
          <w:sz w:val="28"/>
          <w:szCs w:val="28"/>
        </w:rPr>
        <w:tab/>
        <w:t>Methodology</w:t>
      </w:r>
    </w:p>
    <w:p w14:paraId="28992FCB" w14:textId="77777777" w:rsidR="00F456A1" w:rsidRPr="005060E0" w:rsidRDefault="00F456A1" w:rsidP="00F456A1">
      <w:pPr>
        <w:tabs>
          <w:tab w:val="left" w:pos="709"/>
        </w:tabs>
        <w:rPr>
          <w:b/>
          <w:color w:val="0070C0"/>
          <w:sz w:val="22"/>
        </w:rPr>
      </w:pPr>
      <w:r w:rsidRPr="005060E0">
        <w:rPr>
          <w:b/>
          <w:color w:val="0070C0"/>
          <w:sz w:val="22"/>
        </w:rPr>
        <w:t>Overview</w:t>
      </w:r>
    </w:p>
    <w:p w14:paraId="17CB4CAD" w14:textId="77777777" w:rsidR="00F456A1" w:rsidRPr="005060E0" w:rsidRDefault="00F456A1" w:rsidP="00F456A1">
      <w:pPr>
        <w:pStyle w:val="BodyText"/>
        <w:spacing w:after="120"/>
      </w:pPr>
      <w:r w:rsidRPr="005060E0">
        <w:t xml:space="preserve">In 2011, </w:t>
      </w:r>
      <w:r>
        <w:t xml:space="preserve">the </w:t>
      </w:r>
      <w:r w:rsidRPr="005060E0">
        <w:t xml:space="preserve">NEPC released the </w:t>
      </w:r>
      <w:r w:rsidRPr="005060E0">
        <w:rPr>
          <w:i/>
          <w:bdr w:val="none" w:sz="0" w:space="0" w:color="auto" w:frame="1"/>
        </w:rPr>
        <w:t>Methodology for Setting Air Quality Standards in Australia</w:t>
      </w:r>
      <w:r w:rsidRPr="005060E0">
        <w:rPr>
          <w:bdr w:val="none" w:sz="0" w:space="0" w:color="auto" w:frame="1"/>
        </w:rPr>
        <w:t xml:space="preserve"> (NEPC 2011b)</w:t>
      </w:r>
      <w:r w:rsidRPr="005060E0">
        <w:t>. The approach taken in this Impact Statement was consistent with the standard-setting methodology. Each pollutant was addressed separately, and t</w:t>
      </w:r>
      <w:r w:rsidRPr="005060E0">
        <w:rPr>
          <w:rFonts w:cs="Arial"/>
        </w:rPr>
        <w:t>he main steps were:</w:t>
      </w:r>
    </w:p>
    <w:p w14:paraId="6D4938B9" w14:textId="77777777" w:rsidR="00F456A1" w:rsidRPr="005060E0" w:rsidRDefault="00F456A1" w:rsidP="00F456A1">
      <w:pPr>
        <w:pStyle w:val="ListBullet"/>
        <w:tabs>
          <w:tab w:val="left" w:pos="709"/>
          <w:tab w:val="left" w:pos="1418"/>
        </w:tabs>
        <w:spacing w:after="120"/>
        <w:ind w:left="1418" w:hanging="1061"/>
      </w:pPr>
      <w:r w:rsidRPr="005060E0">
        <w:t>Step 1:</w:t>
      </w:r>
      <w:r w:rsidRPr="005060E0">
        <w:tab/>
        <w:t>Health effects update</w:t>
      </w:r>
    </w:p>
    <w:p w14:paraId="2D121409" w14:textId="77777777" w:rsidR="00F456A1" w:rsidRPr="005060E0" w:rsidRDefault="00F456A1" w:rsidP="00F456A1">
      <w:pPr>
        <w:pStyle w:val="ListBullet"/>
        <w:tabs>
          <w:tab w:val="left" w:pos="709"/>
          <w:tab w:val="left" w:pos="1418"/>
        </w:tabs>
        <w:spacing w:after="120"/>
        <w:ind w:left="1418" w:hanging="1061"/>
      </w:pPr>
      <w:r w:rsidRPr="005060E0">
        <w:t>Step 2:</w:t>
      </w:r>
      <w:r w:rsidRPr="005060E0">
        <w:tab/>
        <w:t>Review of international air quality standards</w:t>
      </w:r>
    </w:p>
    <w:p w14:paraId="29975671" w14:textId="77777777" w:rsidR="00F456A1" w:rsidRPr="005060E0" w:rsidRDefault="00F456A1" w:rsidP="00F456A1">
      <w:pPr>
        <w:pStyle w:val="ListBullet"/>
        <w:tabs>
          <w:tab w:val="left" w:pos="709"/>
          <w:tab w:val="left" w:pos="1418"/>
        </w:tabs>
        <w:spacing w:after="120"/>
        <w:ind w:left="1418" w:hanging="1061"/>
      </w:pPr>
      <w:r w:rsidRPr="005060E0">
        <w:t>Step 3:</w:t>
      </w:r>
      <w:r w:rsidRPr="005060E0">
        <w:tab/>
        <w:t>Proposed air quality standards</w:t>
      </w:r>
    </w:p>
    <w:p w14:paraId="2DDBF73B" w14:textId="77777777" w:rsidR="00F456A1" w:rsidRPr="005060E0" w:rsidRDefault="00F456A1" w:rsidP="00F456A1">
      <w:pPr>
        <w:pStyle w:val="ListBullet"/>
        <w:tabs>
          <w:tab w:val="left" w:pos="709"/>
          <w:tab w:val="left" w:pos="1418"/>
        </w:tabs>
        <w:spacing w:after="120"/>
        <w:ind w:left="1418" w:hanging="1061"/>
      </w:pPr>
      <w:r w:rsidRPr="005060E0">
        <w:t>Step 4:</w:t>
      </w:r>
      <w:r w:rsidRPr="005060E0">
        <w:tab/>
        <w:t>Analysis of historical air quality</w:t>
      </w:r>
    </w:p>
    <w:p w14:paraId="6AA86587" w14:textId="77777777" w:rsidR="00F456A1" w:rsidRPr="005060E0" w:rsidRDefault="00F456A1" w:rsidP="00F456A1">
      <w:pPr>
        <w:pStyle w:val="ListBullet"/>
        <w:tabs>
          <w:tab w:val="left" w:pos="709"/>
          <w:tab w:val="left" w:pos="1418"/>
        </w:tabs>
        <w:spacing w:after="120"/>
        <w:ind w:left="1418" w:hanging="1061"/>
      </w:pPr>
      <w:r w:rsidRPr="005060E0">
        <w:t>Step 5:</w:t>
      </w:r>
      <w:r w:rsidRPr="005060E0">
        <w:tab/>
        <w:t>Projections of future air quality</w:t>
      </w:r>
    </w:p>
    <w:p w14:paraId="594BD6BD" w14:textId="77777777" w:rsidR="00F456A1" w:rsidRPr="005060E0" w:rsidRDefault="00F456A1" w:rsidP="00F456A1">
      <w:pPr>
        <w:pStyle w:val="ListBullet"/>
        <w:tabs>
          <w:tab w:val="left" w:pos="709"/>
          <w:tab w:val="left" w:pos="1418"/>
        </w:tabs>
        <w:ind w:left="1418" w:hanging="1061"/>
      </w:pPr>
      <w:r w:rsidRPr="005060E0">
        <w:t>Step 6: Health risk assessment (HRA)</w:t>
      </w:r>
      <w:r>
        <w:t>.</w:t>
      </w:r>
    </w:p>
    <w:p w14:paraId="4D7A03AD" w14:textId="77777777" w:rsidR="00F456A1" w:rsidRPr="005060E0" w:rsidRDefault="00F456A1" w:rsidP="00F456A1">
      <w:pPr>
        <w:pStyle w:val="ListBullet"/>
        <w:numPr>
          <w:ilvl w:val="0"/>
          <w:numId w:val="0"/>
        </w:numPr>
        <w:tabs>
          <w:tab w:val="left" w:pos="709"/>
          <w:tab w:val="left" w:pos="1418"/>
        </w:tabs>
      </w:pPr>
      <w:r w:rsidRPr="005060E0">
        <w:t>An overall cost</w:t>
      </w:r>
      <w:bookmarkStart w:id="3" w:name="_Hlk859628"/>
      <w:r w:rsidRPr="005060E0">
        <w:rPr>
          <w:rFonts w:cs="Arial"/>
        </w:rPr>
        <w:t>–</w:t>
      </w:r>
      <w:bookmarkEnd w:id="3"/>
      <w:r w:rsidRPr="005060E0">
        <w:t>benefit analysis (CBA) was also conducted. In this, the three pollutants were considered together rather than individually to account for the interactions between pollutants in the Abatement Package</w:t>
      </w:r>
      <w:r>
        <w:t xml:space="preserve"> scenario</w:t>
      </w:r>
      <w:r w:rsidRPr="005060E0">
        <w:t>.</w:t>
      </w:r>
    </w:p>
    <w:p w14:paraId="5CEBD6B8" w14:textId="77777777" w:rsidR="00F456A1" w:rsidRPr="005060E0" w:rsidRDefault="00F456A1" w:rsidP="00F456A1">
      <w:pPr>
        <w:spacing w:before="240" w:after="240"/>
        <w:rPr>
          <w:b/>
          <w:color w:val="0070C0"/>
          <w:sz w:val="22"/>
        </w:rPr>
      </w:pPr>
      <w:r w:rsidRPr="005060E0">
        <w:rPr>
          <w:b/>
          <w:color w:val="0070C0"/>
          <w:sz w:val="22"/>
        </w:rPr>
        <w:t>Step 1: Health effects update</w:t>
      </w:r>
    </w:p>
    <w:p w14:paraId="5E9926A3" w14:textId="77777777" w:rsidR="00F456A1" w:rsidRPr="005060E0" w:rsidRDefault="00F456A1" w:rsidP="00F456A1">
      <w:r w:rsidRPr="005060E0">
        <w:t>A detailed literature review was conducted to identify any international work that had been undertaken since the AAQ NEPM review report was released, as well as any new epidemiological or toxicological studies that would provide any new evidence to inform the review of the standards for SO</w:t>
      </w:r>
      <w:r w:rsidRPr="005060E0">
        <w:rPr>
          <w:vertAlign w:val="subscript"/>
        </w:rPr>
        <w:t>2</w:t>
      </w:r>
      <w:r w:rsidRPr="005060E0">
        <w:t>, NO</w:t>
      </w:r>
      <w:r w:rsidRPr="005060E0">
        <w:rPr>
          <w:vertAlign w:val="subscript"/>
        </w:rPr>
        <w:t>2</w:t>
      </w:r>
      <w:r w:rsidRPr="005060E0">
        <w:t xml:space="preserve"> and O</w:t>
      </w:r>
      <w:r w:rsidRPr="005060E0">
        <w:rPr>
          <w:vertAlign w:val="subscript"/>
        </w:rPr>
        <w:t>3</w:t>
      </w:r>
      <w:r w:rsidRPr="005060E0">
        <w:t xml:space="preserve">. </w:t>
      </w:r>
    </w:p>
    <w:p w14:paraId="346C143B" w14:textId="77777777" w:rsidR="00F456A1" w:rsidRPr="005060E0" w:rsidRDefault="00F456A1" w:rsidP="00F456A1">
      <w:pPr>
        <w:spacing w:before="240" w:after="240"/>
        <w:rPr>
          <w:b/>
          <w:color w:val="0070C0"/>
          <w:sz w:val="22"/>
        </w:rPr>
      </w:pPr>
      <w:r w:rsidRPr="005060E0">
        <w:rPr>
          <w:b/>
          <w:color w:val="0070C0"/>
          <w:sz w:val="22"/>
        </w:rPr>
        <w:t>Step 2: Review of international air quality standards</w:t>
      </w:r>
    </w:p>
    <w:p w14:paraId="3150ED2E" w14:textId="77777777" w:rsidR="00F456A1" w:rsidRPr="005060E0" w:rsidRDefault="00F456A1" w:rsidP="00F456A1">
      <w:r w:rsidRPr="005060E0">
        <w:t>Since 1998 several countries and agencies have updated their air quality standards for SO</w:t>
      </w:r>
      <w:r w:rsidRPr="005060E0">
        <w:rPr>
          <w:vertAlign w:val="subscript"/>
        </w:rPr>
        <w:t>2</w:t>
      </w:r>
      <w:r w:rsidRPr="005060E0">
        <w:t>, NO</w:t>
      </w:r>
      <w:r w:rsidRPr="005060E0">
        <w:rPr>
          <w:vertAlign w:val="subscript"/>
        </w:rPr>
        <w:t>2</w:t>
      </w:r>
      <w:r w:rsidRPr="005060E0">
        <w:t xml:space="preserve"> and O</w:t>
      </w:r>
      <w:r w:rsidRPr="005060E0">
        <w:rPr>
          <w:vertAlign w:val="subscript"/>
        </w:rPr>
        <w:t>3</w:t>
      </w:r>
      <w:r w:rsidRPr="005060E0">
        <w:t xml:space="preserve"> to reflect the current understanding of health effects. The standards currently in force or recommended internationally were reviewed in preparing this report. </w:t>
      </w:r>
      <w:r>
        <w:t xml:space="preserve">The </w:t>
      </w:r>
      <w:r w:rsidRPr="005060E0">
        <w:t>WHO guidelines were also considered.</w:t>
      </w:r>
    </w:p>
    <w:p w14:paraId="08A7DE13" w14:textId="77777777" w:rsidR="00F456A1" w:rsidRPr="005060E0" w:rsidRDefault="00F456A1" w:rsidP="00F456A1">
      <w:pPr>
        <w:spacing w:before="240" w:after="240"/>
        <w:rPr>
          <w:b/>
          <w:color w:val="0070C0"/>
          <w:sz w:val="22"/>
        </w:rPr>
      </w:pPr>
      <w:r w:rsidRPr="005060E0">
        <w:rPr>
          <w:b/>
          <w:color w:val="0070C0"/>
          <w:sz w:val="22"/>
        </w:rPr>
        <w:t>Step 3: Proposed air quality standards</w:t>
      </w:r>
    </w:p>
    <w:p w14:paraId="2AFF22A5" w14:textId="77777777" w:rsidR="00F456A1" w:rsidRPr="005060E0" w:rsidRDefault="00F456A1" w:rsidP="00F456A1">
      <w:pPr>
        <w:rPr>
          <w:rFonts w:cs="Arial"/>
          <w:szCs w:val="20"/>
        </w:rPr>
      </w:pPr>
      <w:r w:rsidRPr="005060E0">
        <w:t xml:space="preserve">For this Impact Statement, various proposed standards were developed for each pollutant and averaging period as (more stringent) alternatives to the current AAQ NEPM standards. </w:t>
      </w:r>
      <w:r w:rsidRPr="005060E0">
        <w:rPr>
          <w:rFonts w:cs="Arial"/>
          <w:szCs w:val="20"/>
        </w:rPr>
        <w:t>The current and proposed AAQ NEPM standards for SO</w:t>
      </w:r>
      <w:r w:rsidRPr="005060E0">
        <w:rPr>
          <w:rFonts w:cs="Arial"/>
          <w:szCs w:val="20"/>
          <w:vertAlign w:val="subscript"/>
        </w:rPr>
        <w:t>2</w:t>
      </w:r>
      <w:r w:rsidRPr="005060E0">
        <w:rPr>
          <w:rFonts w:cs="Arial"/>
          <w:szCs w:val="20"/>
        </w:rPr>
        <w:t>, NO</w:t>
      </w:r>
      <w:r w:rsidRPr="005060E0">
        <w:rPr>
          <w:rFonts w:cs="Arial"/>
          <w:szCs w:val="20"/>
          <w:vertAlign w:val="subscript"/>
        </w:rPr>
        <w:t>2</w:t>
      </w:r>
      <w:r w:rsidRPr="005060E0">
        <w:rPr>
          <w:rFonts w:cs="Arial"/>
          <w:szCs w:val="20"/>
        </w:rPr>
        <w:t xml:space="preserve"> and O</w:t>
      </w:r>
      <w:r w:rsidRPr="005060E0">
        <w:rPr>
          <w:rFonts w:cs="Arial"/>
          <w:szCs w:val="20"/>
          <w:vertAlign w:val="subscript"/>
        </w:rPr>
        <w:t>3</w:t>
      </w:r>
      <w:r w:rsidRPr="005060E0">
        <w:rPr>
          <w:rFonts w:cs="Arial"/>
          <w:szCs w:val="20"/>
        </w:rPr>
        <w:t xml:space="preserve"> are shown in Table E-1.</w:t>
      </w:r>
    </w:p>
    <w:p w14:paraId="18E0E012" w14:textId="77777777" w:rsidR="00F456A1" w:rsidRPr="005060E0" w:rsidRDefault="00F456A1" w:rsidP="00F456A1">
      <w:pPr>
        <w:rPr>
          <w:rFonts w:cs="Arial"/>
          <w:szCs w:val="20"/>
        </w:rPr>
      </w:pPr>
      <w:r w:rsidRPr="005060E0">
        <w:t>The proposed standards were identified through a review of international literature and regulations, including the WHO guidelines, the United States Environmental Protection Agency (USEPA) National Ambient Air Quality Standards, and the standards that have been adopted in other leading countries</w:t>
      </w:r>
      <w:r w:rsidRPr="005060E0">
        <w:rPr>
          <w:rStyle w:val="FootnoteReference"/>
        </w:rPr>
        <w:footnoteReference w:id="2"/>
      </w:r>
      <w:r w:rsidRPr="005060E0">
        <w:t>. Some specific considerations of this review included the ongoing need for a standard for annual mean SO</w:t>
      </w:r>
      <w:r w:rsidRPr="005060E0">
        <w:rPr>
          <w:vertAlign w:val="subscript"/>
        </w:rPr>
        <w:t>2</w:t>
      </w:r>
      <w:r w:rsidRPr="005060E0">
        <w:t xml:space="preserve"> (which is included in the AAQ NEPM but is not widely used internationally), and the need for a rolling-average 8-hour standard for O</w:t>
      </w:r>
      <w:r w:rsidRPr="005060E0">
        <w:rPr>
          <w:vertAlign w:val="subscript"/>
        </w:rPr>
        <w:t>3</w:t>
      </w:r>
      <w:r w:rsidRPr="005060E0">
        <w:t xml:space="preserve"> (which is used internationally but is not in the AAQ NEPM).</w:t>
      </w:r>
    </w:p>
    <w:p w14:paraId="0600DB00" w14:textId="77777777" w:rsidR="00F456A1" w:rsidRPr="005060E0" w:rsidRDefault="00F456A1" w:rsidP="00F456A1">
      <w:pPr>
        <w:pStyle w:val="PBTablecaption"/>
        <w:spacing w:before="480"/>
        <w:rPr>
          <w:rFonts w:cs="Arial"/>
        </w:rPr>
      </w:pPr>
      <w:bookmarkStart w:id="4" w:name="_Ref469412789"/>
      <w:bookmarkStart w:id="5" w:name="_Toc504335401"/>
      <w:r w:rsidRPr="005060E0">
        <w:rPr>
          <w:rStyle w:val="PBTablecaptionChar"/>
          <w:rFonts w:cs="Arial"/>
        </w:rPr>
        <w:t>Table</w:t>
      </w:r>
      <w:bookmarkEnd w:id="4"/>
      <w:r w:rsidRPr="005060E0">
        <w:rPr>
          <w:rStyle w:val="PBTablecaptionChar"/>
          <w:rFonts w:cs="Arial"/>
          <w:bCs/>
        </w:rPr>
        <w:t xml:space="preserve"> E-1</w:t>
      </w:r>
      <w:r w:rsidRPr="005060E0">
        <w:rPr>
          <w:rStyle w:val="PBTablecaptionChar"/>
          <w:rFonts w:cs="Arial"/>
        </w:rPr>
        <w:t>: Current</w:t>
      </w:r>
      <w:r w:rsidRPr="005060E0">
        <w:rPr>
          <w:rFonts w:cs="Arial"/>
        </w:rPr>
        <w:t xml:space="preserve"> and proposed AAQ NEPM standard</w:t>
      </w:r>
      <w:bookmarkEnd w:id="5"/>
      <w:r w:rsidRPr="005060E0">
        <w:rPr>
          <w:rFonts w:cs="Arial"/>
        </w:rPr>
        <w:t>s</w:t>
      </w:r>
    </w:p>
    <w:tbl>
      <w:tblPr>
        <w:tblStyle w:val="ListTable3-Accent11"/>
        <w:tblW w:w="3583" w:type="pct"/>
        <w:jc w:val="center"/>
        <w:tblBorders>
          <w:top w:val="single" w:sz="4" w:space="0" w:color="606372" w:themeColor="text2"/>
          <w:left w:val="single" w:sz="4" w:space="0" w:color="606372" w:themeColor="text2"/>
          <w:bottom w:val="single" w:sz="4" w:space="0" w:color="606372" w:themeColor="text2"/>
          <w:right w:val="single" w:sz="4" w:space="0" w:color="606372" w:themeColor="text2"/>
          <w:insideH w:val="single" w:sz="4" w:space="0" w:color="606372" w:themeColor="text2"/>
          <w:insideV w:val="single" w:sz="4" w:space="0" w:color="606372" w:themeColor="text2"/>
        </w:tblBorders>
        <w:tblLook w:val="04A0" w:firstRow="1" w:lastRow="0" w:firstColumn="1" w:lastColumn="0" w:noHBand="0" w:noVBand="1"/>
      </w:tblPr>
      <w:tblGrid>
        <w:gridCol w:w="1811"/>
        <w:gridCol w:w="2270"/>
        <w:gridCol w:w="2818"/>
      </w:tblGrid>
      <w:tr w:rsidR="00F456A1" w:rsidRPr="005060E0" w14:paraId="390D2348" w14:textId="77777777" w:rsidTr="00512B87">
        <w:trPr>
          <w:cnfStyle w:val="100000000000" w:firstRow="1" w:lastRow="0" w:firstColumn="0" w:lastColumn="0" w:oddVBand="0" w:evenVBand="0" w:oddHBand="0" w:evenHBand="0" w:firstRowFirstColumn="0" w:firstRowLastColumn="0" w:lastRowFirstColumn="0" w:lastRowLastColumn="0"/>
          <w:trHeight w:hRule="exact" w:val="517"/>
          <w:tblHeader/>
          <w:jc w:val="center"/>
        </w:trPr>
        <w:tc>
          <w:tcPr>
            <w:cnfStyle w:val="001000000100" w:firstRow="0" w:lastRow="0" w:firstColumn="1" w:lastColumn="0" w:oddVBand="0" w:evenVBand="0" w:oddHBand="0" w:evenHBand="0" w:firstRowFirstColumn="1" w:firstRowLastColumn="0" w:lastRowFirstColumn="0" w:lastRowLastColumn="0"/>
            <w:tcW w:w="1313" w:type="pct"/>
            <w:tcBorders>
              <w:bottom w:val="none" w:sz="0" w:space="0" w:color="auto"/>
              <w:right w:val="none" w:sz="0" w:space="0" w:color="auto"/>
            </w:tcBorders>
            <w:shd w:val="clear" w:color="auto" w:fill="606072"/>
            <w:vAlign w:val="center"/>
          </w:tcPr>
          <w:p w14:paraId="69DE34E9" w14:textId="77777777" w:rsidR="00F456A1" w:rsidRPr="005060E0" w:rsidRDefault="00F456A1" w:rsidP="00512B87">
            <w:pPr>
              <w:spacing w:after="0" w:line="240" w:lineRule="auto"/>
              <w:jc w:val="center"/>
              <w:rPr>
                <w:rFonts w:cs="Arial"/>
                <w:b w:val="0"/>
                <w:color w:val="FFFFFF" w:themeColor="background1"/>
                <w:sz w:val="16"/>
                <w:szCs w:val="16"/>
              </w:rPr>
            </w:pPr>
            <w:r w:rsidRPr="005060E0">
              <w:rPr>
                <w:rFonts w:cs="Arial"/>
                <w:b w:val="0"/>
                <w:color w:val="FFFFFF" w:themeColor="background1"/>
                <w:sz w:val="16"/>
                <w:szCs w:val="16"/>
              </w:rPr>
              <w:t>Pollutant</w:t>
            </w:r>
          </w:p>
        </w:tc>
        <w:tc>
          <w:tcPr>
            <w:tcW w:w="1645" w:type="pct"/>
            <w:shd w:val="clear" w:color="auto" w:fill="606072"/>
            <w:vAlign w:val="center"/>
          </w:tcPr>
          <w:p w14:paraId="0CA0CB67" w14:textId="77777777" w:rsidR="00F456A1" w:rsidRPr="005060E0" w:rsidRDefault="00F456A1" w:rsidP="00512B8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cs="Arial"/>
                <w:b w:val="0"/>
                <w:color w:val="FFFFFF" w:themeColor="background1"/>
                <w:sz w:val="16"/>
                <w:szCs w:val="16"/>
              </w:rPr>
              <w:t>Averaging period</w:t>
            </w:r>
          </w:p>
        </w:tc>
        <w:tc>
          <w:tcPr>
            <w:tcW w:w="2042" w:type="pct"/>
            <w:shd w:val="clear" w:color="auto" w:fill="606072"/>
            <w:vAlign w:val="center"/>
          </w:tcPr>
          <w:p w14:paraId="0FA7F275" w14:textId="77777777" w:rsidR="00F456A1" w:rsidRPr="005060E0" w:rsidRDefault="00F456A1" w:rsidP="00512B8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cs="Arial"/>
                <w:b w:val="0"/>
                <w:color w:val="FFFFFF" w:themeColor="background1"/>
                <w:sz w:val="16"/>
                <w:szCs w:val="16"/>
              </w:rPr>
              <w:t>Standard concentration (ppb) [current standards in bold]</w:t>
            </w:r>
          </w:p>
        </w:tc>
      </w:tr>
      <w:tr w:rsidR="00F456A1" w:rsidRPr="005060E0" w14:paraId="549A0455" w14:textId="77777777" w:rsidTr="00512B8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313" w:type="pct"/>
            <w:vMerge w:val="restart"/>
            <w:tcBorders>
              <w:top w:val="none" w:sz="0" w:space="0" w:color="auto"/>
              <w:bottom w:val="none" w:sz="0" w:space="0" w:color="auto"/>
              <w:right w:val="none" w:sz="0" w:space="0" w:color="auto"/>
            </w:tcBorders>
            <w:vAlign w:val="center"/>
          </w:tcPr>
          <w:p w14:paraId="480F6483" w14:textId="77777777" w:rsidR="00F456A1" w:rsidRPr="005060E0" w:rsidRDefault="00F456A1" w:rsidP="00512B87">
            <w:pPr>
              <w:spacing w:after="0" w:line="240" w:lineRule="auto"/>
              <w:jc w:val="center"/>
              <w:rPr>
                <w:rFonts w:cs="Arial"/>
                <w:b w:val="0"/>
                <w:sz w:val="16"/>
                <w:szCs w:val="16"/>
              </w:rPr>
            </w:pPr>
            <w:r w:rsidRPr="005060E0">
              <w:rPr>
                <w:rFonts w:cs="Arial"/>
                <w:b w:val="0"/>
                <w:sz w:val="16"/>
                <w:szCs w:val="16"/>
              </w:rPr>
              <w:t>SO</w:t>
            </w:r>
            <w:r w:rsidRPr="005060E0">
              <w:rPr>
                <w:rFonts w:cs="Arial"/>
                <w:b w:val="0"/>
                <w:sz w:val="16"/>
                <w:szCs w:val="16"/>
                <w:vertAlign w:val="subscript"/>
              </w:rPr>
              <w:t>2</w:t>
            </w:r>
          </w:p>
        </w:tc>
        <w:tc>
          <w:tcPr>
            <w:tcW w:w="1645" w:type="pct"/>
            <w:tcBorders>
              <w:top w:val="none" w:sz="0" w:space="0" w:color="auto"/>
              <w:bottom w:val="dotted" w:sz="4" w:space="0" w:color="606372" w:themeColor="text2"/>
            </w:tcBorders>
            <w:vAlign w:val="center"/>
          </w:tcPr>
          <w:p w14:paraId="118FC9E3" w14:textId="77777777" w:rsidR="00F456A1" w:rsidRPr="005060E0" w:rsidRDefault="00F456A1" w:rsidP="00512B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1-hour</w:t>
            </w:r>
          </w:p>
        </w:tc>
        <w:tc>
          <w:tcPr>
            <w:tcW w:w="2042" w:type="pct"/>
            <w:tcBorders>
              <w:top w:val="none" w:sz="0" w:space="0" w:color="auto"/>
              <w:bottom w:val="dotted" w:sz="4" w:space="0" w:color="606372" w:themeColor="text2"/>
            </w:tcBorders>
            <w:shd w:val="clear" w:color="auto" w:fill="auto"/>
            <w:vAlign w:val="center"/>
          </w:tcPr>
          <w:p w14:paraId="5440CA34" w14:textId="77777777" w:rsidR="00F456A1" w:rsidRPr="005060E0" w:rsidRDefault="00F456A1" w:rsidP="00512B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 xml:space="preserve">75, 100, 150, </w:t>
            </w:r>
            <w:r w:rsidRPr="005060E0">
              <w:rPr>
                <w:rFonts w:cs="Arial"/>
                <w:b/>
                <w:sz w:val="18"/>
                <w:szCs w:val="16"/>
              </w:rPr>
              <w:t>200</w:t>
            </w:r>
          </w:p>
        </w:tc>
      </w:tr>
      <w:tr w:rsidR="00F456A1" w:rsidRPr="005060E0" w14:paraId="138E1E90" w14:textId="77777777" w:rsidTr="00512B87">
        <w:trPr>
          <w:trHeight w:val="340"/>
          <w:jc w:val="center"/>
        </w:trPr>
        <w:tc>
          <w:tcPr>
            <w:cnfStyle w:val="001000000000" w:firstRow="0" w:lastRow="0" w:firstColumn="1" w:lastColumn="0" w:oddVBand="0" w:evenVBand="0" w:oddHBand="0" w:evenHBand="0" w:firstRowFirstColumn="0" w:firstRowLastColumn="0" w:lastRowFirstColumn="0" w:lastRowLastColumn="0"/>
            <w:tcW w:w="1313" w:type="pct"/>
            <w:vMerge/>
            <w:tcBorders>
              <w:right w:val="none" w:sz="0" w:space="0" w:color="auto"/>
            </w:tcBorders>
            <w:vAlign w:val="center"/>
          </w:tcPr>
          <w:p w14:paraId="33A509BF" w14:textId="77777777" w:rsidR="00F456A1" w:rsidRPr="005060E0" w:rsidRDefault="00F456A1" w:rsidP="00512B87">
            <w:pPr>
              <w:spacing w:after="0" w:line="240" w:lineRule="auto"/>
              <w:jc w:val="center"/>
              <w:rPr>
                <w:rFonts w:cs="Arial"/>
                <w:b w:val="0"/>
                <w:sz w:val="16"/>
                <w:szCs w:val="16"/>
              </w:rPr>
            </w:pPr>
          </w:p>
        </w:tc>
        <w:tc>
          <w:tcPr>
            <w:tcW w:w="1645" w:type="pct"/>
            <w:tcBorders>
              <w:top w:val="dotted" w:sz="4" w:space="0" w:color="606372" w:themeColor="text2"/>
              <w:bottom w:val="dotted" w:sz="4" w:space="0" w:color="606372" w:themeColor="text2"/>
            </w:tcBorders>
            <w:vAlign w:val="center"/>
          </w:tcPr>
          <w:p w14:paraId="5D73A832" w14:textId="77777777" w:rsidR="00F456A1" w:rsidRPr="005060E0" w:rsidRDefault="00F456A1" w:rsidP="00512B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24-hour</w:t>
            </w:r>
          </w:p>
        </w:tc>
        <w:tc>
          <w:tcPr>
            <w:tcW w:w="2042" w:type="pct"/>
            <w:tcBorders>
              <w:top w:val="dotted" w:sz="4" w:space="0" w:color="606372" w:themeColor="text2"/>
              <w:bottom w:val="dotted" w:sz="4" w:space="0" w:color="606372" w:themeColor="text2"/>
            </w:tcBorders>
            <w:shd w:val="clear" w:color="auto" w:fill="auto"/>
            <w:vAlign w:val="center"/>
          </w:tcPr>
          <w:p w14:paraId="39086EC4" w14:textId="77777777" w:rsidR="00F456A1" w:rsidRPr="005060E0" w:rsidRDefault="00F456A1" w:rsidP="00512B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 xml:space="preserve">7, 20, 40, </w:t>
            </w:r>
            <w:r w:rsidRPr="005060E0">
              <w:rPr>
                <w:rFonts w:cs="Arial"/>
                <w:b/>
                <w:sz w:val="18"/>
                <w:szCs w:val="16"/>
              </w:rPr>
              <w:t>80</w:t>
            </w:r>
          </w:p>
        </w:tc>
      </w:tr>
      <w:tr w:rsidR="00F456A1" w:rsidRPr="005060E0" w14:paraId="08FD0E81" w14:textId="77777777" w:rsidTr="00512B8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313" w:type="pct"/>
            <w:vMerge/>
            <w:tcBorders>
              <w:top w:val="none" w:sz="0" w:space="0" w:color="auto"/>
              <w:bottom w:val="none" w:sz="0" w:space="0" w:color="auto"/>
              <w:right w:val="none" w:sz="0" w:space="0" w:color="auto"/>
            </w:tcBorders>
            <w:vAlign w:val="center"/>
          </w:tcPr>
          <w:p w14:paraId="4E37271E" w14:textId="77777777" w:rsidR="00F456A1" w:rsidRPr="005060E0" w:rsidRDefault="00F456A1" w:rsidP="00512B87">
            <w:pPr>
              <w:spacing w:after="0" w:line="240" w:lineRule="auto"/>
              <w:jc w:val="center"/>
              <w:rPr>
                <w:rFonts w:cs="Arial"/>
                <w:b w:val="0"/>
                <w:sz w:val="16"/>
                <w:szCs w:val="16"/>
              </w:rPr>
            </w:pPr>
          </w:p>
        </w:tc>
        <w:tc>
          <w:tcPr>
            <w:tcW w:w="1645" w:type="pct"/>
            <w:tcBorders>
              <w:top w:val="dotted" w:sz="4" w:space="0" w:color="606372" w:themeColor="text2"/>
              <w:bottom w:val="none" w:sz="0" w:space="0" w:color="auto"/>
            </w:tcBorders>
            <w:vAlign w:val="center"/>
          </w:tcPr>
          <w:p w14:paraId="34E49B91" w14:textId="77777777" w:rsidR="00F456A1" w:rsidRPr="005060E0" w:rsidRDefault="00F456A1" w:rsidP="00512B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Annual</w:t>
            </w:r>
          </w:p>
        </w:tc>
        <w:tc>
          <w:tcPr>
            <w:tcW w:w="2042" w:type="pct"/>
            <w:tcBorders>
              <w:top w:val="dotted" w:sz="4" w:space="0" w:color="606372" w:themeColor="text2"/>
              <w:bottom w:val="none" w:sz="0" w:space="0" w:color="auto"/>
            </w:tcBorders>
            <w:shd w:val="clear" w:color="auto" w:fill="auto"/>
            <w:vAlign w:val="center"/>
          </w:tcPr>
          <w:p w14:paraId="4130D235" w14:textId="77777777" w:rsidR="00F456A1" w:rsidRPr="005060E0" w:rsidRDefault="00F456A1" w:rsidP="00512B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 xml:space="preserve">10, </w:t>
            </w:r>
            <w:r w:rsidRPr="005060E0">
              <w:rPr>
                <w:rFonts w:cs="Arial"/>
                <w:b/>
                <w:sz w:val="18"/>
                <w:szCs w:val="16"/>
              </w:rPr>
              <w:t>20</w:t>
            </w:r>
          </w:p>
        </w:tc>
      </w:tr>
      <w:tr w:rsidR="00F456A1" w:rsidRPr="005060E0" w14:paraId="722806B0" w14:textId="77777777" w:rsidTr="00512B87">
        <w:trPr>
          <w:trHeight w:val="340"/>
          <w:jc w:val="center"/>
        </w:trPr>
        <w:tc>
          <w:tcPr>
            <w:cnfStyle w:val="001000000000" w:firstRow="0" w:lastRow="0" w:firstColumn="1" w:lastColumn="0" w:oddVBand="0" w:evenVBand="0" w:oddHBand="0" w:evenHBand="0" w:firstRowFirstColumn="0" w:firstRowLastColumn="0" w:lastRowFirstColumn="0" w:lastRowLastColumn="0"/>
            <w:tcW w:w="1313" w:type="pct"/>
            <w:vMerge w:val="restart"/>
            <w:tcBorders>
              <w:right w:val="none" w:sz="0" w:space="0" w:color="auto"/>
            </w:tcBorders>
            <w:vAlign w:val="center"/>
          </w:tcPr>
          <w:p w14:paraId="6F2216C5" w14:textId="77777777" w:rsidR="00F456A1" w:rsidRPr="005060E0" w:rsidRDefault="00F456A1" w:rsidP="00512B87">
            <w:pPr>
              <w:spacing w:after="0" w:line="240" w:lineRule="auto"/>
              <w:jc w:val="center"/>
              <w:rPr>
                <w:rFonts w:cs="Arial"/>
                <w:b w:val="0"/>
                <w:sz w:val="16"/>
                <w:szCs w:val="16"/>
              </w:rPr>
            </w:pPr>
            <w:r w:rsidRPr="005060E0">
              <w:rPr>
                <w:rFonts w:cs="Arial"/>
                <w:b w:val="0"/>
                <w:sz w:val="16"/>
                <w:szCs w:val="16"/>
              </w:rPr>
              <w:t>NO</w:t>
            </w:r>
            <w:r w:rsidRPr="005060E0">
              <w:rPr>
                <w:rFonts w:cs="Arial"/>
                <w:b w:val="0"/>
                <w:sz w:val="16"/>
                <w:szCs w:val="16"/>
                <w:vertAlign w:val="subscript"/>
              </w:rPr>
              <w:t>2</w:t>
            </w:r>
          </w:p>
        </w:tc>
        <w:tc>
          <w:tcPr>
            <w:tcW w:w="1645" w:type="pct"/>
            <w:tcBorders>
              <w:bottom w:val="dotted" w:sz="4" w:space="0" w:color="606372" w:themeColor="text2"/>
            </w:tcBorders>
            <w:vAlign w:val="center"/>
          </w:tcPr>
          <w:p w14:paraId="09D06E58" w14:textId="77777777" w:rsidR="00F456A1" w:rsidRPr="005060E0" w:rsidRDefault="00F456A1" w:rsidP="00512B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1-hour</w:t>
            </w:r>
          </w:p>
        </w:tc>
        <w:tc>
          <w:tcPr>
            <w:tcW w:w="2042" w:type="pct"/>
            <w:tcBorders>
              <w:bottom w:val="dotted" w:sz="4" w:space="0" w:color="606372" w:themeColor="text2"/>
            </w:tcBorders>
            <w:shd w:val="clear" w:color="auto" w:fill="auto"/>
            <w:vAlign w:val="center"/>
          </w:tcPr>
          <w:p w14:paraId="1C25D34E" w14:textId="77777777" w:rsidR="00F456A1" w:rsidRPr="005060E0" w:rsidRDefault="00F456A1" w:rsidP="00512B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 xml:space="preserve">40, 80, 97, </w:t>
            </w:r>
            <w:r w:rsidRPr="005060E0">
              <w:rPr>
                <w:rFonts w:cs="Arial"/>
                <w:b/>
                <w:sz w:val="18"/>
                <w:szCs w:val="16"/>
              </w:rPr>
              <w:t>120</w:t>
            </w:r>
          </w:p>
        </w:tc>
      </w:tr>
      <w:tr w:rsidR="00F456A1" w:rsidRPr="005060E0" w14:paraId="3316F742" w14:textId="77777777" w:rsidTr="00512B8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313" w:type="pct"/>
            <w:vMerge/>
            <w:tcBorders>
              <w:top w:val="none" w:sz="0" w:space="0" w:color="auto"/>
              <w:bottom w:val="none" w:sz="0" w:space="0" w:color="auto"/>
              <w:right w:val="none" w:sz="0" w:space="0" w:color="auto"/>
            </w:tcBorders>
            <w:vAlign w:val="center"/>
          </w:tcPr>
          <w:p w14:paraId="0495865A" w14:textId="77777777" w:rsidR="00F456A1" w:rsidRPr="005060E0" w:rsidRDefault="00F456A1" w:rsidP="00512B87">
            <w:pPr>
              <w:spacing w:after="0" w:line="240" w:lineRule="auto"/>
              <w:jc w:val="center"/>
              <w:rPr>
                <w:rFonts w:cs="Arial"/>
                <w:b w:val="0"/>
                <w:sz w:val="16"/>
                <w:szCs w:val="16"/>
              </w:rPr>
            </w:pPr>
          </w:p>
        </w:tc>
        <w:tc>
          <w:tcPr>
            <w:tcW w:w="1645" w:type="pct"/>
            <w:tcBorders>
              <w:top w:val="dotted" w:sz="4" w:space="0" w:color="606372" w:themeColor="text2"/>
              <w:bottom w:val="none" w:sz="0" w:space="0" w:color="auto"/>
            </w:tcBorders>
            <w:vAlign w:val="center"/>
          </w:tcPr>
          <w:p w14:paraId="774FDA46" w14:textId="77777777" w:rsidR="00F456A1" w:rsidRPr="005060E0" w:rsidRDefault="00F456A1" w:rsidP="00512B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Annual</w:t>
            </w:r>
          </w:p>
        </w:tc>
        <w:tc>
          <w:tcPr>
            <w:tcW w:w="2042" w:type="pct"/>
            <w:tcBorders>
              <w:top w:val="dotted" w:sz="4" w:space="0" w:color="606372" w:themeColor="text2"/>
              <w:bottom w:val="none" w:sz="0" w:space="0" w:color="auto"/>
            </w:tcBorders>
            <w:shd w:val="clear" w:color="auto" w:fill="auto"/>
            <w:vAlign w:val="center"/>
          </w:tcPr>
          <w:p w14:paraId="4D759661" w14:textId="77777777" w:rsidR="00F456A1" w:rsidRPr="005060E0" w:rsidRDefault="00F456A1" w:rsidP="00512B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 xml:space="preserve">10, 19, </w:t>
            </w:r>
            <w:r w:rsidRPr="005060E0">
              <w:rPr>
                <w:rFonts w:cs="Arial"/>
                <w:b/>
                <w:sz w:val="18"/>
                <w:szCs w:val="16"/>
              </w:rPr>
              <w:t>30</w:t>
            </w:r>
          </w:p>
        </w:tc>
      </w:tr>
      <w:tr w:rsidR="00F456A1" w:rsidRPr="005060E0" w14:paraId="410A2140" w14:textId="77777777" w:rsidTr="00512B87">
        <w:trPr>
          <w:trHeight w:val="340"/>
          <w:jc w:val="center"/>
        </w:trPr>
        <w:tc>
          <w:tcPr>
            <w:cnfStyle w:val="001000000000" w:firstRow="0" w:lastRow="0" w:firstColumn="1" w:lastColumn="0" w:oddVBand="0" w:evenVBand="0" w:oddHBand="0" w:evenHBand="0" w:firstRowFirstColumn="0" w:firstRowLastColumn="0" w:lastRowFirstColumn="0" w:lastRowLastColumn="0"/>
            <w:tcW w:w="1313" w:type="pct"/>
            <w:vMerge w:val="restart"/>
            <w:tcBorders>
              <w:right w:val="none" w:sz="0" w:space="0" w:color="auto"/>
            </w:tcBorders>
            <w:vAlign w:val="center"/>
          </w:tcPr>
          <w:p w14:paraId="131867A9" w14:textId="77777777" w:rsidR="00F456A1" w:rsidRPr="005060E0" w:rsidRDefault="00F456A1" w:rsidP="00512B87">
            <w:pPr>
              <w:spacing w:after="0" w:line="240" w:lineRule="auto"/>
              <w:jc w:val="center"/>
              <w:rPr>
                <w:rFonts w:cs="Arial"/>
                <w:b w:val="0"/>
                <w:sz w:val="16"/>
                <w:szCs w:val="16"/>
              </w:rPr>
            </w:pPr>
            <w:r w:rsidRPr="005060E0">
              <w:rPr>
                <w:rFonts w:cs="Arial"/>
                <w:b w:val="0"/>
                <w:sz w:val="16"/>
                <w:szCs w:val="16"/>
              </w:rPr>
              <w:t>O</w:t>
            </w:r>
            <w:r w:rsidRPr="005060E0">
              <w:rPr>
                <w:rFonts w:cs="Arial"/>
                <w:b w:val="0"/>
                <w:sz w:val="16"/>
                <w:szCs w:val="16"/>
                <w:vertAlign w:val="subscript"/>
              </w:rPr>
              <w:t>3</w:t>
            </w:r>
          </w:p>
        </w:tc>
        <w:tc>
          <w:tcPr>
            <w:tcW w:w="1645" w:type="pct"/>
            <w:tcBorders>
              <w:bottom w:val="dotted" w:sz="4" w:space="0" w:color="606372" w:themeColor="text2"/>
            </w:tcBorders>
            <w:vAlign w:val="center"/>
          </w:tcPr>
          <w:p w14:paraId="2A4D7937" w14:textId="77777777" w:rsidR="00F456A1" w:rsidRPr="005060E0" w:rsidRDefault="00F456A1" w:rsidP="00512B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1-hour</w:t>
            </w:r>
          </w:p>
        </w:tc>
        <w:tc>
          <w:tcPr>
            <w:tcW w:w="2042" w:type="pct"/>
            <w:tcBorders>
              <w:bottom w:val="dotted" w:sz="4" w:space="0" w:color="606372" w:themeColor="text2"/>
            </w:tcBorders>
            <w:shd w:val="clear" w:color="auto" w:fill="auto"/>
            <w:vAlign w:val="center"/>
          </w:tcPr>
          <w:p w14:paraId="792FFD02" w14:textId="77777777" w:rsidR="00F456A1" w:rsidRPr="005060E0" w:rsidRDefault="00F456A1" w:rsidP="00512B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 xml:space="preserve">70, 85, </w:t>
            </w:r>
            <w:r w:rsidRPr="005060E0">
              <w:rPr>
                <w:rFonts w:cs="Arial"/>
                <w:b/>
                <w:sz w:val="18"/>
                <w:szCs w:val="16"/>
              </w:rPr>
              <w:t>100</w:t>
            </w:r>
          </w:p>
        </w:tc>
      </w:tr>
      <w:tr w:rsidR="00F456A1" w:rsidRPr="005060E0" w14:paraId="38013670" w14:textId="77777777" w:rsidTr="00512B8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313" w:type="pct"/>
            <w:vMerge/>
            <w:tcBorders>
              <w:top w:val="none" w:sz="0" w:space="0" w:color="auto"/>
              <w:bottom w:val="none" w:sz="0" w:space="0" w:color="auto"/>
              <w:right w:val="none" w:sz="0" w:space="0" w:color="auto"/>
            </w:tcBorders>
            <w:vAlign w:val="center"/>
          </w:tcPr>
          <w:p w14:paraId="3CAA60E7" w14:textId="77777777" w:rsidR="00F456A1" w:rsidRPr="005060E0" w:rsidRDefault="00F456A1" w:rsidP="00512B87">
            <w:pPr>
              <w:spacing w:after="0" w:line="240" w:lineRule="auto"/>
              <w:jc w:val="center"/>
              <w:rPr>
                <w:rFonts w:cs="Arial"/>
                <w:b w:val="0"/>
                <w:sz w:val="16"/>
                <w:szCs w:val="16"/>
              </w:rPr>
            </w:pPr>
          </w:p>
        </w:tc>
        <w:tc>
          <w:tcPr>
            <w:tcW w:w="1645" w:type="pct"/>
            <w:tcBorders>
              <w:top w:val="dotted" w:sz="4" w:space="0" w:color="606372" w:themeColor="text2"/>
              <w:bottom w:val="dotted" w:sz="4" w:space="0" w:color="606372" w:themeColor="text2"/>
            </w:tcBorders>
            <w:vAlign w:val="center"/>
          </w:tcPr>
          <w:p w14:paraId="6F5450C9" w14:textId="77777777" w:rsidR="00F456A1" w:rsidRPr="005060E0" w:rsidRDefault="00F456A1" w:rsidP="00512B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Rolling 4-hour</w:t>
            </w:r>
          </w:p>
        </w:tc>
        <w:tc>
          <w:tcPr>
            <w:tcW w:w="2042" w:type="pct"/>
            <w:tcBorders>
              <w:top w:val="dotted" w:sz="4" w:space="0" w:color="606372" w:themeColor="text2"/>
              <w:bottom w:val="dotted" w:sz="4" w:space="0" w:color="606372" w:themeColor="text2"/>
            </w:tcBorders>
            <w:shd w:val="clear" w:color="auto" w:fill="auto"/>
            <w:vAlign w:val="center"/>
          </w:tcPr>
          <w:p w14:paraId="10AC2B2E" w14:textId="77777777" w:rsidR="00F456A1" w:rsidRPr="005060E0" w:rsidRDefault="00F456A1" w:rsidP="00512B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 xml:space="preserve">60, 70, </w:t>
            </w:r>
            <w:r w:rsidRPr="005060E0">
              <w:rPr>
                <w:rFonts w:cs="Arial"/>
                <w:b/>
                <w:sz w:val="18"/>
                <w:szCs w:val="16"/>
              </w:rPr>
              <w:t>80</w:t>
            </w:r>
          </w:p>
        </w:tc>
      </w:tr>
      <w:tr w:rsidR="00F456A1" w:rsidRPr="005060E0" w14:paraId="123E4333" w14:textId="77777777" w:rsidTr="00512B87">
        <w:trPr>
          <w:trHeight w:val="340"/>
          <w:jc w:val="center"/>
        </w:trPr>
        <w:tc>
          <w:tcPr>
            <w:cnfStyle w:val="001000000000" w:firstRow="0" w:lastRow="0" w:firstColumn="1" w:lastColumn="0" w:oddVBand="0" w:evenVBand="0" w:oddHBand="0" w:evenHBand="0" w:firstRowFirstColumn="0" w:firstRowLastColumn="0" w:lastRowFirstColumn="0" w:lastRowLastColumn="0"/>
            <w:tcW w:w="1313" w:type="pct"/>
            <w:vMerge/>
            <w:tcBorders>
              <w:right w:val="none" w:sz="0" w:space="0" w:color="auto"/>
            </w:tcBorders>
            <w:vAlign w:val="center"/>
          </w:tcPr>
          <w:p w14:paraId="21923F68" w14:textId="77777777" w:rsidR="00F456A1" w:rsidRPr="005060E0" w:rsidRDefault="00F456A1" w:rsidP="00512B87">
            <w:pPr>
              <w:spacing w:after="0" w:line="240" w:lineRule="auto"/>
              <w:jc w:val="center"/>
              <w:rPr>
                <w:rFonts w:cs="Arial"/>
                <w:b w:val="0"/>
                <w:sz w:val="16"/>
                <w:szCs w:val="16"/>
              </w:rPr>
            </w:pPr>
          </w:p>
        </w:tc>
        <w:tc>
          <w:tcPr>
            <w:tcW w:w="1645" w:type="pct"/>
            <w:tcBorders>
              <w:top w:val="dotted" w:sz="4" w:space="0" w:color="606372" w:themeColor="text2"/>
            </w:tcBorders>
            <w:vAlign w:val="center"/>
          </w:tcPr>
          <w:p w14:paraId="02972EA9" w14:textId="77777777" w:rsidR="00F456A1" w:rsidRPr="005060E0" w:rsidRDefault="00F456A1" w:rsidP="00512B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Rolling 8-hour</w:t>
            </w:r>
          </w:p>
        </w:tc>
        <w:tc>
          <w:tcPr>
            <w:tcW w:w="2042" w:type="pct"/>
            <w:tcBorders>
              <w:top w:val="dotted" w:sz="4" w:space="0" w:color="606372" w:themeColor="text2"/>
            </w:tcBorders>
            <w:shd w:val="clear" w:color="auto" w:fill="auto"/>
            <w:vAlign w:val="center"/>
          </w:tcPr>
          <w:p w14:paraId="7CE5AD82" w14:textId="77777777" w:rsidR="00F456A1" w:rsidRPr="005060E0" w:rsidRDefault="00F456A1" w:rsidP="00512B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47, 55, 60, 70</w:t>
            </w:r>
          </w:p>
        </w:tc>
      </w:tr>
    </w:tbl>
    <w:p w14:paraId="79A4C661" w14:textId="77777777" w:rsidR="00F456A1" w:rsidRPr="005060E0" w:rsidRDefault="00F456A1" w:rsidP="00F456A1">
      <w:pPr>
        <w:spacing w:before="360" w:after="240"/>
        <w:rPr>
          <w:b/>
          <w:color w:val="0070C0"/>
          <w:sz w:val="22"/>
        </w:rPr>
      </w:pPr>
      <w:r w:rsidRPr="005060E0">
        <w:rPr>
          <w:b/>
          <w:color w:val="0070C0"/>
          <w:sz w:val="22"/>
        </w:rPr>
        <w:t>Step 4: Analysis of historical air quality</w:t>
      </w:r>
    </w:p>
    <w:p w14:paraId="415B62B0" w14:textId="77777777" w:rsidR="00F456A1" w:rsidRPr="005060E0" w:rsidRDefault="00F456A1" w:rsidP="00F456A1">
      <w:r w:rsidRPr="005060E0">
        <w:t>Air quality monitoring data for the period 2002–2016 were analysed to provide historical context with respect to concentrations of SO</w:t>
      </w:r>
      <w:r w:rsidRPr="005060E0">
        <w:rPr>
          <w:vertAlign w:val="subscript"/>
        </w:rPr>
        <w:t>2</w:t>
      </w:r>
      <w:r w:rsidRPr="005060E0">
        <w:t>, NO</w:t>
      </w:r>
      <w:r w:rsidRPr="005060E0">
        <w:rPr>
          <w:vertAlign w:val="subscript"/>
        </w:rPr>
        <w:t>2</w:t>
      </w:r>
      <w:r w:rsidRPr="005060E0">
        <w:t xml:space="preserve"> and O</w:t>
      </w:r>
      <w:r w:rsidRPr="005060E0">
        <w:rPr>
          <w:vertAlign w:val="subscript"/>
        </w:rPr>
        <w:t>3</w:t>
      </w:r>
      <w:r w:rsidRPr="005060E0">
        <w:t xml:space="preserve"> in Australian airsheds, and to contribute to the assessment of achievability of the proposed standards. The analysis covered all the airsheds (‘major cities’ and other significant ‘regional centres’) that were considered in the HRA and for which adequate monitoring data were available. The analysis identified trends in concentrations and established levels of compliance</w:t>
      </w:r>
      <w:r w:rsidRPr="005060E0">
        <w:rPr>
          <w:rStyle w:val="FootnoteReference"/>
          <w:rFonts w:cs="Arial"/>
        </w:rPr>
        <w:footnoteReference w:id="3"/>
      </w:r>
      <w:r w:rsidRPr="005060E0">
        <w:t xml:space="preserve"> with the current and proposed standards in each airshed.</w:t>
      </w:r>
    </w:p>
    <w:p w14:paraId="69E5BFB2" w14:textId="77777777" w:rsidR="00F456A1" w:rsidRPr="005060E0" w:rsidRDefault="00F456A1" w:rsidP="00F456A1">
      <w:pPr>
        <w:spacing w:before="240" w:after="240"/>
        <w:rPr>
          <w:b/>
          <w:color w:val="0070C0"/>
          <w:sz w:val="22"/>
        </w:rPr>
      </w:pPr>
      <w:r w:rsidRPr="005060E0">
        <w:rPr>
          <w:b/>
          <w:color w:val="0070C0"/>
          <w:sz w:val="22"/>
        </w:rPr>
        <w:t>Step 5: Projections of future air quality</w:t>
      </w:r>
    </w:p>
    <w:p w14:paraId="2DF7EDA0" w14:textId="77777777" w:rsidR="00F456A1" w:rsidRPr="00AC5BC6" w:rsidRDefault="00F456A1" w:rsidP="00F456A1">
      <w:r w:rsidRPr="005060E0">
        <w:t xml:space="preserve">This step involved the development of emissions projections (based on ambient monitoring trends, inventories, and population projections), and atmospheric dispersion modelling of the BAU and Abatement Package scenarios. Future projections of air quality were determined for specific years (2016, 2021, 2031 and 2040). The future projections included a ‘Business-as-Usual’ (BAU) scenario and an ‘Abatement Package’ scenario, involving the implementation of a single package of emission-reduction measures. The approach used for each jurisdiction was tailored according to the available information, with the most detailed modelling being possible for NSW and Victoria. Pollutant concentrations and exceedances of air quality standards were determined for the projection years in the modelled airsheds. </w:t>
      </w:r>
    </w:p>
    <w:p w14:paraId="1B63E46D" w14:textId="77777777" w:rsidR="00F456A1" w:rsidRPr="005060E0" w:rsidRDefault="00F456A1" w:rsidP="00F456A1">
      <w:pPr>
        <w:spacing w:before="240" w:after="240"/>
        <w:rPr>
          <w:b/>
          <w:color w:val="0070C0"/>
          <w:sz w:val="22"/>
        </w:rPr>
      </w:pPr>
      <w:r w:rsidRPr="005060E0">
        <w:rPr>
          <w:b/>
          <w:color w:val="0070C0"/>
          <w:sz w:val="22"/>
        </w:rPr>
        <w:t>Step 6: Health risk assessment</w:t>
      </w:r>
    </w:p>
    <w:p w14:paraId="623EE025" w14:textId="77777777" w:rsidR="00F456A1" w:rsidRPr="005060E0" w:rsidRDefault="00F456A1" w:rsidP="00F456A1">
      <w:r w:rsidRPr="005060E0">
        <w:t>Step 6 involved conversion of the predicted concentrations into health outcomes</w:t>
      </w:r>
      <w:r>
        <w:t>,</w:t>
      </w:r>
      <w:r w:rsidRPr="005060E0">
        <w:t xml:space="preserve"> which were used as inputs to the cost</w:t>
      </w:r>
      <w:r w:rsidRPr="005060E0">
        <w:rPr>
          <w:rFonts w:cs="Arial"/>
        </w:rPr>
        <w:t>–</w:t>
      </w:r>
      <w:r w:rsidRPr="005060E0">
        <w:t>benefit analysis. The HRA calculated the following:</w:t>
      </w:r>
    </w:p>
    <w:p w14:paraId="2129CE46" w14:textId="77777777" w:rsidR="00F456A1" w:rsidRPr="005060E0" w:rsidRDefault="00F456A1" w:rsidP="00F456A1">
      <w:pPr>
        <w:pStyle w:val="BullettL1PB"/>
      </w:pPr>
      <w:r>
        <w:t>t</w:t>
      </w:r>
      <w:r w:rsidRPr="005060E0">
        <w:t>he health burden attributable to each of the pollutants under consideration arising from historical concentrations</w:t>
      </w:r>
    </w:p>
    <w:p w14:paraId="5BDB1D4F" w14:textId="77777777" w:rsidR="00F456A1" w:rsidRPr="005060E0" w:rsidRDefault="00F456A1" w:rsidP="00F456A1">
      <w:pPr>
        <w:pStyle w:val="BullettL1PB"/>
      </w:pPr>
      <w:r>
        <w:t>t</w:t>
      </w:r>
      <w:r w:rsidRPr="005060E0">
        <w:t>he future health burden under both the BAU and Abatement Package scenarios</w:t>
      </w:r>
    </w:p>
    <w:p w14:paraId="00003D4A" w14:textId="77777777" w:rsidR="00F456A1" w:rsidRPr="005060E0" w:rsidRDefault="00F456A1" w:rsidP="00F456A1">
      <w:pPr>
        <w:pStyle w:val="BullettL1PB"/>
      </w:pPr>
      <w:r>
        <w:t>t</w:t>
      </w:r>
      <w:r w:rsidRPr="005060E0">
        <w:t>he number of health outcomes that would be avoided if the potential standards could be met.</w:t>
      </w:r>
    </w:p>
    <w:p w14:paraId="243BEE57" w14:textId="77777777" w:rsidR="00F456A1" w:rsidRPr="005060E0" w:rsidRDefault="00F456A1" w:rsidP="00F456A1">
      <w:r w:rsidRPr="005060E0">
        <w:t xml:space="preserve">Both long-term (chronic) and short-term (acute) effects on health were considered. </w:t>
      </w:r>
    </w:p>
    <w:p w14:paraId="2A334AC3" w14:textId="77777777" w:rsidR="00F456A1" w:rsidRPr="005060E0" w:rsidRDefault="00F456A1" w:rsidP="00F456A1">
      <w:pPr>
        <w:spacing w:after="120"/>
      </w:pPr>
      <w:r w:rsidRPr="005060E0">
        <w:t>An important part of the HRA was the selection of appropriate concentration-response functions (CRFs). Specific CRFs for Australian studies have been developed (e.g. Jalaludin &amp; Cowie 2012)</w:t>
      </w:r>
      <w:r>
        <w:t>;</w:t>
      </w:r>
      <w:r w:rsidRPr="005060E0">
        <w:t xml:space="preserve"> </w:t>
      </w:r>
      <w:r>
        <w:t>h</w:t>
      </w:r>
      <w:r w:rsidRPr="005060E0">
        <w:t>owever, two more recent international projects coordinated by the World Health Organization (WHO) Regional Office for Europe have significantly updated the health evidence and the basis for assessment:</w:t>
      </w:r>
    </w:p>
    <w:p w14:paraId="0CC7E339" w14:textId="77777777" w:rsidR="00F456A1" w:rsidRPr="005060E0" w:rsidRDefault="00F456A1" w:rsidP="00F456A1">
      <w:pPr>
        <w:pStyle w:val="BullettL1PB"/>
      </w:pPr>
      <w:r w:rsidRPr="005060E0">
        <w:rPr>
          <w:i/>
        </w:rPr>
        <w:t>Health risks of air pollution in Europe</w:t>
      </w:r>
      <w:r w:rsidRPr="005060E0">
        <w:t xml:space="preserve"> (HRAPIE) (WHO 2013</w:t>
      </w:r>
      <w:r>
        <w:t>a</w:t>
      </w:r>
      <w:r w:rsidRPr="005060E0">
        <w:t>)</w:t>
      </w:r>
    </w:p>
    <w:p w14:paraId="6B64C703" w14:textId="77777777" w:rsidR="00F456A1" w:rsidRPr="005060E0" w:rsidRDefault="00F456A1" w:rsidP="00F456A1">
      <w:pPr>
        <w:pStyle w:val="BullettL1PB"/>
        <w:spacing w:after="120"/>
      </w:pPr>
      <w:r w:rsidRPr="005060E0">
        <w:rPr>
          <w:i/>
        </w:rPr>
        <w:t>Review of evidence on health aspects of air pollution</w:t>
      </w:r>
      <w:r w:rsidRPr="005060E0">
        <w:t xml:space="preserve"> (REVIHAAP) (WHO 2013</w:t>
      </w:r>
      <w:r>
        <w:t>b</w:t>
      </w:r>
      <w:r w:rsidRPr="005060E0">
        <w:t>)</w:t>
      </w:r>
      <w:r>
        <w:t>.</w:t>
      </w:r>
    </w:p>
    <w:p w14:paraId="1433BEF8" w14:textId="77777777" w:rsidR="00F456A1" w:rsidRPr="005060E0" w:rsidRDefault="00F456A1" w:rsidP="00F456A1">
      <w:pPr>
        <w:spacing w:after="120"/>
      </w:pPr>
      <w:r w:rsidRPr="005060E0">
        <w:t>For NO</w:t>
      </w:r>
      <w:r w:rsidRPr="005060E0">
        <w:rPr>
          <w:vertAlign w:val="subscript"/>
        </w:rPr>
        <w:t>2</w:t>
      </w:r>
      <w:r w:rsidRPr="005060E0">
        <w:t xml:space="preserve"> and O</w:t>
      </w:r>
      <w:r w:rsidRPr="005060E0">
        <w:rPr>
          <w:vertAlign w:val="subscript"/>
        </w:rPr>
        <w:t>3</w:t>
      </w:r>
      <w:r w:rsidRPr="005060E0">
        <w:t>, the HRAPIE CRFs were considered the most robust available in the literature and incorporated more extensive and more up-to-date information than the Australian CRFs. Some of the CRFs for NO</w:t>
      </w:r>
      <w:r w:rsidRPr="005060E0">
        <w:rPr>
          <w:vertAlign w:val="subscript"/>
        </w:rPr>
        <w:t>2</w:t>
      </w:r>
      <w:r w:rsidRPr="005060E0">
        <w:t xml:space="preserve"> and O</w:t>
      </w:r>
      <w:r w:rsidRPr="005060E0">
        <w:rPr>
          <w:vertAlign w:val="subscript"/>
        </w:rPr>
        <w:t>3</w:t>
      </w:r>
      <w:r w:rsidRPr="005060E0">
        <w:t xml:space="preserve"> from HRAPIE were therefore adopted for this Impact Statement in preference to the ones developed previously for Australia. For SO</w:t>
      </w:r>
      <w:r w:rsidRPr="005060E0">
        <w:rPr>
          <w:vertAlign w:val="subscript"/>
        </w:rPr>
        <w:t>2</w:t>
      </w:r>
      <w:r w:rsidRPr="005060E0">
        <w:t xml:space="preserve">, the CRFs were taken from various sources. </w:t>
      </w:r>
    </w:p>
    <w:p w14:paraId="2031F3C2" w14:textId="77777777" w:rsidR="00F456A1" w:rsidRPr="005060E0" w:rsidRDefault="00F456A1" w:rsidP="00F456A1">
      <w:pPr>
        <w:spacing w:before="240" w:after="240"/>
        <w:rPr>
          <w:b/>
          <w:color w:val="0070C0"/>
          <w:sz w:val="22"/>
          <w:highlight w:val="yellow"/>
        </w:rPr>
      </w:pPr>
      <w:r w:rsidRPr="005060E0">
        <w:rPr>
          <w:b/>
          <w:color w:val="0070C0"/>
          <w:sz w:val="22"/>
        </w:rPr>
        <w:t>Cost–benefit analysis</w:t>
      </w:r>
    </w:p>
    <w:p w14:paraId="37610DC7" w14:textId="77777777" w:rsidR="00F456A1" w:rsidRPr="005060E0" w:rsidRDefault="00F456A1" w:rsidP="00F456A1">
      <w:pPr>
        <w:spacing w:after="200" w:line="276" w:lineRule="auto"/>
      </w:pPr>
      <w:r w:rsidRPr="005060E0">
        <w:t>A CBA was conducted to provide economic evidence to support the assessment of the proposed standards. The CBA provided estimates for the following:</w:t>
      </w:r>
    </w:p>
    <w:p w14:paraId="215A5CE4" w14:textId="77777777" w:rsidR="00F456A1" w:rsidRPr="005060E0" w:rsidRDefault="00F456A1" w:rsidP="00F456A1">
      <w:pPr>
        <w:pStyle w:val="BullettL1PB"/>
        <w:spacing w:after="120"/>
      </w:pPr>
      <w:r>
        <w:t>t</w:t>
      </w:r>
      <w:r w:rsidRPr="005060E0">
        <w:t>he cost of the existing health burden for SO</w:t>
      </w:r>
      <w:r w:rsidRPr="005060E0">
        <w:rPr>
          <w:vertAlign w:val="subscript"/>
        </w:rPr>
        <w:t>2</w:t>
      </w:r>
      <w:r w:rsidRPr="005060E0">
        <w:t>, NO</w:t>
      </w:r>
      <w:r w:rsidRPr="005060E0">
        <w:rPr>
          <w:vertAlign w:val="subscript"/>
        </w:rPr>
        <w:t>2</w:t>
      </w:r>
      <w:r w:rsidRPr="005060E0">
        <w:t xml:space="preserve"> and O</w:t>
      </w:r>
      <w:r w:rsidRPr="005060E0">
        <w:rPr>
          <w:vertAlign w:val="subscript"/>
        </w:rPr>
        <w:t xml:space="preserve">3 </w:t>
      </w:r>
      <w:r w:rsidRPr="005060E0">
        <w:t>in present value terms, based on the HRA data for 2010–2014</w:t>
      </w:r>
    </w:p>
    <w:p w14:paraId="22AA6940" w14:textId="77777777" w:rsidR="00F456A1" w:rsidRPr="005060E0" w:rsidRDefault="00F456A1" w:rsidP="00F456A1">
      <w:pPr>
        <w:pStyle w:val="BullettL1PB"/>
        <w:spacing w:after="120"/>
      </w:pPr>
      <w:r>
        <w:t>t</w:t>
      </w:r>
      <w:r w:rsidRPr="005060E0">
        <w:t>he costs and benefits of the Abatement Package scenario over the timeframe 2021–2040.</w:t>
      </w:r>
    </w:p>
    <w:p w14:paraId="7E948E98" w14:textId="77777777" w:rsidR="00F456A1" w:rsidRPr="005060E0" w:rsidRDefault="00F456A1" w:rsidP="00F456A1">
      <w:pPr>
        <w:spacing w:after="200" w:line="276" w:lineRule="auto"/>
      </w:pPr>
      <w:r w:rsidRPr="005060E0">
        <w:t>The abatement measures targeted sources of SO</w:t>
      </w:r>
      <w:r w:rsidRPr="005060E0">
        <w:rPr>
          <w:vertAlign w:val="subscript"/>
        </w:rPr>
        <w:t>X</w:t>
      </w:r>
      <w:r w:rsidRPr="005060E0">
        <w:t>, NO</w:t>
      </w:r>
      <w:r w:rsidRPr="005060E0">
        <w:rPr>
          <w:vertAlign w:val="subscript"/>
        </w:rPr>
        <w:t>X</w:t>
      </w:r>
      <w:r w:rsidRPr="005060E0">
        <w:t xml:space="preserve"> and volatile organic compound (VOC)</w:t>
      </w:r>
      <w:r w:rsidRPr="005060E0">
        <w:rPr>
          <w:rStyle w:val="FootnoteReference"/>
        </w:rPr>
        <w:footnoteReference w:id="4"/>
      </w:r>
      <w:r w:rsidRPr="005060E0">
        <w:t xml:space="preserve"> emissions. The assessment of costs and emission reductions was based on publicly available data. The monetary benefits were estimated based on the health outcomes from the HRA.</w:t>
      </w:r>
    </w:p>
    <w:p w14:paraId="242F4EF6" w14:textId="77777777" w:rsidR="00F456A1" w:rsidRPr="005060E0" w:rsidRDefault="00F456A1" w:rsidP="00F456A1">
      <w:pPr>
        <w:pStyle w:val="BodyText"/>
      </w:pPr>
      <w:r w:rsidRPr="005060E0">
        <w:t>The CBA considered the incremental costs and benefits of emission reductions associated with the implementation of the Abatement Package. Costs represented the economic resource costs associated with the implementation of the abatement measures, which included:</w:t>
      </w:r>
    </w:p>
    <w:p w14:paraId="45F50304" w14:textId="77777777" w:rsidR="00F456A1" w:rsidRPr="005060E0" w:rsidRDefault="00F456A1" w:rsidP="00F456A1">
      <w:pPr>
        <w:pStyle w:val="BullettL1PB"/>
        <w:spacing w:after="120"/>
      </w:pPr>
      <w:r>
        <w:t>t</w:t>
      </w:r>
      <w:r w:rsidRPr="005060E0">
        <w:t>he incremental capital costs associated with upgrades to machinery, plant and equipment</w:t>
      </w:r>
    </w:p>
    <w:p w14:paraId="63818D83" w14:textId="77777777" w:rsidR="00F456A1" w:rsidRPr="005060E0" w:rsidRDefault="00F456A1" w:rsidP="00F456A1">
      <w:pPr>
        <w:pStyle w:val="BullettL1PB"/>
        <w:spacing w:after="120"/>
      </w:pPr>
      <w:r>
        <w:t>t</w:t>
      </w:r>
      <w:r w:rsidRPr="005060E0">
        <w:t>he incremental operating and maintenance costs</w:t>
      </w:r>
    </w:p>
    <w:p w14:paraId="7C1ECB5B" w14:textId="77777777" w:rsidR="00F456A1" w:rsidRPr="005060E0" w:rsidRDefault="00F456A1" w:rsidP="00F456A1">
      <w:pPr>
        <w:pStyle w:val="BullettL1PB"/>
        <w:spacing w:after="120"/>
      </w:pPr>
      <w:r>
        <w:t>a</w:t>
      </w:r>
      <w:r w:rsidRPr="005060E0">
        <w:t>dministrative and compliance costs</w:t>
      </w:r>
    </w:p>
    <w:p w14:paraId="446C4A0F" w14:textId="77777777" w:rsidR="00F456A1" w:rsidRPr="005060E0" w:rsidRDefault="00F456A1" w:rsidP="00F456A1">
      <w:pPr>
        <w:pStyle w:val="BullettL1PB"/>
        <w:spacing w:after="120"/>
      </w:pPr>
      <w:r>
        <w:t>a</w:t>
      </w:r>
      <w:r w:rsidRPr="005060E0">
        <w:t>ny co-benefits or disbenefits associated with the abatement measures (e.g. changes to fuel consumption</w:t>
      </w:r>
      <w:r>
        <w:t>,</w:t>
      </w:r>
      <w:r w:rsidRPr="005060E0">
        <w:t xml:space="preserve"> etc.), which offset or increase the costs respectively.</w:t>
      </w:r>
    </w:p>
    <w:p w14:paraId="0961FFCA" w14:textId="77777777" w:rsidR="00F456A1" w:rsidRPr="005060E0" w:rsidRDefault="00F456A1" w:rsidP="00F456A1">
      <w:pPr>
        <w:pStyle w:val="BodyText"/>
      </w:pPr>
      <w:r w:rsidRPr="005060E0">
        <w:t>The scope of pollutants was limited to the three gases that are the subject of this Impact Statement (SO</w:t>
      </w:r>
      <w:r w:rsidRPr="005060E0">
        <w:rPr>
          <w:vertAlign w:val="subscript"/>
        </w:rPr>
        <w:t>2</w:t>
      </w:r>
      <w:r w:rsidRPr="005060E0">
        <w:t>, NO</w:t>
      </w:r>
      <w:r w:rsidRPr="005060E0">
        <w:rPr>
          <w:vertAlign w:val="subscript"/>
        </w:rPr>
        <w:t>2</w:t>
      </w:r>
      <w:r w:rsidRPr="005060E0">
        <w:t xml:space="preserve"> and O</w:t>
      </w:r>
      <w:r w:rsidRPr="005060E0">
        <w:rPr>
          <w:vertAlign w:val="subscript"/>
        </w:rPr>
        <w:t>3</w:t>
      </w:r>
      <w:r w:rsidRPr="005060E0">
        <w:t>) plus PM</w:t>
      </w:r>
      <w:r w:rsidRPr="005060E0">
        <w:rPr>
          <w:vertAlign w:val="subscript"/>
        </w:rPr>
        <w:t>2.5</w:t>
      </w:r>
      <w:r w:rsidRPr="005060E0">
        <w:t>. The latter was included because some of the abatement measures were expected to reduce PM</w:t>
      </w:r>
      <w:r w:rsidRPr="005060E0">
        <w:rPr>
          <w:vertAlign w:val="subscript"/>
        </w:rPr>
        <w:t>2.5</w:t>
      </w:r>
      <w:r w:rsidRPr="005060E0">
        <w:t xml:space="preserve"> emissions, and this is expected to deliver substantial benefits to human health because of the strong health evidence on the effects of PM</w:t>
      </w:r>
      <w:r w:rsidRPr="005060E0">
        <w:rPr>
          <w:vertAlign w:val="subscript"/>
        </w:rPr>
        <w:t>2.5</w:t>
      </w:r>
      <w:r w:rsidRPr="005060E0">
        <w:t>.</w:t>
      </w:r>
    </w:p>
    <w:p w14:paraId="0F9E8FCC" w14:textId="77777777" w:rsidR="00F456A1" w:rsidRPr="005060E0" w:rsidRDefault="00F456A1" w:rsidP="00F456A1">
      <w:pPr>
        <w:rPr>
          <w:b/>
          <w:sz w:val="28"/>
          <w:szCs w:val="28"/>
          <w:highlight w:val="yellow"/>
        </w:rPr>
      </w:pPr>
      <w:r w:rsidRPr="005060E0">
        <w:rPr>
          <w:b/>
          <w:color w:val="0070C0"/>
          <w:sz w:val="28"/>
          <w:szCs w:val="28"/>
        </w:rPr>
        <w:t>E.4</w:t>
      </w:r>
      <w:r w:rsidRPr="005060E0">
        <w:rPr>
          <w:b/>
          <w:color w:val="0070C0"/>
          <w:sz w:val="28"/>
          <w:szCs w:val="28"/>
        </w:rPr>
        <w:tab/>
        <w:t>Summary of findings and recommendations</w:t>
      </w:r>
    </w:p>
    <w:p w14:paraId="50FF4D6A" w14:textId="77777777" w:rsidR="00F456A1" w:rsidRPr="005060E0" w:rsidRDefault="00F456A1" w:rsidP="00F456A1">
      <w:r w:rsidRPr="005060E0">
        <w:t>This Impact Statement found there are health effects arising from exposure to O</w:t>
      </w:r>
      <w:r w:rsidRPr="005060E0">
        <w:rPr>
          <w:vertAlign w:val="subscript"/>
        </w:rPr>
        <w:t>3</w:t>
      </w:r>
      <w:r w:rsidRPr="005060E0">
        <w:t>, NO</w:t>
      </w:r>
      <w:r w:rsidRPr="005060E0">
        <w:rPr>
          <w:vertAlign w:val="subscript"/>
        </w:rPr>
        <w:t>2</w:t>
      </w:r>
      <w:r w:rsidRPr="005060E0">
        <w:t xml:space="preserve"> and SO</w:t>
      </w:r>
      <w:r w:rsidRPr="005060E0">
        <w:rPr>
          <w:vertAlign w:val="subscript"/>
        </w:rPr>
        <w:t>2</w:t>
      </w:r>
      <w:r w:rsidRPr="005060E0">
        <w:t xml:space="preserve"> in Australian cities at the</w:t>
      </w:r>
      <w:r>
        <w:t>ir</w:t>
      </w:r>
      <w:r w:rsidRPr="005060E0">
        <w:t xml:space="preserve"> current concentrations. The associated combined health costs due to mortality and hospitalisation over the period 2010–2014 were of the order of $562 million to $2,405 million, </w:t>
      </w:r>
      <w:r w:rsidRPr="005060E0">
        <w:rPr>
          <w:szCs w:val="20"/>
        </w:rPr>
        <w:t>depending on the choice of CRFs</w:t>
      </w:r>
      <w:r w:rsidRPr="005060E0">
        <w:t>. However, when considering the full CBA, the application of the different CRF groups did not change the overall outcome, which was a negative net present value (NPV) to society.</w:t>
      </w:r>
    </w:p>
    <w:p w14:paraId="6D49C036" w14:textId="77777777" w:rsidR="00F456A1" w:rsidRPr="005060E0" w:rsidRDefault="00F456A1" w:rsidP="00F456A1">
      <w:pPr>
        <w:spacing w:after="160"/>
      </w:pPr>
      <w:r w:rsidRPr="005060E0">
        <w:t>With the predicted population growth in Australian cities and regional areas, the number of people that are exposed to air pollution will also increase</w:t>
      </w:r>
      <w:r>
        <w:t>,</w:t>
      </w:r>
      <w:r w:rsidRPr="005060E0">
        <w:t xml:space="preserve"> leading to an increased health burden.</w:t>
      </w:r>
    </w:p>
    <w:p w14:paraId="415FB640" w14:textId="77777777" w:rsidR="00F456A1" w:rsidRPr="005060E0" w:rsidRDefault="00F456A1" w:rsidP="00F456A1">
      <w:pPr>
        <w:spacing w:after="160"/>
      </w:pPr>
      <w:r w:rsidRPr="005060E0">
        <w:t>The analysis presented in the Impact Statement shows there are material health benefits associated with meeting the standards that have been proposed for this review. Air quality modelling has shown that some of these standards can be met by 2040. There will be challenges to meet some of the strictest proposed standards for O</w:t>
      </w:r>
      <w:r w:rsidRPr="005060E0">
        <w:rPr>
          <w:vertAlign w:val="subscript"/>
        </w:rPr>
        <w:t>3</w:t>
      </w:r>
      <w:r w:rsidRPr="005060E0">
        <w:t xml:space="preserve"> in many jurisdictions</w:t>
      </w:r>
      <w:r>
        <w:t>;</w:t>
      </w:r>
      <w:r w:rsidRPr="005060E0">
        <w:t xml:space="preserve"> </w:t>
      </w:r>
      <w:r>
        <w:t>h</w:t>
      </w:r>
      <w:r w:rsidRPr="005060E0">
        <w:t>owever, consideration of an exposure-reduction framework, which is focuse</w:t>
      </w:r>
      <w:r>
        <w:t>d</w:t>
      </w:r>
      <w:r w:rsidRPr="005060E0">
        <w:t xml:space="preserve"> on reducing the exposure of the population, and thereby reducing the risk to their health, provides a mechanism whereby continual improvements in air quality can be demonstrated even if there are exceedances of the standards.</w:t>
      </w:r>
    </w:p>
    <w:p w14:paraId="0FDF9EFA" w14:textId="77777777" w:rsidR="00F456A1" w:rsidRPr="005060E0" w:rsidRDefault="00F456A1" w:rsidP="00F456A1">
      <w:pPr>
        <w:spacing w:after="160"/>
      </w:pPr>
      <w:r w:rsidRPr="005060E0">
        <w:t>The Abatement Package scenario modelled as part of this review has been shown to not be cost-effective in achieving reductions in pollutant levels. Consideration should be given to alternative abatements that may achieve a larger impact across whole populations such as those associated with motor vehicles and transport options.</w:t>
      </w:r>
    </w:p>
    <w:p w14:paraId="10E29B9D" w14:textId="77777777" w:rsidR="00F456A1" w:rsidRPr="005060E0" w:rsidRDefault="00F456A1" w:rsidP="00F456A1">
      <w:pPr>
        <w:spacing w:after="160"/>
      </w:pPr>
      <w:r w:rsidRPr="005060E0">
        <w:t>The main recommendations of the Impact Statement with respect to the AAQ NEPM are summarised in Table E-4.</w:t>
      </w:r>
    </w:p>
    <w:p w14:paraId="607891C0" w14:textId="77777777" w:rsidR="00F456A1" w:rsidRPr="005060E0" w:rsidRDefault="00F456A1" w:rsidP="00F456A1">
      <w:pPr>
        <w:jc w:val="center"/>
        <w:rPr>
          <w:sz w:val="18"/>
          <w:szCs w:val="18"/>
        </w:rPr>
      </w:pPr>
      <w:r w:rsidRPr="005060E0">
        <w:rPr>
          <w:sz w:val="18"/>
          <w:szCs w:val="18"/>
        </w:rPr>
        <w:t>Table E-4: Recommendations from the Impact Statement</w:t>
      </w:r>
    </w:p>
    <w:tbl>
      <w:tblPr>
        <w:tblStyle w:val="TableGrid"/>
        <w:tblW w:w="5000" w:type="pct"/>
        <w:tblBorders>
          <w:top w:val="single" w:sz="4" w:space="0" w:color="606372" w:themeColor="text2"/>
          <w:left w:val="single" w:sz="4" w:space="0" w:color="606372" w:themeColor="text2"/>
          <w:bottom w:val="single" w:sz="4" w:space="0" w:color="606372" w:themeColor="text2"/>
          <w:right w:val="single" w:sz="4" w:space="0" w:color="606372" w:themeColor="text2"/>
          <w:insideH w:val="single" w:sz="4" w:space="0" w:color="606372" w:themeColor="text2"/>
          <w:insideV w:val="single" w:sz="4" w:space="0" w:color="606372" w:themeColor="text2"/>
        </w:tblBorders>
        <w:tblLook w:val="04A0" w:firstRow="1" w:lastRow="0" w:firstColumn="1" w:lastColumn="0" w:noHBand="0" w:noVBand="1"/>
      </w:tblPr>
      <w:tblGrid>
        <w:gridCol w:w="1001"/>
        <w:gridCol w:w="8627"/>
      </w:tblGrid>
      <w:tr w:rsidR="00F456A1" w:rsidRPr="005060E0" w14:paraId="49B9B976" w14:textId="77777777" w:rsidTr="00512B87">
        <w:trPr>
          <w:trHeight w:val="391"/>
          <w:tblHeader/>
        </w:trPr>
        <w:tc>
          <w:tcPr>
            <w:tcW w:w="520" w:type="pct"/>
            <w:shd w:val="clear" w:color="auto" w:fill="606372" w:themeFill="text2"/>
            <w:vAlign w:val="center"/>
          </w:tcPr>
          <w:p w14:paraId="0C7C6A0A" w14:textId="77777777" w:rsidR="00F456A1" w:rsidRPr="005060E0" w:rsidRDefault="00F456A1" w:rsidP="00512B87">
            <w:pPr>
              <w:widowControl w:val="0"/>
              <w:spacing w:before="60" w:after="60" w:line="240" w:lineRule="auto"/>
              <w:rPr>
                <w:rFonts w:cs="Arial"/>
                <w:color w:val="FFFFFF" w:themeColor="background1"/>
                <w:sz w:val="16"/>
                <w:szCs w:val="16"/>
              </w:rPr>
            </w:pPr>
            <w:r w:rsidRPr="005060E0">
              <w:rPr>
                <w:rFonts w:cs="Arial"/>
                <w:color w:val="FFFFFF" w:themeColor="background1"/>
                <w:sz w:val="16"/>
                <w:szCs w:val="16"/>
              </w:rPr>
              <w:t>Number</w:t>
            </w:r>
          </w:p>
        </w:tc>
        <w:tc>
          <w:tcPr>
            <w:tcW w:w="4480" w:type="pct"/>
            <w:shd w:val="clear" w:color="auto" w:fill="606372" w:themeFill="text2"/>
            <w:vAlign w:val="center"/>
          </w:tcPr>
          <w:p w14:paraId="1BFCBBB4" w14:textId="77777777" w:rsidR="00F456A1" w:rsidRPr="005060E0" w:rsidRDefault="00F456A1" w:rsidP="00512B87">
            <w:pPr>
              <w:widowControl w:val="0"/>
              <w:spacing w:before="60" w:after="60" w:line="240" w:lineRule="auto"/>
              <w:rPr>
                <w:rFonts w:cs="Arial"/>
                <w:color w:val="FFFFFF" w:themeColor="background1"/>
                <w:sz w:val="16"/>
                <w:szCs w:val="16"/>
              </w:rPr>
            </w:pPr>
            <w:r w:rsidRPr="005060E0">
              <w:rPr>
                <w:rFonts w:cs="Arial"/>
                <w:color w:val="FFFFFF" w:themeColor="background1"/>
                <w:sz w:val="16"/>
                <w:szCs w:val="16"/>
              </w:rPr>
              <w:t>Recommendation</w:t>
            </w:r>
          </w:p>
        </w:tc>
      </w:tr>
      <w:tr w:rsidR="00F456A1" w:rsidRPr="005060E0" w14:paraId="07EA36FF" w14:textId="77777777" w:rsidTr="00512B87">
        <w:tc>
          <w:tcPr>
            <w:tcW w:w="5000" w:type="pct"/>
            <w:gridSpan w:val="2"/>
            <w:shd w:val="clear" w:color="auto" w:fill="DEDFE3" w:themeFill="text2" w:themeFillTint="33"/>
          </w:tcPr>
          <w:p w14:paraId="750CD23C"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Desired environmental outcome and goal</w:t>
            </w:r>
          </w:p>
        </w:tc>
      </w:tr>
      <w:tr w:rsidR="00F456A1" w:rsidRPr="005060E0" w14:paraId="71558592" w14:textId="77777777" w:rsidTr="00512B87">
        <w:tc>
          <w:tcPr>
            <w:tcW w:w="520" w:type="pct"/>
          </w:tcPr>
          <w:p w14:paraId="3F4C7707"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1</w:t>
            </w:r>
          </w:p>
        </w:tc>
        <w:tc>
          <w:tcPr>
            <w:tcW w:w="4480" w:type="pct"/>
          </w:tcPr>
          <w:p w14:paraId="737F2FB1"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The desired environmental outcome of the AAQ NEPM should be revised to ‘minimise the risk of adverse health impacts from exposure to air pollution for all people, wherever they may live’.</w:t>
            </w:r>
          </w:p>
        </w:tc>
      </w:tr>
      <w:tr w:rsidR="00F456A1" w:rsidRPr="005060E0" w14:paraId="7F16F704" w14:textId="77777777" w:rsidTr="00512B87">
        <w:tc>
          <w:tcPr>
            <w:tcW w:w="520" w:type="pct"/>
          </w:tcPr>
          <w:p w14:paraId="78F21E02"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2</w:t>
            </w:r>
          </w:p>
        </w:tc>
        <w:tc>
          <w:tcPr>
            <w:tcW w:w="4480" w:type="pct"/>
          </w:tcPr>
          <w:p w14:paraId="7B76292F"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The goal of the AAQ NEPM should be revised to make reference to the air quality standards and incorporation of exposure-reduction targets for priority pollutants.</w:t>
            </w:r>
          </w:p>
        </w:tc>
      </w:tr>
      <w:tr w:rsidR="00F456A1" w:rsidRPr="005060E0" w14:paraId="7AF8B9B9" w14:textId="77777777" w:rsidTr="00512B87">
        <w:tc>
          <w:tcPr>
            <w:tcW w:w="5000" w:type="pct"/>
            <w:gridSpan w:val="2"/>
            <w:shd w:val="clear" w:color="auto" w:fill="DEDFE3" w:themeFill="text2" w:themeFillTint="33"/>
          </w:tcPr>
          <w:p w14:paraId="2F0F59E7"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Sulfur dioxide</w:t>
            </w:r>
          </w:p>
        </w:tc>
      </w:tr>
      <w:tr w:rsidR="00F456A1" w:rsidRPr="005060E0" w14:paraId="332F37E3" w14:textId="77777777" w:rsidTr="00512B87">
        <w:tc>
          <w:tcPr>
            <w:tcW w:w="520" w:type="pct"/>
          </w:tcPr>
          <w:p w14:paraId="32F9E100"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3</w:t>
            </w:r>
          </w:p>
        </w:tc>
        <w:tc>
          <w:tcPr>
            <w:tcW w:w="4480" w:type="pct"/>
          </w:tcPr>
          <w:p w14:paraId="37397AF7"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The status quo should be maintained of not including a 10-minute SO</w:t>
            </w:r>
            <w:r w:rsidRPr="005060E0">
              <w:rPr>
                <w:rFonts w:cs="Arial"/>
                <w:sz w:val="16"/>
                <w:szCs w:val="16"/>
                <w:vertAlign w:val="subscript"/>
              </w:rPr>
              <w:t>2</w:t>
            </w:r>
            <w:r w:rsidRPr="005060E0">
              <w:rPr>
                <w:rFonts w:cs="Arial"/>
                <w:sz w:val="16"/>
                <w:szCs w:val="16"/>
              </w:rPr>
              <w:t xml:space="preserve"> standard in the AAQ NEPM.</w:t>
            </w:r>
          </w:p>
        </w:tc>
      </w:tr>
      <w:tr w:rsidR="00F456A1" w:rsidRPr="005060E0" w14:paraId="2EAFFFF6" w14:textId="77777777" w:rsidTr="00512B87">
        <w:tc>
          <w:tcPr>
            <w:tcW w:w="520" w:type="pct"/>
          </w:tcPr>
          <w:p w14:paraId="357FD75B"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4</w:t>
            </w:r>
          </w:p>
        </w:tc>
        <w:tc>
          <w:tcPr>
            <w:tcW w:w="4480" w:type="pct"/>
          </w:tcPr>
          <w:p w14:paraId="04759A60"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The 1-hour standard for SO</w:t>
            </w:r>
            <w:r w:rsidRPr="005060E0">
              <w:rPr>
                <w:rFonts w:cs="Arial"/>
                <w:sz w:val="16"/>
                <w:szCs w:val="16"/>
                <w:vertAlign w:val="subscript"/>
              </w:rPr>
              <w:t>2</w:t>
            </w:r>
            <w:r w:rsidRPr="005060E0">
              <w:rPr>
                <w:rFonts w:cs="Arial"/>
                <w:sz w:val="16"/>
                <w:szCs w:val="16"/>
              </w:rPr>
              <w:t xml:space="preserve"> in the AAQ NEPM should be retained, and the numerical value of the standard should be reduced to 100 ppb.</w:t>
            </w:r>
          </w:p>
        </w:tc>
      </w:tr>
      <w:tr w:rsidR="00F456A1" w:rsidRPr="005060E0" w14:paraId="6EEE9EA5" w14:textId="77777777" w:rsidTr="00512B87">
        <w:tc>
          <w:tcPr>
            <w:tcW w:w="520" w:type="pct"/>
          </w:tcPr>
          <w:p w14:paraId="30FB44DA"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5</w:t>
            </w:r>
          </w:p>
        </w:tc>
        <w:tc>
          <w:tcPr>
            <w:tcW w:w="4480" w:type="pct"/>
          </w:tcPr>
          <w:p w14:paraId="328D39C9"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A future 1-hour SO</w:t>
            </w:r>
            <w:r w:rsidRPr="005060E0">
              <w:rPr>
                <w:rFonts w:cs="Arial"/>
                <w:sz w:val="16"/>
                <w:szCs w:val="16"/>
                <w:vertAlign w:val="subscript"/>
              </w:rPr>
              <w:t>2</w:t>
            </w:r>
            <w:r w:rsidRPr="005060E0">
              <w:rPr>
                <w:rFonts w:cs="Arial"/>
                <w:sz w:val="16"/>
                <w:szCs w:val="16"/>
              </w:rPr>
              <w:t xml:space="preserve"> standard of 75 ppb is recommended for implementation from 2025 (this timeframe is consistent with the goals for PM</w:t>
            </w:r>
            <w:r w:rsidRPr="005060E0">
              <w:rPr>
                <w:rFonts w:cs="Arial"/>
                <w:sz w:val="16"/>
                <w:szCs w:val="16"/>
                <w:vertAlign w:val="subscript"/>
              </w:rPr>
              <w:t>2.5</w:t>
            </w:r>
            <w:r w:rsidRPr="005060E0">
              <w:rPr>
                <w:rFonts w:cs="Arial"/>
                <w:sz w:val="16"/>
                <w:szCs w:val="16"/>
              </w:rPr>
              <w:t xml:space="preserve"> in the AAQ NEPM).</w:t>
            </w:r>
          </w:p>
        </w:tc>
      </w:tr>
      <w:tr w:rsidR="00F456A1" w:rsidRPr="005060E0" w14:paraId="777DC79A" w14:textId="77777777" w:rsidTr="00512B87">
        <w:tc>
          <w:tcPr>
            <w:tcW w:w="520" w:type="pct"/>
          </w:tcPr>
          <w:p w14:paraId="53491CD9"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6</w:t>
            </w:r>
          </w:p>
        </w:tc>
        <w:tc>
          <w:tcPr>
            <w:tcW w:w="4480" w:type="pct"/>
          </w:tcPr>
          <w:p w14:paraId="36E482E1"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The 24-hour standard for SO</w:t>
            </w:r>
            <w:r w:rsidRPr="005060E0">
              <w:rPr>
                <w:rFonts w:cs="Arial"/>
                <w:sz w:val="16"/>
                <w:szCs w:val="16"/>
                <w:vertAlign w:val="subscript"/>
              </w:rPr>
              <w:t>2</w:t>
            </w:r>
            <w:r w:rsidRPr="005060E0">
              <w:rPr>
                <w:rFonts w:cs="Arial"/>
                <w:sz w:val="16"/>
                <w:szCs w:val="16"/>
              </w:rPr>
              <w:t xml:space="preserve"> in the AAQ NEPM should be retained, and the numerical value of the standard should be reduced to 20 ppb.</w:t>
            </w:r>
          </w:p>
        </w:tc>
      </w:tr>
      <w:tr w:rsidR="00F456A1" w:rsidRPr="005060E0" w14:paraId="7EE01A9C" w14:textId="77777777" w:rsidTr="00512B87">
        <w:tc>
          <w:tcPr>
            <w:tcW w:w="520" w:type="pct"/>
          </w:tcPr>
          <w:p w14:paraId="2F5F654B"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7</w:t>
            </w:r>
          </w:p>
        </w:tc>
        <w:tc>
          <w:tcPr>
            <w:tcW w:w="4480" w:type="pct"/>
          </w:tcPr>
          <w:p w14:paraId="79BDBBF2"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No future target for 24-hour average SO</w:t>
            </w:r>
            <w:r w:rsidRPr="005060E0">
              <w:rPr>
                <w:rFonts w:cs="Arial"/>
                <w:sz w:val="16"/>
                <w:szCs w:val="16"/>
                <w:vertAlign w:val="subscript"/>
              </w:rPr>
              <w:t>2</w:t>
            </w:r>
            <w:r w:rsidRPr="005060E0">
              <w:rPr>
                <w:rFonts w:cs="Arial"/>
                <w:sz w:val="16"/>
                <w:szCs w:val="16"/>
              </w:rPr>
              <w:t xml:space="preserve"> concentrations is recommended at this stage.</w:t>
            </w:r>
          </w:p>
        </w:tc>
      </w:tr>
      <w:tr w:rsidR="00F456A1" w:rsidRPr="005060E0" w14:paraId="4BC018D4" w14:textId="77777777" w:rsidTr="00512B87">
        <w:tc>
          <w:tcPr>
            <w:tcW w:w="520" w:type="pct"/>
          </w:tcPr>
          <w:p w14:paraId="7669E1DB"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8</w:t>
            </w:r>
          </w:p>
        </w:tc>
        <w:tc>
          <w:tcPr>
            <w:tcW w:w="4480" w:type="pct"/>
          </w:tcPr>
          <w:p w14:paraId="570A9341"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The current annual mean standard for SO</w:t>
            </w:r>
            <w:r w:rsidRPr="005060E0">
              <w:rPr>
                <w:rFonts w:cs="Arial"/>
                <w:sz w:val="16"/>
                <w:szCs w:val="16"/>
                <w:vertAlign w:val="subscript"/>
              </w:rPr>
              <w:t>2</w:t>
            </w:r>
            <w:r w:rsidRPr="005060E0">
              <w:rPr>
                <w:rFonts w:cs="Arial"/>
                <w:sz w:val="16"/>
                <w:szCs w:val="16"/>
              </w:rPr>
              <w:t xml:space="preserve"> should be removed from the AAQ NEPM.</w:t>
            </w:r>
          </w:p>
        </w:tc>
      </w:tr>
      <w:tr w:rsidR="00F456A1" w:rsidRPr="005060E0" w14:paraId="02421B3E" w14:textId="77777777" w:rsidTr="00512B87">
        <w:tc>
          <w:tcPr>
            <w:tcW w:w="520" w:type="pct"/>
          </w:tcPr>
          <w:p w14:paraId="23854C4B"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9</w:t>
            </w:r>
          </w:p>
        </w:tc>
        <w:tc>
          <w:tcPr>
            <w:tcW w:w="4480" w:type="pct"/>
          </w:tcPr>
          <w:p w14:paraId="4BCC9377"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The form of both the 1-hour and 24-hour SO</w:t>
            </w:r>
            <w:r w:rsidRPr="005060E0">
              <w:rPr>
                <w:rFonts w:cs="Arial"/>
                <w:sz w:val="16"/>
                <w:szCs w:val="16"/>
                <w:vertAlign w:val="subscript"/>
              </w:rPr>
              <w:t>2</w:t>
            </w:r>
            <w:r w:rsidRPr="005060E0">
              <w:rPr>
                <w:rFonts w:cs="Arial"/>
                <w:sz w:val="16"/>
                <w:szCs w:val="16"/>
              </w:rPr>
              <w:t xml:space="preserve"> standards should be the maximum value with no allowable exceedances.</w:t>
            </w:r>
          </w:p>
        </w:tc>
      </w:tr>
      <w:tr w:rsidR="00F456A1" w:rsidRPr="005060E0" w14:paraId="706BB576" w14:textId="77777777" w:rsidTr="00512B87">
        <w:tc>
          <w:tcPr>
            <w:tcW w:w="5000" w:type="pct"/>
            <w:gridSpan w:val="2"/>
            <w:shd w:val="clear" w:color="auto" w:fill="DEDFE3" w:themeFill="text2" w:themeFillTint="33"/>
          </w:tcPr>
          <w:p w14:paraId="3D1BD94A"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Nitrogen dioxide</w:t>
            </w:r>
          </w:p>
        </w:tc>
      </w:tr>
      <w:tr w:rsidR="00F456A1" w:rsidRPr="005060E0" w14:paraId="50FCA0B9" w14:textId="77777777" w:rsidTr="00512B87">
        <w:tc>
          <w:tcPr>
            <w:tcW w:w="520" w:type="pct"/>
          </w:tcPr>
          <w:p w14:paraId="6F1D6EF1"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10</w:t>
            </w:r>
          </w:p>
        </w:tc>
        <w:tc>
          <w:tcPr>
            <w:tcW w:w="4480" w:type="pct"/>
          </w:tcPr>
          <w:p w14:paraId="57361626"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The 1-hour standard for NO</w:t>
            </w:r>
            <w:r w:rsidRPr="005060E0">
              <w:rPr>
                <w:rFonts w:cs="Arial"/>
                <w:sz w:val="16"/>
                <w:szCs w:val="16"/>
                <w:vertAlign w:val="subscript"/>
              </w:rPr>
              <w:t>2</w:t>
            </w:r>
            <w:r w:rsidRPr="005060E0">
              <w:rPr>
                <w:rFonts w:cs="Arial"/>
                <w:sz w:val="16"/>
                <w:szCs w:val="16"/>
              </w:rPr>
              <w:t xml:space="preserve"> in the AAQ NEPM should be retained, and the numerical value of the standard should be reduced to 90 ppb.</w:t>
            </w:r>
          </w:p>
        </w:tc>
      </w:tr>
      <w:tr w:rsidR="00F456A1" w:rsidRPr="005060E0" w14:paraId="5D745246" w14:textId="77777777" w:rsidTr="00512B87">
        <w:tc>
          <w:tcPr>
            <w:tcW w:w="520" w:type="pct"/>
          </w:tcPr>
          <w:p w14:paraId="06AEA8C9"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11</w:t>
            </w:r>
          </w:p>
        </w:tc>
        <w:tc>
          <w:tcPr>
            <w:tcW w:w="4480" w:type="pct"/>
          </w:tcPr>
          <w:p w14:paraId="758DD6BF"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The annual standard for NO</w:t>
            </w:r>
            <w:r w:rsidRPr="005060E0">
              <w:rPr>
                <w:rFonts w:cs="Arial"/>
                <w:sz w:val="16"/>
                <w:szCs w:val="16"/>
                <w:vertAlign w:val="subscript"/>
              </w:rPr>
              <w:t>2</w:t>
            </w:r>
            <w:r w:rsidRPr="005060E0">
              <w:rPr>
                <w:rFonts w:cs="Arial"/>
                <w:sz w:val="16"/>
                <w:szCs w:val="16"/>
              </w:rPr>
              <w:t xml:space="preserve"> in the AAQ NEPM should be retained, and the numerical value of the standard should be reduced to 19 ppb.</w:t>
            </w:r>
          </w:p>
        </w:tc>
      </w:tr>
      <w:tr w:rsidR="00F456A1" w:rsidRPr="005060E0" w14:paraId="5802B8EE" w14:textId="77777777" w:rsidTr="00512B87">
        <w:tc>
          <w:tcPr>
            <w:tcW w:w="520" w:type="pct"/>
          </w:tcPr>
          <w:p w14:paraId="52852F0E"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12</w:t>
            </w:r>
          </w:p>
        </w:tc>
        <w:tc>
          <w:tcPr>
            <w:tcW w:w="4480" w:type="pct"/>
          </w:tcPr>
          <w:p w14:paraId="5A6B0DF1"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The form of both the 1-hour and annual NO</w:t>
            </w:r>
            <w:r w:rsidRPr="005060E0">
              <w:rPr>
                <w:rFonts w:cs="Arial"/>
                <w:sz w:val="16"/>
                <w:szCs w:val="16"/>
                <w:vertAlign w:val="subscript"/>
              </w:rPr>
              <w:t>2</w:t>
            </w:r>
            <w:r w:rsidRPr="005060E0">
              <w:rPr>
                <w:rFonts w:cs="Arial"/>
                <w:sz w:val="16"/>
                <w:szCs w:val="16"/>
              </w:rPr>
              <w:t xml:space="preserve"> standards should be the maximum value with no allowable exceedances.</w:t>
            </w:r>
          </w:p>
        </w:tc>
      </w:tr>
      <w:tr w:rsidR="00F456A1" w:rsidRPr="005060E0" w14:paraId="327084BF" w14:textId="77777777" w:rsidTr="00512B87">
        <w:tc>
          <w:tcPr>
            <w:tcW w:w="520" w:type="pct"/>
          </w:tcPr>
          <w:p w14:paraId="7B7D6F41"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13</w:t>
            </w:r>
          </w:p>
        </w:tc>
        <w:tc>
          <w:tcPr>
            <w:tcW w:w="4480" w:type="pct"/>
          </w:tcPr>
          <w:p w14:paraId="162206EE"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An exposure-reduction framework, in the form of a long-term goal for NO</w:t>
            </w:r>
            <w:r w:rsidRPr="005060E0">
              <w:rPr>
                <w:rFonts w:cs="Arial"/>
                <w:sz w:val="16"/>
                <w:szCs w:val="16"/>
                <w:vertAlign w:val="subscript"/>
              </w:rPr>
              <w:t>2</w:t>
            </w:r>
            <w:r w:rsidRPr="005060E0">
              <w:rPr>
                <w:rFonts w:cs="Arial"/>
                <w:sz w:val="16"/>
                <w:szCs w:val="16"/>
              </w:rPr>
              <w:t>, should be established to reduce population exposure and associated health risk.</w:t>
            </w:r>
          </w:p>
        </w:tc>
      </w:tr>
      <w:tr w:rsidR="00F456A1" w:rsidRPr="005060E0" w14:paraId="19E563D3" w14:textId="77777777" w:rsidTr="00512B87">
        <w:tc>
          <w:tcPr>
            <w:tcW w:w="520" w:type="pct"/>
          </w:tcPr>
          <w:p w14:paraId="21A15447"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14</w:t>
            </w:r>
          </w:p>
        </w:tc>
        <w:tc>
          <w:tcPr>
            <w:tcW w:w="4480" w:type="pct"/>
          </w:tcPr>
          <w:p w14:paraId="452AE6CF"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A future 1-hour NO</w:t>
            </w:r>
            <w:r w:rsidRPr="005060E0">
              <w:rPr>
                <w:rFonts w:cs="Arial"/>
                <w:sz w:val="16"/>
                <w:szCs w:val="16"/>
                <w:vertAlign w:val="subscript"/>
              </w:rPr>
              <w:t>2</w:t>
            </w:r>
            <w:r w:rsidRPr="005060E0">
              <w:rPr>
                <w:rFonts w:cs="Arial"/>
                <w:sz w:val="16"/>
                <w:szCs w:val="16"/>
              </w:rPr>
              <w:t xml:space="preserve"> standard of 80 ppb is recommended for implementation from 2025</w:t>
            </w:r>
            <w:bookmarkStart w:id="6" w:name="_Hlk517180866"/>
            <w:r w:rsidRPr="005060E0">
              <w:rPr>
                <w:rFonts w:cs="Arial"/>
                <w:sz w:val="16"/>
                <w:szCs w:val="16"/>
              </w:rPr>
              <w:t xml:space="preserve"> as part of an exposure-reduction framework </w:t>
            </w:r>
            <w:bookmarkEnd w:id="6"/>
            <w:r w:rsidRPr="005060E0">
              <w:rPr>
                <w:rFonts w:cs="Arial"/>
                <w:sz w:val="16"/>
                <w:szCs w:val="16"/>
              </w:rPr>
              <w:t>(this timeframe is consistent with the goals for PM</w:t>
            </w:r>
            <w:r w:rsidRPr="005060E0">
              <w:rPr>
                <w:rFonts w:cs="Arial"/>
                <w:sz w:val="16"/>
                <w:szCs w:val="16"/>
                <w:vertAlign w:val="subscript"/>
              </w:rPr>
              <w:t>2.5</w:t>
            </w:r>
            <w:r w:rsidRPr="005060E0">
              <w:rPr>
                <w:rFonts w:cs="Arial"/>
                <w:sz w:val="16"/>
                <w:szCs w:val="16"/>
              </w:rPr>
              <w:t xml:space="preserve"> in the AAQ NEPM).</w:t>
            </w:r>
          </w:p>
        </w:tc>
      </w:tr>
      <w:tr w:rsidR="00F456A1" w:rsidRPr="005060E0" w14:paraId="566BA3DB" w14:textId="77777777" w:rsidTr="00512B87">
        <w:tc>
          <w:tcPr>
            <w:tcW w:w="520" w:type="pct"/>
          </w:tcPr>
          <w:p w14:paraId="10335A37"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15</w:t>
            </w:r>
          </w:p>
        </w:tc>
        <w:tc>
          <w:tcPr>
            <w:tcW w:w="4480" w:type="pct"/>
          </w:tcPr>
          <w:p w14:paraId="1D18AB2D"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A future annual NO</w:t>
            </w:r>
            <w:r w:rsidRPr="005060E0">
              <w:rPr>
                <w:rFonts w:cs="Arial"/>
                <w:sz w:val="16"/>
                <w:szCs w:val="16"/>
                <w:vertAlign w:val="subscript"/>
              </w:rPr>
              <w:t>2</w:t>
            </w:r>
            <w:r w:rsidRPr="005060E0">
              <w:rPr>
                <w:rFonts w:cs="Arial"/>
                <w:sz w:val="16"/>
                <w:szCs w:val="16"/>
              </w:rPr>
              <w:t xml:space="preserve"> standard of 15 ppb is recommended for implementation from 2025 as part of an exposure-reduction framework (this timeframe is consistent with the goals for PM</w:t>
            </w:r>
            <w:r w:rsidRPr="005060E0">
              <w:rPr>
                <w:rFonts w:cs="Arial"/>
                <w:sz w:val="16"/>
                <w:szCs w:val="16"/>
                <w:vertAlign w:val="subscript"/>
              </w:rPr>
              <w:t>2.5</w:t>
            </w:r>
            <w:r w:rsidRPr="005060E0">
              <w:rPr>
                <w:rFonts w:cs="Arial"/>
                <w:sz w:val="16"/>
                <w:szCs w:val="16"/>
              </w:rPr>
              <w:t xml:space="preserve"> in the AAQ NEPM).</w:t>
            </w:r>
          </w:p>
        </w:tc>
      </w:tr>
      <w:tr w:rsidR="00F456A1" w:rsidRPr="005060E0" w14:paraId="170C7B4D" w14:textId="77777777" w:rsidTr="00512B87">
        <w:trPr>
          <w:cantSplit/>
        </w:trPr>
        <w:tc>
          <w:tcPr>
            <w:tcW w:w="520" w:type="pct"/>
          </w:tcPr>
          <w:p w14:paraId="7A79DF79"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16</w:t>
            </w:r>
          </w:p>
        </w:tc>
        <w:tc>
          <w:tcPr>
            <w:tcW w:w="4480" w:type="pct"/>
          </w:tcPr>
          <w:p w14:paraId="307F19C6"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 xml:space="preserve">Jurisdictions should also commence </w:t>
            </w:r>
            <w:r>
              <w:rPr>
                <w:rFonts w:cs="Arial"/>
                <w:sz w:val="16"/>
                <w:szCs w:val="16"/>
              </w:rPr>
              <w:t xml:space="preserve">annual </w:t>
            </w:r>
            <w:r w:rsidRPr="005060E0">
              <w:rPr>
                <w:rFonts w:cs="Arial"/>
                <w:sz w:val="16"/>
                <w:szCs w:val="16"/>
              </w:rPr>
              <w:t>reporting on population exposure to NO</w:t>
            </w:r>
            <w:r w:rsidRPr="005060E0">
              <w:rPr>
                <w:rFonts w:cs="Arial"/>
                <w:sz w:val="16"/>
                <w:szCs w:val="16"/>
                <w:vertAlign w:val="subscript"/>
              </w:rPr>
              <w:t>2</w:t>
            </w:r>
            <w:r w:rsidRPr="005060E0">
              <w:rPr>
                <w:rFonts w:cs="Arial"/>
                <w:sz w:val="16"/>
                <w:szCs w:val="16"/>
              </w:rPr>
              <w:t xml:space="preserve"> from the commencement of a varied AAQ NEPM.</w:t>
            </w:r>
          </w:p>
        </w:tc>
      </w:tr>
      <w:tr w:rsidR="00F456A1" w:rsidRPr="005060E0" w14:paraId="2372C879" w14:textId="77777777" w:rsidTr="00512B87">
        <w:tc>
          <w:tcPr>
            <w:tcW w:w="5000" w:type="pct"/>
            <w:gridSpan w:val="2"/>
            <w:shd w:val="clear" w:color="auto" w:fill="DEDFE3" w:themeFill="text2" w:themeFillTint="33"/>
          </w:tcPr>
          <w:p w14:paraId="54E2FF8E"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Ozone</w:t>
            </w:r>
          </w:p>
        </w:tc>
      </w:tr>
      <w:tr w:rsidR="00F456A1" w:rsidRPr="005060E0" w14:paraId="64D024AD" w14:textId="77777777" w:rsidTr="00512B87">
        <w:tc>
          <w:tcPr>
            <w:tcW w:w="520" w:type="pct"/>
          </w:tcPr>
          <w:p w14:paraId="0581944A"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17</w:t>
            </w:r>
          </w:p>
        </w:tc>
        <w:tc>
          <w:tcPr>
            <w:tcW w:w="4480" w:type="pct"/>
          </w:tcPr>
          <w:p w14:paraId="5722958D"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The current 1-hour and 4-hour standards for O</w:t>
            </w:r>
            <w:r w:rsidRPr="005060E0">
              <w:rPr>
                <w:rFonts w:cs="Arial"/>
                <w:sz w:val="16"/>
                <w:szCs w:val="16"/>
                <w:vertAlign w:val="subscript"/>
              </w:rPr>
              <w:t>3</w:t>
            </w:r>
            <w:r w:rsidRPr="005060E0">
              <w:rPr>
                <w:rFonts w:cs="Arial"/>
                <w:sz w:val="16"/>
                <w:szCs w:val="16"/>
              </w:rPr>
              <w:t xml:space="preserve"> should be removed from the AAQ NEPM.</w:t>
            </w:r>
          </w:p>
        </w:tc>
      </w:tr>
      <w:tr w:rsidR="00F456A1" w:rsidRPr="005060E0" w14:paraId="40A24F3B" w14:textId="77777777" w:rsidTr="00512B87">
        <w:tc>
          <w:tcPr>
            <w:tcW w:w="520" w:type="pct"/>
          </w:tcPr>
          <w:p w14:paraId="201BF49D"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18</w:t>
            </w:r>
          </w:p>
        </w:tc>
        <w:tc>
          <w:tcPr>
            <w:tcW w:w="4480" w:type="pct"/>
          </w:tcPr>
          <w:p w14:paraId="6B83F6DC"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Jurisdictions should continue to record and report 1-hour O</w:t>
            </w:r>
            <w:r w:rsidRPr="005060E0">
              <w:rPr>
                <w:rFonts w:cs="Arial"/>
                <w:sz w:val="16"/>
                <w:szCs w:val="16"/>
                <w:vertAlign w:val="subscript"/>
              </w:rPr>
              <w:t>3</w:t>
            </w:r>
            <w:r w:rsidRPr="005060E0">
              <w:rPr>
                <w:rFonts w:cs="Arial"/>
                <w:sz w:val="16"/>
                <w:szCs w:val="16"/>
              </w:rPr>
              <w:t xml:space="preserve"> concentrations.</w:t>
            </w:r>
          </w:p>
        </w:tc>
      </w:tr>
      <w:tr w:rsidR="00F456A1" w:rsidRPr="005060E0" w14:paraId="27DB8177" w14:textId="77777777" w:rsidTr="00512B87">
        <w:tc>
          <w:tcPr>
            <w:tcW w:w="520" w:type="pct"/>
          </w:tcPr>
          <w:p w14:paraId="2DC66745"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19</w:t>
            </w:r>
          </w:p>
        </w:tc>
        <w:tc>
          <w:tcPr>
            <w:tcW w:w="4480" w:type="pct"/>
          </w:tcPr>
          <w:p w14:paraId="2F749DEE"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A rolling 8-hour standard for O</w:t>
            </w:r>
            <w:r w:rsidRPr="005060E0">
              <w:rPr>
                <w:rFonts w:cs="Arial"/>
                <w:sz w:val="16"/>
                <w:szCs w:val="16"/>
                <w:vertAlign w:val="subscript"/>
              </w:rPr>
              <w:t>3</w:t>
            </w:r>
            <w:r w:rsidRPr="005060E0">
              <w:rPr>
                <w:rFonts w:cs="Arial"/>
                <w:sz w:val="16"/>
                <w:szCs w:val="16"/>
              </w:rPr>
              <w:t xml:space="preserve"> in the AAQ NEPM should be introduced, and the numerical value of the standard should </w:t>
            </w:r>
            <w:r>
              <w:rPr>
                <w:rFonts w:cs="Arial"/>
                <w:sz w:val="16"/>
                <w:szCs w:val="16"/>
              </w:rPr>
              <w:t xml:space="preserve">be </w:t>
            </w:r>
            <w:r w:rsidRPr="005060E0">
              <w:rPr>
                <w:rFonts w:cs="Arial"/>
                <w:sz w:val="16"/>
                <w:szCs w:val="16"/>
              </w:rPr>
              <w:t>65 ppb.</w:t>
            </w:r>
          </w:p>
        </w:tc>
      </w:tr>
      <w:tr w:rsidR="00F456A1" w:rsidRPr="005060E0" w14:paraId="2D38A612" w14:textId="77777777" w:rsidTr="00512B87">
        <w:tc>
          <w:tcPr>
            <w:tcW w:w="520" w:type="pct"/>
          </w:tcPr>
          <w:p w14:paraId="2B026914"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20</w:t>
            </w:r>
          </w:p>
        </w:tc>
        <w:tc>
          <w:tcPr>
            <w:tcW w:w="4480" w:type="pct"/>
          </w:tcPr>
          <w:p w14:paraId="1685FC9C"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The 8-hour standard should be reviewed in 2025, with the option of reducing it once there is a better understanding of O</w:t>
            </w:r>
            <w:r w:rsidRPr="005060E0">
              <w:rPr>
                <w:rFonts w:cs="Arial"/>
                <w:sz w:val="16"/>
                <w:szCs w:val="16"/>
                <w:vertAlign w:val="subscript"/>
              </w:rPr>
              <w:t>3</w:t>
            </w:r>
            <w:r w:rsidRPr="005060E0">
              <w:rPr>
                <w:rFonts w:cs="Arial"/>
                <w:sz w:val="16"/>
                <w:szCs w:val="16"/>
              </w:rPr>
              <w:t xml:space="preserve"> generation in capital city airsheds.</w:t>
            </w:r>
          </w:p>
        </w:tc>
      </w:tr>
      <w:tr w:rsidR="00F456A1" w:rsidRPr="005060E0" w14:paraId="4144CC5C" w14:textId="77777777" w:rsidTr="00512B87">
        <w:tc>
          <w:tcPr>
            <w:tcW w:w="520" w:type="pct"/>
          </w:tcPr>
          <w:p w14:paraId="7147B942"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21</w:t>
            </w:r>
          </w:p>
        </w:tc>
        <w:tc>
          <w:tcPr>
            <w:tcW w:w="4480" w:type="pct"/>
          </w:tcPr>
          <w:p w14:paraId="679B0612"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The form of the 8-hour standard for O</w:t>
            </w:r>
            <w:r w:rsidRPr="005060E0">
              <w:rPr>
                <w:rFonts w:cs="Arial"/>
                <w:sz w:val="16"/>
                <w:szCs w:val="16"/>
                <w:vertAlign w:val="subscript"/>
              </w:rPr>
              <w:t>3</w:t>
            </w:r>
            <w:r w:rsidRPr="005060E0">
              <w:rPr>
                <w:rFonts w:cs="Arial"/>
                <w:sz w:val="16"/>
                <w:szCs w:val="16"/>
              </w:rPr>
              <w:t xml:space="preserve"> should be the maximum value with no allowable exceedances (excluding exceptional events).</w:t>
            </w:r>
          </w:p>
        </w:tc>
      </w:tr>
      <w:tr w:rsidR="00F456A1" w:rsidRPr="005060E0" w14:paraId="0F9ED829" w14:textId="77777777" w:rsidTr="00512B87">
        <w:tc>
          <w:tcPr>
            <w:tcW w:w="520" w:type="pct"/>
          </w:tcPr>
          <w:p w14:paraId="0760CDE0"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22</w:t>
            </w:r>
          </w:p>
        </w:tc>
        <w:tc>
          <w:tcPr>
            <w:tcW w:w="4480" w:type="pct"/>
          </w:tcPr>
          <w:p w14:paraId="27C6C5CC"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An exceptional event rule should be implemented for O</w:t>
            </w:r>
            <w:r w:rsidRPr="005060E0">
              <w:rPr>
                <w:rFonts w:cs="Arial"/>
                <w:sz w:val="16"/>
                <w:szCs w:val="16"/>
                <w:vertAlign w:val="subscript"/>
              </w:rPr>
              <w:t>3</w:t>
            </w:r>
            <w:r w:rsidRPr="005060E0">
              <w:rPr>
                <w:rFonts w:cs="Arial"/>
                <w:sz w:val="16"/>
                <w:szCs w:val="16"/>
              </w:rPr>
              <w:t>, defined in a way that is consistent with the approach for PM</w:t>
            </w:r>
            <w:r w:rsidRPr="005060E0">
              <w:rPr>
                <w:rFonts w:cs="Arial"/>
                <w:sz w:val="16"/>
                <w:szCs w:val="16"/>
                <w:vertAlign w:val="subscript"/>
              </w:rPr>
              <w:t>10</w:t>
            </w:r>
            <w:r w:rsidRPr="005060E0">
              <w:rPr>
                <w:rFonts w:cs="Arial"/>
                <w:sz w:val="16"/>
                <w:szCs w:val="16"/>
              </w:rPr>
              <w:t xml:space="preserve"> and PM</w:t>
            </w:r>
            <w:r w:rsidRPr="005060E0">
              <w:rPr>
                <w:rFonts w:cs="Arial"/>
                <w:sz w:val="16"/>
                <w:szCs w:val="16"/>
                <w:vertAlign w:val="subscript"/>
              </w:rPr>
              <w:t>2.5</w:t>
            </w:r>
            <w:r w:rsidRPr="005060E0">
              <w:rPr>
                <w:rFonts w:cs="Arial"/>
                <w:sz w:val="16"/>
                <w:szCs w:val="16"/>
              </w:rPr>
              <w:t xml:space="preserve"> in the AAQ NEPM.</w:t>
            </w:r>
          </w:p>
        </w:tc>
      </w:tr>
      <w:tr w:rsidR="00F456A1" w:rsidRPr="005060E0" w14:paraId="66D130C9" w14:textId="77777777" w:rsidTr="00512B87">
        <w:tc>
          <w:tcPr>
            <w:tcW w:w="520" w:type="pct"/>
          </w:tcPr>
          <w:p w14:paraId="5BD76772"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23</w:t>
            </w:r>
          </w:p>
        </w:tc>
        <w:tc>
          <w:tcPr>
            <w:tcW w:w="4480" w:type="pct"/>
          </w:tcPr>
          <w:p w14:paraId="71A87659"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An exposure-reduction framework, in the form of a long-term goal for O</w:t>
            </w:r>
            <w:r w:rsidRPr="005060E0">
              <w:rPr>
                <w:rFonts w:cs="Arial"/>
                <w:sz w:val="16"/>
                <w:szCs w:val="16"/>
                <w:vertAlign w:val="subscript"/>
              </w:rPr>
              <w:t>3</w:t>
            </w:r>
            <w:r w:rsidRPr="005060E0">
              <w:rPr>
                <w:rFonts w:cs="Arial"/>
                <w:sz w:val="16"/>
                <w:szCs w:val="16"/>
              </w:rPr>
              <w:t>, should be considered to reduce population exposure and associated health risk</w:t>
            </w:r>
            <w:bookmarkStart w:id="7" w:name="_Hlk517182870"/>
            <w:r w:rsidRPr="00011D4A">
              <w:rPr>
                <w:sz w:val="16"/>
                <w:szCs w:val="16"/>
              </w:rPr>
              <w:t xml:space="preserve"> </w:t>
            </w:r>
            <w:r w:rsidRPr="005060E0">
              <w:rPr>
                <w:rFonts w:cs="Arial"/>
                <w:sz w:val="16"/>
                <w:szCs w:val="16"/>
              </w:rPr>
              <w:t>once there is a better understanding of O</w:t>
            </w:r>
            <w:r w:rsidRPr="005060E0">
              <w:rPr>
                <w:rFonts w:cs="Arial"/>
                <w:sz w:val="16"/>
                <w:szCs w:val="16"/>
                <w:vertAlign w:val="subscript"/>
              </w:rPr>
              <w:t>3</w:t>
            </w:r>
            <w:r w:rsidRPr="005060E0">
              <w:rPr>
                <w:rFonts w:cs="Arial"/>
                <w:sz w:val="16"/>
                <w:szCs w:val="16"/>
              </w:rPr>
              <w:t xml:space="preserve"> generation in capital city airsheds.</w:t>
            </w:r>
            <w:bookmarkEnd w:id="7"/>
          </w:p>
        </w:tc>
      </w:tr>
      <w:tr w:rsidR="00F456A1" w:rsidRPr="005060E0" w14:paraId="4B980A08" w14:textId="77777777" w:rsidTr="00512B87">
        <w:tc>
          <w:tcPr>
            <w:tcW w:w="520" w:type="pct"/>
          </w:tcPr>
          <w:p w14:paraId="024983FD"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24</w:t>
            </w:r>
          </w:p>
        </w:tc>
        <w:tc>
          <w:tcPr>
            <w:tcW w:w="4480" w:type="pct"/>
          </w:tcPr>
          <w:p w14:paraId="595922C7" w14:textId="77777777" w:rsidR="00F456A1" w:rsidRPr="005060E0" w:rsidRDefault="00F456A1" w:rsidP="00512B87">
            <w:pPr>
              <w:widowControl w:val="0"/>
              <w:spacing w:before="60" w:after="60" w:line="240" w:lineRule="auto"/>
              <w:rPr>
                <w:rFonts w:cs="Arial"/>
                <w:sz w:val="16"/>
                <w:szCs w:val="16"/>
              </w:rPr>
            </w:pPr>
            <w:r w:rsidRPr="005060E0">
              <w:rPr>
                <w:rFonts w:cs="Arial"/>
                <w:sz w:val="16"/>
                <w:szCs w:val="16"/>
              </w:rPr>
              <w:t xml:space="preserve">Jurisdictions should commence </w:t>
            </w:r>
            <w:r>
              <w:rPr>
                <w:rFonts w:cs="Arial"/>
                <w:sz w:val="16"/>
                <w:szCs w:val="16"/>
              </w:rPr>
              <w:t xml:space="preserve">annual </w:t>
            </w:r>
            <w:r w:rsidRPr="005060E0">
              <w:rPr>
                <w:rFonts w:cs="Arial"/>
                <w:sz w:val="16"/>
                <w:szCs w:val="16"/>
              </w:rPr>
              <w:t>reporting on population exposure to O</w:t>
            </w:r>
            <w:r w:rsidRPr="005060E0">
              <w:rPr>
                <w:rFonts w:cs="Arial"/>
                <w:sz w:val="16"/>
                <w:szCs w:val="16"/>
                <w:vertAlign w:val="subscript"/>
              </w:rPr>
              <w:t>3</w:t>
            </w:r>
            <w:r w:rsidRPr="005060E0">
              <w:rPr>
                <w:rFonts w:cs="Arial"/>
                <w:sz w:val="16"/>
                <w:szCs w:val="16"/>
              </w:rPr>
              <w:t xml:space="preserve"> from the commencement of a varied AAQ NEPM.</w:t>
            </w:r>
          </w:p>
        </w:tc>
      </w:tr>
    </w:tbl>
    <w:p w14:paraId="22C5A84E" w14:textId="77777777" w:rsidR="00F456A1" w:rsidRPr="005060E0" w:rsidRDefault="00F456A1" w:rsidP="00F456A1">
      <w:pPr>
        <w:spacing w:before="480"/>
        <w:rPr>
          <w:b/>
          <w:color w:val="0070C0"/>
          <w:sz w:val="28"/>
          <w:szCs w:val="28"/>
        </w:rPr>
      </w:pPr>
      <w:r w:rsidRPr="005060E0">
        <w:rPr>
          <w:b/>
          <w:color w:val="0070C0"/>
          <w:sz w:val="28"/>
          <w:szCs w:val="28"/>
        </w:rPr>
        <w:t>E.5</w:t>
      </w:r>
      <w:r w:rsidRPr="005060E0">
        <w:rPr>
          <w:b/>
          <w:color w:val="0070C0"/>
          <w:sz w:val="28"/>
          <w:szCs w:val="28"/>
        </w:rPr>
        <w:tab/>
        <w:t>Consultation</w:t>
      </w:r>
    </w:p>
    <w:p w14:paraId="13D6722F" w14:textId="77777777" w:rsidR="00F456A1" w:rsidRPr="005060E0" w:rsidRDefault="00F456A1" w:rsidP="00F456A1">
      <w:r w:rsidRPr="005060E0">
        <w:t>Stakeholder input is being sought on the options outlined in the Impact Statement. Consultation questions are included at the end of each chapter and at the end of Chapter 12</w:t>
      </w:r>
      <w:r>
        <w:t>,</w:t>
      </w:r>
      <w:r w:rsidRPr="005060E0">
        <w:t xml:space="preserve"> to assist stakeholders to provide input</w:t>
      </w:r>
      <w:r>
        <w:t>;</w:t>
      </w:r>
      <w:r w:rsidRPr="005060E0">
        <w:t xml:space="preserve"> </w:t>
      </w:r>
      <w:r>
        <w:t>h</w:t>
      </w:r>
      <w:r w:rsidRPr="005060E0">
        <w:t xml:space="preserve">owever, feedback on other aspects of the Impact Statement and its appendices is also welcome. </w:t>
      </w:r>
    </w:p>
    <w:p w14:paraId="24E7313E" w14:textId="77777777" w:rsidR="00F456A1" w:rsidRPr="005060E0" w:rsidRDefault="00F456A1" w:rsidP="00F456A1">
      <w:r w:rsidRPr="005060E0">
        <w:t>All submissions are public documents unless clearly marked ‘confidential’ and may be made available to other interested parties, including by being published on the NEPC website. Stakeholders should indicate if their submission is confidential or clearly indicate sections that may contain confidential or sensitive information that is not for publication.</w:t>
      </w:r>
    </w:p>
    <w:p w14:paraId="5458EBE4" w14:textId="77777777" w:rsidR="00F456A1" w:rsidRPr="005060E0" w:rsidRDefault="00F456A1" w:rsidP="00F456A1">
      <w:r w:rsidRPr="005060E0">
        <w:t>Feedback received during the public comment period will be used to inform the development of the NEPM variation.</w:t>
      </w:r>
    </w:p>
    <w:p w14:paraId="725E77E5" w14:textId="1C8F1D10" w:rsidR="00F456A1" w:rsidRPr="00264EBC" w:rsidRDefault="00F456A1" w:rsidP="00F456A1">
      <w:r w:rsidRPr="005060E0">
        <w:t xml:space="preserve">The </w:t>
      </w:r>
      <w:r w:rsidRPr="001B1338">
        <w:rPr>
          <w:i/>
        </w:rPr>
        <w:t>National Environment Protection Council Act 1994</w:t>
      </w:r>
      <w:r w:rsidRPr="005060E0">
        <w:t xml:space="preserve"> requires that both the draft AAQ NEPM variation and the Impact Statement be made available for public consultation for a period of at least two months. The consultation period will occur over a</w:t>
      </w:r>
      <w:r w:rsidR="00343B38">
        <w:t>n</w:t>
      </w:r>
      <w:r w:rsidRPr="005060E0">
        <w:t xml:space="preserve"> </w:t>
      </w:r>
      <w:r w:rsidRPr="00264EBC">
        <w:t>1</w:t>
      </w:r>
      <w:r w:rsidR="00343B38">
        <w:t>1</w:t>
      </w:r>
      <w:r w:rsidRPr="00264EBC">
        <w:t xml:space="preserve">-week period from </w:t>
      </w:r>
      <w:r w:rsidR="0094743D" w:rsidRPr="00264EBC">
        <w:t xml:space="preserve">May </w:t>
      </w:r>
      <w:r w:rsidRPr="00264EBC">
        <w:t xml:space="preserve">to </w:t>
      </w:r>
      <w:r w:rsidR="000958BB">
        <w:t>August</w:t>
      </w:r>
      <w:r w:rsidR="000958BB" w:rsidRPr="00264EBC">
        <w:t xml:space="preserve"> </w:t>
      </w:r>
      <w:r w:rsidRPr="00264EBC">
        <w:t>2019. The views of stakeholders on these documents are being sought through written and online submissions.</w:t>
      </w:r>
    </w:p>
    <w:p w14:paraId="2D2A85E0" w14:textId="77777777" w:rsidR="00F456A1" w:rsidRPr="00264EBC" w:rsidRDefault="00F456A1" w:rsidP="00F456A1">
      <w:r w:rsidRPr="00264EBC">
        <w:t xml:space="preserve">Online submissions are preferred and can be made via: </w:t>
      </w:r>
      <w:hyperlink r:id="rId12" w:history="1">
        <w:r w:rsidRPr="00264EBC">
          <w:rPr>
            <w:rStyle w:val="Hyperlink"/>
          </w:rPr>
          <w:t>nepc@environment.gov.au</w:t>
        </w:r>
      </w:hyperlink>
      <w:r w:rsidRPr="00264EBC">
        <w:t xml:space="preserve">  </w:t>
      </w:r>
    </w:p>
    <w:p w14:paraId="535EBB9D" w14:textId="77777777" w:rsidR="00F456A1" w:rsidRPr="00264EBC" w:rsidRDefault="00F456A1" w:rsidP="00F456A1">
      <w:pPr>
        <w:spacing w:after="100"/>
      </w:pPr>
      <w:r w:rsidRPr="00264EBC">
        <w:t>Written submissions may also be made and sent to:</w:t>
      </w:r>
    </w:p>
    <w:p w14:paraId="1E3A2DD4" w14:textId="77777777" w:rsidR="0094743D" w:rsidRPr="00264EBC" w:rsidRDefault="0094743D" w:rsidP="0094743D">
      <w:pPr>
        <w:spacing w:after="0"/>
        <w:ind w:left="3348" w:firstLine="54"/>
        <w:rPr>
          <w:b/>
          <w:iCs/>
        </w:rPr>
      </w:pPr>
      <w:r w:rsidRPr="00264EBC">
        <w:rPr>
          <w:b/>
          <w:iCs/>
        </w:rPr>
        <w:t>Adam Carlon, NEPC Executive Officer</w:t>
      </w:r>
    </w:p>
    <w:p w14:paraId="38FCDE3B" w14:textId="77777777" w:rsidR="0094743D" w:rsidRPr="00264EBC" w:rsidRDefault="0094743D" w:rsidP="0094743D">
      <w:pPr>
        <w:spacing w:after="0"/>
        <w:ind w:left="3402"/>
        <w:rPr>
          <w:b/>
          <w:iCs/>
        </w:rPr>
      </w:pPr>
      <w:r w:rsidRPr="00264EBC">
        <w:rPr>
          <w:b/>
          <w:iCs/>
        </w:rPr>
        <w:t>National Environment Protection Council</w:t>
      </w:r>
    </w:p>
    <w:p w14:paraId="57E66176" w14:textId="77777777" w:rsidR="0094743D" w:rsidRPr="00264EBC" w:rsidRDefault="0094743D" w:rsidP="0094743D">
      <w:pPr>
        <w:spacing w:after="0"/>
        <w:ind w:left="3402"/>
        <w:rPr>
          <w:b/>
          <w:iCs/>
        </w:rPr>
      </w:pPr>
      <w:r w:rsidRPr="00264EBC">
        <w:rPr>
          <w:b/>
          <w:iCs/>
        </w:rPr>
        <w:t>Department of the Environment and Energy</w:t>
      </w:r>
    </w:p>
    <w:p w14:paraId="3C35D884" w14:textId="77777777" w:rsidR="0094743D" w:rsidRPr="00264EBC" w:rsidRDefault="0094743D" w:rsidP="0094743D">
      <w:pPr>
        <w:spacing w:after="0"/>
        <w:ind w:left="3402"/>
        <w:rPr>
          <w:b/>
          <w:iCs/>
        </w:rPr>
      </w:pPr>
      <w:r w:rsidRPr="00264EBC">
        <w:rPr>
          <w:b/>
          <w:iCs/>
        </w:rPr>
        <w:t>GPO Box 787</w:t>
      </w:r>
    </w:p>
    <w:p w14:paraId="15C574B2" w14:textId="77777777" w:rsidR="0094743D" w:rsidRPr="00264EBC" w:rsidRDefault="0094743D" w:rsidP="00F456A1">
      <w:pPr>
        <w:spacing w:after="120"/>
        <w:ind w:left="3402"/>
        <w:rPr>
          <w:b/>
        </w:rPr>
      </w:pPr>
      <w:r w:rsidRPr="00264EBC">
        <w:rPr>
          <w:b/>
          <w:iCs/>
        </w:rPr>
        <w:t>CANBERRA ACT 2601</w:t>
      </w:r>
    </w:p>
    <w:p w14:paraId="10396896" w14:textId="56F52626" w:rsidR="00F456A1" w:rsidRPr="00264EBC" w:rsidRDefault="00F456A1" w:rsidP="00F456A1">
      <w:pPr>
        <w:spacing w:after="120"/>
        <w:ind w:left="3402"/>
        <w:rPr>
          <w:b/>
        </w:rPr>
      </w:pPr>
      <w:r w:rsidRPr="00264EBC">
        <w:rPr>
          <w:b/>
        </w:rPr>
        <w:t xml:space="preserve">Email: </w:t>
      </w:r>
      <w:hyperlink r:id="rId13" w:history="1">
        <w:r w:rsidRPr="00264EBC">
          <w:rPr>
            <w:rStyle w:val="Hyperlink"/>
            <w:b/>
          </w:rPr>
          <w:t>nepc@environment.gov.au</w:t>
        </w:r>
      </w:hyperlink>
    </w:p>
    <w:p w14:paraId="056E06E8" w14:textId="29678F82" w:rsidR="00F456A1" w:rsidRPr="005060E0" w:rsidRDefault="00F456A1" w:rsidP="00F456A1">
      <w:r w:rsidRPr="00264EBC">
        <w:t xml:space="preserve">The closing date for submissions is </w:t>
      </w:r>
      <w:r w:rsidR="000958BB">
        <w:t>Wednesday</w:t>
      </w:r>
      <w:r w:rsidRPr="00264EBC">
        <w:t xml:space="preserve"> </w:t>
      </w:r>
      <w:r w:rsidR="000958BB">
        <w:t>7</w:t>
      </w:r>
      <w:r w:rsidR="0094743D" w:rsidRPr="00264EBC">
        <w:t xml:space="preserve"> </w:t>
      </w:r>
      <w:r w:rsidR="000958BB">
        <w:t>August</w:t>
      </w:r>
      <w:r w:rsidRPr="00264EBC">
        <w:t xml:space="preserve"> 2019.</w:t>
      </w:r>
    </w:p>
    <w:p w14:paraId="690B9F89" w14:textId="77777777" w:rsidR="00F456A1" w:rsidRPr="005060E0" w:rsidRDefault="00F456A1" w:rsidP="00F456A1">
      <w:r w:rsidRPr="005060E0">
        <w:t xml:space="preserve">Following the public consultation period, the NEPC is required to prepare a summary of the issues raised </w:t>
      </w:r>
      <w:r>
        <w:t>in</w:t>
      </w:r>
      <w:r w:rsidRPr="005060E0">
        <w:t xml:space="preserve"> the stakeholder </w:t>
      </w:r>
      <w:r>
        <w:t xml:space="preserve">submissions </w:t>
      </w:r>
      <w:r w:rsidRPr="005060E0">
        <w:t>and responses. In deciding whether or not to make the NEPM variation, the NEPC must take both the Impact Statement and the summary of submissions and responses into account.</w:t>
      </w:r>
    </w:p>
    <w:p w14:paraId="4D892CAC" w14:textId="1BD6B26F" w:rsidR="004B5316" w:rsidRPr="005060E0" w:rsidRDefault="004B5316" w:rsidP="00F456A1">
      <w:pPr>
        <w:pStyle w:val="Heading1nonum"/>
        <w:pageBreakBefore/>
        <w:spacing w:after="240"/>
      </w:pPr>
      <w:bookmarkStart w:id="8" w:name="_Toc3278914"/>
      <w:r w:rsidRPr="005060E0">
        <w:t>Abbreviations and acronyms</w:t>
      </w:r>
      <w:bookmarkEnd w:id="8"/>
    </w:p>
    <w:tbl>
      <w:tblPr>
        <w:tblStyle w:val="TableGrid"/>
        <w:tblW w:w="5000" w:type="pct"/>
        <w:tblBorders>
          <w:top w:val="single" w:sz="4" w:space="0" w:color="606372" w:themeColor="text2"/>
          <w:left w:val="single" w:sz="4" w:space="0" w:color="606372" w:themeColor="text2"/>
          <w:bottom w:val="single" w:sz="4" w:space="0" w:color="606372" w:themeColor="text2"/>
          <w:right w:val="single" w:sz="4" w:space="0" w:color="606372" w:themeColor="text2"/>
          <w:insideH w:val="single" w:sz="4" w:space="0" w:color="606372" w:themeColor="text2"/>
          <w:insideV w:val="single" w:sz="4" w:space="0" w:color="606372" w:themeColor="text2"/>
        </w:tblBorders>
        <w:tblLook w:val="04A0" w:firstRow="1" w:lastRow="0" w:firstColumn="1" w:lastColumn="0" w:noHBand="0" w:noVBand="1"/>
      </w:tblPr>
      <w:tblGrid>
        <w:gridCol w:w="2126"/>
        <w:gridCol w:w="7502"/>
      </w:tblGrid>
      <w:tr w:rsidR="002A129B" w:rsidRPr="005060E0" w14:paraId="5D1A7923" w14:textId="77777777" w:rsidTr="00FD1F97">
        <w:trPr>
          <w:trHeight w:val="454"/>
          <w:tblHeader/>
        </w:trPr>
        <w:tc>
          <w:tcPr>
            <w:tcW w:w="1104" w:type="pct"/>
            <w:shd w:val="clear" w:color="auto" w:fill="606372"/>
            <w:vAlign w:val="center"/>
          </w:tcPr>
          <w:p w14:paraId="0A4339ED" w14:textId="37F385A4" w:rsidR="002A129B" w:rsidRPr="005060E0" w:rsidRDefault="002A129B" w:rsidP="002A129B">
            <w:pPr>
              <w:spacing w:before="60" w:after="60" w:line="240" w:lineRule="auto"/>
              <w:rPr>
                <w:rFonts w:cs="Arial"/>
                <w:color w:val="FFFFFF" w:themeColor="background1"/>
                <w:sz w:val="18"/>
                <w:szCs w:val="18"/>
              </w:rPr>
            </w:pPr>
            <w:r w:rsidRPr="005060E0">
              <w:rPr>
                <w:rFonts w:cs="Arial"/>
                <w:color w:val="FFFFFF" w:themeColor="background1"/>
                <w:sz w:val="18"/>
                <w:szCs w:val="18"/>
              </w:rPr>
              <w:t>Abbreviation/acronym</w:t>
            </w:r>
          </w:p>
        </w:tc>
        <w:tc>
          <w:tcPr>
            <w:tcW w:w="3896" w:type="pct"/>
            <w:shd w:val="clear" w:color="auto" w:fill="606372"/>
            <w:vAlign w:val="center"/>
          </w:tcPr>
          <w:p w14:paraId="5011FCC2" w14:textId="2E7D3295" w:rsidR="002A129B" w:rsidRPr="005060E0" w:rsidRDefault="002A129B" w:rsidP="002A129B">
            <w:pPr>
              <w:spacing w:before="60" w:after="60" w:line="240" w:lineRule="auto"/>
              <w:rPr>
                <w:rFonts w:cs="Arial"/>
                <w:color w:val="FFFFFF" w:themeColor="background1"/>
                <w:sz w:val="18"/>
                <w:szCs w:val="18"/>
              </w:rPr>
            </w:pPr>
            <w:r w:rsidRPr="005060E0">
              <w:rPr>
                <w:rFonts w:cs="Arial"/>
                <w:color w:val="FFFFFF" w:themeColor="background1"/>
                <w:sz w:val="18"/>
                <w:szCs w:val="18"/>
              </w:rPr>
              <w:t>Definition</w:t>
            </w:r>
          </w:p>
        </w:tc>
      </w:tr>
      <w:tr w:rsidR="002A129B" w:rsidRPr="005060E0" w14:paraId="3C2C298E" w14:textId="77777777" w:rsidTr="002A129B">
        <w:tc>
          <w:tcPr>
            <w:tcW w:w="1104" w:type="pct"/>
          </w:tcPr>
          <w:p w14:paraId="1785E3BC" w14:textId="77777777" w:rsidR="002A129B" w:rsidRPr="005060E0" w:rsidRDefault="002A129B" w:rsidP="002A129B">
            <w:pPr>
              <w:spacing w:before="60" w:after="60" w:line="240" w:lineRule="auto"/>
              <w:rPr>
                <w:rFonts w:cs="Arial"/>
                <w:sz w:val="18"/>
                <w:szCs w:val="18"/>
              </w:rPr>
            </w:pPr>
            <w:r w:rsidRPr="005060E0">
              <w:rPr>
                <w:rFonts w:cs="Arial"/>
                <w:sz w:val="18"/>
                <w:szCs w:val="18"/>
              </w:rPr>
              <w:t>AAQ</w:t>
            </w:r>
          </w:p>
        </w:tc>
        <w:tc>
          <w:tcPr>
            <w:tcW w:w="3896" w:type="pct"/>
          </w:tcPr>
          <w:p w14:paraId="067E73C6" w14:textId="77777777" w:rsidR="002A129B" w:rsidRPr="005060E0" w:rsidRDefault="002A129B" w:rsidP="002A129B">
            <w:pPr>
              <w:spacing w:before="60" w:after="60" w:line="240" w:lineRule="auto"/>
              <w:rPr>
                <w:rFonts w:cs="Arial"/>
                <w:sz w:val="18"/>
                <w:szCs w:val="18"/>
              </w:rPr>
            </w:pPr>
            <w:r w:rsidRPr="005060E0">
              <w:rPr>
                <w:rFonts w:cs="Arial"/>
                <w:sz w:val="18"/>
                <w:szCs w:val="18"/>
              </w:rPr>
              <w:t>ambient air quality</w:t>
            </w:r>
          </w:p>
        </w:tc>
      </w:tr>
      <w:tr w:rsidR="002A129B" w:rsidRPr="005060E0" w14:paraId="13486427" w14:textId="77777777" w:rsidTr="002A129B">
        <w:tc>
          <w:tcPr>
            <w:tcW w:w="1104" w:type="pct"/>
          </w:tcPr>
          <w:p w14:paraId="0542F006" w14:textId="77777777" w:rsidR="002A129B" w:rsidRPr="005060E0" w:rsidRDefault="002A129B" w:rsidP="002A129B">
            <w:pPr>
              <w:spacing w:before="60" w:after="60" w:line="240" w:lineRule="auto"/>
              <w:rPr>
                <w:rFonts w:cs="Arial"/>
                <w:sz w:val="18"/>
                <w:szCs w:val="18"/>
              </w:rPr>
            </w:pPr>
            <w:r w:rsidRPr="005060E0">
              <w:rPr>
                <w:rFonts w:cs="Arial"/>
                <w:sz w:val="18"/>
                <w:szCs w:val="18"/>
              </w:rPr>
              <w:t>ACT</w:t>
            </w:r>
          </w:p>
        </w:tc>
        <w:tc>
          <w:tcPr>
            <w:tcW w:w="3896" w:type="pct"/>
          </w:tcPr>
          <w:p w14:paraId="73FEDBEF" w14:textId="77777777" w:rsidR="002A129B" w:rsidRPr="005060E0" w:rsidRDefault="002A129B" w:rsidP="002A129B">
            <w:pPr>
              <w:spacing w:before="60" w:after="60" w:line="240" w:lineRule="auto"/>
              <w:rPr>
                <w:rFonts w:cs="Arial"/>
                <w:sz w:val="18"/>
                <w:szCs w:val="18"/>
              </w:rPr>
            </w:pPr>
            <w:r w:rsidRPr="005060E0">
              <w:rPr>
                <w:rFonts w:cs="Arial"/>
                <w:sz w:val="18"/>
                <w:szCs w:val="18"/>
              </w:rPr>
              <w:t>Australian Capital Territory</w:t>
            </w:r>
          </w:p>
        </w:tc>
      </w:tr>
      <w:tr w:rsidR="003B6CAB" w:rsidRPr="005060E0" w14:paraId="62D33F2A" w14:textId="77777777" w:rsidTr="002A129B">
        <w:tc>
          <w:tcPr>
            <w:tcW w:w="1104" w:type="pct"/>
          </w:tcPr>
          <w:p w14:paraId="71EB919B" w14:textId="1D2CD843" w:rsidR="003B6CAB" w:rsidRPr="005060E0" w:rsidRDefault="003B6CAB" w:rsidP="003B6CAB">
            <w:pPr>
              <w:spacing w:before="60" w:after="60" w:line="240" w:lineRule="auto"/>
              <w:rPr>
                <w:rFonts w:cs="Arial"/>
                <w:sz w:val="18"/>
                <w:szCs w:val="18"/>
              </w:rPr>
            </w:pPr>
            <w:r w:rsidRPr="005060E0">
              <w:rPr>
                <w:rFonts w:cs="Arial"/>
                <w:sz w:val="18"/>
                <w:szCs w:val="18"/>
              </w:rPr>
              <w:t>Air TOG</w:t>
            </w:r>
          </w:p>
        </w:tc>
        <w:tc>
          <w:tcPr>
            <w:tcW w:w="3896" w:type="pct"/>
          </w:tcPr>
          <w:p w14:paraId="753DE6FC" w14:textId="5C714925" w:rsidR="003B6CAB" w:rsidRPr="005060E0" w:rsidRDefault="003B6CAB" w:rsidP="003B6CAB">
            <w:pPr>
              <w:spacing w:before="60" w:after="60" w:line="240" w:lineRule="auto"/>
              <w:rPr>
                <w:rFonts w:cs="Arial"/>
                <w:sz w:val="18"/>
                <w:szCs w:val="18"/>
              </w:rPr>
            </w:pPr>
            <w:r w:rsidRPr="005060E0">
              <w:rPr>
                <w:rFonts w:cs="Arial"/>
                <w:sz w:val="18"/>
                <w:szCs w:val="18"/>
              </w:rPr>
              <w:t>Air Thematic Oversight Group</w:t>
            </w:r>
          </w:p>
        </w:tc>
      </w:tr>
      <w:tr w:rsidR="003B6CAB" w:rsidRPr="005060E0" w14:paraId="4D53A2AB" w14:textId="77777777" w:rsidTr="002A129B">
        <w:tc>
          <w:tcPr>
            <w:tcW w:w="1104" w:type="pct"/>
          </w:tcPr>
          <w:p w14:paraId="5B36D740" w14:textId="77777777" w:rsidR="003B6CAB" w:rsidRPr="005060E0" w:rsidRDefault="003B6CAB" w:rsidP="003B6CAB">
            <w:pPr>
              <w:spacing w:before="60" w:after="60" w:line="240" w:lineRule="auto"/>
              <w:rPr>
                <w:rFonts w:cs="Arial"/>
                <w:sz w:val="18"/>
                <w:szCs w:val="18"/>
              </w:rPr>
            </w:pPr>
            <w:r w:rsidRPr="005060E0">
              <w:rPr>
                <w:rFonts w:cs="Arial"/>
                <w:sz w:val="18"/>
                <w:szCs w:val="18"/>
              </w:rPr>
              <w:t>APMG</w:t>
            </w:r>
          </w:p>
        </w:tc>
        <w:tc>
          <w:tcPr>
            <w:tcW w:w="3896" w:type="pct"/>
          </w:tcPr>
          <w:p w14:paraId="61EC9D19" w14:textId="77777777" w:rsidR="003B6CAB" w:rsidRPr="005060E0" w:rsidRDefault="003B6CAB" w:rsidP="003B6CAB">
            <w:pPr>
              <w:spacing w:before="60" w:after="60" w:line="240" w:lineRule="auto"/>
              <w:rPr>
                <w:rFonts w:cs="Arial"/>
                <w:sz w:val="18"/>
                <w:szCs w:val="18"/>
              </w:rPr>
            </w:pPr>
            <w:r w:rsidRPr="005060E0">
              <w:rPr>
                <w:rFonts w:cs="Arial"/>
                <w:sz w:val="18"/>
                <w:szCs w:val="18"/>
              </w:rPr>
              <w:t>Air Project Management Group</w:t>
            </w:r>
          </w:p>
        </w:tc>
      </w:tr>
      <w:tr w:rsidR="003B6CAB" w:rsidRPr="005060E0" w14:paraId="2AF919D7" w14:textId="77777777" w:rsidTr="002A129B">
        <w:tc>
          <w:tcPr>
            <w:tcW w:w="1104" w:type="pct"/>
          </w:tcPr>
          <w:p w14:paraId="7D89DE0E" w14:textId="77777777" w:rsidR="003B6CAB" w:rsidRPr="005060E0" w:rsidRDefault="003B6CAB" w:rsidP="003B6CAB">
            <w:pPr>
              <w:spacing w:before="60" w:after="60" w:line="240" w:lineRule="auto"/>
              <w:rPr>
                <w:rFonts w:cs="Arial"/>
                <w:sz w:val="18"/>
                <w:szCs w:val="18"/>
              </w:rPr>
            </w:pPr>
            <w:r w:rsidRPr="005060E0">
              <w:rPr>
                <w:rFonts w:cs="Arial"/>
                <w:sz w:val="18"/>
                <w:szCs w:val="18"/>
              </w:rPr>
              <w:t>BAU</w:t>
            </w:r>
          </w:p>
        </w:tc>
        <w:tc>
          <w:tcPr>
            <w:tcW w:w="3896" w:type="pct"/>
          </w:tcPr>
          <w:p w14:paraId="2D18C98E" w14:textId="77777777" w:rsidR="003B6CAB" w:rsidRPr="005060E0" w:rsidRDefault="003B6CAB" w:rsidP="003B6CAB">
            <w:pPr>
              <w:spacing w:before="60" w:after="60" w:line="240" w:lineRule="auto"/>
              <w:rPr>
                <w:rFonts w:cs="Arial"/>
                <w:sz w:val="18"/>
                <w:szCs w:val="18"/>
              </w:rPr>
            </w:pPr>
            <w:r w:rsidRPr="005060E0">
              <w:rPr>
                <w:rFonts w:cs="Arial"/>
                <w:sz w:val="18"/>
                <w:szCs w:val="18"/>
              </w:rPr>
              <w:t>Business-as-Usual (scenario)</w:t>
            </w:r>
          </w:p>
        </w:tc>
      </w:tr>
      <w:tr w:rsidR="00E27FA4" w:rsidRPr="005060E0" w14:paraId="6C6F7891" w14:textId="77777777" w:rsidTr="002A129B">
        <w:tc>
          <w:tcPr>
            <w:tcW w:w="1104" w:type="pct"/>
          </w:tcPr>
          <w:p w14:paraId="1C4EF3EB" w14:textId="1E3640AC" w:rsidR="00E27FA4" w:rsidRPr="005060E0" w:rsidRDefault="00E27FA4" w:rsidP="003B6CAB">
            <w:pPr>
              <w:spacing w:before="60" w:after="60" w:line="240" w:lineRule="auto"/>
              <w:rPr>
                <w:rFonts w:cs="Arial"/>
                <w:sz w:val="18"/>
                <w:szCs w:val="18"/>
              </w:rPr>
            </w:pPr>
            <w:r w:rsidRPr="005060E0">
              <w:rPr>
                <w:rFonts w:cs="Arial"/>
                <w:sz w:val="18"/>
                <w:szCs w:val="18"/>
              </w:rPr>
              <w:t>BCR</w:t>
            </w:r>
          </w:p>
        </w:tc>
        <w:tc>
          <w:tcPr>
            <w:tcW w:w="3896" w:type="pct"/>
          </w:tcPr>
          <w:p w14:paraId="1BF04ABA" w14:textId="4F2DB95F" w:rsidR="00E27FA4" w:rsidRPr="005060E0" w:rsidRDefault="00E27FA4" w:rsidP="003B6CAB">
            <w:pPr>
              <w:spacing w:before="60" w:after="60" w:line="240" w:lineRule="auto"/>
              <w:rPr>
                <w:rFonts w:cs="Arial"/>
                <w:sz w:val="18"/>
                <w:szCs w:val="18"/>
              </w:rPr>
            </w:pPr>
            <w:r w:rsidRPr="005060E0">
              <w:rPr>
                <w:rFonts w:cs="Arial"/>
                <w:sz w:val="18"/>
                <w:szCs w:val="18"/>
              </w:rPr>
              <w:t>benefit:cost ratio</w:t>
            </w:r>
          </w:p>
        </w:tc>
      </w:tr>
      <w:tr w:rsidR="003B6CAB" w:rsidRPr="005060E0" w14:paraId="5A661ED0" w14:textId="77777777" w:rsidTr="002A129B">
        <w:tc>
          <w:tcPr>
            <w:tcW w:w="1104" w:type="pct"/>
          </w:tcPr>
          <w:p w14:paraId="56C532B2" w14:textId="77777777" w:rsidR="003B6CAB" w:rsidRPr="005060E0" w:rsidRDefault="003B6CAB" w:rsidP="003B6CAB">
            <w:pPr>
              <w:spacing w:before="60" w:after="60" w:line="240" w:lineRule="auto"/>
              <w:rPr>
                <w:rFonts w:cs="Arial"/>
                <w:sz w:val="18"/>
                <w:szCs w:val="18"/>
              </w:rPr>
            </w:pPr>
            <w:r w:rsidRPr="005060E0">
              <w:rPr>
                <w:rFonts w:cs="Arial"/>
                <w:sz w:val="18"/>
                <w:szCs w:val="18"/>
              </w:rPr>
              <w:t>CBA</w:t>
            </w:r>
          </w:p>
        </w:tc>
        <w:tc>
          <w:tcPr>
            <w:tcW w:w="3896" w:type="pct"/>
          </w:tcPr>
          <w:p w14:paraId="6636ABB5" w14:textId="6EF5A0B3" w:rsidR="003B6CAB" w:rsidRPr="005060E0" w:rsidRDefault="003B6CAB" w:rsidP="003B6CAB">
            <w:pPr>
              <w:spacing w:before="60" w:after="60" w:line="240" w:lineRule="auto"/>
              <w:rPr>
                <w:rFonts w:cs="Arial"/>
                <w:sz w:val="18"/>
                <w:szCs w:val="18"/>
              </w:rPr>
            </w:pPr>
            <w:r w:rsidRPr="005060E0">
              <w:rPr>
                <w:rFonts w:cs="Arial"/>
                <w:sz w:val="18"/>
                <w:szCs w:val="18"/>
              </w:rPr>
              <w:t>cost</w:t>
            </w:r>
            <w:r w:rsidR="00875B93" w:rsidRPr="005060E0">
              <w:rPr>
                <w:rFonts w:cs="Arial"/>
                <w:sz w:val="18"/>
                <w:szCs w:val="18"/>
              </w:rPr>
              <w:t>–</w:t>
            </w:r>
            <w:r w:rsidRPr="005060E0">
              <w:rPr>
                <w:rFonts w:cs="Arial"/>
                <w:sz w:val="18"/>
                <w:szCs w:val="18"/>
              </w:rPr>
              <w:t>benefit analysis</w:t>
            </w:r>
          </w:p>
        </w:tc>
      </w:tr>
      <w:tr w:rsidR="003B6CAB" w:rsidRPr="005060E0" w14:paraId="54687766" w14:textId="77777777" w:rsidTr="002A129B">
        <w:tc>
          <w:tcPr>
            <w:tcW w:w="1104" w:type="pct"/>
          </w:tcPr>
          <w:p w14:paraId="1AB8E629" w14:textId="77777777" w:rsidR="003B6CAB" w:rsidRPr="005060E0" w:rsidRDefault="003B6CAB" w:rsidP="003B6CAB">
            <w:pPr>
              <w:spacing w:before="60" w:after="60" w:line="240" w:lineRule="auto"/>
              <w:rPr>
                <w:rFonts w:cs="Arial"/>
                <w:sz w:val="18"/>
                <w:szCs w:val="18"/>
              </w:rPr>
            </w:pPr>
            <w:r w:rsidRPr="005060E0">
              <w:rPr>
                <w:rFonts w:cs="Arial"/>
                <w:sz w:val="18"/>
                <w:szCs w:val="18"/>
              </w:rPr>
              <w:t>CCAM</w:t>
            </w:r>
          </w:p>
        </w:tc>
        <w:tc>
          <w:tcPr>
            <w:tcW w:w="3896" w:type="pct"/>
          </w:tcPr>
          <w:p w14:paraId="42626925" w14:textId="77777777" w:rsidR="003B6CAB" w:rsidRPr="005060E0" w:rsidRDefault="003B6CAB" w:rsidP="003B6CAB">
            <w:pPr>
              <w:spacing w:before="60" w:after="60" w:line="240" w:lineRule="auto"/>
              <w:rPr>
                <w:rFonts w:cs="Arial"/>
                <w:sz w:val="18"/>
                <w:szCs w:val="18"/>
              </w:rPr>
            </w:pPr>
            <w:r w:rsidRPr="005060E0">
              <w:rPr>
                <w:rFonts w:cs="Arial"/>
                <w:sz w:val="18"/>
                <w:szCs w:val="18"/>
              </w:rPr>
              <w:t>Conformal-Cubic Atmospheric Model</w:t>
            </w:r>
          </w:p>
        </w:tc>
      </w:tr>
      <w:tr w:rsidR="003B6CAB" w:rsidRPr="005060E0" w14:paraId="42793BE9" w14:textId="77777777" w:rsidTr="002A129B">
        <w:tc>
          <w:tcPr>
            <w:tcW w:w="1104" w:type="pct"/>
          </w:tcPr>
          <w:p w14:paraId="46B95E6B" w14:textId="77777777" w:rsidR="003B6CAB" w:rsidRPr="005060E0" w:rsidRDefault="003B6CAB" w:rsidP="003B6CAB">
            <w:pPr>
              <w:spacing w:before="60" w:after="60" w:line="240" w:lineRule="auto"/>
              <w:rPr>
                <w:rFonts w:cs="Arial"/>
                <w:sz w:val="18"/>
                <w:szCs w:val="18"/>
              </w:rPr>
            </w:pPr>
            <w:r w:rsidRPr="005060E0">
              <w:rPr>
                <w:rFonts w:cs="Arial"/>
                <w:sz w:val="18"/>
                <w:szCs w:val="18"/>
              </w:rPr>
              <w:t>CCAM-CTM</w:t>
            </w:r>
          </w:p>
        </w:tc>
        <w:tc>
          <w:tcPr>
            <w:tcW w:w="3896" w:type="pct"/>
          </w:tcPr>
          <w:p w14:paraId="50680AF5" w14:textId="08DCC146" w:rsidR="003B6CAB" w:rsidRPr="005060E0" w:rsidRDefault="003B6CAB" w:rsidP="003B6CAB">
            <w:pPr>
              <w:spacing w:before="60" w:after="60" w:line="240" w:lineRule="auto"/>
              <w:rPr>
                <w:rFonts w:cs="Arial"/>
                <w:sz w:val="18"/>
                <w:szCs w:val="18"/>
              </w:rPr>
            </w:pPr>
            <w:r w:rsidRPr="005060E0">
              <w:rPr>
                <w:rFonts w:cs="Arial"/>
                <w:sz w:val="18"/>
                <w:szCs w:val="18"/>
              </w:rPr>
              <w:t>Conformal-Cubic Atmospheric Model - Chemistry Transport Model</w:t>
            </w:r>
          </w:p>
        </w:tc>
      </w:tr>
      <w:tr w:rsidR="003B6CAB" w:rsidRPr="005060E0" w14:paraId="695DE25A" w14:textId="77777777" w:rsidTr="002A129B">
        <w:tc>
          <w:tcPr>
            <w:tcW w:w="1104" w:type="pct"/>
          </w:tcPr>
          <w:p w14:paraId="3FFC2A7E" w14:textId="77777777" w:rsidR="003B6CAB" w:rsidRPr="005060E0" w:rsidRDefault="003B6CAB" w:rsidP="003B6CAB">
            <w:pPr>
              <w:spacing w:before="60" w:after="60" w:line="240" w:lineRule="auto"/>
              <w:rPr>
                <w:rFonts w:cs="Arial"/>
                <w:sz w:val="18"/>
                <w:szCs w:val="18"/>
              </w:rPr>
            </w:pPr>
            <w:r w:rsidRPr="005060E0">
              <w:rPr>
                <w:rFonts w:cs="Arial"/>
                <w:sz w:val="18"/>
                <w:szCs w:val="18"/>
              </w:rPr>
              <w:t>CO</w:t>
            </w:r>
          </w:p>
        </w:tc>
        <w:tc>
          <w:tcPr>
            <w:tcW w:w="3896" w:type="pct"/>
          </w:tcPr>
          <w:p w14:paraId="47F6FD3D" w14:textId="77777777" w:rsidR="003B6CAB" w:rsidRPr="005060E0" w:rsidRDefault="003B6CAB" w:rsidP="003B6CAB">
            <w:pPr>
              <w:spacing w:before="60" w:after="60" w:line="240" w:lineRule="auto"/>
              <w:rPr>
                <w:rFonts w:cs="Arial"/>
                <w:sz w:val="18"/>
                <w:szCs w:val="18"/>
              </w:rPr>
            </w:pPr>
            <w:r w:rsidRPr="005060E0">
              <w:rPr>
                <w:rFonts w:cs="Arial"/>
                <w:sz w:val="18"/>
                <w:szCs w:val="18"/>
              </w:rPr>
              <w:t>carbon monoxide</w:t>
            </w:r>
          </w:p>
        </w:tc>
      </w:tr>
      <w:tr w:rsidR="00326071" w:rsidRPr="005060E0" w14:paraId="0523DCC5" w14:textId="77777777" w:rsidTr="002A129B">
        <w:tc>
          <w:tcPr>
            <w:tcW w:w="1104" w:type="pct"/>
          </w:tcPr>
          <w:p w14:paraId="1F49E109" w14:textId="7EA085D8" w:rsidR="00326071" w:rsidRPr="005060E0" w:rsidRDefault="00326071" w:rsidP="003B6CAB">
            <w:pPr>
              <w:spacing w:before="60" w:after="60" w:line="240" w:lineRule="auto"/>
              <w:rPr>
                <w:rFonts w:cs="Arial"/>
                <w:sz w:val="18"/>
                <w:szCs w:val="18"/>
              </w:rPr>
            </w:pPr>
            <w:r w:rsidRPr="005060E0">
              <w:rPr>
                <w:rFonts w:cs="Arial"/>
                <w:sz w:val="18"/>
                <w:szCs w:val="18"/>
              </w:rPr>
              <w:t>COPD</w:t>
            </w:r>
          </w:p>
        </w:tc>
        <w:tc>
          <w:tcPr>
            <w:tcW w:w="3896" w:type="pct"/>
          </w:tcPr>
          <w:p w14:paraId="704AEAF0" w14:textId="60D72FF1" w:rsidR="00326071" w:rsidRPr="005060E0" w:rsidRDefault="00326071" w:rsidP="003B6CAB">
            <w:pPr>
              <w:spacing w:before="60" w:after="60" w:line="240" w:lineRule="auto"/>
              <w:rPr>
                <w:rFonts w:cs="Arial"/>
                <w:sz w:val="18"/>
                <w:szCs w:val="18"/>
              </w:rPr>
            </w:pPr>
            <w:r w:rsidRPr="005060E0">
              <w:rPr>
                <w:rFonts w:cs="Arial"/>
                <w:sz w:val="18"/>
                <w:szCs w:val="18"/>
              </w:rPr>
              <w:t>chronic obstructive pulmonary disease</w:t>
            </w:r>
          </w:p>
        </w:tc>
      </w:tr>
      <w:tr w:rsidR="003B6CAB" w:rsidRPr="005060E0" w14:paraId="59FF5207" w14:textId="77777777" w:rsidTr="002A129B">
        <w:tc>
          <w:tcPr>
            <w:tcW w:w="1104" w:type="pct"/>
          </w:tcPr>
          <w:p w14:paraId="51C184B0" w14:textId="77777777" w:rsidR="003B6CAB" w:rsidRPr="005060E0" w:rsidRDefault="003B6CAB" w:rsidP="003B6CAB">
            <w:pPr>
              <w:spacing w:before="60" w:after="60" w:line="240" w:lineRule="auto"/>
              <w:rPr>
                <w:rFonts w:cs="Arial"/>
                <w:sz w:val="18"/>
                <w:szCs w:val="18"/>
              </w:rPr>
            </w:pPr>
            <w:r w:rsidRPr="005060E0">
              <w:rPr>
                <w:rFonts w:cs="Arial"/>
                <w:sz w:val="18"/>
                <w:szCs w:val="18"/>
              </w:rPr>
              <w:t>CTM</w:t>
            </w:r>
          </w:p>
        </w:tc>
        <w:tc>
          <w:tcPr>
            <w:tcW w:w="3896" w:type="pct"/>
          </w:tcPr>
          <w:p w14:paraId="080C46A8" w14:textId="77777777" w:rsidR="003B6CAB" w:rsidRPr="005060E0" w:rsidRDefault="003B6CAB" w:rsidP="003B6CAB">
            <w:pPr>
              <w:spacing w:before="60" w:after="60" w:line="240" w:lineRule="auto"/>
              <w:rPr>
                <w:rFonts w:cs="Arial"/>
                <w:sz w:val="18"/>
                <w:szCs w:val="18"/>
              </w:rPr>
            </w:pPr>
            <w:r w:rsidRPr="005060E0">
              <w:rPr>
                <w:rFonts w:cs="Arial"/>
                <w:sz w:val="18"/>
                <w:szCs w:val="18"/>
              </w:rPr>
              <w:t>Chemistry Transport Model</w:t>
            </w:r>
          </w:p>
        </w:tc>
      </w:tr>
      <w:tr w:rsidR="003B6CAB" w:rsidRPr="005060E0" w14:paraId="5FEA59F1" w14:textId="77777777" w:rsidTr="002A129B">
        <w:tc>
          <w:tcPr>
            <w:tcW w:w="1104" w:type="pct"/>
          </w:tcPr>
          <w:p w14:paraId="4B213F2C" w14:textId="69C34B14" w:rsidR="003B6CAB" w:rsidRPr="005060E0" w:rsidRDefault="003B6CAB" w:rsidP="003B6CAB">
            <w:pPr>
              <w:spacing w:before="60" w:after="60" w:line="240" w:lineRule="auto"/>
              <w:rPr>
                <w:rFonts w:cs="Arial"/>
                <w:sz w:val="18"/>
                <w:szCs w:val="18"/>
              </w:rPr>
            </w:pPr>
            <w:r w:rsidRPr="005060E0">
              <w:rPr>
                <w:rFonts w:cs="Arial"/>
                <w:sz w:val="18"/>
                <w:szCs w:val="18"/>
              </w:rPr>
              <w:t>EPA</w:t>
            </w:r>
            <w:r w:rsidR="00933A65" w:rsidRPr="005060E0">
              <w:rPr>
                <w:rFonts w:cs="Arial"/>
                <w:sz w:val="18"/>
                <w:szCs w:val="18"/>
              </w:rPr>
              <w:t xml:space="preserve"> </w:t>
            </w:r>
            <w:r w:rsidRPr="005060E0">
              <w:rPr>
                <w:rFonts w:cs="Arial"/>
                <w:sz w:val="18"/>
                <w:szCs w:val="18"/>
              </w:rPr>
              <w:t>V</w:t>
            </w:r>
            <w:r w:rsidR="00933A65" w:rsidRPr="005060E0">
              <w:rPr>
                <w:rFonts w:cs="Arial"/>
                <w:sz w:val="18"/>
                <w:szCs w:val="18"/>
              </w:rPr>
              <w:t>ictoria</w:t>
            </w:r>
          </w:p>
        </w:tc>
        <w:tc>
          <w:tcPr>
            <w:tcW w:w="3896" w:type="pct"/>
          </w:tcPr>
          <w:p w14:paraId="5581641C" w14:textId="77777777" w:rsidR="003B6CAB" w:rsidRPr="005060E0" w:rsidRDefault="003B6CAB" w:rsidP="003B6CAB">
            <w:pPr>
              <w:spacing w:before="60" w:after="60" w:line="240" w:lineRule="auto"/>
              <w:rPr>
                <w:rFonts w:cs="Arial"/>
                <w:sz w:val="18"/>
                <w:szCs w:val="18"/>
              </w:rPr>
            </w:pPr>
            <w:r w:rsidRPr="005060E0">
              <w:rPr>
                <w:rFonts w:cs="Arial"/>
                <w:sz w:val="18"/>
                <w:szCs w:val="18"/>
              </w:rPr>
              <w:t>Environment Protection Authority Victoria</w:t>
            </w:r>
          </w:p>
        </w:tc>
      </w:tr>
      <w:tr w:rsidR="003D0C1F" w:rsidRPr="005060E0" w14:paraId="67C5644B" w14:textId="77777777" w:rsidTr="002A129B">
        <w:tc>
          <w:tcPr>
            <w:tcW w:w="1104" w:type="pct"/>
          </w:tcPr>
          <w:p w14:paraId="693A82EA" w14:textId="7BA9500A" w:rsidR="003D0C1F" w:rsidRPr="005060E0" w:rsidRDefault="003D0C1F" w:rsidP="003B6CAB">
            <w:pPr>
              <w:spacing w:before="60" w:after="60" w:line="240" w:lineRule="auto"/>
              <w:rPr>
                <w:rFonts w:cs="Arial"/>
                <w:sz w:val="18"/>
                <w:szCs w:val="18"/>
              </w:rPr>
            </w:pPr>
            <w:r w:rsidRPr="005060E0">
              <w:rPr>
                <w:rFonts w:cs="Arial"/>
                <w:sz w:val="18"/>
                <w:szCs w:val="18"/>
              </w:rPr>
              <w:t>EU</w:t>
            </w:r>
          </w:p>
        </w:tc>
        <w:tc>
          <w:tcPr>
            <w:tcW w:w="3896" w:type="pct"/>
          </w:tcPr>
          <w:p w14:paraId="04BD2873" w14:textId="5F964369" w:rsidR="003D0C1F" w:rsidRPr="005060E0" w:rsidRDefault="003D0C1F" w:rsidP="003B6CAB">
            <w:pPr>
              <w:spacing w:before="60" w:after="60" w:line="240" w:lineRule="auto"/>
              <w:rPr>
                <w:rFonts w:cs="Arial"/>
                <w:sz w:val="18"/>
                <w:szCs w:val="18"/>
              </w:rPr>
            </w:pPr>
            <w:r w:rsidRPr="005060E0">
              <w:rPr>
                <w:rFonts w:cs="Arial"/>
                <w:sz w:val="18"/>
                <w:szCs w:val="18"/>
              </w:rPr>
              <w:t>European Union</w:t>
            </w:r>
          </w:p>
        </w:tc>
      </w:tr>
      <w:tr w:rsidR="003B6CAB" w:rsidRPr="005060E0" w14:paraId="0C17133D" w14:textId="77777777" w:rsidTr="002A129B">
        <w:tc>
          <w:tcPr>
            <w:tcW w:w="1104" w:type="pct"/>
          </w:tcPr>
          <w:p w14:paraId="3C894F3D" w14:textId="77777777" w:rsidR="003B6CAB" w:rsidRPr="005060E0" w:rsidRDefault="003B6CAB" w:rsidP="003B6CAB">
            <w:pPr>
              <w:spacing w:before="60" w:after="60" w:line="240" w:lineRule="auto"/>
              <w:rPr>
                <w:rFonts w:cs="Arial"/>
                <w:sz w:val="18"/>
                <w:szCs w:val="18"/>
              </w:rPr>
            </w:pPr>
            <w:r w:rsidRPr="005060E0">
              <w:rPr>
                <w:rFonts w:cs="Arial"/>
                <w:sz w:val="18"/>
                <w:szCs w:val="18"/>
              </w:rPr>
              <w:t>GMR</w:t>
            </w:r>
          </w:p>
        </w:tc>
        <w:tc>
          <w:tcPr>
            <w:tcW w:w="3896" w:type="pct"/>
          </w:tcPr>
          <w:p w14:paraId="7AB1A515" w14:textId="77777777" w:rsidR="003B6CAB" w:rsidRPr="005060E0" w:rsidRDefault="003B6CAB" w:rsidP="003B6CAB">
            <w:pPr>
              <w:spacing w:before="60" w:after="60" w:line="240" w:lineRule="auto"/>
              <w:rPr>
                <w:rFonts w:cs="Arial"/>
                <w:sz w:val="18"/>
                <w:szCs w:val="18"/>
              </w:rPr>
            </w:pPr>
            <w:r w:rsidRPr="005060E0">
              <w:rPr>
                <w:rFonts w:cs="Arial"/>
                <w:sz w:val="18"/>
                <w:szCs w:val="18"/>
              </w:rPr>
              <w:t>Greater Metropolitan Region</w:t>
            </w:r>
          </w:p>
        </w:tc>
      </w:tr>
      <w:tr w:rsidR="003B6CAB" w:rsidRPr="005060E0" w14:paraId="70652EF1" w14:textId="77777777" w:rsidTr="002A129B">
        <w:tc>
          <w:tcPr>
            <w:tcW w:w="1104" w:type="pct"/>
          </w:tcPr>
          <w:p w14:paraId="4BA753D3" w14:textId="77777777" w:rsidR="003B6CAB" w:rsidRPr="005060E0" w:rsidRDefault="003B6CAB" w:rsidP="003B6CAB">
            <w:pPr>
              <w:spacing w:before="60" w:after="60" w:line="240" w:lineRule="auto"/>
              <w:rPr>
                <w:rFonts w:cs="Arial"/>
                <w:sz w:val="18"/>
                <w:szCs w:val="18"/>
              </w:rPr>
            </w:pPr>
            <w:r w:rsidRPr="005060E0">
              <w:rPr>
                <w:rFonts w:cs="Arial"/>
                <w:sz w:val="18"/>
                <w:szCs w:val="18"/>
              </w:rPr>
              <w:t>HRA</w:t>
            </w:r>
          </w:p>
        </w:tc>
        <w:tc>
          <w:tcPr>
            <w:tcW w:w="3896" w:type="pct"/>
          </w:tcPr>
          <w:p w14:paraId="6D47A3D6" w14:textId="77777777" w:rsidR="003B6CAB" w:rsidRPr="005060E0" w:rsidRDefault="003B6CAB" w:rsidP="003B6CAB">
            <w:pPr>
              <w:spacing w:before="60" w:after="60" w:line="240" w:lineRule="auto"/>
              <w:rPr>
                <w:rFonts w:cs="Arial"/>
                <w:sz w:val="18"/>
                <w:szCs w:val="18"/>
              </w:rPr>
            </w:pPr>
            <w:r w:rsidRPr="005060E0">
              <w:rPr>
                <w:rFonts w:cs="Arial"/>
                <w:sz w:val="18"/>
                <w:szCs w:val="18"/>
              </w:rPr>
              <w:t>health risk assessment</w:t>
            </w:r>
          </w:p>
        </w:tc>
      </w:tr>
      <w:tr w:rsidR="003B6CAB" w:rsidRPr="005060E0" w14:paraId="282CE1EA" w14:textId="77777777" w:rsidTr="002A129B">
        <w:tc>
          <w:tcPr>
            <w:tcW w:w="1104" w:type="pct"/>
          </w:tcPr>
          <w:p w14:paraId="74C6CA76" w14:textId="77777777" w:rsidR="003B6CAB" w:rsidRPr="005060E0" w:rsidRDefault="003B6CAB" w:rsidP="003B6CAB">
            <w:pPr>
              <w:spacing w:before="60" w:after="60" w:line="240" w:lineRule="auto"/>
              <w:rPr>
                <w:rFonts w:cs="Arial"/>
                <w:sz w:val="18"/>
                <w:szCs w:val="18"/>
              </w:rPr>
            </w:pPr>
            <w:r w:rsidRPr="005060E0">
              <w:rPr>
                <w:rFonts w:cs="Arial"/>
                <w:sz w:val="18"/>
                <w:szCs w:val="18"/>
              </w:rPr>
              <w:t>MCA</w:t>
            </w:r>
          </w:p>
        </w:tc>
        <w:tc>
          <w:tcPr>
            <w:tcW w:w="3896" w:type="pct"/>
          </w:tcPr>
          <w:p w14:paraId="0951F4E6" w14:textId="77777777" w:rsidR="003B6CAB" w:rsidRPr="005060E0" w:rsidRDefault="003B6CAB" w:rsidP="003B6CAB">
            <w:pPr>
              <w:spacing w:before="60" w:after="60" w:line="240" w:lineRule="auto"/>
              <w:rPr>
                <w:rFonts w:cs="Arial"/>
                <w:sz w:val="18"/>
                <w:szCs w:val="18"/>
              </w:rPr>
            </w:pPr>
            <w:r w:rsidRPr="005060E0">
              <w:rPr>
                <w:rFonts w:cs="Arial"/>
                <w:sz w:val="18"/>
                <w:szCs w:val="18"/>
              </w:rPr>
              <w:t>multi-criteria analysis</w:t>
            </w:r>
          </w:p>
        </w:tc>
      </w:tr>
      <w:tr w:rsidR="003B6CAB" w:rsidRPr="005060E0" w14:paraId="638279DA" w14:textId="77777777" w:rsidTr="002A129B">
        <w:tc>
          <w:tcPr>
            <w:tcW w:w="1104" w:type="pct"/>
          </w:tcPr>
          <w:p w14:paraId="5CE396FD" w14:textId="77777777" w:rsidR="003B6CAB" w:rsidRPr="005060E0" w:rsidRDefault="003B6CAB" w:rsidP="003B6CAB">
            <w:pPr>
              <w:spacing w:before="60" w:after="60" w:line="240" w:lineRule="auto"/>
              <w:rPr>
                <w:rFonts w:cs="Arial"/>
                <w:sz w:val="18"/>
                <w:szCs w:val="18"/>
              </w:rPr>
            </w:pPr>
            <w:r w:rsidRPr="005060E0">
              <w:rPr>
                <w:rFonts w:cs="Arial"/>
                <w:sz w:val="18"/>
                <w:szCs w:val="18"/>
              </w:rPr>
              <w:t>NEPC</w:t>
            </w:r>
          </w:p>
        </w:tc>
        <w:tc>
          <w:tcPr>
            <w:tcW w:w="3896" w:type="pct"/>
          </w:tcPr>
          <w:p w14:paraId="22243E9B" w14:textId="77777777" w:rsidR="003B6CAB" w:rsidRPr="005060E0" w:rsidRDefault="003B6CAB" w:rsidP="003B6CAB">
            <w:pPr>
              <w:spacing w:before="60" w:after="60" w:line="240" w:lineRule="auto"/>
              <w:rPr>
                <w:rFonts w:cs="Arial"/>
                <w:sz w:val="18"/>
                <w:szCs w:val="18"/>
              </w:rPr>
            </w:pPr>
            <w:r w:rsidRPr="005060E0">
              <w:rPr>
                <w:rFonts w:cs="Arial"/>
                <w:sz w:val="18"/>
                <w:szCs w:val="18"/>
              </w:rPr>
              <w:t>National Environment Protection Council</w:t>
            </w:r>
          </w:p>
        </w:tc>
      </w:tr>
      <w:tr w:rsidR="003B6CAB" w:rsidRPr="005060E0" w14:paraId="17FEE6F4" w14:textId="77777777" w:rsidTr="002A129B">
        <w:tc>
          <w:tcPr>
            <w:tcW w:w="1104" w:type="pct"/>
          </w:tcPr>
          <w:p w14:paraId="1F898D38" w14:textId="77777777" w:rsidR="003B6CAB" w:rsidRPr="005060E0" w:rsidRDefault="003B6CAB" w:rsidP="003B6CAB">
            <w:pPr>
              <w:spacing w:before="60" w:after="60" w:line="240" w:lineRule="auto"/>
              <w:rPr>
                <w:rFonts w:cs="Arial"/>
                <w:sz w:val="18"/>
                <w:szCs w:val="18"/>
              </w:rPr>
            </w:pPr>
            <w:r w:rsidRPr="005060E0">
              <w:rPr>
                <w:rFonts w:cs="Arial"/>
                <w:sz w:val="18"/>
                <w:szCs w:val="18"/>
              </w:rPr>
              <w:t>NEPM</w:t>
            </w:r>
          </w:p>
        </w:tc>
        <w:tc>
          <w:tcPr>
            <w:tcW w:w="3896" w:type="pct"/>
          </w:tcPr>
          <w:p w14:paraId="7AFB5BD5" w14:textId="77777777" w:rsidR="003B6CAB" w:rsidRPr="005060E0" w:rsidRDefault="003B6CAB" w:rsidP="003B6CAB">
            <w:pPr>
              <w:spacing w:before="60" w:after="60" w:line="240" w:lineRule="auto"/>
              <w:rPr>
                <w:rFonts w:cs="Arial"/>
                <w:sz w:val="18"/>
                <w:szCs w:val="18"/>
              </w:rPr>
            </w:pPr>
            <w:r w:rsidRPr="005060E0">
              <w:rPr>
                <w:rFonts w:cs="Arial"/>
                <w:sz w:val="18"/>
                <w:szCs w:val="18"/>
              </w:rPr>
              <w:t>National Environment Protection Measure</w:t>
            </w:r>
          </w:p>
        </w:tc>
      </w:tr>
      <w:tr w:rsidR="00CD26B9" w:rsidRPr="005060E0" w14:paraId="6CFAC4F4" w14:textId="77777777" w:rsidTr="002A129B">
        <w:tc>
          <w:tcPr>
            <w:tcW w:w="1104" w:type="pct"/>
          </w:tcPr>
          <w:p w14:paraId="6A100B21" w14:textId="51DE68DC" w:rsidR="00CD26B9" w:rsidRPr="005060E0" w:rsidRDefault="00CD26B9" w:rsidP="003B6CAB">
            <w:pPr>
              <w:spacing w:before="60" w:after="60" w:line="240" w:lineRule="auto"/>
              <w:rPr>
                <w:rFonts w:cs="Arial"/>
                <w:sz w:val="18"/>
                <w:szCs w:val="18"/>
              </w:rPr>
            </w:pPr>
            <w:r w:rsidRPr="005060E0">
              <w:rPr>
                <w:rFonts w:cs="Arial"/>
                <w:sz w:val="18"/>
                <w:szCs w:val="18"/>
              </w:rPr>
              <w:t>NHMRC</w:t>
            </w:r>
          </w:p>
        </w:tc>
        <w:tc>
          <w:tcPr>
            <w:tcW w:w="3896" w:type="pct"/>
          </w:tcPr>
          <w:p w14:paraId="0487E8CD" w14:textId="43D12D06" w:rsidR="00CD26B9" w:rsidRPr="005060E0" w:rsidRDefault="00CD26B9" w:rsidP="003B6CAB">
            <w:pPr>
              <w:spacing w:before="60" w:after="60" w:line="240" w:lineRule="auto"/>
              <w:rPr>
                <w:rFonts w:cs="Arial"/>
                <w:sz w:val="18"/>
                <w:szCs w:val="18"/>
              </w:rPr>
            </w:pPr>
            <w:r w:rsidRPr="005060E0">
              <w:rPr>
                <w:rFonts w:cs="Arial"/>
                <w:sz w:val="18"/>
                <w:szCs w:val="18"/>
              </w:rPr>
              <w:t>National Health and Medical Research Council</w:t>
            </w:r>
          </w:p>
        </w:tc>
      </w:tr>
      <w:tr w:rsidR="003B6CAB" w:rsidRPr="005060E0" w14:paraId="14E7DD47" w14:textId="77777777" w:rsidTr="002A129B">
        <w:tc>
          <w:tcPr>
            <w:tcW w:w="1104" w:type="pct"/>
          </w:tcPr>
          <w:p w14:paraId="28EED9C3" w14:textId="77777777" w:rsidR="003B6CAB" w:rsidRPr="005060E0" w:rsidRDefault="003B6CAB" w:rsidP="003B6CAB">
            <w:pPr>
              <w:spacing w:before="60" w:after="60" w:line="240" w:lineRule="auto"/>
              <w:rPr>
                <w:rFonts w:cs="Arial"/>
                <w:sz w:val="18"/>
                <w:szCs w:val="18"/>
              </w:rPr>
            </w:pPr>
            <w:r w:rsidRPr="005060E0">
              <w:rPr>
                <w:rFonts w:cs="Arial"/>
                <w:sz w:val="18"/>
                <w:szCs w:val="18"/>
              </w:rPr>
              <w:t>NO</w:t>
            </w:r>
            <w:r w:rsidRPr="005060E0">
              <w:rPr>
                <w:rFonts w:cs="Arial"/>
                <w:sz w:val="18"/>
                <w:szCs w:val="18"/>
                <w:vertAlign w:val="subscript"/>
              </w:rPr>
              <w:t>2</w:t>
            </w:r>
          </w:p>
        </w:tc>
        <w:tc>
          <w:tcPr>
            <w:tcW w:w="3896" w:type="pct"/>
          </w:tcPr>
          <w:p w14:paraId="6E24CD60" w14:textId="77777777" w:rsidR="003B6CAB" w:rsidRPr="005060E0" w:rsidRDefault="003B6CAB" w:rsidP="003B6CAB">
            <w:pPr>
              <w:spacing w:before="60" w:after="60" w:line="240" w:lineRule="auto"/>
              <w:rPr>
                <w:rFonts w:cs="Arial"/>
                <w:sz w:val="18"/>
                <w:szCs w:val="18"/>
              </w:rPr>
            </w:pPr>
            <w:r w:rsidRPr="005060E0">
              <w:rPr>
                <w:rFonts w:cs="Arial"/>
                <w:sz w:val="18"/>
                <w:szCs w:val="18"/>
              </w:rPr>
              <w:t>nitrogen dioxide</w:t>
            </w:r>
          </w:p>
        </w:tc>
      </w:tr>
      <w:tr w:rsidR="003B6CAB" w:rsidRPr="005060E0" w14:paraId="5A2B9520" w14:textId="77777777" w:rsidTr="002A129B">
        <w:tc>
          <w:tcPr>
            <w:tcW w:w="1104" w:type="pct"/>
          </w:tcPr>
          <w:p w14:paraId="1E20BAF2" w14:textId="77777777" w:rsidR="003B6CAB" w:rsidRPr="005060E0" w:rsidRDefault="003B6CAB" w:rsidP="003B6CAB">
            <w:pPr>
              <w:spacing w:before="60" w:after="60" w:line="240" w:lineRule="auto"/>
              <w:rPr>
                <w:rFonts w:cs="Arial"/>
                <w:sz w:val="18"/>
                <w:szCs w:val="18"/>
              </w:rPr>
            </w:pPr>
            <w:r w:rsidRPr="005060E0">
              <w:rPr>
                <w:rFonts w:cs="Arial"/>
                <w:sz w:val="18"/>
                <w:szCs w:val="18"/>
              </w:rPr>
              <w:t>NO</w:t>
            </w:r>
            <w:r w:rsidRPr="005060E0">
              <w:rPr>
                <w:rFonts w:cs="Arial"/>
                <w:sz w:val="18"/>
                <w:szCs w:val="18"/>
                <w:vertAlign w:val="subscript"/>
              </w:rPr>
              <w:t>X</w:t>
            </w:r>
          </w:p>
        </w:tc>
        <w:tc>
          <w:tcPr>
            <w:tcW w:w="3896" w:type="pct"/>
          </w:tcPr>
          <w:p w14:paraId="68B09AB2" w14:textId="77777777" w:rsidR="003B6CAB" w:rsidRPr="005060E0" w:rsidRDefault="003B6CAB" w:rsidP="003B6CAB">
            <w:pPr>
              <w:spacing w:before="60" w:after="60" w:line="240" w:lineRule="auto"/>
              <w:rPr>
                <w:rFonts w:cs="Arial"/>
                <w:sz w:val="18"/>
                <w:szCs w:val="18"/>
              </w:rPr>
            </w:pPr>
            <w:r w:rsidRPr="005060E0">
              <w:rPr>
                <w:rFonts w:cs="Arial"/>
                <w:sz w:val="18"/>
                <w:szCs w:val="18"/>
              </w:rPr>
              <w:t>nitrogen oxides</w:t>
            </w:r>
          </w:p>
        </w:tc>
      </w:tr>
      <w:tr w:rsidR="003B6CAB" w:rsidRPr="005060E0" w14:paraId="595E0B93" w14:textId="77777777" w:rsidTr="002A129B">
        <w:tc>
          <w:tcPr>
            <w:tcW w:w="1104" w:type="pct"/>
          </w:tcPr>
          <w:p w14:paraId="5504CD22" w14:textId="77777777" w:rsidR="003B6CAB" w:rsidRPr="005060E0" w:rsidRDefault="003B6CAB" w:rsidP="003B6CAB">
            <w:pPr>
              <w:spacing w:before="60" w:after="60" w:line="240" w:lineRule="auto"/>
              <w:rPr>
                <w:rFonts w:cs="Arial"/>
                <w:sz w:val="18"/>
                <w:szCs w:val="18"/>
              </w:rPr>
            </w:pPr>
            <w:r w:rsidRPr="005060E0">
              <w:rPr>
                <w:rFonts w:cs="Arial"/>
                <w:sz w:val="18"/>
                <w:szCs w:val="18"/>
              </w:rPr>
              <w:t>NPI</w:t>
            </w:r>
          </w:p>
        </w:tc>
        <w:tc>
          <w:tcPr>
            <w:tcW w:w="3896" w:type="pct"/>
          </w:tcPr>
          <w:p w14:paraId="343E6965" w14:textId="77777777" w:rsidR="003B6CAB" w:rsidRPr="005060E0" w:rsidRDefault="003B6CAB" w:rsidP="003B6CAB">
            <w:pPr>
              <w:spacing w:before="60" w:after="60" w:line="240" w:lineRule="auto"/>
              <w:rPr>
                <w:rFonts w:cs="Arial"/>
                <w:sz w:val="18"/>
                <w:szCs w:val="18"/>
              </w:rPr>
            </w:pPr>
            <w:r w:rsidRPr="005060E0">
              <w:rPr>
                <w:rFonts w:cs="Arial"/>
                <w:sz w:val="18"/>
                <w:szCs w:val="18"/>
              </w:rPr>
              <w:t>National Pollutant Inventory</w:t>
            </w:r>
          </w:p>
        </w:tc>
      </w:tr>
      <w:tr w:rsidR="00E27FA4" w:rsidRPr="005060E0" w14:paraId="2CEB3D4F" w14:textId="77777777" w:rsidTr="002A129B">
        <w:tc>
          <w:tcPr>
            <w:tcW w:w="1104" w:type="pct"/>
          </w:tcPr>
          <w:p w14:paraId="7EFB3FFA" w14:textId="1D34C227" w:rsidR="00E27FA4" w:rsidRPr="005060E0" w:rsidRDefault="00E27FA4" w:rsidP="003B6CAB">
            <w:pPr>
              <w:spacing w:before="60" w:after="60" w:line="240" w:lineRule="auto"/>
              <w:rPr>
                <w:rFonts w:cs="Arial"/>
                <w:sz w:val="18"/>
                <w:szCs w:val="18"/>
              </w:rPr>
            </w:pPr>
            <w:r w:rsidRPr="005060E0">
              <w:rPr>
                <w:rFonts w:cs="Arial"/>
                <w:sz w:val="18"/>
                <w:szCs w:val="18"/>
              </w:rPr>
              <w:t>NPV</w:t>
            </w:r>
          </w:p>
        </w:tc>
        <w:tc>
          <w:tcPr>
            <w:tcW w:w="3896" w:type="pct"/>
          </w:tcPr>
          <w:p w14:paraId="07D2614B" w14:textId="47374B05" w:rsidR="00E27FA4" w:rsidRPr="005060E0" w:rsidRDefault="00E27FA4" w:rsidP="003B6CAB">
            <w:pPr>
              <w:spacing w:before="60" w:after="60" w:line="240" w:lineRule="auto"/>
              <w:rPr>
                <w:rFonts w:cs="Arial"/>
                <w:sz w:val="18"/>
                <w:szCs w:val="18"/>
              </w:rPr>
            </w:pPr>
            <w:r w:rsidRPr="005060E0">
              <w:rPr>
                <w:rFonts w:cs="Arial"/>
                <w:sz w:val="18"/>
                <w:szCs w:val="18"/>
              </w:rPr>
              <w:t>Net present value</w:t>
            </w:r>
          </w:p>
        </w:tc>
      </w:tr>
      <w:tr w:rsidR="003B6CAB" w:rsidRPr="005060E0" w14:paraId="5BF657D8" w14:textId="77777777" w:rsidTr="002A129B">
        <w:tc>
          <w:tcPr>
            <w:tcW w:w="1104" w:type="pct"/>
          </w:tcPr>
          <w:p w14:paraId="07EEF5F9" w14:textId="77777777" w:rsidR="003B6CAB" w:rsidRPr="005060E0" w:rsidRDefault="003B6CAB" w:rsidP="003B6CAB">
            <w:pPr>
              <w:spacing w:before="60" w:after="60" w:line="240" w:lineRule="auto"/>
              <w:rPr>
                <w:rFonts w:cs="Arial"/>
                <w:sz w:val="18"/>
                <w:szCs w:val="18"/>
              </w:rPr>
            </w:pPr>
            <w:r w:rsidRPr="005060E0">
              <w:rPr>
                <w:rFonts w:cs="Arial"/>
                <w:sz w:val="18"/>
                <w:szCs w:val="18"/>
              </w:rPr>
              <w:t>NSW</w:t>
            </w:r>
          </w:p>
        </w:tc>
        <w:tc>
          <w:tcPr>
            <w:tcW w:w="3896" w:type="pct"/>
          </w:tcPr>
          <w:p w14:paraId="755F16B0" w14:textId="77777777" w:rsidR="003B6CAB" w:rsidRPr="005060E0" w:rsidRDefault="003B6CAB" w:rsidP="003B6CAB">
            <w:pPr>
              <w:spacing w:before="60" w:after="60" w:line="240" w:lineRule="auto"/>
              <w:rPr>
                <w:rFonts w:cs="Arial"/>
                <w:sz w:val="18"/>
                <w:szCs w:val="18"/>
              </w:rPr>
            </w:pPr>
            <w:r w:rsidRPr="005060E0">
              <w:rPr>
                <w:rFonts w:cs="Arial"/>
                <w:sz w:val="18"/>
                <w:szCs w:val="18"/>
              </w:rPr>
              <w:t xml:space="preserve">New South Wales </w:t>
            </w:r>
          </w:p>
        </w:tc>
      </w:tr>
      <w:tr w:rsidR="003B6CAB" w:rsidRPr="005060E0" w14:paraId="3C714B29" w14:textId="77777777" w:rsidTr="002A129B">
        <w:tc>
          <w:tcPr>
            <w:tcW w:w="1104" w:type="pct"/>
          </w:tcPr>
          <w:p w14:paraId="1494E7B1" w14:textId="77777777" w:rsidR="003B6CAB" w:rsidRPr="005060E0" w:rsidRDefault="003B6CAB" w:rsidP="003B6CAB">
            <w:pPr>
              <w:spacing w:before="60" w:after="60" w:line="240" w:lineRule="auto"/>
              <w:rPr>
                <w:rFonts w:cs="Arial"/>
                <w:sz w:val="18"/>
                <w:szCs w:val="18"/>
              </w:rPr>
            </w:pPr>
            <w:r w:rsidRPr="005060E0">
              <w:rPr>
                <w:rFonts w:cs="Arial"/>
                <w:sz w:val="18"/>
                <w:szCs w:val="18"/>
              </w:rPr>
              <w:t>NSW EPA</w:t>
            </w:r>
          </w:p>
        </w:tc>
        <w:tc>
          <w:tcPr>
            <w:tcW w:w="3896" w:type="pct"/>
          </w:tcPr>
          <w:p w14:paraId="2F892C32" w14:textId="77777777" w:rsidR="003B6CAB" w:rsidRPr="005060E0" w:rsidRDefault="003B6CAB" w:rsidP="003B6CAB">
            <w:pPr>
              <w:spacing w:before="60" w:after="60" w:line="240" w:lineRule="auto"/>
              <w:rPr>
                <w:rFonts w:cs="Arial"/>
                <w:sz w:val="18"/>
                <w:szCs w:val="18"/>
              </w:rPr>
            </w:pPr>
            <w:r w:rsidRPr="005060E0">
              <w:rPr>
                <w:rFonts w:cs="Arial"/>
                <w:sz w:val="18"/>
                <w:szCs w:val="18"/>
              </w:rPr>
              <w:t>New South Wales Environment Protection Authority</w:t>
            </w:r>
          </w:p>
        </w:tc>
      </w:tr>
      <w:tr w:rsidR="003B6CAB" w:rsidRPr="005060E0" w14:paraId="51AAAFB1" w14:textId="77777777" w:rsidTr="002A129B">
        <w:tc>
          <w:tcPr>
            <w:tcW w:w="1104" w:type="pct"/>
          </w:tcPr>
          <w:p w14:paraId="615D4B4B" w14:textId="77777777" w:rsidR="003B6CAB" w:rsidRPr="005060E0" w:rsidRDefault="003B6CAB" w:rsidP="003B6CAB">
            <w:pPr>
              <w:spacing w:before="60" w:after="60" w:line="240" w:lineRule="auto"/>
              <w:rPr>
                <w:rFonts w:cs="Arial"/>
                <w:sz w:val="18"/>
                <w:szCs w:val="18"/>
              </w:rPr>
            </w:pPr>
            <w:r w:rsidRPr="005060E0">
              <w:rPr>
                <w:rFonts w:cs="Arial"/>
                <w:sz w:val="18"/>
                <w:szCs w:val="18"/>
              </w:rPr>
              <w:t>NT</w:t>
            </w:r>
          </w:p>
        </w:tc>
        <w:tc>
          <w:tcPr>
            <w:tcW w:w="3896" w:type="pct"/>
          </w:tcPr>
          <w:p w14:paraId="531E6F8F" w14:textId="77777777" w:rsidR="003B6CAB" w:rsidRPr="005060E0" w:rsidRDefault="003B6CAB" w:rsidP="003B6CAB">
            <w:pPr>
              <w:spacing w:before="60" w:after="60" w:line="240" w:lineRule="auto"/>
              <w:rPr>
                <w:rFonts w:cs="Arial"/>
                <w:sz w:val="18"/>
                <w:szCs w:val="18"/>
              </w:rPr>
            </w:pPr>
            <w:r w:rsidRPr="005060E0">
              <w:rPr>
                <w:rFonts w:cs="Arial"/>
                <w:sz w:val="18"/>
                <w:szCs w:val="18"/>
              </w:rPr>
              <w:t>Northern Territory</w:t>
            </w:r>
          </w:p>
        </w:tc>
      </w:tr>
      <w:tr w:rsidR="003B6CAB" w:rsidRPr="005060E0" w14:paraId="5C197A1E" w14:textId="77777777" w:rsidTr="002A129B">
        <w:tc>
          <w:tcPr>
            <w:tcW w:w="1104" w:type="pct"/>
          </w:tcPr>
          <w:p w14:paraId="1C2304FA" w14:textId="77777777" w:rsidR="003B6CAB" w:rsidRPr="005060E0" w:rsidRDefault="003B6CAB" w:rsidP="003B6CAB">
            <w:pPr>
              <w:spacing w:before="60" w:after="60" w:line="240" w:lineRule="auto"/>
              <w:rPr>
                <w:rFonts w:cs="Arial"/>
                <w:sz w:val="18"/>
                <w:szCs w:val="18"/>
              </w:rPr>
            </w:pPr>
            <w:r w:rsidRPr="005060E0">
              <w:rPr>
                <w:rFonts w:cs="Arial"/>
                <w:sz w:val="18"/>
                <w:szCs w:val="18"/>
              </w:rPr>
              <w:t>O</w:t>
            </w:r>
            <w:r w:rsidRPr="005060E0">
              <w:rPr>
                <w:rFonts w:cs="Arial"/>
                <w:sz w:val="18"/>
                <w:szCs w:val="18"/>
                <w:vertAlign w:val="subscript"/>
              </w:rPr>
              <w:t>3</w:t>
            </w:r>
          </w:p>
        </w:tc>
        <w:tc>
          <w:tcPr>
            <w:tcW w:w="3896" w:type="pct"/>
          </w:tcPr>
          <w:p w14:paraId="06829EF9" w14:textId="77777777" w:rsidR="003B6CAB" w:rsidRPr="005060E0" w:rsidRDefault="003B6CAB" w:rsidP="003B6CAB">
            <w:pPr>
              <w:spacing w:before="60" w:after="60" w:line="240" w:lineRule="auto"/>
              <w:rPr>
                <w:rFonts w:cs="Arial"/>
                <w:sz w:val="18"/>
                <w:szCs w:val="18"/>
              </w:rPr>
            </w:pPr>
            <w:r w:rsidRPr="005060E0">
              <w:rPr>
                <w:rFonts w:cs="Arial"/>
                <w:sz w:val="18"/>
                <w:szCs w:val="18"/>
              </w:rPr>
              <w:t>ozone</w:t>
            </w:r>
          </w:p>
        </w:tc>
      </w:tr>
      <w:tr w:rsidR="003B6CAB" w:rsidRPr="005060E0" w14:paraId="49CFB111" w14:textId="53DCA674" w:rsidTr="002A129B">
        <w:tc>
          <w:tcPr>
            <w:tcW w:w="1104" w:type="pct"/>
          </w:tcPr>
          <w:p w14:paraId="586EAB8F" w14:textId="23C5A2B4" w:rsidR="003B6CAB" w:rsidRPr="005060E0" w:rsidRDefault="003B6CAB" w:rsidP="003B6CAB">
            <w:pPr>
              <w:spacing w:before="60" w:after="60" w:line="240" w:lineRule="auto"/>
              <w:rPr>
                <w:rFonts w:cs="Arial"/>
                <w:sz w:val="18"/>
                <w:szCs w:val="18"/>
              </w:rPr>
            </w:pPr>
            <w:r w:rsidRPr="005060E0">
              <w:rPr>
                <w:rFonts w:cs="Arial"/>
                <w:sz w:val="18"/>
                <w:szCs w:val="18"/>
              </w:rPr>
              <w:t>OBVR</w:t>
            </w:r>
          </w:p>
        </w:tc>
        <w:tc>
          <w:tcPr>
            <w:tcW w:w="3896" w:type="pct"/>
          </w:tcPr>
          <w:p w14:paraId="28B884E9" w14:textId="38FCC349" w:rsidR="003B6CAB" w:rsidRPr="005060E0" w:rsidRDefault="003B6CAB" w:rsidP="003B6CAB">
            <w:pPr>
              <w:spacing w:before="60" w:after="60" w:line="240" w:lineRule="auto"/>
              <w:rPr>
                <w:rFonts w:cs="Arial"/>
                <w:sz w:val="18"/>
                <w:szCs w:val="18"/>
              </w:rPr>
            </w:pPr>
            <w:r w:rsidRPr="005060E0">
              <w:rPr>
                <w:rFonts w:cs="Arial"/>
                <w:sz w:val="18"/>
                <w:szCs w:val="18"/>
              </w:rPr>
              <w:t>on-board vapour recovery</w:t>
            </w:r>
          </w:p>
        </w:tc>
      </w:tr>
      <w:tr w:rsidR="003B6CAB" w:rsidRPr="005060E0" w14:paraId="270DB1F3" w14:textId="77777777" w:rsidTr="002A129B">
        <w:tc>
          <w:tcPr>
            <w:tcW w:w="1104" w:type="pct"/>
          </w:tcPr>
          <w:p w14:paraId="3FC8AB86" w14:textId="77777777" w:rsidR="003B6CAB" w:rsidRPr="005060E0" w:rsidRDefault="003B6CAB" w:rsidP="003B6CAB">
            <w:pPr>
              <w:spacing w:before="60" w:after="60" w:line="240" w:lineRule="auto"/>
              <w:rPr>
                <w:rFonts w:cs="Arial"/>
                <w:sz w:val="18"/>
                <w:szCs w:val="18"/>
              </w:rPr>
            </w:pPr>
            <w:r w:rsidRPr="005060E0">
              <w:rPr>
                <w:rFonts w:cs="Arial"/>
                <w:sz w:val="18"/>
                <w:szCs w:val="18"/>
              </w:rPr>
              <w:t>Pb</w:t>
            </w:r>
          </w:p>
        </w:tc>
        <w:tc>
          <w:tcPr>
            <w:tcW w:w="3896" w:type="pct"/>
          </w:tcPr>
          <w:p w14:paraId="1068FF10" w14:textId="77777777" w:rsidR="003B6CAB" w:rsidRPr="005060E0" w:rsidRDefault="003B6CAB" w:rsidP="003B6CAB">
            <w:pPr>
              <w:spacing w:before="60" w:after="60" w:line="240" w:lineRule="auto"/>
              <w:rPr>
                <w:rFonts w:cs="Arial"/>
                <w:sz w:val="18"/>
                <w:szCs w:val="18"/>
              </w:rPr>
            </w:pPr>
            <w:r w:rsidRPr="005060E0">
              <w:rPr>
                <w:rFonts w:cs="Arial"/>
                <w:sz w:val="18"/>
                <w:szCs w:val="18"/>
              </w:rPr>
              <w:t>lead</w:t>
            </w:r>
          </w:p>
        </w:tc>
      </w:tr>
      <w:tr w:rsidR="003B6CAB" w:rsidRPr="005060E0" w14:paraId="36667D11" w14:textId="77777777" w:rsidTr="002A129B">
        <w:tc>
          <w:tcPr>
            <w:tcW w:w="1104" w:type="pct"/>
          </w:tcPr>
          <w:p w14:paraId="53708667" w14:textId="77777777" w:rsidR="003B6CAB" w:rsidRPr="005060E0" w:rsidRDefault="003B6CAB" w:rsidP="003B6CAB">
            <w:pPr>
              <w:spacing w:before="60" w:after="60" w:line="240" w:lineRule="auto"/>
              <w:rPr>
                <w:rFonts w:cs="Arial"/>
                <w:sz w:val="18"/>
                <w:szCs w:val="18"/>
              </w:rPr>
            </w:pPr>
            <w:r w:rsidRPr="005060E0">
              <w:rPr>
                <w:rFonts w:cs="Arial"/>
                <w:sz w:val="18"/>
                <w:szCs w:val="18"/>
              </w:rPr>
              <w:t>PM</w:t>
            </w:r>
          </w:p>
        </w:tc>
        <w:tc>
          <w:tcPr>
            <w:tcW w:w="3896" w:type="pct"/>
          </w:tcPr>
          <w:p w14:paraId="1EE0F011" w14:textId="77777777" w:rsidR="003B6CAB" w:rsidRPr="005060E0" w:rsidRDefault="003B6CAB" w:rsidP="003B6CAB">
            <w:pPr>
              <w:spacing w:before="60" w:after="60" w:line="240" w:lineRule="auto"/>
              <w:rPr>
                <w:rFonts w:cs="Arial"/>
                <w:sz w:val="18"/>
                <w:szCs w:val="18"/>
              </w:rPr>
            </w:pPr>
            <w:r w:rsidRPr="005060E0">
              <w:rPr>
                <w:rFonts w:cs="Arial"/>
                <w:sz w:val="18"/>
                <w:szCs w:val="18"/>
              </w:rPr>
              <w:t>particulate matter</w:t>
            </w:r>
          </w:p>
        </w:tc>
      </w:tr>
      <w:tr w:rsidR="003B6CAB" w:rsidRPr="005060E0" w14:paraId="1668F629" w14:textId="77777777" w:rsidTr="002A129B">
        <w:tc>
          <w:tcPr>
            <w:tcW w:w="1104" w:type="pct"/>
          </w:tcPr>
          <w:p w14:paraId="14D8B432" w14:textId="77777777" w:rsidR="003B6CAB" w:rsidRPr="005060E0" w:rsidRDefault="003B6CAB" w:rsidP="003B6CAB">
            <w:pPr>
              <w:spacing w:before="60" w:after="60" w:line="240" w:lineRule="auto"/>
              <w:rPr>
                <w:rFonts w:cs="Arial"/>
                <w:sz w:val="18"/>
                <w:szCs w:val="18"/>
              </w:rPr>
            </w:pPr>
            <w:r w:rsidRPr="005060E0">
              <w:rPr>
                <w:rFonts w:cs="Arial"/>
                <w:sz w:val="18"/>
                <w:szCs w:val="18"/>
              </w:rPr>
              <w:t>ppb</w:t>
            </w:r>
          </w:p>
        </w:tc>
        <w:tc>
          <w:tcPr>
            <w:tcW w:w="3896" w:type="pct"/>
          </w:tcPr>
          <w:p w14:paraId="58858C6C" w14:textId="77777777" w:rsidR="003B6CAB" w:rsidRPr="005060E0" w:rsidRDefault="003B6CAB" w:rsidP="003B6CAB">
            <w:pPr>
              <w:spacing w:before="60" w:after="60" w:line="240" w:lineRule="auto"/>
              <w:rPr>
                <w:rFonts w:cs="Arial"/>
                <w:sz w:val="18"/>
                <w:szCs w:val="18"/>
              </w:rPr>
            </w:pPr>
            <w:r w:rsidRPr="005060E0">
              <w:rPr>
                <w:rFonts w:cs="Arial"/>
                <w:sz w:val="18"/>
                <w:szCs w:val="18"/>
              </w:rPr>
              <w:t>parts per billion</w:t>
            </w:r>
          </w:p>
        </w:tc>
      </w:tr>
      <w:tr w:rsidR="003B6CAB" w:rsidRPr="005060E0" w14:paraId="5BD0FB33" w14:textId="77777777" w:rsidTr="002A129B">
        <w:tc>
          <w:tcPr>
            <w:tcW w:w="1104" w:type="pct"/>
          </w:tcPr>
          <w:p w14:paraId="53B83E16" w14:textId="77777777" w:rsidR="003B6CAB" w:rsidRPr="005060E0" w:rsidRDefault="003B6CAB" w:rsidP="003B6CAB">
            <w:pPr>
              <w:spacing w:before="60" w:after="60" w:line="240" w:lineRule="auto"/>
              <w:rPr>
                <w:rFonts w:cs="Arial"/>
                <w:sz w:val="18"/>
                <w:szCs w:val="18"/>
              </w:rPr>
            </w:pPr>
            <w:r w:rsidRPr="005060E0">
              <w:rPr>
                <w:rFonts w:cs="Arial"/>
                <w:sz w:val="18"/>
                <w:szCs w:val="18"/>
              </w:rPr>
              <w:t>ppm</w:t>
            </w:r>
          </w:p>
        </w:tc>
        <w:tc>
          <w:tcPr>
            <w:tcW w:w="3896" w:type="pct"/>
          </w:tcPr>
          <w:p w14:paraId="5E32BEDD" w14:textId="77777777" w:rsidR="003B6CAB" w:rsidRPr="005060E0" w:rsidRDefault="003B6CAB" w:rsidP="003B6CAB">
            <w:pPr>
              <w:spacing w:before="60" w:after="60" w:line="240" w:lineRule="auto"/>
              <w:rPr>
                <w:rFonts w:cs="Arial"/>
                <w:sz w:val="18"/>
                <w:szCs w:val="18"/>
              </w:rPr>
            </w:pPr>
            <w:r w:rsidRPr="005060E0">
              <w:rPr>
                <w:rFonts w:cs="Arial"/>
                <w:sz w:val="18"/>
                <w:szCs w:val="18"/>
              </w:rPr>
              <w:t>parts per million</w:t>
            </w:r>
          </w:p>
        </w:tc>
      </w:tr>
      <w:tr w:rsidR="003B6CAB" w:rsidRPr="005060E0" w14:paraId="3EC533D4" w14:textId="77777777" w:rsidTr="002A129B">
        <w:tc>
          <w:tcPr>
            <w:tcW w:w="1104" w:type="pct"/>
          </w:tcPr>
          <w:p w14:paraId="7DB7972B" w14:textId="77777777" w:rsidR="003B6CAB" w:rsidRPr="005060E0" w:rsidRDefault="003B6CAB" w:rsidP="003B6CAB">
            <w:pPr>
              <w:spacing w:before="60" w:after="60" w:line="240" w:lineRule="auto"/>
              <w:rPr>
                <w:rFonts w:cs="Arial"/>
                <w:sz w:val="18"/>
                <w:szCs w:val="18"/>
              </w:rPr>
            </w:pPr>
            <w:r w:rsidRPr="005060E0">
              <w:rPr>
                <w:rFonts w:cs="Arial"/>
                <w:sz w:val="18"/>
                <w:szCs w:val="18"/>
              </w:rPr>
              <w:t>Qld</w:t>
            </w:r>
          </w:p>
        </w:tc>
        <w:tc>
          <w:tcPr>
            <w:tcW w:w="3896" w:type="pct"/>
          </w:tcPr>
          <w:p w14:paraId="072F5B10" w14:textId="77777777" w:rsidR="003B6CAB" w:rsidRPr="005060E0" w:rsidRDefault="003B6CAB" w:rsidP="003B6CAB">
            <w:pPr>
              <w:spacing w:before="60" w:after="60" w:line="240" w:lineRule="auto"/>
              <w:rPr>
                <w:rFonts w:cs="Arial"/>
                <w:sz w:val="18"/>
                <w:szCs w:val="18"/>
              </w:rPr>
            </w:pPr>
            <w:r w:rsidRPr="005060E0">
              <w:rPr>
                <w:rFonts w:cs="Arial"/>
                <w:sz w:val="18"/>
                <w:szCs w:val="18"/>
              </w:rPr>
              <w:t>Queensland</w:t>
            </w:r>
          </w:p>
        </w:tc>
      </w:tr>
      <w:tr w:rsidR="003B6CAB" w:rsidRPr="005060E0" w14:paraId="517F3BDB" w14:textId="77777777" w:rsidTr="002A129B">
        <w:tc>
          <w:tcPr>
            <w:tcW w:w="1104" w:type="pct"/>
          </w:tcPr>
          <w:p w14:paraId="7DF957B5" w14:textId="77777777" w:rsidR="003B6CAB" w:rsidRPr="005060E0" w:rsidRDefault="003B6CAB" w:rsidP="003B6CAB">
            <w:pPr>
              <w:spacing w:before="60" w:after="60" w:line="240" w:lineRule="auto"/>
              <w:rPr>
                <w:rFonts w:cs="Arial"/>
                <w:sz w:val="18"/>
                <w:szCs w:val="18"/>
              </w:rPr>
            </w:pPr>
            <w:r w:rsidRPr="005060E0">
              <w:rPr>
                <w:rFonts w:cs="Arial"/>
                <w:sz w:val="18"/>
                <w:szCs w:val="18"/>
              </w:rPr>
              <w:t>SA</w:t>
            </w:r>
          </w:p>
        </w:tc>
        <w:tc>
          <w:tcPr>
            <w:tcW w:w="3896" w:type="pct"/>
          </w:tcPr>
          <w:p w14:paraId="61A6A7C6" w14:textId="77777777" w:rsidR="003B6CAB" w:rsidRPr="005060E0" w:rsidRDefault="003B6CAB" w:rsidP="003B6CAB">
            <w:pPr>
              <w:spacing w:before="60" w:after="60" w:line="240" w:lineRule="auto"/>
              <w:rPr>
                <w:rFonts w:cs="Arial"/>
                <w:sz w:val="18"/>
                <w:szCs w:val="18"/>
              </w:rPr>
            </w:pPr>
            <w:r w:rsidRPr="005060E0">
              <w:rPr>
                <w:rFonts w:cs="Arial"/>
                <w:sz w:val="18"/>
                <w:szCs w:val="18"/>
              </w:rPr>
              <w:t>South Australia</w:t>
            </w:r>
          </w:p>
        </w:tc>
      </w:tr>
      <w:tr w:rsidR="003B6CAB" w:rsidRPr="005060E0" w14:paraId="22407576" w14:textId="77777777" w:rsidTr="002A129B">
        <w:tc>
          <w:tcPr>
            <w:tcW w:w="1104" w:type="pct"/>
          </w:tcPr>
          <w:p w14:paraId="1928341A" w14:textId="77777777" w:rsidR="003B6CAB" w:rsidRPr="005060E0" w:rsidRDefault="003B6CAB" w:rsidP="003B6CAB">
            <w:pPr>
              <w:spacing w:before="60" w:after="60" w:line="240" w:lineRule="auto"/>
              <w:rPr>
                <w:rFonts w:cs="Arial"/>
                <w:sz w:val="18"/>
                <w:szCs w:val="18"/>
              </w:rPr>
            </w:pPr>
            <w:r w:rsidRPr="005060E0">
              <w:rPr>
                <w:rFonts w:cs="Arial"/>
                <w:sz w:val="18"/>
                <w:szCs w:val="18"/>
              </w:rPr>
              <w:t>SO</w:t>
            </w:r>
            <w:r w:rsidRPr="005060E0">
              <w:rPr>
                <w:rFonts w:cs="Arial"/>
                <w:sz w:val="18"/>
                <w:szCs w:val="18"/>
                <w:vertAlign w:val="subscript"/>
              </w:rPr>
              <w:t>2</w:t>
            </w:r>
          </w:p>
        </w:tc>
        <w:tc>
          <w:tcPr>
            <w:tcW w:w="3896" w:type="pct"/>
          </w:tcPr>
          <w:p w14:paraId="3663805E" w14:textId="77777777" w:rsidR="003B6CAB" w:rsidRPr="005060E0" w:rsidRDefault="003B6CAB" w:rsidP="003B6CAB">
            <w:pPr>
              <w:spacing w:before="60" w:after="60" w:line="240" w:lineRule="auto"/>
              <w:rPr>
                <w:rFonts w:cs="Arial"/>
                <w:sz w:val="18"/>
                <w:szCs w:val="18"/>
              </w:rPr>
            </w:pPr>
            <w:r w:rsidRPr="005060E0">
              <w:rPr>
                <w:rFonts w:cs="Arial"/>
                <w:sz w:val="18"/>
                <w:szCs w:val="18"/>
              </w:rPr>
              <w:t>sulfur dioxide</w:t>
            </w:r>
          </w:p>
        </w:tc>
      </w:tr>
      <w:tr w:rsidR="003B6CAB" w:rsidRPr="005060E0" w14:paraId="7336F257" w14:textId="77777777" w:rsidTr="002A129B">
        <w:tc>
          <w:tcPr>
            <w:tcW w:w="1104" w:type="pct"/>
          </w:tcPr>
          <w:p w14:paraId="1DE6E525" w14:textId="77777777" w:rsidR="003B6CAB" w:rsidRPr="005060E0" w:rsidRDefault="003B6CAB" w:rsidP="003B6CAB">
            <w:pPr>
              <w:spacing w:before="60" w:after="60" w:line="240" w:lineRule="auto"/>
              <w:rPr>
                <w:rFonts w:cs="Arial"/>
                <w:sz w:val="18"/>
                <w:szCs w:val="18"/>
              </w:rPr>
            </w:pPr>
            <w:r w:rsidRPr="005060E0">
              <w:rPr>
                <w:rFonts w:cs="Arial"/>
                <w:sz w:val="18"/>
                <w:szCs w:val="18"/>
              </w:rPr>
              <w:t>SO</w:t>
            </w:r>
            <w:r w:rsidRPr="005060E0">
              <w:rPr>
                <w:rFonts w:cs="Arial"/>
                <w:sz w:val="18"/>
                <w:szCs w:val="18"/>
                <w:vertAlign w:val="subscript"/>
              </w:rPr>
              <w:t>X</w:t>
            </w:r>
          </w:p>
        </w:tc>
        <w:tc>
          <w:tcPr>
            <w:tcW w:w="3896" w:type="pct"/>
          </w:tcPr>
          <w:p w14:paraId="3DF1758A" w14:textId="77777777" w:rsidR="003B6CAB" w:rsidRPr="005060E0" w:rsidRDefault="003B6CAB" w:rsidP="003B6CAB">
            <w:pPr>
              <w:spacing w:before="60" w:after="60" w:line="240" w:lineRule="auto"/>
              <w:rPr>
                <w:rFonts w:cs="Arial"/>
                <w:sz w:val="18"/>
                <w:szCs w:val="18"/>
              </w:rPr>
            </w:pPr>
            <w:r w:rsidRPr="005060E0">
              <w:rPr>
                <w:rFonts w:cs="Arial"/>
                <w:sz w:val="18"/>
                <w:szCs w:val="18"/>
              </w:rPr>
              <w:t>sulfur oxides</w:t>
            </w:r>
          </w:p>
        </w:tc>
      </w:tr>
      <w:tr w:rsidR="003B6CAB" w:rsidRPr="005060E0" w14:paraId="4277533A" w14:textId="77777777" w:rsidTr="002A129B">
        <w:tc>
          <w:tcPr>
            <w:tcW w:w="1104" w:type="pct"/>
          </w:tcPr>
          <w:p w14:paraId="1DFBF130" w14:textId="77777777" w:rsidR="003B6CAB" w:rsidRPr="005060E0" w:rsidRDefault="003B6CAB" w:rsidP="003B6CAB">
            <w:pPr>
              <w:spacing w:before="60" w:after="60" w:line="240" w:lineRule="auto"/>
              <w:rPr>
                <w:rFonts w:cs="Arial"/>
                <w:sz w:val="18"/>
                <w:szCs w:val="18"/>
              </w:rPr>
            </w:pPr>
            <w:r w:rsidRPr="005060E0">
              <w:rPr>
                <w:rFonts w:cs="Arial"/>
                <w:sz w:val="18"/>
                <w:szCs w:val="18"/>
              </w:rPr>
              <w:t>TAPM</w:t>
            </w:r>
          </w:p>
        </w:tc>
        <w:tc>
          <w:tcPr>
            <w:tcW w:w="3896" w:type="pct"/>
          </w:tcPr>
          <w:p w14:paraId="65608265" w14:textId="77777777" w:rsidR="003B6CAB" w:rsidRPr="005060E0" w:rsidRDefault="003B6CAB" w:rsidP="003B6CAB">
            <w:pPr>
              <w:spacing w:before="60" w:after="60" w:line="240" w:lineRule="auto"/>
              <w:rPr>
                <w:rFonts w:cs="Arial"/>
                <w:sz w:val="18"/>
                <w:szCs w:val="18"/>
              </w:rPr>
            </w:pPr>
            <w:r w:rsidRPr="005060E0">
              <w:rPr>
                <w:rFonts w:cs="Arial"/>
                <w:sz w:val="18"/>
                <w:szCs w:val="18"/>
              </w:rPr>
              <w:t>The Air Pollution Model</w:t>
            </w:r>
          </w:p>
        </w:tc>
      </w:tr>
      <w:tr w:rsidR="003B6CAB" w:rsidRPr="005060E0" w14:paraId="065F89EB" w14:textId="77777777" w:rsidTr="002A129B">
        <w:tc>
          <w:tcPr>
            <w:tcW w:w="1104" w:type="pct"/>
          </w:tcPr>
          <w:p w14:paraId="76C0BF8B" w14:textId="77777777" w:rsidR="003B6CAB" w:rsidRPr="005060E0" w:rsidRDefault="003B6CAB" w:rsidP="003B6CAB">
            <w:pPr>
              <w:spacing w:before="60" w:after="60" w:line="240" w:lineRule="auto"/>
              <w:rPr>
                <w:rFonts w:cs="Arial"/>
                <w:sz w:val="18"/>
                <w:szCs w:val="18"/>
              </w:rPr>
            </w:pPr>
            <w:r w:rsidRPr="005060E0">
              <w:rPr>
                <w:rFonts w:cs="Arial"/>
                <w:sz w:val="18"/>
                <w:szCs w:val="18"/>
              </w:rPr>
              <w:t>TAPM-CTM</w:t>
            </w:r>
          </w:p>
        </w:tc>
        <w:tc>
          <w:tcPr>
            <w:tcW w:w="3896" w:type="pct"/>
          </w:tcPr>
          <w:p w14:paraId="5B8131C7" w14:textId="22FE179E" w:rsidR="003B6CAB" w:rsidRPr="005060E0" w:rsidRDefault="003B6CAB" w:rsidP="003B6CAB">
            <w:pPr>
              <w:spacing w:before="60" w:after="60" w:line="240" w:lineRule="auto"/>
              <w:rPr>
                <w:rFonts w:cs="Arial"/>
                <w:sz w:val="18"/>
                <w:szCs w:val="18"/>
              </w:rPr>
            </w:pPr>
            <w:r w:rsidRPr="005060E0">
              <w:rPr>
                <w:rFonts w:cs="Arial"/>
                <w:sz w:val="18"/>
                <w:szCs w:val="18"/>
              </w:rPr>
              <w:t>The Air Pollution Model - Chemical Transport Model</w:t>
            </w:r>
          </w:p>
        </w:tc>
      </w:tr>
      <w:tr w:rsidR="003B6CAB" w:rsidRPr="005060E0" w14:paraId="5E7956AF" w14:textId="77777777" w:rsidTr="002A129B">
        <w:tc>
          <w:tcPr>
            <w:tcW w:w="1104" w:type="pct"/>
          </w:tcPr>
          <w:p w14:paraId="1A3AC20F" w14:textId="77777777" w:rsidR="003B6CAB" w:rsidRPr="005060E0" w:rsidRDefault="003B6CAB" w:rsidP="003B6CAB">
            <w:pPr>
              <w:spacing w:before="60" w:after="60" w:line="240" w:lineRule="auto"/>
              <w:rPr>
                <w:rFonts w:cs="Arial"/>
                <w:sz w:val="18"/>
                <w:szCs w:val="18"/>
              </w:rPr>
            </w:pPr>
            <w:r w:rsidRPr="005060E0">
              <w:rPr>
                <w:rFonts w:cs="Arial"/>
                <w:sz w:val="18"/>
                <w:szCs w:val="18"/>
              </w:rPr>
              <w:t>TAS</w:t>
            </w:r>
          </w:p>
        </w:tc>
        <w:tc>
          <w:tcPr>
            <w:tcW w:w="3896" w:type="pct"/>
          </w:tcPr>
          <w:p w14:paraId="5B336A14" w14:textId="77777777" w:rsidR="003B6CAB" w:rsidRPr="005060E0" w:rsidRDefault="003B6CAB" w:rsidP="003B6CAB">
            <w:pPr>
              <w:spacing w:before="60" w:after="60" w:line="240" w:lineRule="auto"/>
              <w:rPr>
                <w:rFonts w:cs="Arial"/>
                <w:sz w:val="18"/>
                <w:szCs w:val="18"/>
              </w:rPr>
            </w:pPr>
            <w:r w:rsidRPr="005060E0">
              <w:rPr>
                <w:rFonts w:cs="Arial"/>
                <w:sz w:val="18"/>
                <w:szCs w:val="18"/>
              </w:rPr>
              <w:t>Tasmania</w:t>
            </w:r>
          </w:p>
        </w:tc>
      </w:tr>
      <w:tr w:rsidR="003B6CAB" w:rsidRPr="005060E0" w14:paraId="16639F51" w14:textId="77777777" w:rsidTr="002A129B">
        <w:tc>
          <w:tcPr>
            <w:tcW w:w="1104" w:type="pct"/>
          </w:tcPr>
          <w:p w14:paraId="6FFF541C" w14:textId="77777777" w:rsidR="003B6CAB" w:rsidRPr="005060E0" w:rsidRDefault="003B6CAB" w:rsidP="003B6CAB">
            <w:pPr>
              <w:spacing w:before="60" w:after="60" w:line="240" w:lineRule="auto"/>
              <w:rPr>
                <w:rFonts w:cs="Arial"/>
                <w:sz w:val="18"/>
                <w:szCs w:val="18"/>
              </w:rPr>
            </w:pPr>
            <w:r w:rsidRPr="005060E0">
              <w:rPr>
                <w:rFonts w:cs="Arial"/>
                <w:sz w:val="18"/>
                <w:szCs w:val="18"/>
              </w:rPr>
              <w:t>USEPA</w:t>
            </w:r>
          </w:p>
        </w:tc>
        <w:tc>
          <w:tcPr>
            <w:tcW w:w="3896" w:type="pct"/>
          </w:tcPr>
          <w:p w14:paraId="314A9C86" w14:textId="77777777" w:rsidR="003B6CAB" w:rsidRPr="005060E0" w:rsidRDefault="003B6CAB" w:rsidP="003B6CAB">
            <w:pPr>
              <w:spacing w:before="60" w:after="60" w:line="240" w:lineRule="auto"/>
              <w:rPr>
                <w:rFonts w:cs="Arial"/>
                <w:sz w:val="18"/>
                <w:szCs w:val="18"/>
              </w:rPr>
            </w:pPr>
            <w:r w:rsidRPr="005060E0">
              <w:rPr>
                <w:rFonts w:cs="Arial"/>
                <w:sz w:val="18"/>
                <w:szCs w:val="18"/>
              </w:rPr>
              <w:t>United States Environmental Protection Agency</w:t>
            </w:r>
          </w:p>
        </w:tc>
      </w:tr>
      <w:tr w:rsidR="003B6CAB" w:rsidRPr="005060E0" w14:paraId="018A352E" w14:textId="77777777" w:rsidTr="002A129B">
        <w:tc>
          <w:tcPr>
            <w:tcW w:w="1104" w:type="pct"/>
          </w:tcPr>
          <w:p w14:paraId="06E3A9B7" w14:textId="77777777" w:rsidR="003B6CAB" w:rsidRPr="005060E0" w:rsidRDefault="003B6CAB" w:rsidP="003B6CAB">
            <w:pPr>
              <w:spacing w:before="60" w:after="60" w:line="240" w:lineRule="auto"/>
              <w:rPr>
                <w:rFonts w:cs="Arial"/>
                <w:sz w:val="18"/>
                <w:szCs w:val="18"/>
              </w:rPr>
            </w:pPr>
            <w:r w:rsidRPr="005060E0">
              <w:rPr>
                <w:rFonts w:cs="Arial"/>
                <w:sz w:val="18"/>
                <w:szCs w:val="18"/>
              </w:rPr>
              <w:t>VIC</w:t>
            </w:r>
          </w:p>
        </w:tc>
        <w:tc>
          <w:tcPr>
            <w:tcW w:w="3896" w:type="pct"/>
          </w:tcPr>
          <w:p w14:paraId="66F2894D" w14:textId="77777777" w:rsidR="003B6CAB" w:rsidRPr="005060E0" w:rsidRDefault="003B6CAB" w:rsidP="003B6CAB">
            <w:pPr>
              <w:spacing w:before="60" w:after="60" w:line="240" w:lineRule="auto"/>
              <w:rPr>
                <w:rFonts w:cs="Arial"/>
                <w:sz w:val="18"/>
                <w:szCs w:val="18"/>
              </w:rPr>
            </w:pPr>
            <w:r w:rsidRPr="005060E0">
              <w:rPr>
                <w:rFonts w:cs="Arial"/>
                <w:sz w:val="18"/>
                <w:szCs w:val="18"/>
              </w:rPr>
              <w:t>Victoria</w:t>
            </w:r>
          </w:p>
        </w:tc>
      </w:tr>
      <w:tr w:rsidR="003B6CAB" w:rsidRPr="005060E0" w14:paraId="5162449F" w14:textId="77777777" w:rsidTr="002A129B">
        <w:tc>
          <w:tcPr>
            <w:tcW w:w="1104" w:type="pct"/>
          </w:tcPr>
          <w:p w14:paraId="2E26CFE6" w14:textId="77777777" w:rsidR="003B6CAB" w:rsidRPr="005060E0" w:rsidRDefault="003B6CAB" w:rsidP="003B6CAB">
            <w:pPr>
              <w:spacing w:before="60" w:after="60" w:line="240" w:lineRule="auto"/>
              <w:rPr>
                <w:rFonts w:cs="Arial"/>
                <w:sz w:val="18"/>
                <w:szCs w:val="18"/>
              </w:rPr>
            </w:pPr>
            <w:r w:rsidRPr="005060E0">
              <w:rPr>
                <w:rFonts w:cs="Arial"/>
                <w:sz w:val="18"/>
                <w:szCs w:val="18"/>
              </w:rPr>
              <w:t>VOC</w:t>
            </w:r>
          </w:p>
        </w:tc>
        <w:tc>
          <w:tcPr>
            <w:tcW w:w="3896" w:type="pct"/>
          </w:tcPr>
          <w:p w14:paraId="22026826" w14:textId="77777777" w:rsidR="003B6CAB" w:rsidRPr="005060E0" w:rsidRDefault="003B6CAB" w:rsidP="003B6CAB">
            <w:pPr>
              <w:spacing w:before="60" w:after="60" w:line="240" w:lineRule="auto"/>
              <w:rPr>
                <w:rFonts w:cs="Arial"/>
                <w:sz w:val="18"/>
                <w:szCs w:val="18"/>
              </w:rPr>
            </w:pPr>
            <w:r w:rsidRPr="005060E0">
              <w:rPr>
                <w:rFonts w:cs="Arial"/>
                <w:sz w:val="18"/>
                <w:szCs w:val="18"/>
              </w:rPr>
              <w:t>volatile organic compound</w:t>
            </w:r>
          </w:p>
        </w:tc>
      </w:tr>
      <w:tr w:rsidR="003B6CAB" w:rsidRPr="005060E0" w14:paraId="162A853C" w14:textId="77777777" w:rsidTr="002A129B">
        <w:tc>
          <w:tcPr>
            <w:tcW w:w="1104" w:type="pct"/>
          </w:tcPr>
          <w:p w14:paraId="41EF5C8B" w14:textId="77777777" w:rsidR="003B6CAB" w:rsidRPr="005060E0" w:rsidRDefault="003B6CAB" w:rsidP="003B6CAB">
            <w:pPr>
              <w:spacing w:before="60" w:after="60" w:line="240" w:lineRule="auto"/>
              <w:rPr>
                <w:rFonts w:cs="Arial"/>
                <w:sz w:val="18"/>
                <w:szCs w:val="18"/>
              </w:rPr>
            </w:pPr>
            <w:r w:rsidRPr="005060E0">
              <w:rPr>
                <w:rFonts w:cs="Arial"/>
                <w:sz w:val="18"/>
                <w:szCs w:val="18"/>
              </w:rPr>
              <w:t>WA</w:t>
            </w:r>
          </w:p>
        </w:tc>
        <w:tc>
          <w:tcPr>
            <w:tcW w:w="3896" w:type="pct"/>
          </w:tcPr>
          <w:p w14:paraId="16BE1B50" w14:textId="77777777" w:rsidR="003B6CAB" w:rsidRPr="005060E0" w:rsidRDefault="003B6CAB" w:rsidP="003B6CAB">
            <w:pPr>
              <w:spacing w:before="60" w:after="60" w:line="240" w:lineRule="auto"/>
              <w:rPr>
                <w:rFonts w:cs="Arial"/>
                <w:sz w:val="18"/>
                <w:szCs w:val="18"/>
              </w:rPr>
            </w:pPr>
            <w:r w:rsidRPr="005060E0">
              <w:rPr>
                <w:rFonts w:cs="Arial"/>
                <w:sz w:val="18"/>
                <w:szCs w:val="18"/>
              </w:rPr>
              <w:t>Western Australia</w:t>
            </w:r>
          </w:p>
        </w:tc>
      </w:tr>
      <w:tr w:rsidR="003B6CAB" w:rsidRPr="005060E0" w14:paraId="0A0B58C9" w14:textId="77777777" w:rsidTr="002A129B">
        <w:tc>
          <w:tcPr>
            <w:tcW w:w="1104" w:type="pct"/>
          </w:tcPr>
          <w:p w14:paraId="784618F9" w14:textId="77777777" w:rsidR="003B6CAB" w:rsidRPr="005060E0" w:rsidRDefault="003B6CAB" w:rsidP="003B6CAB">
            <w:pPr>
              <w:spacing w:before="60" w:after="60" w:line="240" w:lineRule="auto"/>
              <w:rPr>
                <w:rFonts w:cs="Arial"/>
                <w:sz w:val="18"/>
                <w:szCs w:val="18"/>
              </w:rPr>
            </w:pPr>
            <w:r w:rsidRPr="005060E0">
              <w:rPr>
                <w:rFonts w:cs="Arial"/>
                <w:sz w:val="18"/>
                <w:szCs w:val="18"/>
              </w:rPr>
              <w:t>WHO</w:t>
            </w:r>
          </w:p>
        </w:tc>
        <w:tc>
          <w:tcPr>
            <w:tcW w:w="3896" w:type="pct"/>
          </w:tcPr>
          <w:p w14:paraId="343901EB" w14:textId="77777777" w:rsidR="003B6CAB" w:rsidRPr="005060E0" w:rsidRDefault="003B6CAB" w:rsidP="003B6CAB">
            <w:pPr>
              <w:spacing w:before="60" w:after="60" w:line="240" w:lineRule="auto"/>
              <w:rPr>
                <w:rFonts w:cs="Arial"/>
                <w:sz w:val="18"/>
                <w:szCs w:val="18"/>
              </w:rPr>
            </w:pPr>
            <w:r w:rsidRPr="005060E0">
              <w:rPr>
                <w:rFonts w:cs="Arial"/>
                <w:sz w:val="18"/>
                <w:szCs w:val="18"/>
              </w:rPr>
              <w:t>World Health Organization</w:t>
            </w:r>
          </w:p>
        </w:tc>
      </w:tr>
      <w:tr w:rsidR="003B6CAB" w:rsidRPr="005060E0" w14:paraId="25C0F8BE" w14:textId="77777777" w:rsidTr="002A129B">
        <w:tc>
          <w:tcPr>
            <w:tcW w:w="1104" w:type="pct"/>
          </w:tcPr>
          <w:p w14:paraId="7059C446" w14:textId="77777777" w:rsidR="003B6CAB" w:rsidRPr="005060E0" w:rsidRDefault="003B6CAB" w:rsidP="003B6CAB">
            <w:pPr>
              <w:spacing w:before="60" w:after="60" w:line="240" w:lineRule="auto"/>
              <w:rPr>
                <w:rFonts w:cs="Arial"/>
                <w:sz w:val="18"/>
                <w:szCs w:val="18"/>
              </w:rPr>
            </w:pPr>
            <w:r w:rsidRPr="005060E0">
              <w:rPr>
                <w:rFonts w:cs="Arial"/>
                <w:sz w:val="18"/>
                <w:szCs w:val="18"/>
              </w:rPr>
              <w:t>μg</w:t>
            </w:r>
          </w:p>
        </w:tc>
        <w:tc>
          <w:tcPr>
            <w:tcW w:w="3896" w:type="pct"/>
          </w:tcPr>
          <w:p w14:paraId="3ECBA68B" w14:textId="77777777" w:rsidR="003B6CAB" w:rsidRPr="005060E0" w:rsidRDefault="003B6CAB" w:rsidP="003B6CAB">
            <w:pPr>
              <w:spacing w:before="60" w:after="60" w:line="240" w:lineRule="auto"/>
              <w:rPr>
                <w:rFonts w:cs="Arial"/>
                <w:sz w:val="18"/>
                <w:szCs w:val="18"/>
              </w:rPr>
            </w:pPr>
            <w:r w:rsidRPr="005060E0">
              <w:rPr>
                <w:rFonts w:cs="Arial"/>
                <w:sz w:val="18"/>
                <w:szCs w:val="18"/>
              </w:rPr>
              <w:t>microgram</w:t>
            </w:r>
          </w:p>
        </w:tc>
      </w:tr>
      <w:tr w:rsidR="003B6CAB" w:rsidRPr="005060E0" w14:paraId="3CA84F9F" w14:textId="77777777" w:rsidTr="002A129B">
        <w:tc>
          <w:tcPr>
            <w:tcW w:w="1104" w:type="pct"/>
          </w:tcPr>
          <w:p w14:paraId="7713471E" w14:textId="77777777" w:rsidR="003B6CAB" w:rsidRPr="005060E0" w:rsidRDefault="003B6CAB" w:rsidP="003B6CAB">
            <w:pPr>
              <w:spacing w:before="60" w:after="60" w:line="240" w:lineRule="auto"/>
              <w:rPr>
                <w:rFonts w:cs="Arial"/>
                <w:sz w:val="18"/>
                <w:szCs w:val="18"/>
              </w:rPr>
            </w:pPr>
            <w:r w:rsidRPr="005060E0">
              <w:rPr>
                <w:rFonts w:cs="Arial"/>
                <w:sz w:val="18"/>
                <w:szCs w:val="18"/>
              </w:rPr>
              <w:t>μm</w:t>
            </w:r>
          </w:p>
        </w:tc>
        <w:tc>
          <w:tcPr>
            <w:tcW w:w="3896" w:type="pct"/>
          </w:tcPr>
          <w:p w14:paraId="399C4FA5" w14:textId="77777777" w:rsidR="003B6CAB" w:rsidRPr="005060E0" w:rsidRDefault="003B6CAB" w:rsidP="003B6CAB">
            <w:pPr>
              <w:spacing w:before="60" w:after="60" w:line="240" w:lineRule="auto"/>
              <w:rPr>
                <w:rFonts w:cs="Arial"/>
                <w:sz w:val="18"/>
                <w:szCs w:val="18"/>
              </w:rPr>
            </w:pPr>
            <w:r w:rsidRPr="005060E0">
              <w:rPr>
                <w:rFonts w:cs="Arial"/>
                <w:sz w:val="18"/>
                <w:szCs w:val="18"/>
              </w:rPr>
              <w:t>micrometre</w:t>
            </w:r>
          </w:p>
        </w:tc>
      </w:tr>
    </w:tbl>
    <w:p w14:paraId="76BCC60D" w14:textId="6022E5D1" w:rsidR="005B7C40" w:rsidRPr="005060E0" w:rsidRDefault="005B7C40" w:rsidP="00F456A1">
      <w:pPr>
        <w:pStyle w:val="Heading1nonum"/>
        <w:spacing w:before="360" w:after="240"/>
      </w:pPr>
      <w:bookmarkStart w:id="9" w:name="_Toc3278915"/>
      <w:r w:rsidRPr="005060E0">
        <w:t>Glossary</w:t>
      </w:r>
      <w:bookmarkEnd w:id="9"/>
    </w:p>
    <w:tbl>
      <w:tblPr>
        <w:tblStyle w:val="TableGrid"/>
        <w:tblW w:w="5000" w:type="pct"/>
        <w:tblBorders>
          <w:top w:val="single" w:sz="4" w:space="0" w:color="606372" w:themeColor="text2"/>
          <w:left w:val="single" w:sz="4" w:space="0" w:color="606372" w:themeColor="text2"/>
          <w:bottom w:val="single" w:sz="4" w:space="0" w:color="606372" w:themeColor="text2"/>
          <w:right w:val="single" w:sz="4" w:space="0" w:color="606372" w:themeColor="text2"/>
          <w:insideH w:val="single" w:sz="4" w:space="0" w:color="606372" w:themeColor="text2"/>
          <w:insideV w:val="single" w:sz="4" w:space="0" w:color="606372" w:themeColor="text2"/>
        </w:tblBorders>
        <w:tblLook w:val="04A0" w:firstRow="1" w:lastRow="0" w:firstColumn="1" w:lastColumn="0" w:noHBand="0" w:noVBand="1"/>
      </w:tblPr>
      <w:tblGrid>
        <w:gridCol w:w="2582"/>
        <w:gridCol w:w="7046"/>
      </w:tblGrid>
      <w:tr w:rsidR="00E153F4" w:rsidRPr="005060E0" w14:paraId="5A8DE24C" w14:textId="77777777" w:rsidTr="002A129B">
        <w:trPr>
          <w:cantSplit/>
          <w:trHeight w:val="454"/>
          <w:tblHeader/>
        </w:trPr>
        <w:tc>
          <w:tcPr>
            <w:tcW w:w="1341" w:type="pct"/>
            <w:shd w:val="clear" w:color="auto" w:fill="606372"/>
            <w:vAlign w:val="center"/>
          </w:tcPr>
          <w:p w14:paraId="265074DF" w14:textId="7DE05C51" w:rsidR="00E153F4" w:rsidRPr="005060E0" w:rsidRDefault="00E153F4" w:rsidP="00E153F4">
            <w:pPr>
              <w:widowControl w:val="0"/>
              <w:spacing w:after="0" w:line="240" w:lineRule="auto"/>
              <w:rPr>
                <w:rFonts w:cs="Arial"/>
                <w:color w:val="FFFFFF" w:themeColor="background1"/>
                <w:sz w:val="18"/>
                <w:szCs w:val="18"/>
              </w:rPr>
            </w:pPr>
            <w:r w:rsidRPr="005060E0">
              <w:rPr>
                <w:rFonts w:cs="Arial"/>
                <w:color w:val="FFFFFF" w:themeColor="background1"/>
                <w:sz w:val="18"/>
                <w:szCs w:val="18"/>
              </w:rPr>
              <w:t>Term</w:t>
            </w:r>
          </w:p>
        </w:tc>
        <w:tc>
          <w:tcPr>
            <w:tcW w:w="3659" w:type="pct"/>
            <w:shd w:val="clear" w:color="auto" w:fill="606372"/>
            <w:vAlign w:val="center"/>
          </w:tcPr>
          <w:p w14:paraId="77A04542" w14:textId="35ECEDB2" w:rsidR="00E153F4" w:rsidRPr="005060E0" w:rsidRDefault="00E153F4" w:rsidP="00E153F4">
            <w:pPr>
              <w:widowControl w:val="0"/>
              <w:spacing w:after="0" w:line="240" w:lineRule="auto"/>
              <w:rPr>
                <w:rFonts w:cs="Arial"/>
                <w:color w:val="FFFFFF" w:themeColor="background1"/>
                <w:sz w:val="18"/>
                <w:szCs w:val="18"/>
              </w:rPr>
            </w:pPr>
            <w:r w:rsidRPr="005060E0">
              <w:rPr>
                <w:rFonts w:cs="Arial"/>
                <w:color w:val="FFFFFF" w:themeColor="background1"/>
                <w:sz w:val="18"/>
                <w:szCs w:val="18"/>
              </w:rPr>
              <w:t>Definition</w:t>
            </w:r>
          </w:p>
        </w:tc>
      </w:tr>
      <w:tr w:rsidR="00E153F4" w:rsidRPr="005060E0" w14:paraId="29EB158A" w14:textId="77777777" w:rsidTr="00E153F4">
        <w:tc>
          <w:tcPr>
            <w:tcW w:w="1341" w:type="pct"/>
          </w:tcPr>
          <w:p w14:paraId="75844398" w14:textId="0D8B2467" w:rsidR="00E153F4" w:rsidRPr="005060E0" w:rsidRDefault="00E153F4" w:rsidP="006D7356">
            <w:pPr>
              <w:widowControl w:val="0"/>
              <w:spacing w:before="60" w:after="60" w:line="240" w:lineRule="auto"/>
              <w:rPr>
                <w:rFonts w:cs="Arial"/>
                <w:sz w:val="18"/>
                <w:szCs w:val="18"/>
              </w:rPr>
            </w:pPr>
            <w:r w:rsidRPr="005060E0">
              <w:rPr>
                <w:rFonts w:cs="Arial"/>
                <w:sz w:val="18"/>
                <w:szCs w:val="18"/>
              </w:rPr>
              <w:t>Air quality standard</w:t>
            </w:r>
          </w:p>
        </w:tc>
        <w:tc>
          <w:tcPr>
            <w:tcW w:w="3659" w:type="pct"/>
          </w:tcPr>
          <w:p w14:paraId="6E220372" w14:textId="2501B326" w:rsidR="00E153F4" w:rsidRPr="005060E0" w:rsidRDefault="00E153F4" w:rsidP="006D7356">
            <w:pPr>
              <w:widowControl w:val="0"/>
              <w:spacing w:before="60" w:after="60" w:line="240" w:lineRule="auto"/>
              <w:rPr>
                <w:rFonts w:cs="Arial"/>
                <w:b/>
                <w:sz w:val="18"/>
                <w:szCs w:val="18"/>
              </w:rPr>
            </w:pPr>
            <w:r w:rsidRPr="005060E0">
              <w:rPr>
                <w:rFonts w:cs="Arial"/>
                <w:sz w:val="18"/>
                <w:szCs w:val="18"/>
              </w:rPr>
              <w:t>An air quality standard relates to the concentration of an air pollutant in ambient air. A standard is usually designed to protect human health, but may relate to other adverse effects such as damage to buildings and vegetation. A standard is typically defined as a concentration limit (a numerical value) for a given averaging period (e.g. annual mean, 24-hour mean), and a ‘form’, which defines how it is implemented (e.g. some exceedances may be permitted). Several different averaging periods may be used for the same pollutant to address long-term and short-term exposure. A standard may also be combined with a goal, such as a requirement for the limit to be achieved by a specified date</w:t>
            </w:r>
          </w:p>
        </w:tc>
      </w:tr>
      <w:tr w:rsidR="00EA263A" w:rsidRPr="005060E0" w14:paraId="384B1D53" w14:textId="77777777" w:rsidTr="00E153F4">
        <w:tc>
          <w:tcPr>
            <w:tcW w:w="1341" w:type="pct"/>
          </w:tcPr>
          <w:p w14:paraId="3DA93C38" w14:textId="195CD239" w:rsidR="00EA263A" w:rsidRPr="005060E0" w:rsidRDefault="00EA263A" w:rsidP="006D7356">
            <w:pPr>
              <w:widowControl w:val="0"/>
              <w:spacing w:before="60" w:after="60" w:line="240" w:lineRule="auto"/>
              <w:rPr>
                <w:rFonts w:cs="Arial"/>
                <w:sz w:val="18"/>
                <w:szCs w:val="18"/>
              </w:rPr>
            </w:pPr>
            <w:r w:rsidRPr="005060E0">
              <w:rPr>
                <w:rFonts w:cs="Arial"/>
                <w:sz w:val="18"/>
                <w:szCs w:val="18"/>
              </w:rPr>
              <w:t>Airshed</w:t>
            </w:r>
          </w:p>
        </w:tc>
        <w:tc>
          <w:tcPr>
            <w:tcW w:w="3659" w:type="pct"/>
          </w:tcPr>
          <w:p w14:paraId="20780B02" w14:textId="74B2DA61" w:rsidR="00EA263A" w:rsidRPr="005060E0" w:rsidRDefault="00EA263A" w:rsidP="006D7356">
            <w:pPr>
              <w:widowControl w:val="0"/>
              <w:spacing w:before="60" w:after="60" w:line="240" w:lineRule="auto"/>
              <w:rPr>
                <w:rFonts w:cs="Arial"/>
                <w:sz w:val="18"/>
                <w:szCs w:val="18"/>
              </w:rPr>
            </w:pPr>
            <w:r w:rsidRPr="005060E0">
              <w:rPr>
                <w:rFonts w:cs="Arial"/>
                <w:sz w:val="18"/>
                <w:szCs w:val="18"/>
              </w:rPr>
              <w:t>An airshed is a part of the atmosphere that behaves in a coherent way with respect to the dispersion of emissions.</w:t>
            </w:r>
          </w:p>
        </w:tc>
      </w:tr>
      <w:tr w:rsidR="00E153F4" w:rsidRPr="005060E0" w14:paraId="07507621" w14:textId="77777777" w:rsidTr="00E153F4">
        <w:tc>
          <w:tcPr>
            <w:tcW w:w="1341" w:type="pct"/>
          </w:tcPr>
          <w:p w14:paraId="3AA622FA" w14:textId="6D748109" w:rsidR="00E153F4" w:rsidRPr="005060E0" w:rsidRDefault="00E153F4" w:rsidP="006D7356">
            <w:pPr>
              <w:widowControl w:val="0"/>
              <w:spacing w:before="60" w:after="60" w:line="240" w:lineRule="auto"/>
              <w:rPr>
                <w:rFonts w:cs="Arial"/>
                <w:sz w:val="18"/>
                <w:szCs w:val="18"/>
              </w:rPr>
            </w:pPr>
            <w:r w:rsidRPr="005060E0">
              <w:rPr>
                <w:rFonts w:cs="Arial"/>
                <w:sz w:val="18"/>
                <w:szCs w:val="18"/>
              </w:rPr>
              <w:t>Ambient air</w:t>
            </w:r>
          </w:p>
        </w:tc>
        <w:tc>
          <w:tcPr>
            <w:tcW w:w="3659" w:type="pct"/>
          </w:tcPr>
          <w:p w14:paraId="1298B47A" w14:textId="51E8120B" w:rsidR="00E153F4" w:rsidRPr="005060E0" w:rsidRDefault="00E153F4" w:rsidP="006D7356">
            <w:pPr>
              <w:widowControl w:val="0"/>
              <w:spacing w:before="60" w:after="60" w:line="240" w:lineRule="auto"/>
              <w:rPr>
                <w:rFonts w:cs="Arial"/>
                <w:b/>
                <w:sz w:val="18"/>
                <w:szCs w:val="18"/>
              </w:rPr>
            </w:pPr>
            <w:r w:rsidRPr="005060E0">
              <w:rPr>
                <w:rFonts w:cs="Arial"/>
                <w:sz w:val="18"/>
                <w:szCs w:val="18"/>
              </w:rPr>
              <w:t>The external air environment. Does not include the air environment inside buildings or structures.</w:t>
            </w:r>
          </w:p>
        </w:tc>
      </w:tr>
      <w:tr w:rsidR="00CC2469" w:rsidRPr="005060E0" w14:paraId="4159B1CC" w14:textId="77777777" w:rsidTr="00E153F4">
        <w:tc>
          <w:tcPr>
            <w:tcW w:w="1341" w:type="pct"/>
          </w:tcPr>
          <w:p w14:paraId="157D5E6A" w14:textId="4577D309" w:rsidR="00CC2469" w:rsidRPr="005060E0" w:rsidRDefault="00CC2469" w:rsidP="006D7356">
            <w:pPr>
              <w:widowControl w:val="0"/>
              <w:spacing w:before="60" w:after="60" w:line="240" w:lineRule="auto"/>
              <w:rPr>
                <w:rFonts w:cs="Arial"/>
                <w:sz w:val="18"/>
                <w:szCs w:val="18"/>
              </w:rPr>
            </w:pPr>
            <w:r w:rsidRPr="005060E0">
              <w:rPr>
                <w:rFonts w:cs="Arial"/>
                <w:sz w:val="18"/>
                <w:szCs w:val="18"/>
              </w:rPr>
              <w:t>Ambient air quality</w:t>
            </w:r>
          </w:p>
        </w:tc>
        <w:tc>
          <w:tcPr>
            <w:tcW w:w="3659" w:type="pct"/>
          </w:tcPr>
          <w:p w14:paraId="059BB41F" w14:textId="1B85E7B7" w:rsidR="00CC2469" w:rsidRPr="005060E0" w:rsidRDefault="00CC2469" w:rsidP="006D7356">
            <w:pPr>
              <w:widowControl w:val="0"/>
              <w:spacing w:before="60" w:after="60" w:line="240" w:lineRule="auto"/>
              <w:rPr>
                <w:rFonts w:cs="Arial"/>
                <w:sz w:val="18"/>
                <w:szCs w:val="18"/>
              </w:rPr>
            </w:pPr>
            <w:r w:rsidRPr="005060E0">
              <w:rPr>
                <w:rFonts w:cs="Arial"/>
                <w:sz w:val="18"/>
                <w:szCs w:val="18"/>
              </w:rPr>
              <w:t>The state of quality and chemical characteristics of air as it exists in the environment.</w:t>
            </w:r>
          </w:p>
        </w:tc>
      </w:tr>
      <w:tr w:rsidR="00EA263A" w:rsidRPr="005060E0" w14:paraId="502402B0" w14:textId="77777777" w:rsidTr="00E153F4">
        <w:tc>
          <w:tcPr>
            <w:tcW w:w="1341" w:type="pct"/>
          </w:tcPr>
          <w:p w14:paraId="3F57EC64" w14:textId="58CE1C34" w:rsidR="00EA263A" w:rsidRPr="005060E0" w:rsidRDefault="00EA263A" w:rsidP="006D7356">
            <w:pPr>
              <w:widowControl w:val="0"/>
              <w:spacing w:before="60" w:after="60" w:line="240" w:lineRule="auto"/>
              <w:rPr>
                <w:rFonts w:cs="Arial"/>
                <w:sz w:val="18"/>
                <w:szCs w:val="18"/>
              </w:rPr>
            </w:pPr>
            <w:r w:rsidRPr="005060E0">
              <w:rPr>
                <w:rFonts w:cs="Arial"/>
                <w:sz w:val="18"/>
                <w:szCs w:val="18"/>
              </w:rPr>
              <w:t>Anthropogenic sources</w:t>
            </w:r>
          </w:p>
        </w:tc>
        <w:tc>
          <w:tcPr>
            <w:tcW w:w="3659" w:type="pct"/>
          </w:tcPr>
          <w:p w14:paraId="2B149850" w14:textId="4FD71423" w:rsidR="00EA263A" w:rsidRPr="005060E0" w:rsidRDefault="00EA263A" w:rsidP="006D7356">
            <w:pPr>
              <w:widowControl w:val="0"/>
              <w:spacing w:before="60" w:after="60" w:line="240" w:lineRule="auto"/>
              <w:rPr>
                <w:rFonts w:cs="Arial"/>
                <w:sz w:val="18"/>
                <w:szCs w:val="18"/>
              </w:rPr>
            </w:pPr>
            <w:r w:rsidRPr="005060E0">
              <w:rPr>
                <w:rFonts w:cs="Arial"/>
                <w:sz w:val="18"/>
                <w:szCs w:val="18"/>
              </w:rPr>
              <w:t>Sources derived from human activities, as opposed to those occurring in biophysical environments without human influence.</w:t>
            </w:r>
          </w:p>
        </w:tc>
      </w:tr>
      <w:tr w:rsidR="00CC2469" w:rsidRPr="005060E0" w14:paraId="7C9742CD" w14:textId="77777777" w:rsidTr="00E153F4">
        <w:tc>
          <w:tcPr>
            <w:tcW w:w="1341" w:type="pct"/>
          </w:tcPr>
          <w:p w14:paraId="233E347B" w14:textId="631AFF81" w:rsidR="00CC2469" w:rsidRPr="005060E0" w:rsidRDefault="00CC2469" w:rsidP="006D7356">
            <w:pPr>
              <w:widowControl w:val="0"/>
              <w:spacing w:before="60" w:after="60" w:line="240" w:lineRule="auto"/>
              <w:rPr>
                <w:rFonts w:cs="Arial"/>
                <w:sz w:val="18"/>
                <w:szCs w:val="18"/>
              </w:rPr>
            </w:pPr>
            <w:r w:rsidRPr="005060E0">
              <w:rPr>
                <w:rFonts w:cs="Arial"/>
                <w:sz w:val="18"/>
                <w:szCs w:val="18"/>
              </w:rPr>
              <w:t>Area source</w:t>
            </w:r>
          </w:p>
        </w:tc>
        <w:tc>
          <w:tcPr>
            <w:tcW w:w="3659" w:type="pct"/>
          </w:tcPr>
          <w:p w14:paraId="24702063" w14:textId="26FAD2F0" w:rsidR="00CC2469" w:rsidRPr="005060E0" w:rsidRDefault="00CC2469" w:rsidP="00CC2469">
            <w:pPr>
              <w:widowControl w:val="0"/>
              <w:spacing w:before="60" w:after="60" w:line="240" w:lineRule="auto"/>
              <w:rPr>
                <w:rFonts w:cs="Arial"/>
                <w:sz w:val="18"/>
                <w:szCs w:val="18"/>
              </w:rPr>
            </w:pPr>
            <w:r w:rsidRPr="005060E0">
              <w:rPr>
                <w:rFonts w:cs="Arial"/>
                <w:sz w:val="18"/>
                <w:szCs w:val="18"/>
              </w:rPr>
              <w:t xml:space="preserve">Area sources are two-dimensional. They are typically used to express: 1) </w:t>
            </w:r>
            <w:r w:rsidR="009B137C" w:rsidRPr="005060E0">
              <w:rPr>
                <w:rFonts w:cs="Arial"/>
                <w:sz w:val="18"/>
                <w:szCs w:val="18"/>
              </w:rPr>
              <w:t>c</w:t>
            </w:r>
            <w:r w:rsidRPr="005060E0">
              <w:rPr>
                <w:rFonts w:cs="Arial"/>
                <w:sz w:val="18"/>
                <w:szCs w:val="18"/>
              </w:rPr>
              <w:t>lusters of point or line sources</w:t>
            </w:r>
            <w:r w:rsidR="009B137C" w:rsidRPr="005060E0">
              <w:rPr>
                <w:rFonts w:cs="Arial"/>
                <w:sz w:val="18"/>
                <w:szCs w:val="18"/>
              </w:rPr>
              <w:t>;</w:t>
            </w:r>
            <w:r w:rsidRPr="005060E0">
              <w:rPr>
                <w:rFonts w:cs="Arial"/>
                <w:sz w:val="18"/>
                <w:szCs w:val="18"/>
              </w:rPr>
              <w:t xml:space="preserve"> 2) </w:t>
            </w:r>
            <w:r w:rsidR="009B137C" w:rsidRPr="005060E0">
              <w:rPr>
                <w:rFonts w:cs="Arial"/>
                <w:sz w:val="18"/>
                <w:szCs w:val="18"/>
              </w:rPr>
              <w:t>g</w:t>
            </w:r>
            <w:r w:rsidRPr="005060E0">
              <w:rPr>
                <w:rFonts w:cs="Arial"/>
                <w:sz w:val="18"/>
                <w:szCs w:val="18"/>
              </w:rPr>
              <w:t>round</w:t>
            </w:r>
            <w:r w:rsidR="007D6DB9" w:rsidRPr="005060E0">
              <w:rPr>
                <w:rFonts w:cs="Arial"/>
                <w:sz w:val="18"/>
                <w:szCs w:val="18"/>
              </w:rPr>
              <w:t>-</w:t>
            </w:r>
            <w:r w:rsidRPr="005060E0">
              <w:rPr>
                <w:rFonts w:cs="Arial"/>
                <w:sz w:val="18"/>
                <w:szCs w:val="18"/>
              </w:rPr>
              <w:t>level emissions from industrial processes having numerous vents</w:t>
            </w:r>
            <w:r w:rsidR="009B137C" w:rsidRPr="005060E0">
              <w:rPr>
                <w:rFonts w:cs="Arial"/>
                <w:sz w:val="18"/>
                <w:szCs w:val="18"/>
              </w:rPr>
              <w:t>;</w:t>
            </w:r>
            <w:r w:rsidRPr="005060E0">
              <w:rPr>
                <w:rFonts w:cs="Arial"/>
                <w:sz w:val="18"/>
                <w:szCs w:val="18"/>
              </w:rPr>
              <w:t xml:space="preserve"> 3) </w:t>
            </w:r>
            <w:r w:rsidR="009B137C" w:rsidRPr="005060E0">
              <w:rPr>
                <w:rFonts w:cs="Arial"/>
                <w:sz w:val="18"/>
                <w:szCs w:val="18"/>
              </w:rPr>
              <w:t>g</w:t>
            </w:r>
            <w:r w:rsidRPr="005060E0">
              <w:rPr>
                <w:rFonts w:cs="Arial"/>
                <w:sz w:val="18"/>
                <w:szCs w:val="18"/>
              </w:rPr>
              <w:t>round</w:t>
            </w:r>
            <w:r w:rsidR="007D6DB9" w:rsidRPr="005060E0">
              <w:rPr>
                <w:rFonts w:cs="Arial"/>
                <w:sz w:val="18"/>
                <w:szCs w:val="18"/>
              </w:rPr>
              <w:t>-</w:t>
            </w:r>
            <w:r w:rsidRPr="005060E0">
              <w:rPr>
                <w:rFonts w:cs="Arial"/>
                <w:sz w:val="18"/>
                <w:szCs w:val="18"/>
              </w:rPr>
              <w:t>level emissions from stockpiles or ponds</w:t>
            </w:r>
            <w:r w:rsidR="009B137C" w:rsidRPr="005060E0">
              <w:rPr>
                <w:rFonts w:cs="Arial"/>
                <w:sz w:val="18"/>
                <w:szCs w:val="18"/>
              </w:rPr>
              <w:t>;</w:t>
            </w:r>
            <w:r w:rsidRPr="005060E0">
              <w:rPr>
                <w:rFonts w:cs="Arial"/>
                <w:sz w:val="18"/>
                <w:szCs w:val="18"/>
              </w:rPr>
              <w:t xml:space="preserve"> 4) individual facilities or activities of area sources grouped with like facilities or activities into broad source categories so that releases can be collectively estimated using one methodology.</w:t>
            </w:r>
          </w:p>
        </w:tc>
      </w:tr>
      <w:tr w:rsidR="00E153F4" w:rsidRPr="005060E0" w14:paraId="218FD703" w14:textId="77777777" w:rsidTr="00E153F4">
        <w:tc>
          <w:tcPr>
            <w:tcW w:w="1341" w:type="pct"/>
          </w:tcPr>
          <w:p w14:paraId="34D0803E" w14:textId="7CAE4793" w:rsidR="00E153F4" w:rsidRPr="005060E0" w:rsidRDefault="00E153F4" w:rsidP="006D7356">
            <w:pPr>
              <w:widowControl w:val="0"/>
              <w:spacing w:before="60" w:after="60" w:line="240" w:lineRule="auto"/>
              <w:rPr>
                <w:rFonts w:cs="Arial"/>
                <w:sz w:val="18"/>
                <w:szCs w:val="18"/>
              </w:rPr>
            </w:pPr>
            <w:r w:rsidRPr="005060E0">
              <w:rPr>
                <w:rFonts w:cs="Arial"/>
                <w:sz w:val="18"/>
                <w:szCs w:val="18"/>
              </w:rPr>
              <w:t>Background concentration</w:t>
            </w:r>
          </w:p>
        </w:tc>
        <w:tc>
          <w:tcPr>
            <w:tcW w:w="3659" w:type="pct"/>
          </w:tcPr>
          <w:p w14:paraId="3DD4A377" w14:textId="7D22CBED" w:rsidR="00E153F4" w:rsidRPr="005060E0" w:rsidRDefault="00E153F4" w:rsidP="006D7356">
            <w:pPr>
              <w:widowControl w:val="0"/>
              <w:spacing w:before="60" w:after="60" w:line="240" w:lineRule="auto"/>
              <w:rPr>
                <w:rFonts w:cs="Arial"/>
                <w:b/>
                <w:sz w:val="18"/>
                <w:szCs w:val="18"/>
              </w:rPr>
            </w:pPr>
            <w:r w:rsidRPr="005060E0">
              <w:rPr>
                <w:rFonts w:cs="Arial"/>
                <w:sz w:val="18"/>
                <w:szCs w:val="18"/>
              </w:rPr>
              <w:t>The existing concentration of a pollutant in the ambient air. Different background concentrations can be defined, such as a ‘natural’ background (at locations that are far from population centres) and an ‘urban’ background (at locations in population centres that are not near any specific emission sources but are affected by general pollution from the urban area).</w:t>
            </w:r>
          </w:p>
        </w:tc>
      </w:tr>
      <w:tr w:rsidR="007A1CA9" w:rsidRPr="005060E0" w14:paraId="4032BF52" w14:textId="77777777" w:rsidTr="00E153F4">
        <w:tc>
          <w:tcPr>
            <w:tcW w:w="1341" w:type="pct"/>
          </w:tcPr>
          <w:p w14:paraId="496FDA01" w14:textId="08A06656" w:rsidR="007A1CA9" w:rsidRPr="005060E0" w:rsidRDefault="007A1CA9" w:rsidP="006D7356">
            <w:pPr>
              <w:widowControl w:val="0"/>
              <w:spacing w:before="60" w:after="60" w:line="240" w:lineRule="auto"/>
              <w:rPr>
                <w:rFonts w:cs="Arial"/>
                <w:sz w:val="18"/>
                <w:szCs w:val="18"/>
              </w:rPr>
            </w:pPr>
            <w:r w:rsidRPr="005060E0">
              <w:rPr>
                <w:rFonts w:cs="Arial"/>
                <w:sz w:val="18"/>
                <w:szCs w:val="18"/>
              </w:rPr>
              <w:t>Biogenic</w:t>
            </w:r>
          </w:p>
        </w:tc>
        <w:tc>
          <w:tcPr>
            <w:tcW w:w="3659" w:type="pct"/>
          </w:tcPr>
          <w:p w14:paraId="630B3665" w14:textId="3ADF77A2" w:rsidR="007A1CA9" w:rsidRPr="005060E0" w:rsidRDefault="007A1CA9" w:rsidP="006D7356">
            <w:pPr>
              <w:widowControl w:val="0"/>
              <w:spacing w:before="60" w:after="60" w:line="240" w:lineRule="auto"/>
              <w:rPr>
                <w:rFonts w:cs="Arial"/>
                <w:sz w:val="18"/>
                <w:szCs w:val="18"/>
              </w:rPr>
            </w:pPr>
            <w:r w:rsidRPr="005060E0">
              <w:rPr>
                <w:rFonts w:cs="Arial"/>
                <w:sz w:val="18"/>
                <w:szCs w:val="18"/>
              </w:rPr>
              <w:t>Produced by living organisms or biological processes.</w:t>
            </w:r>
          </w:p>
        </w:tc>
      </w:tr>
      <w:tr w:rsidR="00E153F4" w:rsidRPr="005060E0" w14:paraId="4BA5D132" w14:textId="77777777" w:rsidTr="00E153F4">
        <w:tc>
          <w:tcPr>
            <w:tcW w:w="1341" w:type="pct"/>
          </w:tcPr>
          <w:p w14:paraId="26384C35" w14:textId="412ACE20" w:rsidR="00E153F4" w:rsidRPr="005060E0" w:rsidRDefault="00E153F4" w:rsidP="006D7356">
            <w:pPr>
              <w:widowControl w:val="0"/>
              <w:spacing w:before="60" w:after="60" w:line="240" w:lineRule="auto"/>
              <w:rPr>
                <w:rFonts w:cs="Arial"/>
                <w:sz w:val="18"/>
                <w:szCs w:val="18"/>
              </w:rPr>
            </w:pPr>
            <w:r w:rsidRPr="005060E0">
              <w:rPr>
                <w:rFonts w:cs="Arial"/>
                <w:sz w:val="18"/>
                <w:szCs w:val="18"/>
              </w:rPr>
              <w:t>Concentration</w:t>
            </w:r>
          </w:p>
        </w:tc>
        <w:tc>
          <w:tcPr>
            <w:tcW w:w="3659" w:type="pct"/>
          </w:tcPr>
          <w:p w14:paraId="58D056FB" w14:textId="7F7B1015" w:rsidR="00E153F4" w:rsidRPr="005060E0" w:rsidRDefault="00E153F4" w:rsidP="006D7356">
            <w:pPr>
              <w:widowControl w:val="0"/>
              <w:spacing w:before="60" w:after="60" w:line="240" w:lineRule="auto"/>
              <w:rPr>
                <w:rFonts w:cs="Arial"/>
                <w:b/>
                <w:sz w:val="18"/>
                <w:szCs w:val="18"/>
              </w:rPr>
            </w:pPr>
            <w:r w:rsidRPr="005060E0">
              <w:rPr>
                <w:rFonts w:cs="Arial"/>
                <w:sz w:val="18"/>
                <w:szCs w:val="18"/>
              </w:rPr>
              <w:t xml:space="preserve">The amount of a gaseous pollutant in ambient air, which can be stated in terms of either volume (e.g. parts per billion – ppb) or mass (e.g. micrograms per cubic metre </w:t>
            </w:r>
            <w:r w:rsidR="009B137C" w:rsidRPr="005060E0">
              <w:rPr>
                <w:rFonts w:cs="Arial"/>
                <w:sz w:val="18"/>
                <w:szCs w:val="18"/>
              </w:rPr>
              <w:t>–</w:t>
            </w:r>
            <w:r w:rsidRPr="005060E0">
              <w:rPr>
                <w:rFonts w:cs="Arial"/>
                <w:sz w:val="18"/>
                <w:szCs w:val="18"/>
              </w:rPr>
              <w:t xml:space="preserve"> µg/m</w:t>
            </w:r>
            <w:r w:rsidRPr="005060E0">
              <w:rPr>
                <w:rFonts w:cs="Arial"/>
                <w:sz w:val="18"/>
                <w:szCs w:val="18"/>
                <w:vertAlign w:val="superscript"/>
              </w:rPr>
              <w:t>3</w:t>
            </w:r>
            <w:r w:rsidRPr="005060E0">
              <w:rPr>
                <w:rFonts w:cs="Arial"/>
                <w:sz w:val="18"/>
                <w:szCs w:val="18"/>
              </w:rPr>
              <w:t>).</w:t>
            </w:r>
          </w:p>
        </w:tc>
      </w:tr>
      <w:tr w:rsidR="00E153F4" w:rsidRPr="005060E0" w14:paraId="19DE40F6" w14:textId="77777777" w:rsidTr="00F456A1">
        <w:trPr>
          <w:cantSplit/>
        </w:trPr>
        <w:tc>
          <w:tcPr>
            <w:tcW w:w="1341" w:type="pct"/>
          </w:tcPr>
          <w:p w14:paraId="3357483A" w14:textId="1F2CBC39" w:rsidR="00E153F4" w:rsidRPr="005060E0" w:rsidRDefault="00E153F4" w:rsidP="006D7356">
            <w:pPr>
              <w:widowControl w:val="0"/>
              <w:spacing w:before="60" w:after="60" w:line="240" w:lineRule="auto"/>
              <w:rPr>
                <w:rFonts w:cs="Arial"/>
                <w:sz w:val="18"/>
                <w:szCs w:val="18"/>
              </w:rPr>
            </w:pPr>
            <w:r w:rsidRPr="005060E0">
              <w:rPr>
                <w:rFonts w:cs="Arial"/>
                <w:sz w:val="18"/>
                <w:szCs w:val="18"/>
              </w:rPr>
              <w:t>Dispersion modelling</w:t>
            </w:r>
          </w:p>
        </w:tc>
        <w:tc>
          <w:tcPr>
            <w:tcW w:w="3659" w:type="pct"/>
          </w:tcPr>
          <w:p w14:paraId="367AA37A" w14:textId="65D81CA4" w:rsidR="00BE6FF6" w:rsidRPr="005060E0" w:rsidRDefault="00E153F4" w:rsidP="00BE6FF6">
            <w:pPr>
              <w:widowControl w:val="0"/>
              <w:spacing w:before="60" w:after="60" w:line="240" w:lineRule="auto"/>
              <w:rPr>
                <w:rFonts w:cs="Arial"/>
                <w:sz w:val="18"/>
                <w:szCs w:val="18"/>
              </w:rPr>
            </w:pPr>
            <w:r w:rsidRPr="005060E0">
              <w:rPr>
                <w:rFonts w:cs="Arial"/>
                <w:sz w:val="18"/>
                <w:szCs w:val="18"/>
              </w:rPr>
              <w:t>Modelling by computer to mathematically simulate the effect on plume dispersion under varying atmospheric conditions; used to calculate spatial and temporal fields of concentrations and particle deposition due to emissions from various source types.</w:t>
            </w:r>
          </w:p>
        </w:tc>
      </w:tr>
      <w:tr w:rsidR="00BE6FF6" w:rsidRPr="005060E0" w14:paraId="0427F904" w14:textId="77777777" w:rsidTr="00E153F4">
        <w:tc>
          <w:tcPr>
            <w:tcW w:w="1341" w:type="pct"/>
          </w:tcPr>
          <w:p w14:paraId="3072BBDB" w14:textId="661FA683" w:rsidR="00BE6FF6" w:rsidRPr="005060E0" w:rsidRDefault="00BE6FF6" w:rsidP="006D7356">
            <w:pPr>
              <w:widowControl w:val="0"/>
              <w:spacing w:before="60" w:after="60" w:line="240" w:lineRule="auto"/>
              <w:rPr>
                <w:rFonts w:cs="Arial"/>
                <w:sz w:val="18"/>
                <w:szCs w:val="18"/>
              </w:rPr>
            </w:pPr>
            <w:r w:rsidRPr="005060E0">
              <w:rPr>
                <w:rFonts w:cs="Arial"/>
                <w:sz w:val="18"/>
                <w:szCs w:val="18"/>
              </w:rPr>
              <w:t>Emissions</w:t>
            </w:r>
          </w:p>
        </w:tc>
        <w:tc>
          <w:tcPr>
            <w:tcW w:w="3659" w:type="pct"/>
          </w:tcPr>
          <w:p w14:paraId="3C9D9348" w14:textId="299372B7" w:rsidR="00BE6FF6" w:rsidRPr="005060E0" w:rsidRDefault="00BE6FF6" w:rsidP="006D7356">
            <w:pPr>
              <w:widowControl w:val="0"/>
              <w:spacing w:before="60" w:after="60" w:line="240" w:lineRule="auto"/>
              <w:rPr>
                <w:rFonts w:cs="Arial"/>
                <w:sz w:val="18"/>
                <w:szCs w:val="18"/>
              </w:rPr>
            </w:pPr>
            <w:r w:rsidRPr="005060E0">
              <w:rPr>
                <w:rFonts w:cs="Arial"/>
                <w:sz w:val="18"/>
                <w:szCs w:val="18"/>
              </w:rPr>
              <w:t>Release of pollutants to air.</w:t>
            </w:r>
          </w:p>
        </w:tc>
      </w:tr>
      <w:tr w:rsidR="00CC2469" w:rsidRPr="005060E0" w14:paraId="4F35B23B" w14:textId="77777777" w:rsidTr="00E153F4">
        <w:tc>
          <w:tcPr>
            <w:tcW w:w="1341" w:type="pct"/>
          </w:tcPr>
          <w:p w14:paraId="5242C00F" w14:textId="03E18724" w:rsidR="00CC2469" w:rsidRPr="005060E0" w:rsidRDefault="00CC2469" w:rsidP="006D7356">
            <w:pPr>
              <w:widowControl w:val="0"/>
              <w:spacing w:before="60" w:after="60" w:line="240" w:lineRule="auto"/>
              <w:rPr>
                <w:rFonts w:cs="Arial"/>
                <w:sz w:val="18"/>
                <w:szCs w:val="18"/>
              </w:rPr>
            </w:pPr>
            <w:r w:rsidRPr="005060E0">
              <w:rPr>
                <w:rFonts w:cs="Arial"/>
                <w:sz w:val="18"/>
                <w:szCs w:val="18"/>
              </w:rPr>
              <w:t>Emission factor</w:t>
            </w:r>
          </w:p>
        </w:tc>
        <w:tc>
          <w:tcPr>
            <w:tcW w:w="3659" w:type="pct"/>
          </w:tcPr>
          <w:p w14:paraId="65CEF263" w14:textId="2F250019" w:rsidR="00CC2469" w:rsidRPr="005060E0" w:rsidRDefault="009B137C" w:rsidP="006D7356">
            <w:pPr>
              <w:widowControl w:val="0"/>
              <w:spacing w:before="60" w:after="60" w:line="240" w:lineRule="auto"/>
              <w:rPr>
                <w:rFonts w:cs="Arial"/>
                <w:sz w:val="18"/>
                <w:szCs w:val="18"/>
              </w:rPr>
            </w:pPr>
            <w:r w:rsidRPr="005060E0">
              <w:rPr>
                <w:rFonts w:cs="Arial"/>
                <w:sz w:val="18"/>
                <w:szCs w:val="18"/>
              </w:rPr>
              <w:t>A</w:t>
            </w:r>
            <w:r w:rsidR="00CC2469" w:rsidRPr="005060E0">
              <w:rPr>
                <w:rFonts w:cs="Arial"/>
                <w:sz w:val="18"/>
                <w:szCs w:val="18"/>
              </w:rPr>
              <w:t xml:space="preserve"> ratio that relates the release of a pollutant to a measure of activity that can be readily measured (such as the amount of raw material processed or the amount of fuel used).</w:t>
            </w:r>
          </w:p>
        </w:tc>
      </w:tr>
      <w:tr w:rsidR="00E153F4" w:rsidRPr="005060E0" w14:paraId="4CAED00F" w14:textId="77777777" w:rsidTr="00E153F4">
        <w:tc>
          <w:tcPr>
            <w:tcW w:w="1341" w:type="pct"/>
          </w:tcPr>
          <w:p w14:paraId="7E6ED556" w14:textId="574CC2F0" w:rsidR="00E153F4" w:rsidRPr="005060E0" w:rsidRDefault="00E153F4" w:rsidP="006D7356">
            <w:pPr>
              <w:widowControl w:val="0"/>
              <w:spacing w:before="60" w:after="60" w:line="240" w:lineRule="auto"/>
              <w:rPr>
                <w:rFonts w:cs="Arial"/>
                <w:sz w:val="18"/>
                <w:szCs w:val="18"/>
              </w:rPr>
            </w:pPr>
            <w:r w:rsidRPr="005060E0">
              <w:rPr>
                <w:rFonts w:cs="Arial"/>
                <w:sz w:val="18"/>
                <w:szCs w:val="18"/>
              </w:rPr>
              <w:t>Exceptional events</w:t>
            </w:r>
          </w:p>
        </w:tc>
        <w:tc>
          <w:tcPr>
            <w:tcW w:w="3659" w:type="pct"/>
          </w:tcPr>
          <w:p w14:paraId="7CFB3861" w14:textId="577152FD" w:rsidR="00E153F4" w:rsidRPr="005060E0" w:rsidRDefault="00E153F4" w:rsidP="006D7356">
            <w:pPr>
              <w:widowControl w:val="0"/>
              <w:spacing w:before="60" w:after="60" w:line="240" w:lineRule="auto"/>
              <w:rPr>
                <w:rFonts w:cs="Arial"/>
                <w:b/>
                <w:sz w:val="18"/>
                <w:szCs w:val="18"/>
              </w:rPr>
            </w:pPr>
            <w:r w:rsidRPr="005060E0">
              <w:rPr>
                <w:rFonts w:cs="Arial"/>
                <w:sz w:val="18"/>
                <w:szCs w:val="18"/>
              </w:rPr>
              <w:t xml:space="preserve">The setting of air quality standards recognises that certain events can lead to high concentrations, but </w:t>
            </w:r>
            <w:r w:rsidR="009B137C" w:rsidRPr="005060E0">
              <w:rPr>
                <w:rFonts w:cs="Arial"/>
                <w:sz w:val="18"/>
                <w:szCs w:val="18"/>
              </w:rPr>
              <w:t xml:space="preserve">these </w:t>
            </w:r>
            <w:r w:rsidRPr="005060E0">
              <w:rPr>
                <w:rFonts w:cs="Arial"/>
                <w:sz w:val="18"/>
                <w:szCs w:val="18"/>
              </w:rPr>
              <w:t>are unpredictable and uncontrollable. Examples include extreme meteorological conditions and bushfires. Control programs that are designed to meet the standards during extreme conditions can be prohibitively expensive or technically unfeasible.</w:t>
            </w:r>
          </w:p>
        </w:tc>
      </w:tr>
      <w:tr w:rsidR="00E153F4" w:rsidRPr="005060E0" w14:paraId="02F8A5A9" w14:textId="77777777" w:rsidTr="00E153F4">
        <w:tc>
          <w:tcPr>
            <w:tcW w:w="1341" w:type="pct"/>
          </w:tcPr>
          <w:p w14:paraId="69709BCD" w14:textId="66EFE412" w:rsidR="00E153F4" w:rsidRPr="005060E0" w:rsidRDefault="00E153F4" w:rsidP="006D7356">
            <w:pPr>
              <w:widowControl w:val="0"/>
              <w:spacing w:before="60" w:after="60" w:line="240" w:lineRule="auto"/>
              <w:rPr>
                <w:rFonts w:cs="Arial"/>
                <w:sz w:val="18"/>
                <w:szCs w:val="18"/>
              </w:rPr>
            </w:pPr>
            <w:r w:rsidRPr="005060E0">
              <w:rPr>
                <w:rFonts w:cs="Arial"/>
                <w:sz w:val="18"/>
                <w:szCs w:val="18"/>
              </w:rPr>
              <w:t>Exposure-reduction framework</w:t>
            </w:r>
          </w:p>
        </w:tc>
        <w:tc>
          <w:tcPr>
            <w:tcW w:w="3659" w:type="pct"/>
          </w:tcPr>
          <w:p w14:paraId="2015E4D6" w14:textId="4B786B40" w:rsidR="00E153F4" w:rsidRPr="005060E0" w:rsidRDefault="00E153F4" w:rsidP="002A129B">
            <w:pPr>
              <w:widowControl w:val="0"/>
              <w:spacing w:before="60" w:after="60" w:line="240" w:lineRule="auto"/>
              <w:rPr>
                <w:rFonts w:cs="Arial"/>
                <w:b/>
                <w:sz w:val="18"/>
                <w:szCs w:val="18"/>
              </w:rPr>
            </w:pPr>
            <w:r w:rsidRPr="005060E0">
              <w:rPr>
                <w:rFonts w:cs="Arial"/>
                <w:sz w:val="18"/>
                <w:szCs w:val="18"/>
              </w:rPr>
              <w:t xml:space="preserve">An exposure-reduction framework is designed for use, in addition to standards, to reduce population exposure to a pollutant. Exposure-reduction frameworks are used in some jurisdictions to account for the fact that some pollutants have no threshold for health effects, and any reduction in concentrations will lead to </w:t>
            </w:r>
            <w:r w:rsidR="002A129B" w:rsidRPr="005060E0">
              <w:rPr>
                <w:rFonts w:cs="Arial"/>
                <w:sz w:val="18"/>
                <w:szCs w:val="18"/>
              </w:rPr>
              <w:t>a health benefit</w:t>
            </w:r>
            <w:r w:rsidRPr="005060E0">
              <w:rPr>
                <w:rFonts w:cs="Arial"/>
                <w:sz w:val="18"/>
                <w:szCs w:val="18"/>
              </w:rPr>
              <w:t>.</w:t>
            </w:r>
          </w:p>
        </w:tc>
      </w:tr>
      <w:tr w:rsidR="00E153F4" w:rsidRPr="005060E0" w14:paraId="2473515E" w14:textId="77777777" w:rsidTr="00E153F4">
        <w:tc>
          <w:tcPr>
            <w:tcW w:w="1341" w:type="pct"/>
          </w:tcPr>
          <w:p w14:paraId="0389EF54" w14:textId="485B6A9F" w:rsidR="00E153F4" w:rsidRPr="005060E0" w:rsidRDefault="00BE6FF6" w:rsidP="006D7356">
            <w:pPr>
              <w:widowControl w:val="0"/>
              <w:spacing w:before="60" w:after="60" w:line="240" w:lineRule="auto"/>
              <w:rPr>
                <w:rFonts w:cs="Arial"/>
                <w:sz w:val="18"/>
                <w:szCs w:val="18"/>
              </w:rPr>
            </w:pPr>
            <w:r w:rsidRPr="005060E0">
              <w:rPr>
                <w:rFonts w:cs="Arial"/>
                <w:sz w:val="18"/>
                <w:szCs w:val="18"/>
              </w:rPr>
              <w:t>National Environment Protection Measure (NEPM)</w:t>
            </w:r>
          </w:p>
        </w:tc>
        <w:tc>
          <w:tcPr>
            <w:tcW w:w="3659" w:type="pct"/>
          </w:tcPr>
          <w:p w14:paraId="5DAF2D8D" w14:textId="39F17D22" w:rsidR="00E153F4" w:rsidRPr="005060E0" w:rsidRDefault="00BE6FF6" w:rsidP="006D7356">
            <w:pPr>
              <w:widowControl w:val="0"/>
              <w:spacing w:before="60" w:after="60" w:line="240" w:lineRule="auto"/>
              <w:rPr>
                <w:rFonts w:cs="Arial"/>
                <w:sz w:val="18"/>
                <w:szCs w:val="18"/>
              </w:rPr>
            </w:pPr>
            <w:r w:rsidRPr="005060E0">
              <w:rPr>
                <w:rFonts w:cs="Arial"/>
                <w:sz w:val="18"/>
                <w:szCs w:val="18"/>
              </w:rPr>
              <w:t xml:space="preserve">Legislation designed to protect and manage particular aspects of the environment, established under the </w:t>
            </w:r>
            <w:r w:rsidRPr="001B1338">
              <w:rPr>
                <w:rFonts w:cs="Arial"/>
                <w:i/>
                <w:sz w:val="18"/>
                <w:szCs w:val="18"/>
              </w:rPr>
              <w:t>National Environment Protection Act 1994</w:t>
            </w:r>
            <w:r w:rsidRPr="005060E0">
              <w:rPr>
                <w:rFonts w:cs="Arial"/>
                <w:sz w:val="18"/>
                <w:szCs w:val="18"/>
              </w:rPr>
              <w:t xml:space="preserve"> (‘NEPC Act’).</w:t>
            </w:r>
          </w:p>
        </w:tc>
      </w:tr>
      <w:tr w:rsidR="00E153F4" w:rsidRPr="005060E0" w14:paraId="388F18B0" w14:textId="77777777" w:rsidTr="00E153F4">
        <w:tc>
          <w:tcPr>
            <w:tcW w:w="1341" w:type="pct"/>
          </w:tcPr>
          <w:p w14:paraId="77054023" w14:textId="233CF54C" w:rsidR="00E153F4" w:rsidRPr="005060E0" w:rsidRDefault="00BE6FF6" w:rsidP="006D7356">
            <w:pPr>
              <w:widowControl w:val="0"/>
              <w:spacing w:before="60" w:after="60" w:line="240" w:lineRule="auto"/>
              <w:rPr>
                <w:rFonts w:cs="Arial"/>
                <w:sz w:val="18"/>
                <w:szCs w:val="18"/>
              </w:rPr>
            </w:pPr>
            <w:r w:rsidRPr="005060E0">
              <w:rPr>
                <w:rFonts w:cs="Arial"/>
                <w:sz w:val="18"/>
                <w:szCs w:val="18"/>
              </w:rPr>
              <w:t>Percentile</w:t>
            </w:r>
          </w:p>
        </w:tc>
        <w:tc>
          <w:tcPr>
            <w:tcW w:w="3659" w:type="pct"/>
          </w:tcPr>
          <w:p w14:paraId="1F7A7960" w14:textId="4E8960C0" w:rsidR="00E153F4" w:rsidRPr="005060E0" w:rsidRDefault="00BE6FF6" w:rsidP="006D7356">
            <w:pPr>
              <w:widowControl w:val="0"/>
              <w:spacing w:before="60" w:after="60" w:line="240" w:lineRule="auto"/>
              <w:rPr>
                <w:rFonts w:cs="Arial"/>
                <w:sz w:val="18"/>
                <w:szCs w:val="18"/>
              </w:rPr>
            </w:pPr>
            <w:r w:rsidRPr="005060E0">
              <w:rPr>
                <w:rFonts w:cs="Arial"/>
                <w:sz w:val="18"/>
                <w:szCs w:val="18"/>
              </w:rPr>
              <w:t>A value on a scale that indicates the percent of a distribution that is equal to it or below it. For example, a score at the 95th percentile is equal to or better than 95 per</w:t>
            </w:r>
            <w:r w:rsidR="009B137C" w:rsidRPr="005060E0">
              <w:rPr>
                <w:rFonts w:cs="Arial"/>
                <w:sz w:val="18"/>
                <w:szCs w:val="18"/>
              </w:rPr>
              <w:t xml:space="preserve"> </w:t>
            </w:r>
            <w:r w:rsidRPr="005060E0">
              <w:rPr>
                <w:rFonts w:cs="Arial"/>
                <w:sz w:val="18"/>
                <w:szCs w:val="18"/>
              </w:rPr>
              <w:t>cent of the scores.</w:t>
            </w:r>
          </w:p>
        </w:tc>
      </w:tr>
      <w:tr w:rsidR="00CC2469" w:rsidRPr="005060E0" w14:paraId="77FD5D64" w14:textId="77777777" w:rsidTr="00E153F4">
        <w:tc>
          <w:tcPr>
            <w:tcW w:w="1341" w:type="pct"/>
          </w:tcPr>
          <w:p w14:paraId="084DB615" w14:textId="656A3E7E" w:rsidR="00CC2469" w:rsidRPr="005060E0" w:rsidRDefault="00CC2469" w:rsidP="006D7356">
            <w:pPr>
              <w:widowControl w:val="0"/>
              <w:spacing w:before="60" w:after="60" w:line="240" w:lineRule="auto"/>
              <w:rPr>
                <w:rFonts w:cs="Arial"/>
                <w:sz w:val="18"/>
                <w:szCs w:val="18"/>
              </w:rPr>
            </w:pPr>
            <w:r w:rsidRPr="005060E0">
              <w:rPr>
                <w:rFonts w:cs="Arial"/>
                <w:sz w:val="18"/>
                <w:szCs w:val="18"/>
              </w:rPr>
              <w:t>Photochemical model</w:t>
            </w:r>
          </w:p>
        </w:tc>
        <w:tc>
          <w:tcPr>
            <w:tcW w:w="3659" w:type="pct"/>
          </w:tcPr>
          <w:p w14:paraId="284EF442" w14:textId="7B075A06" w:rsidR="00CC2469" w:rsidRPr="005060E0" w:rsidRDefault="00CC2469" w:rsidP="006D7356">
            <w:pPr>
              <w:widowControl w:val="0"/>
              <w:spacing w:before="60" w:after="60" w:line="240" w:lineRule="auto"/>
              <w:rPr>
                <w:rFonts w:cs="Arial"/>
                <w:sz w:val="18"/>
                <w:szCs w:val="18"/>
              </w:rPr>
            </w:pPr>
            <w:r w:rsidRPr="005060E0">
              <w:rPr>
                <w:rFonts w:cs="Arial"/>
                <w:sz w:val="18"/>
                <w:szCs w:val="18"/>
              </w:rPr>
              <w:t>A model which simulates the changes of pollutant concentrations in the atmosphere using both chemical and physical processes in the atmosphere.</w:t>
            </w:r>
          </w:p>
        </w:tc>
      </w:tr>
      <w:tr w:rsidR="00E153F4" w:rsidRPr="005060E0" w14:paraId="1D33DF88" w14:textId="77777777" w:rsidTr="00E153F4">
        <w:tc>
          <w:tcPr>
            <w:tcW w:w="1341" w:type="pct"/>
          </w:tcPr>
          <w:p w14:paraId="7EC388DA" w14:textId="000F220F" w:rsidR="00E153F4" w:rsidRPr="005060E0" w:rsidRDefault="00CC2469" w:rsidP="006D7356">
            <w:pPr>
              <w:widowControl w:val="0"/>
              <w:spacing w:before="60" w:after="60" w:line="240" w:lineRule="auto"/>
              <w:rPr>
                <w:rFonts w:cs="Arial"/>
                <w:sz w:val="18"/>
                <w:szCs w:val="18"/>
              </w:rPr>
            </w:pPr>
            <w:r w:rsidRPr="005060E0">
              <w:rPr>
                <w:rFonts w:cs="Arial"/>
                <w:sz w:val="18"/>
                <w:szCs w:val="18"/>
              </w:rPr>
              <w:t>Point source</w:t>
            </w:r>
          </w:p>
        </w:tc>
        <w:tc>
          <w:tcPr>
            <w:tcW w:w="3659" w:type="pct"/>
          </w:tcPr>
          <w:p w14:paraId="2E6614AC" w14:textId="005A5C8B" w:rsidR="00E153F4" w:rsidRPr="005060E0" w:rsidRDefault="00CC2469" w:rsidP="00CC2469">
            <w:pPr>
              <w:widowControl w:val="0"/>
              <w:spacing w:before="60" w:after="60" w:line="240" w:lineRule="auto"/>
              <w:rPr>
                <w:rFonts w:cs="Arial"/>
                <w:sz w:val="18"/>
                <w:szCs w:val="18"/>
              </w:rPr>
            </w:pPr>
            <w:r w:rsidRPr="005060E0">
              <w:rPr>
                <w:rFonts w:cs="Arial"/>
                <w:sz w:val="18"/>
                <w:szCs w:val="18"/>
              </w:rPr>
              <w:t>Point sources are stacks, vents, or other discrete point</w:t>
            </w:r>
            <w:r w:rsidR="004257B6" w:rsidRPr="005060E0">
              <w:rPr>
                <w:rFonts w:cs="Arial"/>
                <w:sz w:val="18"/>
                <w:szCs w:val="18"/>
              </w:rPr>
              <w:t>s</w:t>
            </w:r>
            <w:r w:rsidRPr="005060E0">
              <w:rPr>
                <w:rFonts w:cs="Arial"/>
                <w:sz w:val="18"/>
                <w:szCs w:val="18"/>
              </w:rPr>
              <w:t xml:space="preserve"> of pollution release. Typically, these emissions are associated with combustion or process release points from the operating facility. It is usually possible to measure the releases from point </w:t>
            </w:r>
            <w:r w:rsidR="004257B6" w:rsidRPr="005060E0">
              <w:rPr>
                <w:rFonts w:cs="Arial"/>
                <w:sz w:val="18"/>
                <w:szCs w:val="18"/>
              </w:rPr>
              <w:t xml:space="preserve">sources </w:t>
            </w:r>
            <w:r w:rsidRPr="005060E0">
              <w:rPr>
                <w:rFonts w:cs="Arial"/>
                <w:sz w:val="18"/>
                <w:szCs w:val="18"/>
              </w:rPr>
              <w:t>and records of emissions are often available for these sources.</w:t>
            </w:r>
          </w:p>
        </w:tc>
      </w:tr>
    </w:tbl>
    <w:p w14:paraId="30C7DC8B" w14:textId="27E510F2" w:rsidR="007A6245" w:rsidRPr="005060E0" w:rsidRDefault="00BE1EFB" w:rsidP="00B246FA">
      <w:pPr>
        <w:pStyle w:val="Heading1nonum"/>
        <w:spacing w:before="360" w:after="240"/>
      </w:pPr>
      <w:bookmarkStart w:id="10" w:name="_Toc3278916"/>
      <w:r w:rsidRPr="005060E0">
        <w:t>Conversion of concentration units</w:t>
      </w:r>
      <w:bookmarkEnd w:id="10"/>
    </w:p>
    <w:p w14:paraId="300CC1D8" w14:textId="259CF626" w:rsidR="00BE1EFB" w:rsidRPr="005060E0" w:rsidRDefault="00BE1EFB" w:rsidP="00CC3E6D">
      <w:pPr>
        <w:pStyle w:val="BodyText"/>
        <w:spacing w:after="140" w:line="276" w:lineRule="atLeast"/>
      </w:pPr>
      <w:r w:rsidRPr="005060E0">
        <w:t xml:space="preserve">Concentrations of gaseous pollutants in air, and similarly air quality standards, can be stated in terms of either volume (e.g. parts per billion – ppb) or mass (e.g. </w:t>
      </w:r>
      <w:bookmarkStart w:id="11" w:name="_Toc483206075"/>
      <w:r w:rsidRPr="005060E0">
        <w:t xml:space="preserve">micrograms per cubic metre </w:t>
      </w:r>
      <w:r w:rsidR="00147BCF" w:rsidRPr="005060E0">
        <w:rPr>
          <w:rFonts w:cs="Arial"/>
        </w:rPr>
        <w:t>–</w:t>
      </w:r>
      <w:r w:rsidRPr="005060E0">
        <w:t xml:space="preserve"> µg/m</w:t>
      </w:r>
      <w:r w:rsidRPr="005060E0">
        <w:rPr>
          <w:vertAlign w:val="superscript"/>
        </w:rPr>
        <w:t>3</w:t>
      </w:r>
      <w:bookmarkEnd w:id="11"/>
      <w:r w:rsidRPr="005060E0">
        <w:t xml:space="preserve">), and different units are used in different documents. </w:t>
      </w:r>
    </w:p>
    <w:p w14:paraId="17EFFC46" w14:textId="42926FB6" w:rsidR="00BE1EFB" w:rsidRPr="005060E0" w:rsidRDefault="00BE1EFB" w:rsidP="00CC3E6D">
      <w:pPr>
        <w:pStyle w:val="BodyText"/>
        <w:spacing w:after="120" w:line="276" w:lineRule="atLeast"/>
      </w:pPr>
      <w:r w:rsidRPr="005060E0">
        <w:t>The conversion of ppb to µg/m</w:t>
      </w:r>
      <w:r w:rsidRPr="005060E0">
        <w:rPr>
          <w:vertAlign w:val="superscript"/>
        </w:rPr>
        <w:t>3</w:t>
      </w:r>
      <w:r w:rsidRPr="005060E0">
        <w:t xml:space="preserve"> (and vice versa) is dependent on temperature and pressure. For the purpose of this </w:t>
      </w:r>
      <w:r w:rsidR="001969DF" w:rsidRPr="005060E0">
        <w:t xml:space="preserve">Impact Statement </w:t>
      </w:r>
      <w:r w:rsidRPr="005060E0">
        <w:t>a standardised approach to the conver</w:t>
      </w:r>
      <w:r w:rsidR="002237E0" w:rsidRPr="005060E0">
        <w:t xml:space="preserve">sion of units has been adopted, </w:t>
      </w:r>
      <w:r w:rsidRPr="005060E0">
        <w:t>where</w:t>
      </w:r>
      <w:r w:rsidR="007E2121" w:rsidRPr="005060E0">
        <w:t>by</w:t>
      </w:r>
      <w:r w:rsidRPr="005060E0">
        <w:t>:</w:t>
      </w:r>
    </w:p>
    <w:p w14:paraId="5E0E2E2B" w14:textId="77777777" w:rsidR="00BE1EFB" w:rsidRPr="005060E0" w:rsidRDefault="00BE1EFB" w:rsidP="00CC3E6D">
      <w:pPr>
        <w:pStyle w:val="ListBullet"/>
        <w:spacing w:after="120" w:line="276" w:lineRule="atLeast"/>
        <w:ind w:left="714" w:hanging="357"/>
      </w:pPr>
      <w:r w:rsidRPr="005060E0">
        <w:t>The primary unit has been taken from the source document.</w:t>
      </w:r>
    </w:p>
    <w:p w14:paraId="36462FBD" w14:textId="77031A67" w:rsidR="00BE1EFB" w:rsidRPr="005060E0" w:rsidRDefault="00BE1EFB" w:rsidP="00CC3E6D">
      <w:pPr>
        <w:pStyle w:val="ListBullet"/>
        <w:spacing w:after="120" w:line="276" w:lineRule="atLeast"/>
        <w:ind w:left="714" w:hanging="357"/>
      </w:pPr>
      <w:r w:rsidRPr="005060E0">
        <w:t xml:space="preserve">Where any conversion was required, the reference conditions of the </w:t>
      </w:r>
      <w:r w:rsidR="00147BCF" w:rsidRPr="005060E0">
        <w:t>National Environment Protection (Ambient Air Quality) Measure (</w:t>
      </w:r>
      <w:r w:rsidRPr="005060E0">
        <w:t>AAQ NEPM</w:t>
      </w:r>
      <w:r w:rsidR="00147BCF" w:rsidRPr="005060E0">
        <w:t>)</w:t>
      </w:r>
      <w:r w:rsidRPr="005060E0">
        <w:t xml:space="preserve"> have been used (0°C and an absolute pressure of 101.325 kilopascals (kPa)).</w:t>
      </w:r>
    </w:p>
    <w:p w14:paraId="3D2988DD" w14:textId="77777777" w:rsidR="007E2121" w:rsidRPr="005060E0" w:rsidRDefault="007E2121" w:rsidP="00CC3E6D">
      <w:pPr>
        <w:spacing w:after="120" w:line="276" w:lineRule="atLeast"/>
      </w:pPr>
      <w:r w:rsidRPr="005060E0">
        <w:t>For each pollutant, the following conversion factors have been used:</w:t>
      </w:r>
    </w:p>
    <w:p w14:paraId="7D746DC2" w14:textId="77777777" w:rsidR="007E2121" w:rsidRPr="005060E0" w:rsidRDefault="007E2121" w:rsidP="00CC3E6D">
      <w:pPr>
        <w:pStyle w:val="ListBullet"/>
        <w:spacing w:after="120" w:line="276" w:lineRule="atLeast"/>
        <w:ind w:left="714" w:hanging="357"/>
      </w:pPr>
      <w:r w:rsidRPr="005060E0">
        <w:t>SO</w:t>
      </w:r>
      <w:r w:rsidRPr="005060E0">
        <w:rPr>
          <w:vertAlign w:val="subscript"/>
        </w:rPr>
        <w:t>2</w:t>
      </w:r>
      <w:r w:rsidRPr="005060E0">
        <w:tab/>
      </w:r>
      <w:r w:rsidRPr="005060E0">
        <w:tab/>
        <w:t>1 ppb = 2.858 µg/m</w:t>
      </w:r>
      <w:r w:rsidRPr="005060E0">
        <w:rPr>
          <w:vertAlign w:val="superscript"/>
        </w:rPr>
        <w:t>3</w:t>
      </w:r>
    </w:p>
    <w:p w14:paraId="76A3A5C2" w14:textId="77777777" w:rsidR="007E2121" w:rsidRPr="005060E0" w:rsidRDefault="007E2121" w:rsidP="00CC3E6D">
      <w:pPr>
        <w:pStyle w:val="ListBullet"/>
        <w:spacing w:after="120" w:line="276" w:lineRule="atLeast"/>
        <w:ind w:left="714" w:hanging="357"/>
      </w:pPr>
      <w:r w:rsidRPr="005060E0">
        <w:t>NO</w:t>
      </w:r>
      <w:r w:rsidRPr="005060E0">
        <w:rPr>
          <w:vertAlign w:val="subscript"/>
        </w:rPr>
        <w:t>2</w:t>
      </w:r>
      <w:r w:rsidRPr="005060E0">
        <w:tab/>
      </w:r>
      <w:r w:rsidRPr="005060E0">
        <w:tab/>
        <w:t>1 ppb = 2.053 µg/m</w:t>
      </w:r>
      <w:r w:rsidRPr="005060E0">
        <w:rPr>
          <w:vertAlign w:val="superscript"/>
        </w:rPr>
        <w:t>3</w:t>
      </w:r>
    </w:p>
    <w:p w14:paraId="7F1AEE19" w14:textId="4D18C825" w:rsidR="007E2121" w:rsidRPr="005060E0" w:rsidRDefault="007E2121" w:rsidP="00CC3E6D">
      <w:pPr>
        <w:pStyle w:val="ListBullet"/>
        <w:spacing w:after="120" w:line="276" w:lineRule="atLeast"/>
        <w:ind w:left="714" w:hanging="357"/>
      </w:pPr>
      <w:r w:rsidRPr="005060E0">
        <w:t>O</w:t>
      </w:r>
      <w:r w:rsidRPr="005060E0">
        <w:rPr>
          <w:vertAlign w:val="subscript"/>
        </w:rPr>
        <w:t>3</w:t>
      </w:r>
      <w:r w:rsidRPr="005060E0">
        <w:tab/>
      </w:r>
      <w:r w:rsidRPr="005060E0">
        <w:tab/>
        <w:t>1 ppb = 2.141 µg/m</w:t>
      </w:r>
      <w:r w:rsidRPr="005060E0">
        <w:rPr>
          <w:vertAlign w:val="superscript"/>
        </w:rPr>
        <w:t>3</w:t>
      </w:r>
      <w:r w:rsidR="00147BCF" w:rsidRPr="005060E0">
        <w:t>.</w:t>
      </w:r>
    </w:p>
    <w:p w14:paraId="2A4D75D1" w14:textId="03F1BC36" w:rsidR="009A6430" w:rsidRPr="005060E0" w:rsidRDefault="00BE1EFB" w:rsidP="00CC3E6D">
      <w:pPr>
        <w:spacing w:after="0" w:line="276" w:lineRule="atLeast"/>
      </w:pPr>
      <w:r w:rsidRPr="005060E0">
        <w:t>Some source documents</w:t>
      </w:r>
      <w:r w:rsidR="007E2121" w:rsidRPr="005060E0">
        <w:t xml:space="preserve"> have</w:t>
      </w:r>
      <w:r w:rsidRPr="005060E0">
        <w:t xml:space="preserve"> provided concentrations in both </w:t>
      </w:r>
      <w:r w:rsidR="007E2121" w:rsidRPr="005060E0">
        <w:t xml:space="preserve">volume- and </w:t>
      </w:r>
      <w:r w:rsidRPr="005060E0">
        <w:t>mass</w:t>
      </w:r>
      <w:r w:rsidR="007E2121" w:rsidRPr="005060E0">
        <w:t>-based units</w:t>
      </w:r>
      <w:r w:rsidRPr="005060E0">
        <w:t>, and the assumed temperature may not</w:t>
      </w:r>
      <w:r w:rsidR="007E2121" w:rsidRPr="005060E0">
        <w:t xml:space="preserve"> have</w:t>
      </w:r>
      <w:r w:rsidRPr="005060E0">
        <w:t xml:space="preserve"> be</w:t>
      </w:r>
      <w:r w:rsidR="007E2121" w:rsidRPr="005060E0">
        <w:t>en</w:t>
      </w:r>
      <w:r w:rsidRPr="005060E0">
        <w:t xml:space="preserve"> 0</w:t>
      </w:r>
      <w:r w:rsidR="00147BCF" w:rsidRPr="00126BED">
        <w:t>°</w:t>
      </w:r>
      <w:r w:rsidRPr="005060E0">
        <w:t xml:space="preserve">C. Where this was the case, both </w:t>
      </w:r>
      <w:r w:rsidR="007E2121" w:rsidRPr="005060E0">
        <w:t>the volume and mass units</w:t>
      </w:r>
      <w:r w:rsidRPr="005060E0">
        <w:t xml:space="preserve"> from the </w:t>
      </w:r>
      <w:r w:rsidR="007E2121" w:rsidRPr="005060E0">
        <w:t xml:space="preserve">source </w:t>
      </w:r>
      <w:r w:rsidRPr="005060E0">
        <w:t>document have been retained.</w:t>
      </w:r>
    </w:p>
    <w:p w14:paraId="6A420D63" w14:textId="77777777" w:rsidR="00FC74FF" w:rsidRDefault="00FC74FF" w:rsidP="008A6692">
      <w:pPr>
        <w:pStyle w:val="PBL1plain"/>
        <w:sectPr w:rsidR="00FC74FF" w:rsidSect="00861C04">
          <w:type w:val="oddPage"/>
          <w:pgSz w:w="11906" w:h="16838" w:code="9"/>
          <w:pgMar w:top="1440" w:right="1134" w:bottom="1701" w:left="1134" w:header="709" w:footer="130" w:gutter="0"/>
          <w:pgNumType w:fmt="lowerRoman"/>
          <w:cols w:space="708"/>
          <w:docGrid w:linePitch="360"/>
        </w:sectPr>
      </w:pPr>
    </w:p>
    <w:p w14:paraId="2A4D760F" w14:textId="28E06C5B" w:rsidR="00D07B0A" w:rsidRPr="005060E0" w:rsidRDefault="00893899" w:rsidP="0043533F">
      <w:pPr>
        <w:pStyle w:val="Heading1"/>
      </w:pPr>
      <w:bookmarkStart w:id="12" w:name="_Toc3278917"/>
      <w:r w:rsidRPr="005060E0">
        <w:t>Introduction</w:t>
      </w:r>
      <w:bookmarkEnd w:id="12"/>
      <w:r w:rsidR="00F138CE" w:rsidRPr="005060E0">
        <w:t xml:space="preserve"> </w:t>
      </w:r>
    </w:p>
    <w:p w14:paraId="34EE69D0" w14:textId="7A3A4606" w:rsidR="00EA2475" w:rsidRPr="005060E0" w:rsidRDefault="00EA2475" w:rsidP="0043533F">
      <w:pPr>
        <w:pStyle w:val="Heading2"/>
      </w:pPr>
      <w:bookmarkStart w:id="13" w:name="_Toc3278918"/>
      <w:r w:rsidRPr="005060E0">
        <w:t>Overview</w:t>
      </w:r>
      <w:bookmarkEnd w:id="13"/>
    </w:p>
    <w:p w14:paraId="7048D55F" w14:textId="1791D9F6" w:rsidR="00EB42D5" w:rsidRPr="005060E0" w:rsidRDefault="00CD2A72" w:rsidP="00EB42D5">
      <w:pPr>
        <w:pStyle w:val="BodyText"/>
      </w:pPr>
      <w:r w:rsidRPr="005060E0">
        <w:t xml:space="preserve">This </w:t>
      </w:r>
      <w:r w:rsidR="005A5C6C" w:rsidRPr="005060E0">
        <w:t>Impact Statement</w:t>
      </w:r>
      <w:r w:rsidRPr="005060E0">
        <w:t xml:space="preserve"> </w:t>
      </w:r>
      <w:r w:rsidR="00D26814" w:rsidRPr="005060E0">
        <w:t>has been prepared for the National Environm</w:t>
      </w:r>
      <w:r w:rsidR="00EB42D5" w:rsidRPr="005060E0">
        <w:t>ent Protection Council (NEPC)</w:t>
      </w:r>
      <w:r w:rsidR="00C35443" w:rsidRPr="005060E0">
        <w:t xml:space="preserve"> with reference to the requirements of the </w:t>
      </w:r>
      <w:r w:rsidR="00284AAE" w:rsidRPr="005060E0">
        <w:rPr>
          <w:i/>
        </w:rPr>
        <w:t>National Environment Protection Act 1994</w:t>
      </w:r>
      <w:r w:rsidR="00284AAE" w:rsidRPr="005060E0">
        <w:t xml:space="preserve"> (NEPC Act)</w:t>
      </w:r>
      <w:r w:rsidR="00DF340D" w:rsidRPr="005060E0">
        <w:t xml:space="preserve">. It </w:t>
      </w:r>
      <w:r w:rsidR="00C35443" w:rsidRPr="005060E0">
        <w:t>pro</w:t>
      </w:r>
      <w:r w:rsidR="004272A9" w:rsidRPr="005060E0">
        <w:t>vides information on the sulfur dioxide (SO</w:t>
      </w:r>
      <w:r w:rsidR="004272A9" w:rsidRPr="005060E0">
        <w:rPr>
          <w:vertAlign w:val="subscript"/>
        </w:rPr>
        <w:t>2</w:t>
      </w:r>
      <w:r w:rsidR="004272A9" w:rsidRPr="005060E0">
        <w:t>), nitrogen dioxide (NO</w:t>
      </w:r>
      <w:r w:rsidR="004272A9" w:rsidRPr="005060E0">
        <w:rPr>
          <w:vertAlign w:val="subscript"/>
        </w:rPr>
        <w:t>2</w:t>
      </w:r>
      <w:r w:rsidR="004272A9" w:rsidRPr="005060E0">
        <w:t>) and ozone (O</w:t>
      </w:r>
      <w:r w:rsidR="004272A9" w:rsidRPr="005060E0">
        <w:rPr>
          <w:vertAlign w:val="subscript"/>
        </w:rPr>
        <w:t>3</w:t>
      </w:r>
      <w:r w:rsidR="004272A9" w:rsidRPr="005060E0">
        <w:t>) standards in the National Environment Protection (Ambient Air Quality) Measure (AAQ NEPM) and options to vary the standards</w:t>
      </w:r>
      <w:r w:rsidR="002A3687" w:rsidRPr="005060E0">
        <w:rPr>
          <w:rStyle w:val="FootnoteReference"/>
        </w:rPr>
        <w:footnoteReference w:id="5"/>
      </w:r>
      <w:r w:rsidR="002A3687" w:rsidRPr="005060E0">
        <w:t>.</w:t>
      </w:r>
    </w:p>
    <w:p w14:paraId="5CD23C81" w14:textId="3C77191D" w:rsidR="002A3687" w:rsidRPr="005060E0" w:rsidRDefault="00D26814" w:rsidP="00336341">
      <w:pPr>
        <w:pStyle w:val="BodyText"/>
      </w:pPr>
      <w:r w:rsidRPr="005060E0">
        <w:t xml:space="preserve">The </w:t>
      </w:r>
      <w:r w:rsidR="005A5C6C" w:rsidRPr="005060E0">
        <w:t>Impact Statement</w:t>
      </w:r>
      <w:r w:rsidRPr="005060E0">
        <w:t xml:space="preserve"> collates and analyses </w:t>
      </w:r>
      <w:r w:rsidR="00EB42D5" w:rsidRPr="005060E0">
        <w:t xml:space="preserve">the </w:t>
      </w:r>
      <w:r w:rsidRPr="005060E0">
        <w:t xml:space="preserve">available information on these pollutants in Australia, and considers the </w:t>
      </w:r>
      <w:r w:rsidR="006F49C7" w:rsidRPr="005060E0">
        <w:t>feasibility of updating the standards, and the costs and benefits of a range of potential abatement measures that could be introduced to lower concentrations for these pollutants</w:t>
      </w:r>
      <w:r w:rsidRPr="005060E0">
        <w:t xml:space="preserve">. </w:t>
      </w:r>
      <w:r w:rsidR="009F414F" w:rsidRPr="005060E0">
        <w:t xml:space="preserve">For each pollutant a number of alternative standards have been considered (NB: for the purpose of this </w:t>
      </w:r>
      <w:r w:rsidR="005A5C6C" w:rsidRPr="005060E0">
        <w:t>Impact Statement</w:t>
      </w:r>
      <w:r w:rsidR="009F414F" w:rsidRPr="005060E0">
        <w:t xml:space="preserve"> these have been referred to collectively as ‘proposed standards’).</w:t>
      </w:r>
      <w:r w:rsidR="00FF743A" w:rsidRPr="005060E0">
        <w:t xml:space="preserve"> The preferred options for the standards in this Impact Statement are referred to as ‘recommendations’ for the standards.</w:t>
      </w:r>
      <w:r w:rsidR="009F414F" w:rsidRPr="005060E0">
        <w:t xml:space="preserve"> </w:t>
      </w:r>
    </w:p>
    <w:p w14:paraId="149EA45D" w14:textId="7922275B" w:rsidR="00E718D0" w:rsidRPr="005060E0" w:rsidRDefault="00CF3B8C" w:rsidP="00FA6BE1">
      <w:pPr>
        <w:pStyle w:val="Heading2"/>
        <w:ind w:left="709" w:hanging="709"/>
      </w:pPr>
      <w:bookmarkStart w:id="14" w:name="_Toc3278919"/>
      <w:r w:rsidRPr="005060E0">
        <w:t>T</w:t>
      </w:r>
      <w:r w:rsidR="00B3682D" w:rsidRPr="005060E0">
        <w:t xml:space="preserve">he </w:t>
      </w:r>
      <w:r w:rsidR="00FA6BE1" w:rsidRPr="005060E0">
        <w:t>National Environment Protection (Ambient Air Quality) Measure</w:t>
      </w:r>
      <w:bookmarkEnd w:id="14"/>
    </w:p>
    <w:p w14:paraId="32CB6D0A" w14:textId="2DE70FF3" w:rsidR="00EC32D9" w:rsidRPr="005060E0" w:rsidRDefault="00C33AD3" w:rsidP="00EC32D9">
      <w:pPr>
        <w:rPr>
          <w:rFonts w:eastAsia="Times New Roman" w:cs="Times New Roman"/>
        </w:rPr>
      </w:pPr>
      <w:r w:rsidRPr="005060E0">
        <w:rPr>
          <w:rFonts w:eastAsia="Times New Roman" w:cs="Times New Roman"/>
        </w:rPr>
        <w:t xml:space="preserve">The AAQ NEPM was originally </w:t>
      </w:r>
      <w:r w:rsidR="00EC32D9" w:rsidRPr="005060E0">
        <w:t xml:space="preserve">established </w:t>
      </w:r>
      <w:r w:rsidRPr="005060E0">
        <w:t xml:space="preserve">by </w:t>
      </w:r>
      <w:r w:rsidR="00D1369D">
        <w:t xml:space="preserve">the </w:t>
      </w:r>
      <w:r w:rsidRPr="005060E0">
        <w:t xml:space="preserve">NEPC in 1998 </w:t>
      </w:r>
      <w:r w:rsidR="00EC32D9" w:rsidRPr="005060E0">
        <w:t>under the NEPC Act.</w:t>
      </w:r>
      <w:r w:rsidR="00EC32D9" w:rsidRPr="005060E0">
        <w:rPr>
          <w:rFonts w:eastAsia="Times New Roman" w:cs="Times New Roman"/>
        </w:rPr>
        <w:t xml:space="preserve"> The objectives of the NEPC Act are to ensure that:</w:t>
      </w:r>
    </w:p>
    <w:p w14:paraId="4122F279" w14:textId="70324DE1" w:rsidR="00EC32D9" w:rsidRPr="005060E0" w:rsidRDefault="00192FF8" w:rsidP="00FD73F1">
      <w:pPr>
        <w:pStyle w:val="ListBullet"/>
        <w:spacing w:after="80"/>
        <w:ind w:left="714" w:hanging="357"/>
      </w:pPr>
      <w:r w:rsidRPr="005060E0">
        <w:t>p</w:t>
      </w:r>
      <w:r w:rsidR="00EC32D9" w:rsidRPr="005060E0">
        <w:t>eople enjoy the benefit of equivalent protection from air, water and soil pollution, wherever they live</w:t>
      </w:r>
    </w:p>
    <w:p w14:paraId="74BCDDA0" w14:textId="54E2B642" w:rsidR="00EC32D9" w:rsidRPr="005060E0" w:rsidRDefault="00BB547A" w:rsidP="00FD73F1">
      <w:pPr>
        <w:pStyle w:val="ListBullet"/>
        <w:ind w:left="714" w:hanging="357"/>
      </w:pPr>
      <w:r w:rsidRPr="005060E0">
        <w:t>d</w:t>
      </w:r>
      <w:r w:rsidR="00EC32D9" w:rsidRPr="005060E0">
        <w:t>ecisions by businesses are not distorted and markets not fragmented by variations between jurisdictions in relation to the adoption or implementation of a</w:t>
      </w:r>
      <w:r w:rsidRPr="005060E0">
        <w:t>n</w:t>
      </w:r>
      <w:r w:rsidR="00EC32D9" w:rsidRPr="005060E0">
        <w:t xml:space="preserve"> NEPM.</w:t>
      </w:r>
    </w:p>
    <w:p w14:paraId="6FCACC91" w14:textId="4DBF4D72" w:rsidR="00D94967" w:rsidRPr="005060E0" w:rsidRDefault="00EC32D9" w:rsidP="00D94967">
      <w:r w:rsidRPr="005060E0">
        <w:t xml:space="preserve">The AAQ NEPM </w:t>
      </w:r>
      <w:r w:rsidR="00B007CE" w:rsidRPr="005060E0">
        <w:t xml:space="preserve">aims to guide the making of policies that adequately protect human health and wellbeing. </w:t>
      </w:r>
      <w:r w:rsidR="00D94967" w:rsidRPr="005060E0">
        <w:t>The desired environmental outcome of the AAQ NEPM is ‘ambient air quality that allows for the adequate protection of human health and wellbeing’. The goals of the AAQ NEPM are to achieve the specified air quality standards and, in the case of particulate matter</w:t>
      </w:r>
      <w:r w:rsidR="00C33AD3" w:rsidRPr="005060E0">
        <w:t xml:space="preserve"> (PM)</w:t>
      </w:r>
      <w:r w:rsidR="00D94967" w:rsidRPr="005060E0">
        <w:t>, to achieve further reductions in maximum concentrations</w:t>
      </w:r>
      <w:r w:rsidR="00C82A7A" w:rsidRPr="005060E0">
        <w:t xml:space="preserve"> by 2025</w:t>
      </w:r>
      <w:r w:rsidR="00D94967" w:rsidRPr="005060E0">
        <w:t>.</w:t>
      </w:r>
    </w:p>
    <w:p w14:paraId="6045EE1F" w14:textId="1876F631" w:rsidR="00E718D0" w:rsidRPr="005060E0" w:rsidRDefault="00D94967" w:rsidP="00185039">
      <w:pPr>
        <w:spacing w:after="120"/>
      </w:pPr>
      <w:r w:rsidRPr="005060E0">
        <w:t>The AAQ NEPM</w:t>
      </w:r>
      <w:r w:rsidR="00DF340D" w:rsidRPr="005060E0">
        <w:t xml:space="preserve"> defines</w:t>
      </w:r>
      <w:r w:rsidR="00E718D0" w:rsidRPr="005060E0">
        <w:t xml:space="preserve"> national standards</w:t>
      </w:r>
      <w:r w:rsidR="00ED45AE" w:rsidRPr="005060E0">
        <w:t xml:space="preserve">, </w:t>
      </w:r>
      <w:r w:rsidR="00E718D0" w:rsidRPr="005060E0">
        <w:t xml:space="preserve">and a nationally consistent framework for the monitoring and reporting of </w:t>
      </w:r>
      <w:r w:rsidR="007D1E9F" w:rsidRPr="005060E0">
        <w:t xml:space="preserve">seven </w:t>
      </w:r>
      <w:r w:rsidR="00E718D0" w:rsidRPr="005060E0">
        <w:t xml:space="preserve">common </w:t>
      </w:r>
      <w:r w:rsidR="00363FA9" w:rsidRPr="005060E0">
        <w:t xml:space="preserve">ambient </w:t>
      </w:r>
      <w:r w:rsidR="00E718D0" w:rsidRPr="005060E0">
        <w:t>air pollutants. The</w:t>
      </w:r>
      <w:r w:rsidR="00670862" w:rsidRPr="005060E0">
        <w:t>se</w:t>
      </w:r>
      <w:r w:rsidR="00E718D0" w:rsidRPr="005060E0">
        <w:t xml:space="preserve"> pollutants are: </w:t>
      </w:r>
    </w:p>
    <w:p w14:paraId="75CD146B" w14:textId="26CF8514" w:rsidR="00E718D0" w:rsidRPr="005060E0" w:rsidRDefault="00BB547A" w:rsidP="00FD73F1">
      <w:pPr>
        <w:pStyle w:val="ListBullet"/>
        <w:spacing w:after="80"/>
        <w:ind w:left="714" w:hanging="357"/>
      </w:pPr>
      <w:r w:rsidRPr="005060E0">
        <w:t>c</w:t>
      </w:r>
      <w:r w:rsidR="00E718D0" w:rsidRPr="005060E0">
        <w:t xml:space="preserve">arbon monoxide (CO) </w:t>
      </w:r>
    </w:p>
    <w:p w14:paraId="5795420F" w14:textId="02310A7D" w:rsidR="00E718D0" w:rsidRPr="005060E0" w:rsidRDefault="00BB547A" w:rsidP="00FD73F1">
      <w:pPr>
        <w:pStyle w:val="ListBullet"/>
        <w:spacing w:after="80"/>
        <w:ind w:left="714" w:hanging="357"/>
      </w:pPr>
      <w:r w:rsidRPr="005060E0">
        <w:t>n</w:t>
      </w:r>
      <w:r w:rsidR="00E718D0" w:rsidRPr="005060E0">
        <w:t>itrogen dioxide (NO</w:t>
      </w:r>
      <w:r w:rsidR="00E718D0" w:rsidRPr="005060E0">
        <w:rPr>
          <w:vertAlign w:val="subscript"/>
        </w:rPr>
        <w:t>2</w:t>
      </w:r>
      <w:r w:rsidR="00E718D0" w:rsidRPr="005060E0">
        <w:t xml:space="preserve">) </w:t>
      </w:r>
    </w:p>
    <w:p w14:paraId="14141697" w14:textId="2E6C160F" w:rsidR="00E718D0" w:rsidRPr="005060E0" w:rsidRDefault="00BB547A" w:rsidP="00FD73F1">
      <w:pPr>
        <w:pStyle w:val="ListBullet"/>
        <w:spacing w:after="80"/>
        <w:ind w:left="714" w:hanging="357"/>
      </w:pPr>
      <w:r w:rsidRPr="005060E0">
        <w:t>s</w:t>
      </w:r>
      <w:r w:rsidR="00E718D0" w:rsidRPr="005060E0">
        <w:t>ulfur dioxide (SO</w:t>
      </w:r>
      <w:r w:rsidR="00E718D0" w:rsidRPr="005060E0">
        <w:rPr>
          <w:vertAlign w:val="subscript"/>
        </w:rPr>
        <w:t>2</w:t>
      </w:r>
      <w:r w:rsidR="00E718D0" w:rsidRPr="005060E0">
        <w:t xml:space="preserve">) </w:t>
      </w:r>
    </w:p>
    <w:p w14:paraId="61B349DD" w14:textId="0396FD38" w:rsidR="00E718D0" w:rsidRPr="005060E0" w:rsidRDefault="00BB547A" w:rsidP="00FD73F1">
      <w:pPr>
        <w:pStyle w:val="ListBullet"/>
        <w:spacing w:after="80"/>
        <w:ind w:left="714" w:hanging="357"/>
      </w:pPr>
      <w:r w:rsidRPr="005060E0">
        <w:t>l</w:t>
      </w:r>
      <w:r w:rsidR="00E718D0" w:rsidRPr="005060E0">
        <w:t xml:space="preserve">ead (Pb) </w:t>
      </w:r>
    </w:p>
    <w:p w14:paraId="3625872A" w14:textId="527D0790" w:rsidR="00E718D0" w:rsidRPr="005060E0" w:rsidRDefault="00BB547A" w:rsidP="00FD73F1">
      <w:pPr>
        <w:pStyle w:val="ListBullet"/>
        <w:spacing w:after="80"/>
        <w:ind w:left="714" w:hanging="357"/>
      </w:pPr>
      <w:r w:rsidRPr="005060E0">
        <w:t>p</w:t>
      </w:r>
      <w:r w:rsidR="00AF44BA" w:rsidRPr="005060E0">
        <w:t xml:space="preserve">hotochemical oxidants </w:t>
      </w:r>
      <w:r w:rsidR="00C82A7A" w:rsidRPr="005060E0">
        <w:t>(</w:t>
      </w:r>
      <w:r w:rsidR="00AF44BA" w:rsidRPr="005060E0">
        <w:t xml:space="preserve">as </w:t>
      </w:r>
      <w:r w:rsidR="00E718D0" w:rsidRPr="005060E0">
        <w:t>O</w:t>
      </w:r>
      <w:r w:rsidR="00E718D0" w:rsidRPr="005060E0">
        <w:rPr>
          <w:vertAlign w:val="subscript"/>
        </w:rPr>
        <w:t>3</w:t>
      </w:r>
      <w:r w:rsidR="00C82A7A" w:rsidRPr="005060E0">
        <w:t>)</w:t>
      </w:r>
    </w:p>
    <w:p w14:paraId="58BF34F7" w14:textId="492C81F3" w:rsidR="00E718D0" w:rsidRPr="005060E0" w:rsidRDefault="00BB547A" w:rsidP="00FD73F1">
      <w:pPr>
        <w:pStyle w:val="ListBullet"/>
        <w:spacing w:after="80"/>
        <w:ind w:left="714" w:hanging="357"/>
      </w:pPr>
      <w:r w:rsidRPr="005060E0">
        <w:t>p</w:t>
      </w:r>
      <w:r w:rsidR="00C33AD3" w:rsidRPr="005060E0">
        <w:t xml:space="preserve">articulate matter </w:t>
      </w:r>
      <w:r w:rsidR="00E718D0" w:rsidRPr="005060E0">
        <w:t>with an aerodynamic diameter of less than</w:t>
      </w:r>
      <w:r w:rsidR="00CE59DD" w:rsidRPr="005060E0">
        <w:t xml:space="preserve"> or equal to</w:t>
      </w:r>
      <w:r w:rsidR="00C82A7A" w:rsidRPr="005060E0">
        <w:t xml:space="preserve"> 10 micrometres </w:t>
      </w:r>
      <w:r w:rsidR="00E718D0" w:rsidRPr="005060E0">
        <w:t>(µm) (known as PM</w:t>
      </w:r>
      <w:r w:rsidR="00E718D0" w:rsidRPr="005060E0">
        <w:rPr>
          <w:vertAlign w:val="subscript"/>
        </w:rPr>
        <w:t>10</w:t>
      </w:r>
      <w:r w:rsidR="00E718D0" w:rsidRPr="005060E0">
        <w:t>)</w:t>
      </w:r>
    </w:p>
    <w:p w14:paraId="5F62654F" w14:textId="4B822F5A" w:rsidR="00197547" w:rsidRPr="005060E0" w:rsidRDefault="00BB547A" w:rsidP="00DF340D">
      <w:pPr>
        <w:pStyle w:val="ListBullet"/>
      </w:pPr>
      <w:r w:rsidRPr="005060E0">
        <w:t>p</w:t>
      </w:r>
      <w:r w:rsidR="00C33AD3" w:rsidRPr="005060E0">
        <w:t xml:space="preserve">articulate matter </w:t>
      </w:r>
      <w:r w:rsidR="00DF340D" w:rsidRPr="005060E0">
        <w:t>with an aerodynamic diameter of less than or equal to 2.5 micrometres (µm) (known as PM</w:t>
      </w:r>
      <w:r w:rsidR="00DF340D" w:rsidRPr="005060E0">
        <w:rPr>
          <w:vertAlign w:val="subscript"/>
        </w:rPr>
        <w:t>2.5</w:t>
      </w:r>
      <w:r w:rsidR="00DF340D" w:rsidRPr="005060E0">
        <w:t>)</w:t>
      </w:r>
      <w:r w:rsidRPr="005060E0">
        <w:rPr>
          <w:rStyle w:val="FootnoteReference"/>
        </w:rPr>
        <w:footnoteReference w:id="6"/>
      </w:r>
      <w:r w:rsidR="00DF340D" w:rsidRPr="005060E0">
        <w:t>.</w:t>
      </w:r>
    </w:p>
    <w:p w14:paraId="36D9ECD3" w14:textId="07EA892F" w:rsidR="00DF340D" w:rsidRPr="005060E0" w:rsidRDefault="00197547" w:rsidP="00E20C55">
      <w:pPr>
        <w:spacing w:after="120"/>
      </w:pPr>
      <w:r w:rsidRPr="005060E0">
        <w:t xml:space="preserve">The NEPM is implemented by the </w:t>
      </w:r>
      <w:r w:rsidR="00F912C0" w:rsidRPr="005060E0">
        <w:t xml:space="preserve">Commonwealth administratively, and by the </w:t>
      </w:r>
      <w:r w:rsidRPr="005060E0">
        <w:t>states and territories, who tailor air quality management strategies specifically suited to their jurisdiction.</w:t>
      </w:r>
    </w:p>
    <w:p w14:paraId="66E4BB1B" w14:textId="3EFE3C11" w:rsidR="00CF3B8C" w:rsidRPr="005060E0" w:rsidRDefault="00CF3B8C" w:rsidP="00205B41">
      <w:pPr>
        <w:pStyle w:val="Heading2"/>
        <w:ind w:left="709" w:hanging="709"/>
      </w:pPr>
      <w:bookmarkStart w:id="16" w:name="_Toc3278920"/>
      <w:r w:rsidRPr="005060E0">
        <w:t>The 2011 review</w:t>
      </w:r>
      <w:r w:rsidR="00205B41" w:rsidRPr="005060E0">
        <w:t xml:space="preserve"> of the National Environment Protection (Ambient Air Quality) Measure</w:t>
      </w:r>
      <w:bookmarkEnd w:id="16"/>
    </w:p>
    <w:p w14:paraId="575A81C2" w14:textId="00E44C22" w:rsidR="00ED45AE" w:rsidRPr="005060E0" w:rsidRDefault="00E042C3" w:rsidP="00303467">
      <w:r w:rsidRPr="005060E0">
        <w:t>In 2011, the National Enviro</w:t>
      </w:r>
      <w:r w:rsidR="008934EB" w:rsidRPr="005060E0">
        <w:t xml:space="preserve">nment Protection Council </w:t>
      </w:r>
      <w:r w:rsidRPr="005060E0">
        <w:t>released the findings of a review of the</w:t>
      </w:r>
      <w:r w:rsidR="00FE23DB" w:rsidRPr="005060E0">
        <w:t xml:space="preserve"> AAQ</w:t>
      </w:r>
      <w:r w:rsidRPr="005060E0">
        <w:t xml:space="preserve"> NEPM</w:t>
      </w:r>
      <w:r w:rsidR="008934EB" w:rsidRPr="005060E0">
        <w:t xml:space="preserve"> (NEPC 2011a)</w:t>
      </w:r>
      <w:r w:rsidR="00B00321" w:rsidRPr="005060E0">
        <w:t xml:space="preserve">. </w:t>
      </w:r>
    </w:p>
    <w:p w14:paraId="115A7982" w14:textId="388458DD" w:rsidR="00ED45AE" w:rsidRPr="005060E0" w:rsidRDefault="004E6843" w:rsidP="00ED45AE">
      <w:r w:rsidRPr="005060E0">
        <w:t>T</w:t>
      </w:r>
      <w:r w:rsidR="00ED45AE" w:rsidRPr="005060E0">
        <w:t>he review</w:t>
      </w:r>
      <w:r w:rsidRPr="005060E0">
        <w:t xml:space="preserve"> noted</w:t>
      </w:r>
      <w:r w:rsidR="00ED45AE" w:rsidRPr="005060E0">
        <w:t xml:space="preserve"> the ambiguity of the term </w:t>
      </w:r>
      <w:r w:rsidR="00ED45AE" w:rsidRPr="005060E0">
        <w:rPr>
          <w:i/>
        </w:rPr>
        <w:t>‘</w:t>
      </w:r>
      <w:r w:rsidR="00ED45AE" w:rsidRPr="005060E0">
        <w:t xml:space="preserve">adequate protection’ in the desired environmental outcome of the AAQ NEPM. In addition, the health evidence relating to the effects of air pollution </w:t>
      </w:r>
      <w:r w:rsidRPr="005060E0">
        <w:t xml:space="preserve">had </w:t>
      </w:r>
      <w:r w:rsidR="00ED45AE" w:rsidRPr="005060E0">
        <w:t xml:space="preserve">advanced since the </w:t>
      </w:r>
      <w:r w:rsidR="003B40CD" w:rsidRPr="005060E0">
        <w:t xml:space="preserve">AAQ </w:t>
      </w:r>
      <w:r w:rsidR="00ED45AE" w:rsidRPr="005060E0">
        <w:t xml:space="preserve">NEPM was introduced, and </w:t>
      </w:r>
      <w:r w:rsidR="003B40CD" w:rsidRPr="005060E0">
        <w:t>epidemiological</w:t>
      </w:r>
      <w:r w:rsidR="00ED45AE" w:rsidRPr="005060E0">
        <w:t xml:space="preserve"> studies </w:t>
      </w:r>
      <w:r w:rsidRPr="005060E0">
        <w:t xml:space="preserve">had </w:t>
      </w:r>
      <w:r w:rsidR="00ED45AE" w:rsidRPr="005060E0">
        <w:t xml:space="preserve">shown there </w:t>
      </w:r>
      <w:r w:rsidRPr="005060E0">
        <w:t xml:space="preserve">was </w:t>
      </w:r>
      <w:r w:rsidR="00ED45AE" w:rsidRPr="005060E0">
        <w:t>no evidence of clear threshold</w:t>
      </w:r>
      <w:r w:rsidR="003B40CD" w:rsidRPr="005060E0">
        <w:t>s</w:t>
      </w:r>
      <w:r w:rsidR="00ED45AE" w:rsidRPr="005060E0">
        <w:t xml:space="preserve"> for health effects for important air pollutants. The</w:t>
      </w:r>
      <w:r w:rsidRPr="005060E0">
        <w:t xml:space="preserve"> review found</w:t>
      </w:r>
      <w:r w:rsidR="00ED45AE" w:rsidRPr="005060E0">
        <w:t xml:space="preserve"> the setting of standards alone may not be compatible with the concept of adequate protection.</w:t>
      </w:r>
    </w:p>
    <w:p w14:paraId="463D6732" w14:textId="2362410F" w:rsidR="00A54BE0" w:rsidRPr="005060E0" w:rsidRDefault="00B46619" w:rsidP="00303467">
      <w:r w:rsidRPr="005060E0">
        <w:t xml:space="preserve">The review provided recommendations in relation to the standards </w:t>
      </w:r>
      <w:r w:rsidR="009F5971" w:rsidRPr="005060E0">
        <w:t>for PM</w:t>
      </w:r>
      <w:r w:rsidRPr="005060E0">
        <w:t xml:space="preserve">, </w:t>
      </w:r>
      <w:r w:rsidR="003B40CD" w:rsidRPr="005060E0">
        <w:t>including revising them</w:t>
      </w:r>
      <w:r w:rsidRPr="005060E0">
        <w:t xml:space="preserve"> to take into</w:t>
      </w:r>
      <w:r w:rsidR="009F5971" w:rsidRPr="005060E0">
        <w:t xml:space="preserve"> account new evidence concerning their health effects</w:t>
      </w:r>
      <w:r w:rsidRPr="005060E0">
        <w:t xml:space="preserve">. </w:t>
      </w:r>
      <w:r w:rsidR="00E042C3" w:rsidRPr="005060E0">
        <w:t>The review</w:t>
      </w:r>
      <w:r w:rsidRPr="005060E0">
        <w:t xml:space="preserve"> also</w:t>
      </w:r>
      <w:r w:rsidR="003B40CD" w:rsidRPr="005060E0">
        <w:t xml:space="preserve"> identified evidence that, for the gaseous pollutants, there </w:t>
      </w:r>
      <w:r w:rsidR="00F74401" w:rsidRPr="005060E0">
        <w:t xml:space="preserve">were </w:t>
      </w:r>
      <w:r w:rsidR="003B40CD" w:rsidRPr="005060E0">
        <w:t>health effects at concentrations</w:t>
      </w:r>
      <w:r w:rsidR="00E042C3" w:rsidRPr="005060E0">
        <w:t xml:space="preserve"> below the current </w:t>
      </w:r>
      <w:r w:rsidR="003B40CD" w:rsidRPr="005060E0">
        <w:t xml:space="preserve">AAQ NEPM </w:t>
      </w:r>
      <w:r w:rsidR="00E042C3" w:rsidRPr="005060E0">
        <w:t>standards.</w:t>
      </w:r>
    </w:p>
    <w:p w14:paraId="569154BD" w14:textId="64D71FCC" w:rsidR="00CF3B8C" w:rsidRPr="005060E0" w:rsidRDefault="00CF3B8C" w:rsidP="00303467">
      <w:r w:rsidRPr="005060E0">
        <w:t>The recommendations of the 2011 review are being implemented in two main stages:</w:t>
      </w:r>
    </w:p>
    <w:p w14:paraId="24AE3529" w14:textId="5B60D206" w:rsidR="00A939B6" w:rsidRPr="005060E0" w:rsidRDefault="00CF3B8C" w:rsidP="00CF3B8C">
      <w:pPr>
        <w:pStyle w:val="ListBullet"/>
      </w:pPr>
      <w:r w:rsidRPr="005060E0">
        <w:t>Stage 1</w:t>
      </w:r>
      <w:r w:rsidR="009328B2" w:rsidRPr="005060E0">
        <w:t xml:space="preserve"> </w:t>
      </w:r>
      <w:r w:rsidR="009328B2" w:rsidRPr="005060E0">
        <w:rPr>
          <w:rFonts w:cs="Arial"/>
        </w:rPr>
        <w:t>–</w:t>
      </w:r>
      <w:r w:rsidRPr="005060E0">
        <w:t xml:space="preserve"> </w:t>
      </w:r>
      <w:r w:rsidR="00EA2475" w:rsidRPr="005060E0">
        <w:t xml:space="preserve">a </w:t>
      </w:r>
      <w:r w:rsidRPr="005060E0">
        <w:t>r</w:t>
      </w:r>
      <w:r w:rsidR="00A939B6" w:rsidRPr="005060E0">
        <w:t xml:space="preserve">eview of </w:t>
      </w:r>
      <w:r w:rsidR="00EA2475" w:rsidRPr="005060E0">
        <w:t xml:space="preserve">the </w:t>
      </w:r>
      <w:r w:rsidR="00A939B6" w:rsidRPr="005060E0">
        <w:t>standards for particulate matter</w:t>
      </w:r>
      <w:r w:rsidRPr="005060E0">
        <w:t xml:space="preserve"> (PM</w:t>
      </w:r>
      <w:r w:rsidRPr="005060E0">
        <w:rPr>
          <w:vertAlign w:val="subscript"/>
        </w:rPr>
        <w:t>10</w:t>
      </w:r>
      <w:r w:rsidRPr="005060E0">
        <w:t xml:space="preserve"> and PM</w:t>
      </w:r>
      <w:r w:rsidRPr="005060E0">
        <w:rPr>
          <w:vertAlign w:val="subscript"/>
        </w:rPr>
        <w:t>2.5</w:t>
      </w:r>
      <w:r w:rsidRPr="005060E0">
        <w:t>)</w:t>
      </w:r>
      <w:r w:rsidR="00570483" w:rsidRPr="005060E0">
        <w:t>. This stag</w:t>
      </w:r>
      <w:r w:rsidR="00CA57E3" w:rsidRPr="005060E0">
        <w:t>e has been completed (see S</w:t>
      </w:r>
      <w:r w:rsidR="00570483" w:rsidRPr="005060E0">
        <w:t xml:space="preserve">ection </w:t>
      </w:r>
      <w:r w:rsidR="00570483" w:rsidRPr="005060E0">
        <w:fldChar w:fldCharType="begin"/>
      </w:r>
      <w:r w:rsidR="00570483" w:rsidRPr="005060E0">
        <w:instrText xml:space="preserve"> REF _Ref514323438 \n \h </w:instrText>
      </w:r>
      <w:r w:rsidR="00570483" w:rsidRPr="005060E0">
        <w:fldChar w:fldCharType="separate"/>
      </w:r>
      <w:r w:rsidR="00F2067C">
        <w:t>1.4</w:t>
      </w:r>
      <w:r w:rsidR="00570483" w:rsidRPr="005060E0">
        <w:fldChar w:fldCharType="end"/>
      </w:r>
      <w:r w:rsidR="00570483" w:rsidRPr="005060E0">
        <w:t>)</w:t>
      </w:r>
    </w:p>
    <w:p w14:paraId="78E9D8F3" w14:textId="27A88086" w:rsidR="00CF3B8C" w:rsidRPr="005060E0" w:rsidRDefault="00CF3B8C" w:rsidP="00CF3B8C">
      <w:pPr>
        <w:pStyle w:val="ListBullet"/>
      </w:pPr>
      <w:r w:rsidRPr="005060E0">
        <w:t>Stage 2</w:t>
      </w:r>
      <w:r w:rsidR="009328B2" w:rsidRPr="005060E0">
        <w:t xml:space="preserve"> </w:t>
      </w:r>
      <w:r w:rsidR="009328B2" w:rsidRPr="005060E0">
        <w:rPr>
          <w:rFonts w:cs="Arial"/>
        </w:rPr>
        <w:t>–</w:t>
      </w:r>
      <w:r w:rsidRPr="005060E0">
        <w:t xml:space="preserve"> </w:t>
      </w:r>
      <w:r w:rsidR="00EA2475" w:rsidRPr="005060E0">
        <w:t xml:space="preserve">a </w:t>
      </w:r>
      <w:r w:rsidRPr="005060E0">
        <w:t xml:space="preserve">review of </w:t>
      </w:r>
      <w:r w:rsidR="00EA2475" w:rsidRPr="005060E0">
        <w:t xml:space="preserve">the </w:t>
      </w:r>
      <w:r w:rsidRPr="005060E0">
        <w:t>standards for gaseous pollutants (SO</w:t>
      </w:r>
      <w:r w:rsidRPr="005060E0">
        <w:rPr>
          <w:vertAlign w:val="subscript"/>
        </w:rPr>
        <w:t>2</w:t>
      </w:r>
      <w:r w:rsidRPr="005060E0">
        <w:t>, NO</w:t>
      </w:r>
      <w:r w:rsidRPr="005060E0">
        <w:rPr>
          <w:vertAlign w:val="subscript"/>
        </w:rPr>
        <w:t>2</w:t>
      </w:r>
      <w:r w:rsidRPr="005060E0">
        <w:t xml:space="preserve"> and O</w:t>
      </w:r>
      <w:r w:rsidRPr="005060E0">
        <w:rPr>
          <w:vertAlign w:val="subscript"/>
        </w:rPr>
        <w:t>3</w:t>
      </w:r>
      <w:r w:rsidRPr="005060E0">
        <w:t>)</w:t>
      </w:r>
      <w:r w:rsidR="000958E4" w:rsidRPr="005060E0">
        <w:t>.</w:t>
      </w:r>
    </w:p>
    <w:p w14:paraId="69896105" w14:textId="712903F5" w:rsidR="004E4773" w:rsidRPr="005060E0" w:rsidRDefault="004E4773" w:rsidP="00E20C55">
      <w:pPr>
        <w:pStyle w:val="ListBullet"/>
        <w:numPr>
          <w:ilvl w:val="0"/>
          <w:numId w:val="0"/>
        </w:numPr>
      </w:pPr>
      <w:r w:rsidRPr="005060E0">
        <w:t xml:space="preserve">In conjunction with the release of the review in 2011, </w:t>
      </w:r>
      <w:r w:rsidR="00D1369D">
        <w:t xml:space="preserve">the </w:t>
      </w:r>
      <w:r w:rsidRPr="005060E0">
        <w:t xml:space="preserve">NEPC also released the </w:t>
      </w:r>
      <w:r w:rsidRPr="005060E0">
        <w:rPr>
          <w:i/>
        </w:rPr>
        <w:t>Methodology for Setting Air Quality Standards in Australia</w:t>
      </w:r>
      <w:r w:rsidR="00636643" w:rsidRPr="005060E0">
        <w:t xml:space="preserve"> (NEPC 2011b)</w:t>
      </w:r>
      <w:r w:rsidRPr="005060E0">
        <w:t>. The standard-setting methodology establishes the framework to guide the development of air quality standards in Australia and provides detailed guidance on the approach to be used for exposure assessment and risk characterisation.</w:t>
      </w:r>
    </w:p>
    <w:p w14:paraId="7AA476F9" w14:textId="6C26A7BB" w:rsidR="00CF3B8C" w:rsidRPr="005060E0" w:rsidRDefault="00CF3B8C" w:rsidP="0043533F">
      <w:pPr>
        <w:pStyle w:val="Heading2"/>
      </w:pPr>
      <w:bookmarkStart w:id="17" w:name="_Ref514323438"/>
      <w:bookmarkStart w:id="18" w:name="_Toc3278921"/>
      <w:r w:rsidRPr="005060E0">
        <w:t>Review of standards for particulate matter</w:t>
      </w:r>
      <w:bookmarkEnd w:id="17"/>
      <w:bookmarkEnd w:id="18"/>
    </w:p>
    <w:p w14:paraId="4A559A77" w14:textId="78F739CA" w:rsidR="00CF3B8C" w:rsidRPr="005060E0" w:rsidRDefault="005D1C3D" w:rsidP="005D1C3D">
      <w:r w:rsidRPr="005060E0">
        <w:t xml:space="preserve">In the first stage of implementing the recommendations of the 2011 review, </w:t>
      </w:r>
      <w:r w:rsidR="00B46619" w:rsidRPr="005060E0">
        <w:t>several steps were undertaken to improve the und</w:t>
      </w:r>
      <w:r w:rsidR="009F5971" w:rsidRPr="005060E0">
        <w:t>erstanding of PM</w:t>
      </w:r>
      <w:r w:rsidR="00B46619" w:rsidRPr="005060E0">
        <w:t xml:space="preserve"> in Australia. These included a h</w:t>
      </w:r>
      <w:r w:rsidR="005E7DE8" w:rsidRPr="005060E0">
        <w:t>ealth risk assessment</w:t>
      </w:r>
      <w:r w:rsidR="00CF3B8C" w:rsidRPr="005060E0">
        <w:rPr>
          <w:rStyle w:val="FootnoteReference"/>
        </w:rPr>
        <w:footnoteReference w:id="7"/>
      </w:r>
      <w:r w:rsidR="005E7DE8" w:rsidRPr="005060E0">
        <w:t xml:space="preserve"> (Frangos </w:t>
      </w:r>
      <w:r w:rsidR="00AD238A" w:rsidRPr="005060E0">
        <w:t>&amp;</w:t>
      </w:r>
      <w:r w:rsidR="005E7DE8" w:rsidRPr="005060E0">
        <w:t xml:space="preserve"> DiMarco 2013; Morgan et al. 2013</w:t>
      </w:r>
      <w:r w:rsidR="00B46619" w:rsidRPr="005060E0">
        <w:t>), an economic analysis</w:t>
      </w:r>
      <w:r w:rsidR="00CE2A67" w:rsidRPr="005060E0">
        <w:t xml:space="preserve"> (Boulter </w:t>
      </w:r>
      <w:r w:rsidR="00AD238A" w:rsidRPr="005060E0">
        <w:t>&amp;</w:t>
      </w:r>
      <w:r w:rsidR="00CE2A67" w:rsidRPr="005060E0">
        <w:t xml:space="preserve"> Kulkarni 2013</w:t>
      </w:r>
      <w:r w:rsidR="00B46619" w:rsidRPr="005060E0">
        <w:t>), an investigation of exposure-reduction frameworks (</w:t>
      </w:r>
      <w:r w:rsidR="00CE2A67" w:rsidRPr="005060E0">
        <w:t>Bawden et al. 2012</w:t>
      </w:r>
      <w:r w:rsidR="00B46619" w:rsidRPr="005060E0">
        <w:t>), and a methodology for valuing the health impacts of changes in particle emissions (</w:t>
      </w:r>
      <w:r w:rsidR="002A65DF" w:rsidRPr="005060E0">
        <w:t>Aust et al. 2013</w:t>
      </w:r>
      <w:r w:rsidR="00B46619" w:rsidRPr="005060E0">
        <w:t>).</w:t>
      </w:r>
      <w:r w:rsidR="002A65DF" w:rsidRPr="005060E0">
        <w:t xml:space="preserve"> </w:t>
      </w:r>
      <w:r w:rsidR="00B46619" w:rsidRPr="005060E0">
        <w:t>This work led to the publication of an impact statement for a pr</w:t>
      </w:r>
      <w:r w:rsidR="009F5971" w:rsidRPr="005060E0">
        <w:t>oposed variation to the PM</w:t>
      </w:r>
      <w:r w:rsidR="00B46619" w:rsidRPr="005060E0">
        <w:t xml:space="preserve"> standards in the AAQ NEPM (</w:t>
      </w:r>
      <w:r w:rsidR="00D347BE" w:rsidRPr="005060E0">
        <w:t>NEPC 2014</w:t>
      </w:r>
      <w:r w:rsidR="00B46619" w:rsidRPr="005060E0">
        <w:t>). A subsequent variation to the AAQ NEPM</w:t>
      </w:r>
      <w:r w:rsidR="00F74401" w:rsidRPr="005060E0">
        <w:t>, which took effect</w:t>
      </w:r>
      <w:r w:rsidR="00B46619" w:rsidRPr="005060E0">
        <w:t xml:space="preserve"> in February 2016</w:t>
      </w:r>
      <w:r w:rsidR="00B46619" w:rsidRPr="005060E0">
        <w:rPr>
          <w:rStyle w:val="FootnoteReference"/>
        </w:rPr>
        <w:footnoteReference w:id="8"/>
      </w:r>
      <w:r w:rsidR="00F74401" w:rsidRPr="005060E0">
        <w:t>,</w:t>
      </w:r>
      <w:r w:rsidR="00B46619" w:rsidRPr="005060E0">
        <w:t xml:space="preserve"> included the formal adoption of the PM</w:t>
      </w:r>
      <w:r w:rsidR="00B46619" w:rsidRPr="005060E0">
        <w:rPr>
          <w:vertAlign w:val="subscript"/>
        </w:rPr>
        <w:t>2.5</w:t>
      </w:r>
      <w:r w:rsidR="00B46619" w:rsidRPr="005060E0">
        <w:t xml:space="preserve"> standards, the introduction of an annual average standard for PM</w:t>
      </w:r>
      <w:r w:rsidR="00B46619" w:rsidRPr="005060E0">
        <w:rPr>
          <w:vertAlign w:val="subscript"/>
        </w:rPr>
        <w:t>10</w:t>
      </w:r>
      <w:r w:rsidR="00B46619" w:rsidRPr="005060E0">
        <w:t>, and an ‘exceptional events’ clause to enable an assessment</w:t>
      </w:r>
      <w:r w:rsidR="00D852AA" w:rsidRPr="005060E0">
        <w:t xml:space="preserve"> of </w:t>
      </w:r>
      <w:r w:rsidR="000958E4" w:rsidRPr="005060E0">
        <w:t>the impacts of major incidents</w:t>
      </w:r>
      <w:r w:rsidR="00B46619" w:rsidRPr="005060E0">
        <w:t xml:space="preserve"> such as bushfires and d</w:t>
      </w:r>
      <w:r w:rsidR="00B45D6C" w:rsidRPr="005060E0">
        <w:t>ust storms on PM concentrations</w:t>
      </w:r>
      <w:r w:rsidRPr="005060E0">
        <w:t xml:space="preserve">. The variation to the </w:t>
      </w:r>
      <w:r w:rsidR="00FE23DB" w:rsidRPr="005060E0">
        <w:t>AAQ NEPM</w:t>
      </w:r>
      <w:r w:rsidRPr="005060E0">
        <w:t xml:space="preserve"> for particles was </w:t>
      </w:r>
      <w:r w:rsidR="00BE657C" w:rsidRPr="005060E0">
        <w:t xml:space="preserve">endorsed </w:t>
      </w:r>
      <w:r w:rsidRPr="005060E0">
        <w:t>by th</w:t>
      </w:r>
      <w:r w:rsidR="00BE657C" w:rsidRPr="005060E0">
        <w:t xml:space="preserve">e </w:t>
      </w:r>
      <w:r w:rsidR="00821FF7" w:rsidRPr="005060E0">
        <w:t xml:space="preserve">National Environment Protection Council </w:t>
      </w:r>
      <w:r w:rsidR="00BE657C" w:rsidRPr="005060E0">
        <w:t xml:space="preserve">under the </w:t>
      </w:r>
      <w:r w:rsidRPr="005060E0">
        <w:t>National Clean Air</w:t>
      </w:r>
      <w:r w:rsidR="00BE657C" w:rsidRPr="005060E0">
        <w:t xml:space="preserve"> Agreement</w:t>
      </w:r>
      <w:r w:rsidR="00F74401" w:rsidRPr="005060E0">
        <w:t xml:space="preserve"> in December 2015</w:t>
      </w:r>
      <w:r w:rsidR="00BE657C" w:rsidRPr="005060E0">
        <w:t xml:space="preserve"> </w:t>
      </w:r>
      <w:r w:rsidR="009629ED" w:rsidRPr="005060E0">
        <w:t>(see Section 2)</w:t>
      </w:r>
      <w:r w:rsidRPr="005060E0">
        <w:t>.</w:t>
      </w:r>
    </w:p>
    <w:p w14:paraId="6C3C1283" w14:textId="3E228C6E" w:rsidR="00EA2475" w:rsidRPr="005060E0" w:rsidRDefault="00EA2475" w:rsidP="0043533F">
      <w:pPr>
        <w:pStyle w:val="Heading2"/>
      </w:pPr>
      <w:bookmarkStart w:id="19" w:name="_Toc3278922"/>
      <w:r w:rsidRPr="005060E0">
        <w:t>Review of standards for gaseous pollutants</w:t>
      </w:r>
      <w:bookmarkEnd w:id="19"/>
    </w:p>
    <w:p w14:paraId="3C3195FA" w14:textId="160C6A7D" w:rsidR="00CF3B8C" w:rsidRPr="005060E0" w:rsidRDefault="005D1C3D" w:rsidP="00BB2154">
      <w:pPr>
        <w:spacing w:line="270" w:lineRule="atLeast"/>
      </w:pPr>
      <w:r w:rsidRPr="005060E0">
        <w:t>The second stage of implementing the recommendations of the 2011 review is currently underway. The National Clean Air Agreement</w:t>
      </w:r>
      <w:r w:rsidR="00CF3B8C" w:rsidRPr="005060E0">
        <w:t xml:space="preserve"> includes a commitment to review the standards for</w:t>
      </w:r>
      <w:r w:rsidR="00CF3B8C" w:rsidRPr="005060E0">
        <w:rPr>
          <w:vertAlign w:val="subscript"/>
        </w:rPr>
        <w:t xml:space="preserve"> </w:t>
      </w:r>
      <w:r w:rsidR="00CF3B8C" w:rsidRPr="005060E0">
        <w:t>SO</w:t>
      </w:r>
      <w:r w:rsidR="00CF3B8C" w:rsidRPr="005060E0">
        <w:rPr>
          <w:vertAlign w:val="subscript"/>
        </w:rPr>
        <w:t>2</w:t>
      </w:r>
      <w:r w:rsidR="00CF3B8C" w:rsidRPr="005060E0">
        <w:t>, NO</w:t>
      </w:r>
      <w:r w:rsidR="00CF3B8C" w:rsidRPr="005060E0">
        <w:rPr>
          <w:vertAlign w:val="subscript"/>
        </w:rPr>
        <w:t>2</w:t>
      </w:r>
      <w:r w:rsidR="00CF3B8C" w:rsidRPr="005060E0">
        <w:t xml:space="preserve"> and O</w:t>
      </w:r>
      <w:r w:rsidR="00CF3B8C" w:rsidRPr="005060E0">
        <w:rPr>
          <w:vertAlign w:val="subscript"/>
        </w:rPr>
        <w:t>3</w:t>
      </w:r>
      <w:r w:rsidR="00CF3B8C" w:rsidRPr="005060E0">
        <w:t>, due to the known health effects associated with exposure to these pollutants.</w:t>
      </w:r>
      <w:r w:rsidR="005D109B" w:rsidRPr="005060E0">
        <w:t xml:space="preserve"> </w:t>
      </w:r>
    </w:p>
    <w:p w14:paraId="0CBD5849" w14:textId="7188AE3E" w:rsidR="00A939B6" w:rsidRPr="005060E0" w:rsidRDefault="00A939B6" w:rsidP="00BB2154">
      <w:pPr>
        <w:pStyle w:val="Heading3"/>
        <w:spacing w:before="320" w:after="180"/>
        <w:ind w:left="851" w:hanging="851"/>
      </w:pPr>
      <w:r w:rsidRPr="005060E0">
        <w:t xml:space="preserve">Current </w:t>
      </w:r>
      <w:r w:rsidR="00205B41" w:rsidRPr="005060E0">
        <w:t>standards in the National Environment Protection (Ambient Air Quality) Measure</w:t>
      </w:r>
    </w:p>
    <w:p w14:paraId="440EDC17" w14:textId="6D0E9876" w:rsidR="00724187" w:rsidRPr="005060E0" w:rsidRDefault="00A54BE0" w:rsidP="00BB2154">
      <w:pPr>
        <w:spacing w:line="270" w:lineRule="atLeast"/>
      </w:pPr>
      <w:r w:rsidRPr="005060E0">
        <w:t>The current AAQ NEPM standards for SO</w:t>
      </w:r>
      <w:r w:rsidRPr="005060E0">
        <w:rPr>
          <w:vertAlign w:val="subscript"/>
        </w:rPr>
        <w:t>2</w:t>
      </w:r>
      <w:r w:rsidRPr="005060E0">
        <w:t>, NO</w:t>
      </w:r>
      <w:r w:rsidRPr="005060E0">
        <w:rPr>
          <w:vertAlign w:val="subscript"/>
        </w:rPr>
        <w:t>2</w:t>
      </w:r>
      <w:r w:rsidRPr="005060E0">
        <w:t xml:space="preserve"> and O</w:t>
      </w:r>
      <w:r w:rsidRPr="005060E0">
        <w:rPr>
          <w:vertAlign w:val="subscript"/>
        </w:rPr>
        <w:t>3</w:t>
      </w:r>
      <w:r w:rsidRPr="005060E0">
        <w:t xml:space="preserve"> are shown in </w:t>
      </w:r>
      <w:r w:rsidRPr="005060E0">
        <w:fldChar w:fldCharType="begin"/>
      </w:r>
      <w:r w:rsidRPr="005060E0">
        <w:instrText xml:space="preserve"> REF _Ref479156950 \h  \* MERGEFORMAT </w:instrText>
      </w:r>
      <w:r w:rsidRPr="005060E0">
        <w:fldChar w:fldCharType="separate"/>
      </w:r>
      <w:r w:rsidR="00F2067C" w:rsidRPr="005060E0">
        <w:t xml:space="preserve">Table </w:t>
      </w:r>
      <w:r w:rsidR="00F2067C">
        <w:rPr>
          <w:noProof/>
        </w:rPr>
        <w:t>1</w:t>
      </w:r>
      <w:r w:rsidR="00F2067C" w:rsidRPr="005060E0">
        <w:rPr>
          <w:noProof/>
        </w:rPr>
        <w:noBreakHyphen/>
      </w:r>
      <w:r w:rsidR="00F2067C">
        <w:rPr>
          <w:noProof/>
        </w:rPr>
        <w:t>1</w:t>
      </w:r>
      <w:r w:rsidRPr="005060E0">
        <w:fldChar w:fldCharType="end"/>
      </w:r>
      <w:r w:rsidRPr="005060E0">
        <w:t>.</w:t>
      </w:r>
      <w:r w:rsidR="006F7667" w:rsidRPr="005060E0">
        <w:t xml:space="preserve"> These standards were adopted in </w:t>
      </w:r>
      <w:r w:rsidR="002C09FF" w:rsidRPr="005060E0">
        <w:t>1998 and</w:t>
      </w:r>
      <w:r w:rsidR="006F7667" w:rsidRPr="005060E0">
        <w:t xml:space="preserve"> are based on the understanding</w:t>
      </w:r>
      <w:r w:rsidR="005C70EF" w:rsidRPr="005060E0">
        <w:t xml:space="preserve"> at the time</w:t>
      </w:r>
      <w:r w:rsidR="006F7667" w:rsidRPr="005060E0">
        <w:t xml:space="preserve"> of the health effects of the pollutants.</w:t>
      </w:r>
      <w:r w:rsidR="006F7667" w:rsidRPr="005060E0">
        <w:rPr>
          <w:szCs w:val="20"/>
        </w:rPr>
        <w:t xml:space="preserve"> It was acknowledged at the time of making the AAQ NEPM that the standards may not be protective of the health of people with asthma</w:t>
      </w:r>
      <w:r w:rsidR="00C94524" w:rsidRPr="005060E0">
        <w:rPr>
          <w:szCs w:val="20"/>
        </w:rPr>
        <w:t xml:space="preserve"> (NEPC 1998)</w:t>
      </w:r>
      <w:r w:rsidR="006F7667" w:rsidRPr="005060E0">
        <w:t>.</w:t>
      </w:r>
    </w:p>
    <w:p w14:paraId="213620E7" w14:textId="6168EACF" w:rsidR="00EC04D2" w:rsidRPr="005060E0" w:rsidRDefault="00724187" w:rsidP="00BB2154">
      <w:pPr>
        <w:spacing w:after="320" w:line="270" w:lineRule="atLeast"/>
      </w:pPr>
      <w:r w:rsidRPr="005060E0">
        <w:t xml:space="preserve">In common with international practice, each AAQ NEPM standard has a ‘numerical value’, which is defined as a maximum concentration, and a ‘form’, which defines how it is implemented. </w:t>
      </w:r>
      <w:r w:rsidR="00DA68CD" w:rsidRPr="005060E0">
        <w:t xml:space="preserve">For </w:t>
      </w:r>
      <w:r w:rsidR="00F32E33" w:rsidRPr="005060E0">
        <w:t>short-term standards</w:t>
      </w:r>
      <w:r w:rsidR="00DA68CD" w:rsidRPr="005060E0">
        <w:t>, i</w:t>
      </w:r>
      <w:r w:rsidR="00692C8F" w:rsidRPr="005060E0">
        <w:t>n m</w:t>
      </w:r>
      <w:r w:rsidRPr="005060E0">
        <w:t>ost international jurisdictions</w:t>
      </w:r>
      <w:r w:rsidR="00DA68CD" w:rsidRPr="005060E0">
        <w:t xml:space="preserve"> the form of the standard </w:t>
      </w:r>
      <w:r w:rsidRPr="005060E0">
        <w:t>allow</w:t>
      </w:r>
      <w:r w:rsidR="00692C8F" w:rsidRPr="005060E0">
        <w:t>s a limited number of exceedances per year</w:t>
      </w:r>
      <w:r w:rsidRPr="005060E0">
        <w:t xml:space="preserve">, either explicitly or through the use of percentile concentrations. </w:t>
      </w:r>
      <w:r w:rsidR="00692C8F" w:rsidRPr="005060E0">
        <w:t xml:space="preserve">This recognises that certain </w:t>
      </w:r>
      <w:r w:rsidRPr="005060E0">
        <w:t xml:space="preserve">events can lead to high concentrations, but </w:t>
      </w:r>
      <w:r w:rsidR="00692C8F" w:rsidRPr="005060E0">
        <w:t xml:space="preserve">these </w:t>
      </w:r>
      <w:r w:rsidRPr="005060E0">
        <w:t>are unpredictable and uncontrollable. Examples include extreme met</w:t>
      </w:r>
      <w:r w:rsidR="00553262" w:rsidRPr="005060E0">
        <w:t>eorological conditions and bush</w:t>
      </w:r>
      <w:r w:rsidRPr="005060E0">
        <w:t>fires.</w:t>
      </w:r>
      <w:r w:rsidR="0098783F" w:rsidRPr="005060E0">
        <w:t xml:space="preserve"> This does not mean </w:t>
      </w:r>
      <w:r w:rsidR="00EC04D2" w:rsidRPr="005060E0">
        <w:t>there are no potential healt</w:t>
      </w:r>
      <w:r w:rsidR="0098783F" w:rsidRPr="005060E0">
        <w:t>h effects from exposure to high concentrations</w:t>
      </w:r>
      <w:r w:rsidR="00692C8F" w:rsidRPr="005060E0">
        <w:t xml:space="preserve"> during these events, but</w:t>
      </w:r>
      <w:r w:rsidR="00EC04D2" w:rsidRPr="005060E0">
        <w:t xml:space="preserve"> control programs </w:t>
      </w:r>
      <w:r w:rsidR="00692C8F" w:rsidRPr="005060E0">
        <w:t xml:space="preserve">that are designed to meet </w:t>
      </w:r>
      <w:r w:rsidR="00EC04D2" w:rsidRPr="005060E0">
        <w:t>the standards during extreme</w:t>
      </w:r>
      <w:r w:rsidR="0098783F" w:rsidRPr="005060E0">
        <w:t xml:space="preserve"> </w:t>
      </w:r>
      <w:r w:rsidR="00EC04D2" w:rsidRPr="005060E0">
        <w:t>conditions can be prohibitively expen</w:t>
      </w:r>
      <w:r w:rsidR="00692C8F" w:rsidRPr="005060E0">
        <w:t>sive or technically unfeasible</w:t>
      </w:r>
      <w:r w:rsidR="00EC04D2" w:rsidRPr="005060E0">
        <w:t>.</w:t>
      </w:r>
    </w:p>
    <w:p w14:paraId="6EB7B265" w14:textId="6697F213" w:rsidR="00A54BE0" w:rsidRPr="005060E0" w:rsidRDefault="00A54BE0" w:rsidP="00A54BE0">
      <w:pPr>
        <w:pStyle w:val="Caption"/>
        <w:spacing w:after="120"/>
        <w:jc w:val="center"/>
        <w:rPr>
          <w:vertAlign w:val="subscript"/>
        </w:rPr>
      </w:pPr>
      <w:bookmarkStart w:id="20" w:name="_Ref479156950"/>
      <w:bookmarkStart w:id="21" w:name="_Toc479201747"/>
      <w:bookmarkStart w:id="22" w:name="_Toc508305337"/>
      <w:r w:rsidRPr="005060E0">
        <w:t xml:space="preserve">Table </w:t>
      </w:r>
      <w:r w:rsidR="009F7C8E">
        <w:rPr>
          <w:noProof/>
        </w:rPr>
        <w:fldChar w:fldCharType="begin"/>
      </w:r>
      <w:r w:rsidR="009F7C8E">
        <w:rPr>
          <w:noProof/>
        </w:rPr>
        <w:instrText xml:space="preserve"> STYLEREF 1 \s </w:instrText>
      </w:r>
      <w:r w:rsidR="009F7C8E">
        <w:rPr>
          <w:noProof/>
        </w:rPr>
        <w:fldChar w:fldCharType="separate"/>
      </w:r>
      <w:r w:rsidR="00F2067C">
        <w:rPr>
          <w:noProof/>
        </w:rPr>
        <w:t>1</w:t>
      </w:r>
      <w:r w:rsidR="009F7C8E">
        <w:rPr>
          <w:noProof/>
        </w:rPr>
        <w:fldChar w:fldCharType="end"/>
      </w:r>
      <w:r w:rsidRPr="005060E0">
        <w:noBreakHyphen/>
      </w:r>
      <w:r w:rsidR="009F7C8E">
        <w:rPr>
          <w:noProof/>
        </w:rPr>
        <w:fldChar w:fldCharType="begin"/>
      </w:r>
      <w:r w:rsidR="009F7C8E">
        <w:rPr>
          <w:noProof/>
        </w:rPr>
        <w:instrText xml:space="preserve"> SEQ Table \* ARABIC \s 1 </w:instrText>
      </w:r>
      <w:r w:rsidR="009F7C8E">
        <w:rPr>
          <w:noProof/>
        </w:rPr>
        <w:fldChar w:fldCharType="separate"/>
      </w:r>
      <w:r w:rsidR="00F2067C">
        <w:rPr>
          <w:noProof/>
        </w:rPr>
        <w:t>1</w:t>
      </w:r>
      <w:r w:rsidR="009F7C8E">
        <w:rPr>
          <w:noProof/>
        </w:rPr>
        <w:fldChar w:fldCharType="end"/>
      </w:r>
      <w:bookmarkEnd w:id="20"/>
      <w:r w:rsidRPr="005060E0">
        <w:t xml:space="preserve">: Current AAQ NEPM </w:t>
      </w:r>
      <w:r w:rsidR="005C70EF" w:rsidRPr="005060E0">
        <w:t>s</w:t>
      </w:r>
      <w:r w:rsidRPr="005060E0">
        <w:t>tandards for SO</w:t>
      </w:r>
      <w:r w:rsidRPr="005060E0">
        <w:rPr>
          <w:vertAlign w:val="subscript"/>
        </w:rPr>
        <w:t>2</w:t>
      </w:r>
      <w:r w:rsidRPr="005060E0">
        <w:t>, NO</w:t>
      </w:r>
      <w:r w:rsidRPr="005060E0">
        <w:rPr>
          <w:vertAlign w:val="subscript"/>
        </w:rPr>
        <w:t>2</w:t>
      </w:r>
      <w:r w:rsidRPr="005060E0">
        <w:t xml:space="preserve"> and O</w:t>
      </w:r>
      <w:r w:rsidRPr="005060E0">
        <w:rPr>
          <w:vertAlign w:val="subscript"/>
        </w:rPr>
        <w:t>3</w:t>
      </w:r>
      <w:bookmarkEnd w:id="21"/>
      <w:bookmarkEnd w:id="22"/>
    </w:p>
    <w:tbl>
      <w:tblPr>
        <w:tblStyle w:val="ListTable3-Accent11"/>
        <w:tblW w:w="5000" w:type="pct"/>
        <w:jc w:val="center"/>
        <w:tblBorders>
          <w:top w:val="single" w:sz="4" w:space="0" w:color="606372" w:themeColor="text2"/>
          <w:left w:val="single" w:sz="4" w:space="0" w:color="606372" w:themeColor="text2"/>
          <w:bottom w:val="single" w:sz="4" w:space="0" w:color="606372" w:themeColor="text2"/>
          <w:right w:val="single" w:sz="4" w:space="0" w:color="606372" w:themeColor="text2"/>
          <w:insideH w:val="single" w:sz="4" w:space="0" w:color="606372" w:themeColor="text2"/>
          <w:insideV w:val="single" w:sz="4" w:space="0" w:color="606372" w:themeColor="text2"/>
        </w:tblBorders>
        <w:tblLook w:val="04A0" w:firstRow="1" w:lastRow="0" w:firstColumn="1" w:lastColumn="0" w:noHBand="0" w:noVBand="1"/>
      </w:tblPr>
      <w:tblGrid>
        <w:gridCol w:w="2406"/>
        <w:gridCol w:w="2692"/>
        <w:gridCol w:w="1419"/>
        <w:gridCol w:w="1415"/>
        <w:gridCol w:w="1696"/>
      </w:tblGrid>
      <w:tr w:rsidR="00DE7EB0" w:rsidRPr="005060E0" w14:paraId="2ED6EFF0" w14:textId="77777777" w:rsidTr="00DE7EB0">
        <w:trPr>
          <w:cnfStyle w:val="100000000000" w:firstRow="1" w:lastRow="0" w:firstColumn="0" w:lastColumn="0" w:oddVBand="0" w:evenVBand="0" w:oddHBand="0" w:evenHBand="0" w:firstRowFirstColumn="0" w:firstRowLastColumn="0" w:lastRowFirstColumn="0" w:lastRowLastColumn="0"/>
          <w:trHeight w:hRule="exact" w:val="340"/>
          <w:tblHeader/>
          <w:jc w:val="center"/>
        </w:trPr>
        <w:tc>
          <w:tcPr>
            <w:cnfStyle w:val="001000000100" w:firstRow="0" w:lastRow="0" w:firstColumn="1" w:lastColumn="0" w:oddVBand="0" w:evenVBand="0" w:oddHBand="0" w:evenHBand="0" w:firstRowFirstColumn="1" w:firstRowLastColumn="0" w:lastRowFirstColumn="0" w:lastRowLastColumn="0"/>
            <w:tcW w:w="1249" w:type="pct"/>
            <w:vMerge w:val="restart"/>
            <w:shd w:val="clear" w:color="auto" w:fill="606372" w:themeFill="text2"/>
            <w:vAlign w:val="center"/>
          </w:tcPr>
          <w:p w14:paraId="1843C28E" w14:textId="77777777" w:rsidR="00DE7EB0" w:rsidRPr="005060E0" w:rsidRDefault="00DE7EB0" w:rsidP="00DE7EB0">
            <w:pPr>
              <w:spacing w:before="120" w:after="120" w:line="240" w:lineRule="auto"/>
              <w:jc w:val="center"/>
              <w:rPr>
                <w:b w:val="0"/>
                <w:color w:val="FFFFFF" w:themeColor="background1"/>
                <w:sz w:val="16"/>
                <w:szCs w:val="16"/>
              </w:rPr>
            </w:pPr>
            <w:r w:rsidRPr="005060E0">
              <w:rPr>
                <w:b w:val="0"/>
                <w:color w:val="FFFFFF" w:themeColor="background1"/>
                <w:sz w:val="16"/>
                <w:szCs w:val="16"/>
              </w:rPr>
              <w:t>Pollutant</w:t>
            </w:r>
          </w:p>
        </w:tc>
        <w:tc>
          <w:tcPr>
            <w:tcW w:w="1398" w:type="pct"/>
            <w:vMerge w:val="restart"/>
            <w:shd w:val="clear" w:color="auto" w:fill="606372" w:themeFill="text2"/>
            <w:vAlign w:val="center"/>
          </w:tcPr>
          <w:p w14:paraId="7A8B90C8" w14:textId="7BA57526" w:rsidR="00DE7EB0" w:rsidRPr="005060E0" w:rsidRDefault="00DE7EB0" w:rsidP="00DE7EB0">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r w:rsidRPr="005060E0">
              <w:rPr>
                <w:b w:val="0"/>
                <w:color w:val="FFFFFF" w:themeColor="background1"/>
                <w:sz w:val="16"/>
                <w:szCs w:val="16"/>
              </w:rPr>
              <w:t>Averaging period</w:t>
            </w:r>
          </w:p>
        </w:tc>
        <w:tc>
          <w:tcPr>
            <w:tcW w:w="1472" w:type="pct"/>
            <w:gridSpan w:val="2"/>
            <w:tcBorders>
              <w:bottom w:val="single" w:sz="4" w:space="0" w:color="606372" w:themeColor="text2"/>
            </w:tcBorders>
            <w:shd w:val="clear" w:color="auto" w:fill="606372" w:themeFill="text2"/>
            <w:vAlign w:val="center"/>
          </w:tcPr>
          <w:p w14:paraId="0BFE1D27" w14:textId="358C774B" w:rsidR="00DE7EB0" w:rsidRPr="005060E0" w:rsidRDefault="00DE7EB0" w:rsidP="00DE7EB0">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r w:rsidRPr="005060E0">
              <w:rPr>
                <w:b w:val="0"/>
                <w:color w:val="FFFFFF" w:themeColor="background1"/>
                <w:sz w:val="16"/>
                <w:szCs w:val="16"/>
              </w:rPr>
              <w:t>Maximum concentration</w:t>
            </w:r>
            <w:r w:rsidRPr="005060E0">
              <w:rPr>
                <w:b w:val="0"/>
                <w:color w:val="FFFFFF" w:themeColor="background1"/>
                <w:sz w:val="16"/>
                <w:szCs w:val="16"/>
                <w:vertAlign w:val="superscript"/>
              </w:rPr>
              <w:t>(a)</w:t>
            </w:r>
          </w:p>
        </w:tc>
        <w:tc>
          <w:tcPr>
            <w:tcW w:w="881" w:type="pct"/>
            <w:vMerge w:val="restart"/>
            <w:shd w:val="clear" w:color="auto" w:fill="606372" w:themeFill="text2"/>
            <w:vAlign w:val="center"/>
          </w:tcPr>
          <w:p w14:paraId="0B7551FC" w14:textId="135259EF" w:rsidR="00DE7EB0" w:rsidRPr="005060E0" w:rsidRDefault="00DE7EB0" w:rsidP="00DE7EB0">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r w:rsidRPr="005060E0">
              <w:rPr>
                <w:b w:val="0"/>
                <w:color w:val="FFFFFF" w:themeColor="background1"/>
                <w:sz w:val="16"/>
                <w:szCs w:val="16"/>
              </w:rPr>
              <w:t>Allowed exceedances</w:t>
            </w:r>
          </w:p>
        </w:tc>
      </w:tr>
      <w:tr w:rsidR="00DE7EB0" w:rsidRPr="005060E0" w14:paraId="7544921B" w14:textId="77777777" w:rsidTr="00DE7EB0">
        <w:trPr>
          <w:cnfStyle w:val="100000000000" w:firstRow="1" w:lastRow="0" w:firstColumn="0" w:lastColumn="0" w:oddVBand="0" w:evenVBand="0" w:oddHBand="0" w:evenHBand="0" w:firstRowFirstColumn="0" w:firstRowLastColumn="0" w:lastRowFirstColumn="0" w:lastRowLastColumn="0"/>
          <w:trHeight w:hRule="exact" w:val="340"/>
          <w:tblHeader/>
          <w:jc w:val="center"/>
        </w:trPr>
        <w:tc>
          <w:tcPr>
            <w:cnfStyle w:val="001000000100" w:firstRow="0" w:lastRow="0" w:firstColumn="1" w:lastColumn="0" w:oddVBand="0" w:evenVBand="0" w:oddHBand="0" w:evenHBand="0" w:firstRowFirstColumn="1" w:firstRowLastColumn="0" w:lastRowFirstColumn="0" w:lastRowLastColumn="0"/>
            <w:tcW w:w="1249" w:type="pct"/>
            <w:vMerge/>
            <w:tcBorders>
              <w:bottom w:val="single" w:sz="4" w:space="0" w:color="606075"/>
            </w:tcBorders>
            <w:shd w:val="clear" w:color="auto" w:fill="606372" w:themeFill="text2"/>
            <w:vAlign w:val="center"/>
          </w:tcPr>
          <w:p w14:paraId="594F7CB0" w14:textId="77777777" w:rsidR="00DE7EB0" w:rsidRPr="005060E0" w:rsidRDefault="00DE7EB0" w:rsidP="00DE7EB0">
            <w:pPr>
              <w:spacing w:before="120" w:after="120" w:line="240" w:lineRule="auto"/>
              <w:jc w:val="center"/>
              <w:rPr>
                <w:b w:val="0"/>
                <w:color w:val="FFFFFF" w:themeColor="background1"/>
                <w:sz w:val="16"/>
                <w:szCs w:val="16"/>
              </w:rPr>
            </w:pPr>
          </w:p>
        </w:tc>
        <w:tc>
          <w:tcPr>
            <w:tcW w:w="1398" w:type="pct"/>
            <w:vMerge/>
            <w:tcBorders>
              <w:bottom w:val="single" w:sz="4" w:space="0" w:color="606075"/>
            </w:tcBorders>
            <w:shd w:val="clear" w:color="auto" w:fill="606372" w:themeFill="text2"/>
            <w:vAlign w:val="center"/>
          </w:tcPr>
          <w:p w14:paraId="596F4660" w14:textId="77777777" w:rsidR="00DE7EB0" w:rsidRPr="005060E0" w:rsidRDefault="00DE7EB0" w:rsidP="00DE7EB0">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p>
        </w:tc>
        <w:tc>
          <w:tcPr>
            <w:tcW w:w="737" w:type="pct"/>
            <w:tcBorders>
              <w:bottom w:val="single" w:sz="4" w:space="0" w:color="606372" w:themeColor="text2"/>
            </w:tcBorders>
            <w:shd w:val="clear" w:color="auto" w:fill="606372" w:themeFill="text2"/>
            <w:vAlign w:val="center"/>
          </w:tcPr>
          <w:p w14:paraId="1CEBB3EF" w14:textId="7580A27F" w:rsidR="00DE7EB0" w:rsidRPr="005060E0" w:rsidRDefault="00DE7EB0" w:rsidP="003664C2">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r w:rsidRPr="005060E0">
              <w:rPr>
                <w:rFonts w:cs="Arial"/>
                <w:b w:val="0"/>
                <w:color w:val="FFFFFF" w:themeColor="background1"/>
                <w:sz w:val="16"/>
                <w:szCs w:val="16"/>
              </w:rPr>
              <w:t>ppb</w:t>
            </w:r>
          </w:p>
        </w:tc>
        <w:tc>
          <w:tcPr>
            <w:tcW w:w="735" w:type="pct"/>
            <w:tcBorders>
              <w:bottom w:val="single" w:sz="4" w:space="0" w:color="606372" w:themeColor="text2"/>
            </w:tcBorders>
            <w:shd w:val="clear" w:color="auto" w:fill="606372" w:themeFill="text2"/>
            <w:vAlign w:val="center"/>
          </w:tcPr>
          <w:p w14:paraId="5AB9AC61" w14:textId="62E6CB1C" w:rsidR="00DE7EB0" w:rsidRPr="005060E0" w:rsidRDefault="00DE7EB0" w:rsidP="003664C2">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r w:rsidRPr="005060E0">
              <w:rPr>
                <w:rFonts w:cs="Arial"/>
                <w:b w:val="0"/>
                <w:color w:val="FFFFFF" w:themeColor="background1"/>
                <w:sz w:val="16"/>
                <w:szCs w:val="16"/>
              </w:rPr>
              <w:t>µg/m</w:t>
            </w:r>
            <w:r w:rsidRPr="005060E0">
              <w:rPr>
                <w:rFonts w:cs="Arial"/>
                <w:b w:val="0"/>
                <w:color w:val="FFFFFF" w:themeColor="background1"/>
                <w:sz w:val="16"/>
                <w:szCs w:val="16"/>
                <w:vertAlign w:val="superscript"/>
              </w:rPr>
              <w:t>3</w:t>
            </w:r>
          </w:p>
        </w:tc>
        <w:tc>
          <w:tcPr>
            <w:tcW w:w="881" w:type="pct"/>
            <w:vMerge/>
            <w:tcBorders>
              <w:bottom w:val="single" w:sz="4" w:space="0" w:color="606075"/>
            </w:tcBorders>
            <w:shd w:val="clear" w:color="auto" w:fill="606372" w:themeFill="text2"/>
            <w:vAlign w:val="center"/>
          </w:tcPr>
          <w:p w14:paraId="1962903F" w14:textId="2EB11685" w:rsidR="00DE7EB0" w:rsidRPr="005060E0" w:rsidRDefault="00DE7EB0" w:rsidP="00DE7EB0">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p>
        </w:tc>
      </w:tr>
      <w:tr w:rsidR="00DE7EB0" w:rsidRPr="005060E0" w14:paraId="320EC896" w14:textId="77777777" w:rsidTr="00DE7EB0">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249" w:type="pct"/>
            <w:tcBorders>
              <w:top w:val="single" w:sz="4" w:space="0" w:color="606075"/>
              <w:left w:val="single" w:sz="4" w:space="0" w:color="606075"/>
              <w:bottom w:val="single" w:sz="4" w:space="0" w:color="606075"/>
              <w:right w:val="single" w:sz="4" w:space="0" w:color="606075"/>
            </w:tcBorders>
            <w:vAlign w:val="center"/>
          </w:tcPr>
          <w:p w14:paraId="06BF974B" w14:textId="77777777" w:rsidR="00DE7EB0" w:rsidRPr="005060E0" w:rsidRDefault="00DE7EB0" w:rsidP="00DE7EB0">
            <w:pPr>
              <w:spacing w:before="120" w:after="120" w:line="240" w:lineRule="auto"/>
              <w:jc w:val="center"/>
              <w:rPr>
                <w:sz w:val="16"/>
                <w:szCs w:val="16"/>
              </w:rPr>
            </w:pPr>
            <w:r w:rsidRPr="005060E0">
              <w:rPr>
                <w:b w:val="0"/>
                <w:sz w:val="16"/>
                <w:szCs w:val="16"/>
              </w:rPr>
              <w:t>Sulfur dioxide</w:t>
            </w:r>
          </w:p>
        </w:tc>
        <w:tc>
          <w:tcPr>
            <w:tcW w:w="1398" w:type="pct"/>
            <w:tcBorders>
              <w:top w:val="single" w:sz="4" w:space="0" w:color="606075"/>
              <w:left w:val="single" w:sz="4" w:space="0" w:color="606075"/>
              <w:bottom w:val="single" w:sz="4" w:space="0" w:color="606075"/>
              <w:right w:val="single" w:sz="4" w:space="0" w:color="606075"/>
            </w:tcBorders>
            <w:vAlign w:val="center"/>
          </w:tcPr>
          <w:p w14:paraId="7F1BC832" w14:textId="2628EDDB" w:rsidR="00DE7EB0" w:rsidRPr="005060E0" w:rsidRDefault="00DE7EB0" w:rsidP="00BB2154">
            <w:pPr>
              <w:spacing w:before="110" w:after="11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5060E0">
              <w:rPr>
                <w:sz w:val="16"/>
                <w:szCs w:val="16"/>
              </w:rPr>
              <w:t>1-hour</w:t>
            </w:r>
          </w:p>
          <w:p w14:paraId="67DC2FF5" w14:textId="6647478C" w:rsidR="00DE7EB0" w:rsidRPr="005060E0" w:rsidRDefault="00DE7EB0" w:rsidP="00BB2154">
            <w:pPr>
              <w:spacing w:before="110" w:after="11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5060E0">
              <w:rPr>
                <w:sz w:val="16"/>
                <w:szCs w:val="16"/>
              </w:rPr>
              <w:t>24-hour</w:t>
            </w:r>
          </w:p>
          <w:p w14:paraId="0528A558" w14:textId="5D6965AA" w:rsidR="00DE7EB0" w:rsidRPr="005060E0" w:rsidRDefault="00DE7EB0" w:rsidP="00BB2154">
            <w:pPr>
              <w:spacing w:before="110" w:after="11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5060E0">
              <w:rPr>
                <w:sz w:val="16"/>
                <w:szCs w:val="16"/>
              </w:rPr>
              <w:t>Annual</w:t>
            </w:r>
          </w:p>
        </w:tc>
        <w:tc>
          <w:tcPr>
            <w:tcW w:w="737" w:type="pct"/>
            <w:tcBorders>
              <w:top w:val="single" w:sz="4" w:space="0" w:color="606372" w:themeColor="text2"/>
              <w:left w:val="single" w:sz="4" w:space="0" w:color="606075"/>
              <w:bottom w:val="single" w:sz="4" w:space="0" w:color="606075"/>
              <w:right w:val="single" w:sz="4" w:space="0" w:color="606075"/>
            </w:tcBorders>
            <w:vAlign w:val="center"/>
          </w:tcPr>
          <w:p w14:paraId="035BE48F" w14:textId="3294832F" w:rsidR="00DE7EB0" w:rsidRPr="005060E0" w:rsidRDefault="00DE7EB0" w:rsidP="00BB2154">
            <w:pPr>
              <w:spacing w:before="110" w:after="11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5060E0">
              <w:rPr>
                <w:sz w:val="16"/>
                <w:szCs w:val="16"/>
              </w:rPr>
              <w:t>200</w:t>
            </w:r>
          </w:p>
          <w:p w14:paraId="775BEF47" w14:textId="6A1731DC" w:rsidR="00DE7EB0" w:rsidRPr="005060E0" w:rsidRDefault="00DE7EB0" w:rsidP="00BB2154">
            <w:pPr>
              <w:spacing w:before="110" w:after="11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5060E0">
              <w:rPr>
                <w:sz w:val="16"/>
                <w:szCs w:val="16"/>
              </w:rPr>
              <w:t>80</w:t>
            </w:r>
          </w:p>
          <w:p w14:paraId="1CF772E0" w14:textId="2E8E4E3D" w:rsidR="00DE7EB0" w:rsidRPr="005060E0" w:rsidRDefault="00DE7EB0" w:rsidP="00BB2154">
            <w:pPr>
              <w:spacing w:before="110" w:after="11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5060E0">
              <w:rPr>
                <w:sz w:val="16"/>
                <w:szCs w:val="16"/>
              </w:rPr>
              <w:t>20</w:t>
            </w:r>
          </w:p>
        </w:tc>
        <w:tc>
          <w:tcPr>
            <w:tcW w:w="735" w:type="pct"/>
            <w:tcBorders>
              <w:top w:val="single" w:sz="4" w:space="0" w:color="606372" w:themeColor="text2"/>
              <w:left w:val="single" w:sz="4" w:space="0" w:color="606075"/>
              <w:bottom w:val="single" w:sz="4" w:space="0" w:color="606075"/>
              <w:right w:val="single" w:sz="4" w:space="0" w:color="606075"/>
            </w:tcBorders>
            <w:vAlign w:val="center"/>
          </w:tcPr>
          <w:p w14:paraId="508529AB" w14:textId="1794E5AE" w:rsidR="00DE7EB0" w:rsidRPr="005060E0" w:rsidRDefault="00DE7EB0" w:rsidP="00BB2154">
            <w:pPr>
              <w:spacing w:before="110" w:after="11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5060E0">
              <w:rPr>
                <w:sz w:val="16"/>
                <w:szCs w:val="16"/>
              </w:rPr>
              <w:t>570</w:t>
            </w:r>
          </w:p>
          <w:p w14:paraId="1F9C7897" w14:textId="01A47441" w:rsidR="00DE7EB0" w:rsidRPr="005060E0" w:rsidRDefault="00DE7EB0" w:rsidP="00BB2154">
            <w:pPr>
              <w:spacing w:before="110" w:after="11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5060E0">
              <w:rPr>
                <w:sz w:val="16"/>
                <w:szCs w:val="16"/>
              </w:rPr>
              <w:t>228</w:t>
            </w:r>
          </w:p>
          <w:p w14:paraId="2A365FE5" w14:textId="04E5ED12" w:rsidR="00DE7EB0" w:rsidRPr="005060E0" w:rsidRDefault="00B70B84" w:rsidP="00BB2154">
            <w:pPr>
              <w:spacing w:before="110" w:after="11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5060E0">
              <w:rPr>
                <w:sz w:val="16"/>
                <w:szCs w:val="16"/>
              </w:rPr>
              <w:t>57</w:t>
            </w:r>
          </w:p>
        </w:tc>
        <w:tc>
          <w:tcPr>
            <w:tcW w:w="881" w:type="pct"/>
            <w:tcBorders>
              <w:top w:val="single" w:sz="4" w:space="0" w:color="606075"/>
              <w:left w:val="single" w:sz="4" w:space="0" w:color="606075"/>
              <w:bottom w:val="single" w:sz="4" w:space="0" w:color="606075"/>
              <w:right w:val="single" w:sz="4" w:space="0" w:color="606075"/>
            </w:tcBorders>
            <w:vAlign w:val="center"/>
          </w:tcPr>
          <w:p w14:paraId="5BFECD6C" w14:textId="13517CDC" w:rsidR="00DE7EB0" w:rsidRPr="005060E0" w:rsidRDefault="00B67484" w:rsidP="00BB2154">
            <w:pPr>
              <w:spacing w:before="110" w:after="11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5060E0">
              <w:rPr>
                <w:sz w:val="16"/>
                <w:szCs w:val="16"/>
              </w:rPr>
              <w:t>1 day per</w:t>
            </w:r>
            <w:r w:rsidR="00DE7EB0" w:rsidRPr="005060E0">
              <w:rPr>
                <w:sz w:val="16"/>
                <w:szCs w:val="16"/>
              </w:rPr>
              <w:t xml:space="preserve"> year</w:t>
            </w:r>
          </w:p>
          <w:p w14:paraId="591B7E1A" w14:textId="196AB7EE" w:rsidR="00DE7EB0" w:rsidRPr="005060E0" w:rsidRDefault="00B67484" w:rsidP="00BB2154">
            <w:pPr>
              <w:spacing w:before="110" w:after="11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5060E0">
              <w:rPr>
                <w:sz w:val="16"/>
                <w:szCs w:val="16"/>
              </w:rPr>
              <w:t>1 day per</w:t>
            </w:r>
            <w:r w:rsidR="00DE7EB0" w:rsidRPr="005060E0">
              <w:rPr>
                <w:sz w:val="16"/>
                <w:szCs w:val="16"/>
              </w:rPr>
              <w:t xml:space="preserve"> year</w:t>
            </w:r>
          </w:p>
          <w:p w14:paraId="0EC18B6F" w14:textId="77777777" w:rsidR="00DE7EB0" w:rsidRPr="005060E0" w:rsidRDefault="00DE7EB0" w:rsidP="00BB2154">
            <w:pPr>
              <w:spacing w:before="110" w:after="11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5060E0">
              <w:rPr>
                <w:sz w:val="16"/>
                <w:szCs w:val="16"/>
              </w:rPr>
              <w:t>None</w:t>
            </w:r>
          </w:p>
        </w:tc>
      </w:tr>
      <w:tr w:rsidR="00DE7EB0" w:rsidRPr="005060E0" w14:paraId="371D3002" w14:textId="77777777" w:rsidTr="00DE7EB0">
        <w:trPr>
          <w:trHeight w:val="567"/>
          <w:jc w:val="center"/>
        </w:trPr>
        <w:tc>
          <w:tcPr>
            <w:cnfStyle w:val="001000000000" w:firstRow="0" w:lastRow="0" w:firstColumn="1" w:lastColumn="0" w:oddVBand="0" w:evenVBand="0" w:oddHBand="0" w:evenHBand="0" w:firstRowFirstColumn="0" w:firstRowLastColumn="0" w:lastRowFirstColumn="0" w:lastRowLastColumn="0"/>
            <w:tcW w:w="1249" w:type="pct"/>
            <w:tcBorders>
              <w:top w:val="single" w:sz="4" w:space="0" w:color="606075"/>
              <w:left w:val="single" w:sz="4" w:space="0" w:color="606075"/>
              <w:bottom w:val="single" w:sz="4" w:space="0" w:color="606075"/>
              <w:right w:val="single" w:sz="4" w:space="0" w:color="606075"/>
            </w:tcBorders>
            <w:vAlign w:val="center"/>
          </w:tcPr>
          <w:p w14:paraId="7C320339" w14:textId="77777777" w:rsidR="00DE7EB0" w:rsidRPr="005060E0" w:rsidRDefault="00DE7EB0" w:rsidP="00DE7EB0">
            <w:pPr>
              <w:spacing w:before="120" w:after="120" w:line="240" w:lineRule="auto"/>
              <w:jc w:val="center"/>
              <w:rPr>
                <w:b w:val="0"/>
                <w:sz w:val="16"/>
                <w:szCs w:val="16"/>
              </w:rPr>
            </w:pPr>
            <w:r w:rsidRPr="005060E0">
              <w:rPr>
                <w:b w:val="0"/>
                <w:sz w:val="16"/>
                <w:szCs w:val="16"/>
              </w:rPr>
              <w:t>Nitrogen dioxide</w:t>
            </w:r>
          </w:p>
        </w:tc>
        <w:tc>
          <w:tcPr>
            <w:tcW w:w="1398" w:type="pct"/>
            <w:tcBorders>
              <w:top w:val="single" w:sz="4" w:space="0" w:color="606075"/>
              <w:left w:val="single" w:sz="4" w:space="0" w:color="606075"/>
              <w:bottom w:val="single" w:sz="4" w:space="0" w:color="606075"/>
              <w:right w:val="single" w:sz="4" w:space="0" w:color="606075"/>
            </w:tcBorders>
            <w:vAlign w:val="center"/>
          </w:tcPr>
          <w:p w14:paraId="25B28EA8" w14:textId="234E44F3" w:rsidR="00DE7EB0" w:rsidRPr="005060E0" w:rsidRDefault="00DE7EB0" w:rsidP="00BB2154">
            <w:pPr>
              <w:spacing w:before="110" w:after="11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5060E0">
              <w:rPr>
                <w:sz w:val="16"/>
                <w:szCs w:val="16"/>
              </w:rPr>
              <w:t>1-hour</w:t>
            </w:r>
          </w:p>
          <w:p w14:paraId="4E177AB4" w14:textId="372EDBDA" w:rsidR="00DE7EB0" w:rsidRPr="005060E0" w:rsidRDefault="00DE7EB0" w:rsidP="00BB2154">
            <w:pPr>
              <w:spacing w:before="110" w:after="11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5060E0">
              <w:rPr>
                <w:sz w:val="16"/>
                <w:szCs w:val="16"/>
              </w:rPr>
              <w:t>Annual</w:t>
            </w:r>
          </w:p>
        </w:tc>
        <w:tc>
          <w:tcPr>
            <w:tcW w:w="737" w:type="pct"/>
            <w:tcBorders>
              <w:top w:val="single" w:sz="4" w:space="0" w:color="606075"/>
              <w:left w:val="single" w:sz="4" w:space="0" w:color="606075"/>
              <w:bottom w:val="single" w:sz="4" w:space="0" w:color="606075"/>
              <w:right w:val="single" w:sz="4" w:space="0" w:color="606075"/>
            </w:tcBorders>
            <w:vAlign w:val="center"/>
          </w:tcPr>
          <w:p w14:paraId="75CB23A7" w14:textId="0955F63D" w:rsidR="00DE7EB0" w:rsidRPr="005060E0" w:rsidRDefault="00DE7EB0" w:rsidP="00BB2154">
            <w:pPr>
              <w:spacing w:before="110" w:after="11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5060E0">
              <w:rPr>
                <w:sz w:val="16"/>
                <w:szCs w:val="16"/>
              </w:rPr>
              <w:t>120</w:t>
            </w:r>
          </w:p>
          <w:p w14:paraId="0D23BCD3" w14:textId="1D506F5B" w:rsidR="00DE7EB0" w:rsidRPr="005060E0" w:rsidRDefault="00DE7EB0" w:rsidP="00BB2154">
            <w:pPr>
              <w:spacing w:before="110" w:after="11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5060E0">
              <w:rPr>
                <w:sz w:val="16"/>
                <w:szCs w:val="16"/>
              </w:rPr>
              <w:t>30</w:t>
            </w:r>
          </w:p>
        </w:tc>
        <w:tc>
          <w:tcPr>
            <w:tcW w:w="735" w:type="pct"/>
            <w:tcBorders>
              <w:top w:val="single" w:sz="4" w:space="0" w:color="606075"/>
              <w:left w:val="single" w:sz="4" w:space="0" w:color="606075"/>
              <w:bottom w:val="single" w:sz="4" w:space="0" w:color="606075"/>
              <w:right w:val="single" w:sz="4" w:space="0" w:color="606075"/>
            </w:tcBorders>
            <w:vAlign w:val="center"/>
          </w:tcPr>
          <w:p w14:paraId="135230A2" w14:textId="1E186DD0" w:rsidR="00DE7EB0" w:rsidRPr="005060E0" w:rsidRDefault="00DE7EB0" w:rsidP="00BB2154">
            <w:pPr>
              <w:spacing w:before="110" w:after="11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5060E0">
              <w:rPr>
                <w:sz w:val="16"/>
                <w:szCs w:val="16"/>
              </w:rPr>
              <w:t>246</w:t>
            </w:r>
          </w:p>
          <w:p w14:paraId="2197C66C" w14:textId="3671E569" w:rsidR="00DE7EB0" w:rsidRPr="005060E0" w:rsidRDefault="00DE7EB0" w:rsidP="00BB2154">
            <w:pPr>
              <w:spacing w:before="110" w:after="11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5060E0">
              <w:rPr>
                <w:sz w:val="16"/>
                <w:szCs w:val="16"/>
              </w:rPr>
              <w:t>62</w:t>
            </w:r>
          </w:p>
        </w:tc>
        <w:tc>
          <w:tcPr>
            <w:tcW w:w="881" w:type="pct"/>
            <w:tcBorders>
              <w:top w:val="single" w:sz="4" w:space="0" w:color="606075"/>
              <w:left w:val="single" w:sz="4" w:space="0" w:color="606075"/>
              <w:bottom w:val="single" w:sz="4" w:space="0" w:color="606075"/>
              <w:right w:val="single" w:sz="4" w:space="0" w:color="606075"/>
            </w:tcBorders>
            <w:vAlign w:val="center"/>
          </w:tcPr>
          <w:p w14:paraId="2F0FA792" w14:textId="5F71135F" w:rsidR="00DE7EB0" w:rsidRPr="005060E0" w:rsidRDefault="00DE7EB0" w:rsidP="00BB2154">
            <w:pPr>
              <w:spacing w:before="110" w:after="11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5060E0">
              <w:rPr>
                <w:sz w:val="16"/>
                <w:szCs w:val="16"/>
              </w:rPr>
              <w:t>1 day</w:t>
            </w:r>
            <w:r w:rsidRPr="005060E0">
              <w:rPr>
                <w:sz w:val="16"/>
                <w:szCs w:val="16"/>
                <w:vertAlign w:val="superscript"/>
              </w:rPr>
              <w:t>(b)</w:t>
            </w:r>
            <w:r w:rsidR="00B67484" w:rsidRPr="005060E0">
              <w:rPr>
                <w:sz w:val="16"/>
                <w:szCs w:val="16"/>
              </w:rPr>
              <w:t xml:space="preserve"> per</w:t>
            </w:r>
            <w:r w:rsidRPr="005060E0">
              <w:rPr>
                <w:sz w:val="16"/>
                <w:szCs w:val="16"/>
              </w:rPr>
              <w:t xml:space="preserve"> year</w:t>
            </w:r>
          </w:p>
          <w:p w14:paraId="069C595E" w14:textId="77777777" w:rsidR="00DE7EB0" w:rsidRPr="005060E0" w:rsidRDefault="00DE7EB0" w:rsidP="00BB2154">
            <w:pPr>
              <w:spacing w:before="110" w:after="11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5060E0">
              <w:rPr>
                <w:sz w:val="16"/>
                <w:szCs w:val="16"/>
              </w:rPr>
              <w:t>None</w:t>
            </w:r>
          </w:p>
        </w:tc>
      </w:tr>
      <w:tr w:rsidR="00DE7EB0" w:rsidRPr="005060E0" w14:paraId="79AEF4F0" w14:textId="77777777" w:rsidTr="00DE7EB0">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249" w:type="pct"/>
            <w:tcBorders>
              <w:top w:val="single" w:sz="4" w:space="0" w:color="606075"/>
              <w:left w:val="single" w:sz="4" w:space="0" w:color="606075"/>
              <w:bottom w:val="single" w:sz="4" w:space="0" w:color="606075"/>
              <w:right w:val="single" w:sz="4" w:space="0" w:color="606075"/>
            </w:tcBorders>
            <w:vAlign w:val="center"/>
          </w:tcPr>
          <w:p w14:paraId="75C793CA" w14:textId="392FA59F" w:rsidR="00DE7EB0" w:rsidRPr="005060E0" w:rsidRDefault="00DE7EB0" w:rsidP="00DE7EB0">
            <w:pPr>
              <w:spacing w:before="120" w:after="120" w:line="240" w:lineRule="auto"/>
              <w:jc w:val="center"/>
              <w:rPr>
                <w:b w:val="0"/>
                <w:sz w:val="16"/>
                <w:szCs w:val="16"/>
              </w:rPr>
            </w:pPr>
            <w:r w:rsidRPr="005060E0">
              <w:rPr>
                <w:b w:val="0"/>
                <w:sz w:val="16"/>
                <w:szCs w:val="16"/>
              </w:rPr>
              <w:t>Photochemical oxidants</w:t>
            </w:r>
            <w:r w:rsidR="009B74E1" w:rsidRPr="005060E0">
              <w:rPr>
                <w:b w:val="0"/>
                <w:sz w:val="16"/>
                <w:szCs w:val="16"/>
              </w:rPr>
              <w:br/>
            </w:r>
            <w:r w:rsidRPr="005060E0">
              <w:rPr>
                <w:b w:val="0"/>
                <w:sz w:val="16"/>
                <w:szCs w:val="16"/>
              </w:rPr>
              <w:t>(as O</w:t>
            </w:r>
            <w:r w:rsidRPr="005060E0">
              <w:rPr>
                <w:b w:val="0"/>
                <w:sz w:val="16"/>
                <w:szCs w:val="16"/>
                <w:vertAlign w:val="subscript"/>
              </w:rPr>
              <w:t>3</w:t>
            </w:r>
            <w:r w:rsidRPr="005060E0">
              <w:rPr>
                <w:b w:val="0"/>
                <w:sz w:val="16"/>
                <w:szCs w:val="16"/>
              </w:rPr>
              <w:t>)</w:t>
            </w:r>
          </w:p>
        </w:tc>
        <w:tc>
          <w:tcPr>
            <w:tcW w:w="1398" w:type="pct"/>
            <w:tcBorders>
              <w:top w:val="single" w:sz="4" w:space="0" w:color="606075"/>
              <w:left w:val="single" w:sz="4" w:space="0" w:color="606075"/>
              <w:bottom w:val="single" w:sz="4" w:space="0" w:color="606075"/>
              <w:right w:val="single" w:sz="4" w:space="0" w:color="606075"/>
            </w:tcBorders>
            <w:vAlign w:val="center"/>
          </w:tcPr>
          <w:p w14:paraId="047DAF23" w14:textId="210B9B53" w:rsidR="00DE7EB0" w:rsidRPr="005060E0" w:rsidRDefault="00DE7EB0" w:rsidP="00BB2154">
            <w:pPr>
              <w:spacing w:before="110" w:after="11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5060E0">
              <w:rPr>
                <w:sz w:val="16"/>
                <w:szCs w:val="16"/>
              </w:rPr>
              <w:t>1-hour</w:t>
            </w:r>
          </w:p>
          <w:p w14:paraId="64B483D7" w14:textId="12BCEDFD" w:rsidR="00DE7EB0" w:rsidRPr="005060E0" w:rsidRDefault="00DE7EB0" w:rsidP="00BB2154">
            <w:pPr>
              <w:spacing w:before="110" w:after="11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5060E0">
              <w:rPr>
                <w:sz w:val="16"/>
                <w:szCs w:val="16"/>
              </w:rPr>
              <w:t>Rolling 4-hour</w:t>
            </w:r>
          </w:p>
        </w:tc>
        <w:tc>
          <w:tcPr>
            <w:tcW w:w="737" w:type="pct"/>
            <w:tcBorders>
              <w:top w:val="single" w:sz="4" w:space="0" w:color="606075"/>
              <w:left w:val="single" w:sz="4" w:space="0" w:color="606075"/>
              <w:bottom w:val="single" w:sz="4" w:space="0" w:color="606075"/>
              <w:right w:val="single" w:sz="4" w:space="0" w:color="606075"/>
            </w:tcBorders>
            <w:vAlign w:val="center"/>
          </w:tcPr>
          <w:p w14:paraId="7C32BCCC" w14:textId="00461ABD" w:rsidR="00DE7EB0" w:rsidRPr="005060E0" w:rsidRDefault="00DE7EB0" w:rsidP="00BB2154">
            <w:pPr>
              <w:spacing w:before="110" w:after="11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5060E0">
              <w:rPr>
                <w:sz w:val="16"/>
                <w:szCs w:val="16"/>
              </w:rPr>
              <w:t>100</w:t>
            </w:r>
          </w:p>
          <w:p w14:paraId="4181DB51" w14:textId="7CA356C1" w:rsidR="00DE7EB0" w:rsidRPr="005060E0" w:rsidRDefault="00DE7EB0" w:rsidP="00BB2154">
            <w:pPr>
              <w:spacing w:before="110" w:after="11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5060E0">
              <w:rPr>
                <w:sz w:val="16"/>
                <w:szCs w:val="16"/>
              </w:rPr>
              <w:t>80</w:t>
            </w:r>
          </w:p>
        </w:tc>
        <w:tc>
          <w:tcPr>
            <w:tcW w:w="735" w:type="pct"/>
            <w:tcBorders>
              <w:top w:val="single" w:sz="4" w:space="0" w:color="606075"/>
              <w:left w:val="single" w:sz="4" w:space="0" w:color="606075"/>
              <w:bottom w:val="single" w:sz="4" w:space="0" w:color="606075"/>
              <w:right w:val="single" w:sz="4" w:space="0" w:color="606075"/>
            </w:tcBorders>
            <w:vAlign w:val="center"/>
          </w:tcPr>
          <w:p w14:paraId="1DD287BC" w14:textId="0ED340D9" w:rsidR="00DE7EB0" w:rsidRPr="005060E0" w:rsidRDefault="00DE7EB0" w:rsidP="00BB2154">
            <w:pPr>
              <w:spacing w:before="110" w:after="11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5060E0">
              <w:rPr>
                <w:sz w:val="16"/>
                <w:szCs w:val="16"/>
              </w:rPr>
              <w:t>214</w:t>
            </w:r>
          </w:p>
          <w:p w14:paraId="67DDC405" w14:textId="53F15EC0" w:rsidR="00DE7EB0" w:rsidRPr="005060E0" w:rsidRDefault="00DE7EB0" w:rsidP="00BB2154">
            <w:pPr>
              <w:spacing w:before="110" w:after="11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5060E0">
              <w:rPr>
                <w:sz w:val="16"/>
                <w:szCs w:val="16"/>
              </w:rPr>
              <w:t>171</w:t>
            </w:r>
          </w:p>
        </w:tc>
        <w:tc>
          <w:tcPr>
            <w:tcW w:w="881" w:type="pct"/>
            <w:tcBorders>
              <w:top w:val="single" w:sz="4" w:space="0" w:color="606075"/>
              <w:left w:val="single" w:sz="4" w:space="0" w:color="606075"/>
              <w:bottom w:val="single" w:sz="4" w:space="0" w:color="606075"/>
              <w:right w:val="single" w:sz="4" w:space="0" w:color="606075"/>
            </w:tcBorders>
            <w:vAlign w:val="center"/>
          </w:tcPr>
          <w:p w14:paraId="2DC779FC" w14:textId="6F642D25" w:rsidR="00DE7EB0" w:rsidRPr="005060E0" w:rsidRDefault="00B67484" w:rsidP="00BB2154">
            <w:pPr>
              <w:spacing w:before="110" w:after="11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5060E0">
              <w:rPr>
                <w:sz w:val="16"/>
                <w:szCs w:val="16"/>
              </w:rPr>
              <w:t>1 day per</w:t>
            </w:r>
            <w:r w:rsidR="00DE7EB0" w:rsidRPr="005060E0">
              <w:rPr>
                <w:sz w:val="16"/>
                <w:szCs w:val="16"/>
              </w:rPr>
              <w:t xml:space="preserve"> year</w:t>
            </w:r>
          </w:p>
          <w:p w14:paraId="589F7DEE" w14:textId="2AC1352D" w:rsidR="00DE7EB0" w:rsidRPr="005060E0" w:rsidRDefault="00B67484" w:rsidP="00BB2154">
            <w:pPr>
              <w:spacing w:before="110" w:after="11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5060E0">
              <w:rPr>
                <w:sz w:val="16"/>
                <w:szCs w:val="16"/>
              </w:rPr>
              <w:t>1 day per</w:t>
            </w:r>
            <w:r w:rsidR="00DE7EB0" w:rsidRPr="005060E0">
              <w:rPr>
                <w:sz w:val="16"/>
                <w:szCs w:val="16"/>
              </w:rPr>
              <w:t xml:space="preserve"> year</w:t>
            </w:r>
          </w:p>
        </w:tc>
      </w:tr>
    </w:tbl>
    <w:p w14:paraId="47F7A774" w14:textId="77777777" w:rsidR="00A54BE0" w:rsidRPr="005060E0" w:rsidRDefault="00A54BE0" w:rsidP="00284AAE">
      <w:pPr>
        <w:pStyle w:val="ListParagraph"/>
        <w:numPr>
          <w:ilvl w:val="0"/>
          <w:numId w:val="15"/>
        </w:numPr>
        <w:ind w:left="284" w:hanging="284"/>
        <w:rPr>
          <w:sz w:val="16"/>
          <w:szCs w:val="16"/>
        </w:rPr>
      </w:pPr>
      <w:r w:rsidRPr="005060E0">
        <w:rPr>
          <w:sz w:val="16"/>
          <w:szCs w:val="16"/>
        </w:rPr>
        <w:t xml:space="preserve">ppb = parts per billion; </w:t>
      </w:r>
      <w:r w:rsidRPr="005060E0">
        <w:rPr>
          <w:rFonts w:ascii="Calibri" w:hAnsi="Calibri"/>
          <w:sz w:val="16"/>
          <w:szCs w:val="16"/>
        </w:rPr>
        <w:t>µ</w:t>
      </w:r>
      <w:r w:rsidRPr="005060E0">
        <w:rPr>
          <w:sz w:val="16"/>
          <w:szCs w:val="16"/>
        </w:rPr>
        <w:t>g/m</w:t>
      </w:r>
      <w:r w:rsidRPr="005060E0">
        <w:rPr>
          <w:sz w:val="16"/>
          <w:szCs w:val="16"/>
          <w:vertAlign w:val="superscript"/>
        </w:rPr>
        <w:t>3</w:t>
      </w:r>
      <w:r w:rsidRPr="005060E0">
        <w:rPr>
          <w:sz w:val="16"/>
          <w:szCs w:val="16"/>
        </w:rPr>
        <w:t xml:space="preserve"> = micrograms per cubic metre, based on conversion at 0</w:t>
      </w:r>
      <w:r w:rsidRPr="005060E0">
        <w:rPr>
          <w:sz w:val="16"/>
          <w:szCs w:val="16"/>
          <w:vertAlign w:val="superscript"/>
        </w:rPr>
        <w:t>o</w:t>
      </w:r>
      <w:r w:rsidRPr="005060E0">
        <w:rPr>
          <w:sz w:val="16"/>
          <w:szCs w:val="16"/>
        </w:rPr>
        <w:t>C.</w:t>
      </w:r>
    </w:p>
    <w:p w14:paraId="02DFE82F" w14:textId="77777777" w:rsidR="00A54BE0" w:rsidRPr="005060E0" w:rsidRDefault="00A54BE0" w:rsidP="00284AAE">
      <w:pPr>
        <w:pStyle w:val="ListParagraph"/>
        <w:numPr>
          <w:ilvl w:val="0"/>
          <w:numId w:val="15"/>
        </w:numPr>
        <w:spacing w:after="0" w:line="240" w:lineRule="auto"/>
        <w:ind w:left="284" w:hanging="284"/>
        <w:rPr>
          <w:sz w:val="16"/>
          <w:szCs w:val="16"/>
        </w:rPr>
      </w:pPr>
      <w:r w:rsidRPr="005060E0">
        <w:rPr>
          <w:sz w:val="16"/>
          <w:szCs w:val="16"/>
        </w:rPr>
        <w:t>‘day’ = calendar day during which the associated standard is exceeded; ‘year’ = calendar year.</w:t>
      </w:r>
    </w:p>
    <w:p w14:paraId="214846AE" w14:textId="43874837" w:rsidR="00EA2475" w:rsidRPr="005060E0" w:rsidRDefault="001A5DE2" w:rsidP="00BB2154">
      <w:pPr>
        <w:pStyle w:val="Heading3"/>
        <w:spacing w:after="180"/>
      </w:pPr>
      <w:r w:rsidRPr="005060E0">
        <w:t xml:space="preserve">The </w:t>
      </w:r>
      <w:r w:rsidR="005A5C6C" w:rsidRPr="005060E0">
        <w:t>Impact Statement</w:t>
      </w:r>
    </w:p>
    <w:p w14:paraId="744ECB41" w14:textId="6C810DF9" w:rsidR="002C6866" w:rsidRPr="005060E0" w:rsidRDefault="005F44A6" w:rsidP="00BB2154">
      <w:pPr>
        <w:spacing w:after="0" w:line="270" w:lineRule="atLeast"/>
      </w:pPr>
      <w:r w:rsidRPr="005060E0">
        <w:t xml:space="preserve">This </w:t>
      </w:r>
      <w:r w:rsidR="005A5C6C" w:rsidRPr="005060E0">
        <w:t>Impact Statement</w:t>
      </w:r>
      <w:r w:rsidR="00013EC4" w:rsidRPr="005060E0">
        <w:t xml:space="preserve"> collates and analyses available information on SO</w:t>
      </w:r>
      <w:r w:rsidR="00013EC4" w:rsidRPr="005060E0">
        <w:rPr>
          <w:vertAlign w:val="subscript"/>
        </w:rPr>
        <w:t>2</w:t>
      </w:r>
      <w:r w:rsidR="00013EC4" w:rsidRPr="005060E0">
        <w:t>, NO</w:t>
      </w:r>
      <w:r w:rsidR="00013EC4" w:rsidRPr="005060E0">
        <w:rPr>
          <w:vertAlign w:val="subscript"/>
        </w:rPr>
        <w:t>2</w:t>
      </w:r>
      <w:r w:rsidR="00013EC4" w:rsidRPr="005060E0">
        <w:t xml:space="preserve"> and O</w:t>
      </w:r>
      <w:r w:rsidR="00013EC4" w:rsidRPr="005060E0">
        <w:rPr>
          <w:vertAlign w:val="subscript"/>
        </w:rPr>
        <w:t>3</w:t>
      </w:r>
      <w:r w:rsidR="00013EC4" w:rsidRPr="005060E0">
        <w:t xml:space="preserve"> in Australia, and considers the </w:t>
      </w:r>
      <w:r w:rsidR="006F49C7" w:rsidRPr="005060E0">
        <w:t>feasibility of updating the standards, and the costs and benefits of a range of potential abatement measures that could be introduced to lower concentrations for these pollutants</w:t>
      </w:r>
      <w:r w:rsidR="00013EC4" w:rsidRPr="005060E0">
        <w:t xml:space="preserve">. The </w:t>
      </w:r>
      <w:r w:rsidR="005A5C6C" w:rsidRPr="005060E0">
        <w:t>Impact Statement</w:t>
      </w:r>
      <w:r w:rsidR="00013EC4" w:rsidRPr="005060E0">
        <w:t xml:space="preserve"> includes a r</w:t>
      </w:r>
      <w:r w:rsidR="002C6866" w:rsidRPr="005060E0">
        <w:t xml:space="preserve">eview of </w:t>
      </w:r>
      <w:r w:rsidR="00013EC4" w:rsidRPr="005060E0">
        <w:t xml:space="preserve">the environmental outcome and goal of the AAQ NEPM, the Australian and international </w:t>
      </w:r>
      <w:r w:rsidR="002C6866" w:rsidRPr="005060E0">
        <w:t xml:space="preserve">standards, </w:t>
      </w:r>
      <w:r w:rsidR="00013EC4" w:rsidRPr="005060E0">
        <w:t>the</w:t>
      </w:r>
      <w:r w:rsidR="002C6866" w:rsidRPr="005060E0">
        <w:t xml:space="preserve"> form of the standards, </w:t>
      </w:r>
      <w:r w:rsidR="00013EC4" w:rsidRPr="005060E0">
        <w:t xml:space="preserve">the treatment of </w:t>
      </w:r>
      <w:r w:rsidR="002C6866" w:rsidRPr="005060E0">
        <w:t>exceptional events</w:t>
      </w:r>
      <w:r w:rsidR="00013EC4" w:rsidRPr="005060E0">
        <w:t>,</w:t>
      </w:r>
      <w:r w:rsidR="002C6866" w:rsidRPr="005060E0">
        <w:t xml:space="preserve"> and </w:t>
      </w:r>
      <w:r w:rsidR="00013EC4" w:rsidRPr="005060E0">
        <w:t xml:space="preserve">an </w:t>
      </w:r>
      <w:r w:rsidR="00DA68CD" w:rsidRPr="005060E0">
        <w:t>exposure-</w:t>
      </w:r>
      <w:r w:rsidR="009B7316" w:rsidRPr="005060E0">
        <w:t>reduction framework</w:t>
      </w:r>
      <w:r w:rsidR="00074608" w:rsidRPr="005060E0">
        <w:rPr>
          <w:rStyle w:val="FootnoteReference"/>
        </w:rPr>
        <w:footnoteReference w:id="9"/>
      </w:r>
      <w:r w:rsidR="002C6866" w:rsidRPr="005060E0">
        <w:t>.</w:t>
      </w:r>
      <w:r w:rsidR="00013EC4" w:rsidRPr="005060E0">
        <w:t xml:space="preserve"> </w:t>
      </w:r>
      <w:r w:rsidRPr="005060E0">
        <w:t>The objectives of the work</w:t>
      </w:r>
      <w:r w:rsidR="002C6866" w:rsidRPr="005060E0">
        <w:t xml:space="preserve"> a</w:t>
      </w:r>
      <w:r w:rsidR="00356A54" w:rsidRPr="005060E0">
        <w:t>re presented in more detail in S</w:t>
      </w:r>
      <w:r w:rsidR="002C6866" w:rsidRPr="005060E0">
        <w:t xml:space="preserve">ection </w:t>
      </w:r>
      <w:r w:rsidR="007E2CC5" w:rsidRPr="005060E0">
        <w:fldChar w:fldCharType="begin"/>
      </w:r>
      <w:r w:rsidR="007E2CC5" w:rsidRPr="005060E0">
        <w:instrText xml:space="preserve"> REF _Ref1393007 \r \h </w:instrText>
      </w:r>
      <w:r w:rsidR="007E2CC5" w:rsidRPr="005060E0">
        <w:fldChar w:fldCharType="separate"/>
      </w:r>
      <w:r w:rsidR="00F2067C">
        <w:t>1.6</w:t>
      </w:r>
      <w:r w:rsidR="007E2CC5" w:rsidRPr="005060E0">
        <w:fldChar w:fldCharType="end"/>
      </w:r>
      <w:r w:rsidR="002C6866" w:rsidRPr="005060E0">
        <w:t>.</w:t>
      </w:r>
    </w:p>
    <w:p w14:paraId="06F17808" w14:textId="77777777" w:rsidR="00591AB1" w:rsidRPr="005060E0" w:rsidRDefault="00591AB1" w:rsidP="00284AAE">
      <w:pPr>
        <w:pStyle w:val="Heading3"/>
        <w:numPr>
          <w:ilvl w:val="2"/>
          <w:numId w:val="52"/>
        </w:numPr>
      </w:pPr>
      <w:r w:rsidRPr="005060E0">
        <w:t>Projects to address other recommendations in the 2011 NEPM Review</w:t>
      </w:r>
    </w:p>
    <w:p w14:paraId="78967BE8" w14:textId="5B2599DF" w:rsidR="00591AB1" w:rsidRPr="005060E0" w:rsidRDefault="00591AB1" w:rsidP="00591AB1">
      <w:r w:rsidRPr="005060E0">
        <w:t xml:space="preserve">The 2011 AAQ NEPM </w:t>
      </w:r>
      <w:r w:rsidR="00E7697B" w:rsidRPr="005060E0">
        <w:t>r</w:t>
      </w:r>
      <w:r w:rsidRPr="005060E0">
        <w:t>eview made a total of 23 recommendations. While t</w:t>
      </w:r>
      <w:r w:rsidR="00CD2A72" w:rsidRPr="005060E0">
        <w:t xml:space="preserve">his </w:t>
      </w:r>
      <w:r w:rsidR="005A5C6C" w:rsidRPr="005060E0">
        <w:t>Impact Statement</w:t>
      </w:r>
      <w:r w:rsidRPr="005060E0">
        <w:t xml:space="preserve"> and the AAQ NEPM review for the PM standards address some of these recomme</w:t>
      </w:r>
      <w:r w:rsidR="00AA287D" w:rsidRPr="005060E0">
        <w:t xml:space="preserve">ndations, other recommendations </w:t>
      </w:r>
      <w:r w:rsidR="00C8024A" w:rsidRPr="005060E0">
        <w:t xml:space="preserve">(relating to monitoring, assessment and reporting) </w:t>
      </w:r>
      <w:r w:rsidRPr="005060E0">
        <w:t>have been addressed by projects led by an AAQ NEPM Expert Working Group (EWG)</w:t>
      </w:r>
      <w:r w:rsidR="00C8024A" w:rsidRPr="005060E0">
        <w:rPr>
          <w:rStyle w:val="FootnoteReference"/>
        </w:rPr>
        <w:footnoteReference w:id="10"/>
      </w:r>
      <w:r w:rsidRPr="005060E0">
        <w:t>.</w:t>
      </w:r>
    </w:p>
    <w:p w14:paraId="401C6B8B" w14:textId="77777777" w:rsidR="00591AB1" w:rsidRPr="005060E0" w:rsidRDefault="00591AB1" w:rsidP="00591AB1">
      <w:r w:rsidRPr="005060E0">
        <w:t>The AAQ NEPM EWG designed and led seven projects:</w:t>
      </w:r>
    </w:p>
    <w:p w14:paraId="1D567B81" w14:textId="4C8CDE32" w:rsidR="00591AB1" w:rsidRPr="005060E0" w:rsidRDefault="00591AB1" w:rsidP="00591AB1">
      <w:pPr>
        <w:pStyle w:val="ListBullet"/>
      </w:pPr>
      <w:r w:rsidRPr="005060E0">
        <w:t>Project 1</w:t>
      </w:r>
      <w:r w:rsidR="009328B2" w:rsidRPr="005060E0">
        <w:t xml:space="preserve"> </w:t>
      </w:r>
      <w:r w:rsidR="009328B2" w:rsidRPr="005060E0">
        <w:rPr>
          <w:rFonts w:cs="Arial"/>
        </w:rPr>
        <w:t>–</w:t>
      </w:r>
      <w:r w:rsidR="009328B2" w:rsidRPr="005060E0">
        <w:t xml:space="preserve"> </w:t>
      </w:r>
      <w:r w:rsidRPr="005060E0">
        <w:t>Review of Monitoring Methods</w:t>
      </w:r>
    </w:p>
    <w:p w14:paraId="19CCCCB2" w14:textId="53350A5E" w:rsidR="00591AB1" w:rsidRPr="005060E0" w:rsidRDefault="00591AB1" w:rsidP="00591AB1">
      <w:pPr>
        <w:pStyle w:val="ListBullet"/>
      </w:pPr>
      <w:r w:rsidRPr="005060E0">
        <w:t>Project 2</w:t>
      </w:r>
      <w:r w:rsidR="009328B2" w:rsidRPr="005060E0">
        <w:t xml:space="preserve"> </w:t>
      </w:r>
      <w:r w:rsidR="009328B2" w:rsidRPr="005060E0">
        <w:rPr>
          <w:rFonts w:cs="Arial"/>
        </w:rPr>
        <w:t>–</w:t>
      </w:r>
      <w:r w:rsidR="009328B2" w:rsidRPr="005060E0">
        <w:t xml:space="preserve"> </w:t>
      </w:r>
      <w:r w:rsidRPr="005060E0">
        <w:t>Redesign Monitoring Networks and Risk-based Monitoring</w:t>
      </w:r>
    </w:p>
    <w:p w14:paraId="60D5916B" w14:textId="34DB88B3" w:rsidR="00591AB1" w:rsidRPr="005060E0" w:rsidRDefault="00591AB1" w:rsidP="00591AB1">
      <w:pPr>
        <w:pStyle w:val="ListBullet"/>
      </w:pPr>
      <w:r w:rsidRPr="005060E0">
        <w:t>Project 3</w:t>
      </w:r>
      <w:r w:rsidR="009328B2" w:rsidRPr="005060E0">
        <w:t xml:space="preserve"> </w:t>
      </w:r>
      <w:r w:rsidR="009328B2" w:rsidRPr="005060E0">
        <w:rPr>
          <w:rFonts w:cs="Arial"/>
        </w:rPr>
        <w:t>–</w:t>
      </w:r>
      <w:r w:rsidR="009328B2" w:rsidRPr="005060E0">
        <w:t xml:space="preserve"> </w:t>
      </w:r>
      <w:r w:rsidRPr="005060E0">
        <w:t>Population Exposure Assessment Method</w:t>
      </w:r>
    </w:p>
    <w:p w14:paraId="7C389E05" w14:textId="6517F89E" w:rsidR="00591AB1" w:rsidRPr="005060E0" w:rsidRDefault="00591AB1" w:rsidP="00591AB1">
      <w:pPr>
        <w:pStyle w:val="ListBullet"/>
      </w:pPr>
      <w:r w:rsidRPr="005060E0">
        <w:t>Project 4</w:t>
      </w:r>
      <w:r w:rsidR="009328B2" w:rsidRPr="005060E0">
        <w:t xml:space="preserve"> </w:t>
      </w:r>
      <w:r w:rsidR="009328B2" w:rsidRPr="005060E0">
        <w:rPr>
          <w:rFonts w:cs="Arial"/>
        </w:rPr>
        <w:t>–</w:t>
      </w:r>
      <w:r w:rsidR="009328B2" w:rsidRPr="005060E0">
        <w:t xml:space="preserve"> </w:t>
      </w:r>
      <w:r w:rsidRPr="005060E0">
        <w:t>Assessment and Reporting</w:t>
      </w:r>
    </w:p>
    <w:p w14:paraId="23131217" w14:textId="63A9AB13" w:rsidR="00591AB1" w:rsidRPr="005060E0" w:rsidRDefault="00591AB1" w:rsidP="00591AB1">
      <w:pPr>
        <w:pStyle w:val="ListBullet"/>
      </w:pPr>
      <w:r w:rsidRPr="005060E0">
        <w:t>Project 5</w:t>
      </w:r>
      <w:r w:rsidR="009328B2" w:rsidRPr="005060E0">
        <w:t xml:space="preserve"> </w:t>
      </w:r>
      <w:r w:rsidR="009328B2" w:rsidRPr="005060E0">
        <w:rPr>
          <w:rFonts w:cs="Arial"/>
        </w:rPr>
        <w:t>–</w:t>
      </w:r>
      <w:r w:rsidR="009328B2" w:rsidRPr="005060E0">
        <w:t xml:space="preserve"> </w:t>
      </w:r>
      <w:r w:rsidRPr="005060E0">
        <w:t>Precursors and Emerging Pollutants</w:t>
      </w:r>
    </w:p>
    <w:p w14:paraId="2DA9C1F7" w14:textId="7F14E465" w:rsidR="00591AB1" w:rsidRPr="005060E0" w:rsidRDefault="00591AB1" w:rsidP="00591AB1">
      <w:pPr>
        <w:pStyle w:val="ListBullet"/>
      </w:pPr>
      <w:r w:rsidRPr="005060E0">
        <w:t>Project 6</w:t>
      </w:r>
      <w:r w:rsidR="009328B2" w:rsidRPr="005060E0">
        <w:t xml:space="preserve"> </w:t>
      </w:r>
      <w:r w:rsidR="009328B2" w:rsidRPr="005060E0">
        <w:rPr>
          <w:rFonts w:cs="Arial"/>
        </w:rPr>
        <w:t>–</w:t>
      </w:r>
      <w:r w:rsidR="009328B2" w:rsidRPr="005060E0">
        <w:t xml:space="preserve"> </w:t>
      </w:r>
      <w:r w:rsidRPr="005060E0">
        <w:t>Particles and Health Research</w:t>
      </w:r>
    </w:p>
    <w:p w14:paraId="6482F0C1" w14:textId="5F8AF77E" w:rsidR="00591AB1" w:rsidRPr="005060E0" w:rsidRDefault="00591AB1" w:rsidP="001A5DE2">
      <w:pPr>
        <w:pStyle w:val="ListBullet"/>
        <w:spacing w:after="240"/>
      </w:pPr>
      <w:r w:rsidRPr="005060E0">
        <w:t>Project 7</w:t>
      </w:r>
      <w:r w:rsidR="009328B2" w:rsidRPr="005060E0">
        <w:t xml:space="preserve"> </w:t>
      </w:r>
      <w:r w:rsidR="009328B2" w:rsidRPr="005060E0">
        <w:rPr>
          <w:rFonts w:cs="Arial"/>
        </w:rPr>
        <w:t>–</w:t>
      </w:r>
      <w:r w:rsidR="009328B2" w:rsidRPr="005060E0">
        <w:t xml:space="preserve"> </w:t>
      </w:r>
      <w:r w:rsidRPr="005060E0">
        <w:t>Establish Specialist Working Group(s)</w:t>
      </w:r>
      <w:r w:rsidR="005B7DCD" w:rsidRPr="005060E0">
        <w:t>.</w:t>
      </w:r>
    </w:p>
    <w:p w14:paraId="0E5AF5A8" w14:textId="488C3A76" w:rsidR="00591AB1" w:rsidRPr="005060E0" w:rsidRDefault="00591AB1" w:rsidP="00591AB1">
      <w:r w:rsidRPr="005060E0">
        <w:t xml:space="preserve">The AAQ NEPM EWG completed Projects 1, 2 and 4 in early 2017. </w:t>
      </w:r>
      <w:r w:rsidR="00A22284" w:rsidRPr="005060E0">
        <w:t>The findings and outcomes of these projects are summarised below, and c</w:t>
      </w:r>
      <w:r w:rsidRPr="005060E0">
        <w:t>hanges to the AAQ NEPM are being proposed based o</w:t>
      </w:r>
      <w:r w:rsidR="00A22284" w:rsidRPr="005060E0">
        <w:t>n them</w:t>
      </w:r>
      <w:r w:rsidRPr="005060E0">
        <w:t xml:space="preserve">. Projects 3, </w:t>
      </w:r>
      <w:r w:rsidR="002804EF">
        <w:t xml:space="preserve">5, </w:t>
      </w:r>
      <w:r w:rsidRPr="005060E0">
        <w:t xml:space="preserve">6 and 7 are ongoing and their outcomes will not immediately lead to changes to the AAQ NEPM. Thus, they have not been included in this </w:t>
      </w:r>
      <w:r w:rsidR="005A5C6C" w:rsidRPr="005060E0">
        <w:t>Impact Statement</w:t>
      </w:r>
      <w:r w:rsidRPr="005060E0">
        <w:t>.</w:t>
      </w:r>
    </w:p>
    <w:p w14:paraId="5F81F802" w14:textId="71457FE7" w:rsidR="00A22284" w:rsidRPr="005060E0" w:rsidRDefault="00A22284" w:rsidP="007C54C7">
      <w:pPr>
        <w:pStyle w:val="Heading4"/>
      </w:pPr>
      <w:r w:rsidRPr="005060E0">
        <w:t xml:space="preserve">Project 1 </w:t>
      </w:r>
      <w:r w:rsidR="005B7DCD" w:rsidRPr="005060E0">
        <w:t>s</w:t>
      </w:r>
      <w:r w:rsidRPr="005060E0">
        <w:t>ummary</w:t>
      </w:r>
    </w:p>
    <w:p w14:paraId="18144E87" w14:textId="1248A6AC" w:rsidR="00A22284" w:rsidRPr="005060E0" w:rsidRDefault="00A22284" w:rsidP="00A22284">
      <w:r w:rsidRPr="005060E0">
        <w:t xml:space="preserve">Project 1 </w:t>
      </w:r>
      <w:r w:rsidR="005B7DCD" w:rsidRPr="005060E0">
        <w:t>–</w:t>
      </w:r>
      <w:r w:rsidRPr="005060E0">
        <w:t xml:space="preserve"> Review of Monitoring Methods was developed to address Recommendation 12 in the 2011 NEPM Review Report:</w:t>
      </w:r>
    </w:p>
    <w:p w14:paraId="5E1556CD" w14:textId="6FA49007" w:rsidR="00A22284" w:rsidRPr="005060E0" w:rsidRDefault="00A22284" w:rsidP="00A931E8">
      <w:pPr>
        <w:pStyle w:val="ListBullet"/>
      </w:pPr>
      <w:r w:rsidRPr="005060E0">
        <w:t>Recommendation 12 – Amend requirements of monitoring methods (clause 16 and Schedule 3) to allow appropriate Australian Standards methods; or methods determined by the E</w:t>
      </w:r>
      <w:r w:rsidR="003D0C1F" w:rsidRPr="005060E0">
        <w:t xml:space="preserve">uropean </w:t>
      </w:r>
      <w:r w:rsidRPr="005060E0">
        <w:t>U</w:t>
      </w:r>
      <w:r w:rsidR="003D0C1F" w:rsidRPr="005060E0">
        <w:t>nion (EU)</w:t>
      </w:r>
      <w:r w:rsidRPr="005060E0">
        <w:t xml:space="preserve"> and/or USEPA as Reference or Equivalence Methods.</w:t>
      </w:r>
    </w:p>
    <w:p w14:paraId="73AFD46E" w14:textId="0996CD8E" w:rsidR="00A22284" w:rsidRPr="005060E0" w:rsidRDefault="00A22284" w:rsidP="00A22284">
      <w:r w:rsidRPr="005060E0">
        <w:t>Rapid advancements are being made in measurement technologies. Consequently, the EWG agreed to explore options that enable more frequent review and updat</w:t>
      </w:r>
      <w:r w:rsidR="005B7DCD" w:rsidRPr="005060E0">
        <w:t>ing</w:t>
      </w:r>
      <w:r w:rsidRPr="005060E0">
        <w:t xml:space="preserve"> of monitoring methods</w:t>
      </w:r>
      <w:r w:rsidR="005B7DCD" w:rsidRPr="005060E0">
        <w:t>,</w:t>
      </w:r>
      <w:r w:rsidRPr="005060E0">
        <w:t xml:space="preserve"> consistent with the rate </w:t>
      </w:r>
      <w:r w:rsidR="005B7DCD" w:rsidRPr="005060E0">
        <w:t xml:space="preserve">at which </w:t>
      </w:r>
      <w:r w:rsidRPr="005060E0">
        <w:t>advancements occur.</w:t>
      </w:r>
      <w:r w:rsidR="00261D21" w:rsidRPr="005060E0">
        <w:t xml:space="preserve"> </w:t>
      </w:r>
    </w:p>
    <w:p w14:paraId="3B75779F" w14:textId="79587568" w:rsidR="00A22284" w:rsidRPr="005060E0" w:rsidRDefault="00A22284" w:rsidP="00A22284">
      <w:r w:rsidRPr="005060E0">
        <w:t xml:space="preserve">Future monitoring methods could include those for which there are applicable Australian Standards or other recognised methods (for example, </w:t>
      </w:r>
      <w:r w:rsidR="00164837" w:rsidRPr="005060E0">
        <w:t>USEPA</w:t>
      </w:r>
      <w:r w:rsidRPr="005060E0">
        <w:t xml:space="preserve"> or EU reference or equivalence methods) or the use of alternative, more cost-effective sensors as part of jurisdictional networks to enhance population exposure assessment.</w:t>
      </w:r>
    </w:p>
    <w:p w14:paraId="2BAB604F" w14:textId="7BC8790E" w:rsidR="00B01723" w:rsidRPr="005060E0" w:rsidRDefault="00B01723" w:rsidP="00A22284">
      <w:r w:rsidRPr="005060E0">
        <w:t xml:space="preserve">No changes to the draft variation are proposed. </w:t>
      </w:r>
      <w:r w:rsidR="00D1369D">
        <w:t xml:space="preserve">The </w:t>
      </w:r>
      <w:r w:rsidRPr="005060E0">
        <w:t>NEPC need</w:t>
      </w:r>
      <w:r w:rsidR="005B7DCD" w:rsidRPr="005060E0">
        <w:t>s</w:t>
      </w:r>
      <w:r w:rsidRPr="005060E0">
        <w:t xml:space="preserve"> to decide </w:t>
      </w:r>
      <w:r w:rsidR="0027306C" w:rsidRPr="005060E0">
        <w:t>(</w:t>
      </w:r>
      <w:r w:rsidRPr="005060E0">
        <w:t>on a case-by-case basis</w:t>
      </w:r>
      <w:r w:rsidR="0027306C" w:rsidRPr="005060E0">
        <w:t>)</w:t>
      </w:r>
      <w:r w:rsidRPr="005060E0">
        <w:t xml:space="preserve"> how the NEPM could be varied to incorporate a change to a monitoring method. </w:t>
      </w:r>
      <w:r w:rsidR="00D1369D">
        <w:t xml:space="preserve">The </w:t>
      </w:r>
      <w:r w:rsidRPr="005060E0">
        <w:t xml:space="preserve">NEPC would need to unanimously resolve that the variation to a monitoring method does not result in a significant change in the effect of the NEPM for it to be made as a minor variation under </w:t>
      </w:r>
      <w:r w:rsidR="005B7DCD" w:rsidRPr="005060E0">
        <w:t>s</w:t>
      </w:r>
      <w:r w:rsidRPr="005060E0">
        <w:t>ection 22A of the NEPC Act.</w:t>
      </w:r>
    </w:p>
    <w:p w14:paraId="063CD54B" w14:textId="12DAEF79" w:rsidR="009D246F" w:rsidRPr="005060E0" w:rsidRDefault="00A22284" w:rsidP="000728D6">
      <w:r w:rsidRPr="005060E0">
        <w:t xml:space="preserve">Key to </w:t>
      </w:r>
      <w:r w:rsidR="0027306C" w:rsidRPr="005060E0">
        <w:t xml:space="preserve">any future </w:t>
      </w:r>
      <w:r w:rsidRPr="005060E0">
        <w:t>change</w:t>
      </w:r>
      <w:r w:rsidR="0027306C" w:rsidRPr="005060E0">
        <w:t>s</w:t>
      </w:r>
      <w:r w:rsidRPr="005060E0">
        <w:t xml:space="preserve"> </w:t>
      </w:r>
      <w:r w:rsidR="005B7DCD" w:rsidRPr="005060E0">
        <w:t xml:space="preserve">is </w:t>
      </w:r>
      <w:r w:rsidRPr="005060E0">
        <w:t>that participating jurisdictions should agree on the monitoring methods to be used</w:t>
      </w:r>
      <w:r w:rsidR="005B7DCD" w:rsidRPr="005060E0">
        <w:t>,</w:t>
      </w:r>
      <w:r w:rsidRPr="005060E0">
        <w:t xml:space="preserve"> to ensure national consistency.</w:t>
      </w:r>
    </w:p>
    <w:p w14:paraId="5F9EE608" w14:textId="653ECBCA" w:rsidR="00147FCD" w:rsidRPr="005060E0" w:rsidRDefault="009D246F" w:rsidP="000728D6">
      <w:r w:rsidRPr="005060E0">
        <w:t xml:space="preserve">Updates to Schedule 3 to reflect current Australian Standards </w:t>
      </w:r>
      <w:r w:rsidR="00A056E7" w:rsidRPr="005060E0">
        <w:t xml:space="preserve">have </w:t>
      </w:r>
      <w:r w:rsidRPr="005060E0">
        <w:t>also occur</w:t>
      </w:r>
      <w:r w:rsidR="00A056E7" w:rsidRPr="005060E0">
        <w:t>red</w:t>
      </w:r>
      <w:r w:rsidRPr="005060E0">
        <w:t xml:space="preserve"> as part of this work.</w:t>
      </w:r>
    </w:p>
    <w:p w14:paraId="1AB2E830" w14:textId="7421A38F" w:rsidR="00A22284" w:rsidRPr="005060E0" w:rsidRDefault="00A22284" w:rsidP="007C54C7">
      <w:pPr>
        <w:pStyle w:val="Heading4"/>
      </w:pPr>
      <w:r w:rsidRPr="005060E0">
        <w:t xml:space="preserve">Project 2 </w:t>
      </w:r>
      <w:r w:rsidR="005B7DCD" w:rsidRPr="005060E0">
        <w:t>s</w:t>
      </w:r>
      <w:r w:rsidRPr="005060E0">
        <w:t>ummary</w:t>
      </w:r>
    </w:p>
    <w:p w14:paraId="5C823F32" w14:textId="77777777" w:rsidR="00A22284" w:rsidRPr="005060E0" w:rsidRDefault="00A22284" w:rsidP="00A22284">
      <w:r w:rsidRPr="005060E0">
        <w:t>Project 2 – Monitoring Network Design was developed to address Recommendations 10 and 11 in the 2011 NEPM Review Report:</w:t>
      </w:r>
    </w:p>
    <w:p w14:paraId="0BBF3F21" w14:textId="498CA467" w:rsidR="00A22284" w:rsidRPr="005060E0" w:rsidRDefault="00A22284" w:rsidP="00A931E8">
      <w:pPr>
        <w:pStyle w:val="ListBullet"/>
      </w:pPr>
      <w:r w:rsidRPr="005060E0">
        <w:t xml:space="preserve">Recommendation 10 – Redesign monitoring networks to represent population exposure on a pollutant-by-pollutant basis without compromising data collection for long-term trend analysis. A procedure to determine the location and number of sites similar to EU and/or </w:t>
      </w:r>
      <w:r w:rsidR="00164837" w:rsidRPr="005060E0">
        <w:t>USEPA</w:t>
      </w:r>
      <w:r w:rsidRPr="005060E0">
        <w:t xml:space="preserve"> is recommended.</w:t>
      </w:r>
    </w:p>
    <w:p w14:paraId="42E57FEC" w14:textId="7D3B2A4B" w:rsidR="00A22284" w:rsidRPr="005060E0" w:rsidRDefault="00A22284" w:rsidP="00A931E8">
      <w:pPr>
        <w:pStyle w:val="ListBullet"/>
      </w:pPr>
      <w:r w:rsidRPr="005060E0">
        <w:t>Recommendation 11 – Remove the population threshold and formula to enable monitoring on potential population risk rather than on population size.</w:t>
      </w:r>
    </w:p>
    <w:p w14:paraId="79695DA4" w14:textId="77777777" w:rsidR="00A22284" w:rsidRPr="005060E0" w:rsidRDefault="00A22284" w:rsidP="00A22284">
      <w:r w:rsidRPr="005060E0">
        <w:t>The NSW members of the EWG were assigned as project lead with support from VIC, QLD, SA and CSIRO.</w:t>
      </w:r>
    </w:p>
    <w:p w14:paraId="5A3A65C5" w14:textId="77777777" w:rsidR="00A22284" w:rsidRPr="005060E0" w:rsidRDefault="00A22284" w:rsidP="00A22284">
      <w:r w:rsidRPr="005060E0">
        <w:t>NSW commissioned two studies to address these recommendations:</w:t>
      </w:r>
    </w:p>
    <w:p w14:paraId="0D5F26E3" w14:textId="178BC076" w:rsidR="00A22284" w:rsidRPr="005060E0" w:rsidRDefault="005B7DCD" w:rsidP="00A931E8">
      <w:pPr>
        <w:pStyle w:val="ListBullet"/>
      </w:pPr>
      <w:r w:rsidRPr="005060E0">
        <w:t>a</w:t>
      </w:r>
      <w:r w:rsidR="00A22284" w:rsidRPr="005060E0">
        <w:t xml:space="preserve"> review of the current NEPM monitoring network in Australia</w:t>
      </w:r>
    </w:p>
    <w:p w14:paraId="166390A8" w14:textId="67633539" w:rsidR="00A22284" w:rsidRPr="005060E0" w:rsidRDefault="005B7DCD" w:rsidP="00A931E8">
      <w:pPr>
        <w:pStyle w:val="ListBullet"/>
      </w:pPr>
      <w:r w:rsidRPr="005060E0">
        <w:t>a</w:t>
      </w:r>
      <w:r w:rsidR="00A22284" w:rsidRPr="005060E0">
        <w:t xml:space="preserve"> review of current international practice in air monitoring network design.</w:t>
      </w:r>
    </w:p>
    <w:p w14:paraId="04B14DBC" w14:textId="63FDBB0C" w:rsidR="00A22284" w:rsidRPr="005060E0" w:rsidRDefault="00A22284" w:rsidP="00C514EF">
      <w:r w:rsidRPr="005060E0">
        <w:t>Based on the studies’ findings, the EWG agreed that the final changes proposed for the NEPM were preservation of the population threshold and formula but with a primary focus on risk; achieved through the inclusion of risk-based text in the NEPM to enable jurisdictions to apply risk-based principles in the selection of monitoring locations – in addition to the 25,000</w:t>
      </w:r>
      <w:r w:rsidR="00C514EF" w:rsidRPr="005060E0">
        <w:t>-</w:t>
      </w:r>
      <w:r w:rsidRPr="005060E0">
        <w:t>population threshold.</w:t>
      </w:r>
      <w:r w:rsidR="00C514EF" w:rsidRPr="005060E0">
        <w:t xml:space="preserve"> Population thresholds represent current international practice in determining minimum monitoring requirements and do not inhibit risk-based monitoring. The review of international best practice for the design of monitoring networks found that all major networks comparable to the NEPM use population as the primary basis for establishing minimum monitoring (or assessment) criteria. Further, the NEPM population threshold of 25,000 is stricter than all other population-based approaches. Typically, in the USA, Canada and the EU population thresholds start at 100,000 people and range from 100,000 </w:t>
      </w:r>
      <w:r w:rsidR="005B7DCD" w:rsidRPr="005060E0">
        <w:rPr>
          <w:rFonts w:cs="Arial"/>
        </w:rPr>
        <w:t>–</w:t>
      </w:r>
      <w:r w:rsidR="00C514EF" w:rsidRPr="005060E0">
        <w:t xml:space="preserve"> 1,000,000.</w:t>
      </w:r>
    </w:p>
    <w:p w14:paraId="670974D1" w14:textId="17FDB86B" w:rsidR="00B01723" w:rsidRPr="005060E0" w:rsidRDefault="00B01723" w:rsidP="00C514EF">
      <w:r w:rsidRPr="005060E0">
        <w:t xml:space="preserve">Consequently, the following changes to </w:t>
      </w:r>
      <w:r w:rsidR="005B7DCD" w:rsidRPr="005060E0">
        <w:t>c</w:t>
      </w:r>
      <w:r w:rsidRPr="005060E0">
        <w:t>lause 14 of the NEPM are proposed:</w:t>
      </w:r>
    </w:p>
    <w:p w14:paraId="4292A07B" w14:textId="2868C188" w:rsidR="00B01723" w:rsidRPr="005060E0" w:rsidRDefault="00696C9B" w:rsidP="00B01723">
      <w:pPr>
        <w:pStyle w:val="ListBullet"/>
      </w:pPr>
      <w:r w:rsidRPr="005060E0">
        <w:t>i</w:t>
      </w:r>
      <w:r w:rsidR="00D52313" w:rsidRPr="005060E0">
        <w:t xml:space="preserve">ntroduction of </w:t>
      </w:r>
      <w:r w:rsidR="00B01723" w:rsidRPr="005060E0">
        <w:t xml:space="preserve">subclause </w:t>
      </w:r>
      <w:r w:rsidR="00D52313" w:rsidRPr="005060E0">
        <w:t xml:space="preserve">(1) </w:t>
      </w:r>
      <w:r w:rsidR="00B01723" w:rsidRPr="005060E0">
        <w:t>that highlights that the number of performance monitoring stations must be based on determining the potential population at risk</w:t>
      </w:r>
    </w:p>
    <w:p w14:paraId="6C951FC6" w14:textId="7090E9A1" w:rsidR="00B01723" w:rsidRPr="005060E0" w:rsidRDefault="00696C9B" w:rsidP="00B01723">
      <w:pPr>
        <w:pStyle w:val="ListBullet"/>
      </w:pPr>
      <w:r w:rsidRPr="005060E0">
        <w:t>c</w:t>
      </w:r>
      <w:r w:rsidR="00D52313" w:rsidRPr="005060E0">
        <w:t>hanges to subclause (2) to allow additional performance monitoring stations in areas determined as high-risk areas by participating jurisdictions</w:t>
      </w:r>
    </w:p>
    <w:p w14:paraId="6F3883DA" w14:textId="2FB4231A" w:rsidR="00D52313" w:rsidRPr="005060E0" w:rsidRDefault="00696C9B" w:rsidP="00B01723">
      <w:pPr>
        <w:pStyle w:val="ListBullet"/>
      </w:pPr>
      <w:r w:rsidRPr="005060E0">
        <w:t>r</w:t>
      </w:r>
      <w:r w:rsidR="00D52313" w:rsidRPr="005060E0">
        <w:t>etention of the population formula (however, with a lower emphasis on this criteria), i.e. moved to subclause (4)</w:t>
      </w:r>
    </w:p>
    <w:p w14:paraId="7F811BAA" w14:textId="2CB358B1" w:rsidR="00D52313" w:rsidRPr="005060E0" w:rsidRDefault="00696C9B" w:rsidP="006233CD">
      <w:pPr>
        <w:pStyle w:val="ListBullet"/>
      </w:pPr>
      <w:r w:rsidRPr="005060E0">
        <w:t>d</w:t>
      </w:r>
      <w:r w:rsidR="00D52313" w:rsidRPr="005060E0">
        <w:t xml:space="preserve">efinitions for </w:t>
      </w:r>
      <w:r w:rsidR="00D52313" w:rsidRPr="005060E0">
        <w:rPr>
          <w:i/>
        </w:rPr>
        <w:t>populations at risk</w:t>
      </w:r>
      <w:r w:rsidR="00D52313" w:rsidRPr="005060E0">
        <w:t xml:space="preserve"> and </w:t>
      </w:r>
      <w:r w:rsidR="00D52313" w:rsidRPr="005060E0">
        <w:rPr>
          <w:i/>
        </w:rPr>
        <w:t>high risk areas</w:t>
      </w:r>
      <w:r w:rsidR="00D52313" w:rsidRPr="005060E0">
        <w:t>.</w:t>
      </w:r>
      <w:r w:rsidR="00022E80" w:rsidRPr="005060E0">
        <w:t xml:space="preserve"> The </w:t>
      </w:r>
      <w:r w:rsidR="00D814FF" w:rsidRPr="005060E0">
        <w:t xml:space="preserve">proposed </w:t>
      </w:r>
      <w:r w:rsidR="00022E80" w:rsidRPr="005060E0">
        <w:t xml:space="preserve">definition of </w:t>
      </w:r>
      <w:r w:rsidR="00022E80" w:rsidRPr="005060E0">
        <w:rPr>
          <w:i/>
        </w:rPr>
        <w:t>populations at risk</w:t>
      </w:r>
      <w:r w:rsidR="00D814FF" w:rsidRPr="005060E0">
        <w:t xml:space="preserve"> has been developed to align with </w:t>
      </w:r>
      <w:r w:rsidR="002B5934" w:rsidRPr="005060E0">
        <w:t>enHealth’s meaning of population risk (enHealth 2012)</w:t>
      </w:r>
      <w:r w:rsidR="00D814FF" w:rsidRPr="005060E0">
        <w:t>.</w:t>
      </w:r>
    </w:p>
    <w:p w14:paraId="20FFCA77" w14:textId="775E4A46" w:rsidR="00A22284" w:rsidRPr="005060E0" w:rsidRDefault="00A22284" w:rsidP="007C54C7">
      <w:pPr>
        <w:pStyle w:val="Heading4"/>
      </w:pPr>
      <w:r w:rsidRPr="005060E0">
        <w:t xml:space="preserve">Project 4 </w:t>
      </w:r>
      <w:r w:rsidR="00696C9B" w:rsidRPr="005060E0">
        <w:t>s</w:t>
      </w:r>
      <w:r w:rsidRPr="005060E0">
        <w:t>ummary</w:t>
      </w:r>
    </w:p>
    <w:p w14:paraId="1006EE4E" w14:textId="77777777" w:rsidR="00A22284" w:rsidRPr="005060E0" w:rsidRDefault="00A22284" w:rsidP="00185039">
      <w:pPr>
        <w:spacing w:after="180"/>
      </w:pPr>
      <w:r w:rsidRPr="005060E0">
        <w:t>Project 4 – Assessment and Reporting was developed to address Recommendations 15, 16 and 18 in the 2011 NEPM Review Report:</w:t>
      </w:r>
    </w:p>
    <w:p w14:paraId="74F0ED37" w14:textId="5DB2D7CB" w:rsidR="00A22284" w:rsidRPr="005060E0" w:rsidRDefault="00A22284" w:rsidP="00185039">
      <w:pPr>
        <w:pStyle w:val="ListBullet"/>
        <w:spacing w:after="180"/>
      </w:pPr>
      <w:r w:rsidRPr="005060E0">
        <w:t>Recommendation 15 – Revise the assessment (clause 17) and reporting (clause 18) protocol to include additional performance assessment indicators and expanded reporting requirements to enable inclusion of population exposure determinations, severity of exceedance and effectiveness of management actions undertaken.</w:t>
      </w:r>
    </w:p>
    <w:p w14:paraId="59C950BD" w14:textId="66CE5D34" w:rsidR="00A22284" w:rsidRPr="005060E0" w:rsidRDefault="00A22284" w:rsidP="00185039">
      <w:pPr>
        <w:pStyle w:val="ListBullet"/>
        <w:spacing w:after="180"/>
      </w:pPr>
      <w:r w:rsidRPr="005060E0">
        <w:t>Recommendation 16 – Revise guidance documents and templates associated with assessment and reporting to accommodate presentation of clear messages, to allow for better communication and more accessible air quality reports.</w:t>
      </w:r>
    </w:p>
    <w:p w14:paraId="1B2B42F2" w14:textId="28A1CB53" w:rsidR="00A22284" w:rsidRPr="005060E0" w:rsidRDefault="00A22284" w:rsidP="00185039">
      <w:pPr>
        <w:pStyle w:val="ListBullet"/>
        <w:spacing w:after="180"/>
      </w:pPr>
      <w:r w:rsidRPr="005060E0">
        <w:t>Recommendation 18 – Require timely reporting of all exceedances, with jurisdictions publicly releasing the analysis of these events on their respective websites within 3 months of the event.</w:t>
      </w:r>
    </w:p>
    <w:p w14:paraId="65B4010C" w14:textId="77777777" w:rsidR="00A22284" w:rsidRPr="005060E0" w:rsidRDefault="00A22284" w:rsidP="00A22284">
      <w:r w:rsidRPr="005060E0">
        <w:t>The NSW members of the EWG were assigned as project lead with support from QLD, NT, WA and members from the University of Tasmania.</w:t>
      </w:r>
    </w:p>
    <w:p w14:paraId="45991FF9" w14:textId="7BF3CF70" w:rsidR="00A22284" w:rsidRPr="005060E0" w:rsidRDefault="00A22284" w:rsidP="00A22284">
      <w:r w:rsidRPr="005060E0">
        <w:t xml:space="preserve">The first steps taken by the group to determine the most appropriate revised template were to review submissions to the 2011 AAQ NEPM </w:t>
      </w:r>
      <w:r w:rsidR="00E7697B" w:rsidRPr="005060E0">
        <w:t>r</w:t>
      </w:r>
      <w:r w:rsidRPr="005060E0">
        <w:t xml:space="preserve">eview </w:t>
      </w:r>
      <w:r w:rsidR="00E7697B" w:rsidRPr="005060E0">
        <w:t>r</w:t>
      </w:r>
      <w:r w:rsidRPr="005060E0">
        <w:t>eport and survey stakeholders (questionnaires were sent to 80 to 90 stakeholders – responses were received from nine).</w:t>
      </w:r>
    </w:p>
    <w:p w14:paraId="1E6C5B8A" w14:textId="1F336C2F" w:rsidR="00A22284" w:rsidRPr="005060E0" w:rsidRDefault="00A22284" w:rsidP="00A22284">
      <w:r w:rsidRPr="005060E0">
        <w:t>Subsequent steps taken were:</w:t>
      </w:r>
    </w:p>
    <w:p w14:paraId="3E008CEF" w14:textId="245E66AA" w:rsidR="00A22284" w:rsidRPr="005060E0" w:rsidRDefault="00A968D2" w:rsidP="00A931E8">
      <w:pPr>
        <w:pStyle w:val="ListBullet"/>
      </w:pPr>
      <w:r w:rsidRPr="005060E0">
        <w:t>r</w:t>
      </w:r>
      <w:r w:rsidR="00A22284" w:rsidRPr="005060E0">
        <w:t>eview of the existing AAQ NEPM</w:t>
      </w:r>
    </w:p>
    <w:p w14:paraId="362B7176" w14:textId="7C8F98A5" w:rsidR="00A22284" w:rsidRPr="005060E0" w:rsidRDefault="00A968D2" w:rsidP="00A931E8">
      <w:pPr>
        <w:pStyle w:val="ListBullet"/>
      </w:pPr>
      <w:r w:rsidRPr="005060E0">
        <w:t>c</w:t>
      </w:r>
      <w:r w:rsidR="00A22284" w:rsidRPr="005060E0">
        <w:t>ollation of comments on reporting protocols</w:t>
      </w:r>
    </w:p>
    <w:p w14:paraId="3BAC7E08" w14:textId="4A3C5D0C" w:rsidR="00A22284" w:rsidRPr="005060E0" w:rsidRDefault="00A968D2" w:rsidP="00A931E8">
      <w:pPr>
        <w:pStyle w:val="ListBullet"/>
      </w:pPr>
      <w:r w:rsidRPr="005060E0">
        <w:t>l</w:t>
      </w:r>
      <w:r w:rsidR="00A22284" w:rsidRPr="005060E0">
        <w:t xml:space="preserve">iaison with </w:t>
      </w:r>
      <w:r w:rsidR="007274E5" w:rsidRPr="005060E0">
        <w:t>the Clean Air Society of Australia and New Zealand (</w:t>
      </w:r>
      <w:r w:rsidR="00A22284" w:rsidRPr="005060E0">
        <w:t>CASANZ</w:t>
      </w:r>
      <w:r w:rsidR="007274E5" w:rsidRPr="005060E0">
        <w:t>)</w:t>
      </w:r>
      <w:r w:rsidR="00A22284" w:rsidRPr="005060E0">
        <w:t xml:space="preserve"> in relation to the survey</w:t>
      </w:r>
    </w:p>
    <w:p w14:paraId="636BBB4A" w14:textId="08CA6A08" w:rsidR="00A22284" w:rsidRPr="005060E0" w:rsidRDefault="00A968D2" w:rsidP="00A931E8">
      <w:pPr>
        <w:pStyle w:val="ListBullet"/>
      </w:pPr>
      <w:r w:rsidRPr="005060E0">
        <w:t>d</w:t>
      </w:r>
      <w:r w:rsidR="00A22284" w:rsidRPr="005060E0">
        <w:t>evelopment of a new NEPM reporting template and amendments to Technical Note 8 (guidance document).</w:t>
      </w:r>
    </w:p>
    <w:p w14:paraId="36FD038A" w14:textId="77777777" w:rsidR="00A22284" w:rsidRPr="005060E0" w:rsidRDefault="00A22284" w:rsidP="00A22284">
      <w:r w:rsidRPr="005060E0">
        <w:t>The new template has been updated to optimally present information by converting data tables in Sections C and D into charts either by region or station (whichever jurisdictions deem appropriate). Statistical information on trends and data analysis will also be available as a CSV file. In terms of guidance documents, Technical Note 8 has been updated to reflect these changes and to address how jurisdictions report on measurement uncertainty.</w:t>
      </w:r>
    </w:p>
    <w:p w14:paraId="3B13EA84" w14:textId="416B4DE0" w:rsidR="00A22284" w:rsidRPr="005060E0" w:rsidRDefault="00A22284" w:rsidP="00A22284">
      <w:r w:rsidRPr="005060E0">
        <w:t>The final template and Technical Note 8 can be made available on request. These documents will need to be revised to include the reporting of population exposure to particles as PM</w:t>
      </w:r>
      <w:r w:rsidRPr="005060E0">
        <w:rPr>
          <w:vertAlign w:val="subscript"/>
        </w:rPr>
        <w:t>2.5</w:t>
      </w:r>
      <w:r w:rsidRPr="005060E0">
        <w:t xml:space="preserve"> once the population exposure method is finalised.</w:t>
      </w:r>
    </w:p>
    <w:p w14:paraId="192E40AD" w14:textId="523E1EF9" w:rsidR="003B74AE" w:rsidRPr="005060E0" w:rsidRDefault="003B74AE" w:rsidP="003B74AE">
      <w:pPr>
        <w:pStyle w:val="Heading4"/>
      </w:pPr>
      <w:bookmarkStart w:id="23" w:name="_Hlk534374369"/>
      <w:bookmarkStart w:id="24" w:name="_Toc479201556"/>
      <w:r w:rsidRPr="005060E0">
        <w:t>Changes to carbon monoxide</w:t>
      </w:r>
    </w:p>
    <w:p w14:paraId="1E73E975" w14:textId="593F4986" w:rsidR="003B74AE" w:rsidRPr="005060E0" w:rsidRDefault="003B74AE" w:rsidP="003B74AE">
      <w:pPr>
        <w:pStyle w:val="BodyText"/>
      </w:pPr>
      <w:r w:rsidRPr="005060E0">
        <w:t>The findings in this report for O</w:t>
      </w:r>
      <w:r w:rsidRPr="005060E0">
        <w:rPr>
          <w:vertAlign w:val="subscript"/>
        </w:rPr>
        <w:t>3</w:t>
      </w:r>
      <w:r w:rsidRPr="005060E0">
        <w:t>, NO</w:t>
      </w:r>
      <w:r w:rsidRPr="005060E0">
        <w:rPr>
          <w:vertAlign w:val="subscript"/>
        </w:rPr>
        <w:t>2</w:t>
      </w:r>
      <w:r w:rsidRPr="005060E0">
        <w:t xml:space="preserve"> and SO</w:t>
      </w:r>
      <w:r w:rsidRPr="005060E0">
        <w:rPr>
          <w:vertAlign w:val="subscript"/>
        </w:rPr>
        <w:t>2</w:t>
      </w:r>
      <w:r w:rsidRPr="005060E0">
        <w:t xml:space="preserve"> include </w:t>
      </w:r>
      <w:r w:rsidR="00DF0B29" w:rsidRPr="005060E0">
        <w:t xml:space="preserve">recommendations for </w:t>
      </w:r>
      <w:r w:rsidRPr="005060E0">
        <w:t>the removal of maximum allowable exceedances to enhance the health protection provided by the standards. Although not assessed as part of this review, it is proposed that the allowable exceedances for carbon monoxide (CO) also be removed for the following reasons:</w:t>
      </w:r>
    </w:p>
    <w:p w14:paraId="5FCFF612" w14:textId="77777777" w:rsidR="003B74AE" w:rsidRPr="005060E0" w:rsidRDefault="003B74AE" w:rsidP="00BE09B4">
      <w:pPr>
        <w:pStyle w:val="BodyText"/>
        <w:numPr>
          <w:ilvl w:val="0"/>
          <w:numId w:val="74"/>
        </w:numPr>
      </w:pPr>
      <w:r w:rsidRPr="005060E0">
        <w:t>A consistent approach across all pollutants is desired. If the allowable exceedances for O</w:t>
      </w:r>
      <w:r w:rsidRPr="005060E0">
        <w:rPr>
          <w:vertAlign w:val="subscript"/>
        </w:rPr>
        <w:t>3</w:t>
      </w:r>
      <w:r w:rsidRPr="005060E0">
        <w:t>, NO</w:t>
      </w:r>
      <w:r w:rsidRPr="005060E0">
        <w:rPr>
          <w:vertAlign w:val="subscript"/>
        </w:rPr>
        <w:t>2</w:t>
      </w:r>
      <w:r w:rsidRPr="005060E0">
        <w:t xml:space="preserve"> and SO</w:t>
      </w:r>
      <w:r w:rsidRPr="005060E0">
        <w:rPr>
          <w:vertAlign w:val="subscript"/>
        </w:rPr>
        <w:t>2</w:t>
      </w:r>
      <w:r w:rsidRPr="005060E0">
        <w:t xml:space="preserve"> are removed, they will only remain for CO.</w:t>
      </w:r>
    </w:p>
    <w:p w14:paraId="481FFA73" w14:textId="77777777" w:rsidR="003B74AE" w:rsidRPr="005060E0" w:rsidRDefault="003B74AE" w:rsidP="00BB2154">
      <w:pPr>
        <w:pStyle w:val="BodyText"/>
        <w:numPr>
          <w:ilvl w:val="0"/>
          <w:numId w:val="74"/>
        </w:numPr>
        <w:spacing w:after="160"/>
        <w:ind w:left="714" w:hanging="357"/>
      </w:pPr>
      <w:r w:rsidRPr="005060E0">
        <w:t>The levels of CO across Australia have been continuously low over the past decade and allowable exceedances have not been needed. Refer to AAQ NEPM Compliance Reports from jurisdictions for information about CO levels.</w:t>
      </w:r>
    </w:p>
    <w:p w14:paraId="0DD7F123" w14:textId="34371685" w:rsidR="003B74AE" w:rsidRPr="005060E0" w:rsidRDefault="003B74AE" w:rsidP="00BE09B4">
      <w:pPr>
        <w:pStyle w:val="BodyText"/>
        <w:numPr>
          <w:ilvl w:val="0"/>
          <w:numId w:val="74"/>
        </w:numPr>
      </w:pPr>
      <w:r w:rsidRPr="005060E0">
        <w:t xml:space="preserve">CO </w:t>
      </w:r>
      <w:r w:rsidR="00A13202" w:rsidRPr="005060E0">
        <w:t xml:space="preserve">is likely to </w:t>
      </w:r>
      <w:r w:rsidRPr="005060E0">
        <w:t>remain low for the f</w:t>
      </w:r>
      <w:bookmarkEnd w:id="23"/>
      <w:r w:rsidRPr="005060E0">
        <w:t>oreseeable future.</w:t>
      </w:r>
    </w:p>
    <w:p w14:paraId="7135E93B" w14:textId="4103C776" w:rsidR="00076A9D" w:rsidRPr="005060E0" w:rsidRDefault="0062664E" w:rsidP="0043533F">
      <w:pPr>
        <w:pStyle w:val="Heading2"/>
      </w:pPr>
      <w:bookmarkStart w:id="25" w:name="_Ref1393007"/>
      <w:bookmarkStart w:id="26" w:name="_Toc3278923"/>
      <w:r w:rsidRPr="005060E0">
        <w:t>Report objectives</w:t>
      </w:r>
      <w:bookmarkEnd w:id="25"/>
      <w:bookmarkEnd w:id="26"/>
    </w:p>
    <w:p w14:paraId="6529B0AD" w14:textId="76DCB78A" w:rsidR="003A73B2" w:rsidRPr="005060E0" w:rsidRDefault="003A73B2" w:rsidP="00BB2154">
      <w:pPr>
        <w:pStyle w:val="Heading3"/>
        <w:spacing w:after="200"/>
      </w:pPr>
      <w:r w:rsidRPr="005060E0">
        <w:t>Overview</w:t>
      </w:r>
    </w:p>
    <w:p w14:paraId="4C6C6E51" w14:textId="4067B18D" w:rsidR="00AD108B" w:rsidRPr="005060E0" w:rsidRDefault="00AD108B" w:rsidP="00AD108B">
      <w:r w:rsidRPr="005060E0">
        <w:t>This</w:t>
      </w:r>
      <w:r w:rsidR="00364D08" w:rsidRPr="005060E0">
        <w:t xml:space="preserve"> </w:t>
      </w:r>
      <w:r w:rsidR="005A5C6C" w:rsidRPr="005060E0">
        <w:t>Impact Statement</w:t>
      </w:r>
      <w:r w:rsidRPr="005060E0">
        <w:t xml:space="preserve"> investigates the options for reducing exposure to SO</w:t>
      </w:r>
      <w:r w:rsidRPr="005060E0">
        <w:rPr>
          <w:vertAlign w:val="subscript"/>
        </w:rPr>
        <w:t>2</w:t>
      </w:r>
      <w:r w:rsidRPr="005060E0">
        <w:t>, NO</w:t>
      </w:r>
      <w:r w:rsidRPr="005060E0">
        <w:rPr>
          <w:vertAlign w:val="subscript"/>
        </w:rPr>
        <w:t>2</w:t>
      </w:r>
      <w:r w:rsidRPr="005060E0">
        <w:t xml:space="preserve"> and O</w:t>
      </w:r>
      <w:r w:rsidRPr="005060E0">
        <w:rPr>
          <w:vertAlign w:val="subscript"/>
        </w:rPr>
        <w:t>3</w:t>
      </w:r>
      <w:r w:rsidRPr="005060E0">
        <w:t xml:space="preserve"> in Australia</w:t>
      </w:r>
      <w:r w:rsidR="008E496A" w:rsidRPr="005060E0">
        <w:t>.</w:t>
      </w:r>
      <w:r w:rsidR="00364D08" w:rsidRPr="005060E0">
        <w:t xml:space="preserve"> </w:t>
      </w:r>
      <w:r w:rsidRPr="005060E0">
        <w:t>Several types of framework have the potential in theory to</w:t>
      </w:r>
      <w:r w:rsidR="003878CA" w:rsidRPr="005060E0">
        <w:t xml:space="preserve"> reduce exposure, the main options being</w:t>
      </w:r>
      <w:r w:rsidRPr="005060E0">
        <w:t>:</w:t>
      </w:r>
    </w:p>
    <w:p w14:paraId="76D0EF11" w14:textId="5852721F" w:rsidR="00AD108B" w:rsidRPr="005060E0" w:rsidRDefault="00457129" w:rsidP="00BB2154">
      <w:pPr>
        <w:pStyle w:val="ListBullet"/>
        <w:spacing w:after="160"/>
        <w:ind w:left="714" w:hanging="357"/>
      </w:pPr>
      <w:r w:rsidRPr="005060E0">
        <w:t>n</w:t>
      </w:r>
      <w:r w:rsidR="00AD108B" w:rsidRPr="005060E0">
        <w:t>o change to the current framework</w:t>
      </w:r>
    </w:p>
    <w:p w14:paraId="4870509E" w14:textId="77777777" w:rsidR="00AD108B" w:rsidRPr="005060E0" w:rsidRDefault="00AD108B" w:rsidP="00BB2154">
      <w:pPr>
        <w:pStyle w:val="ListBullet"/>
        <w:spacing w:after="160"/>
        <w:ind w:left="714" w:hanging="357"/>
      </w:pPr>
      <w:r w:rsidRPr="005060E0">
        <w:t>Commonwealth legislation</w:t>
      </w:r>
    </w:p>
    <w:p w14:paraId="17D1978A" w14:textId="6DF0F875" w:rsidR="00AD108B" w:rsidRPr="005060E0" w:rsidRDefault="001E68FB" w:rsidP="00BB2154">
      <w:pPr>
        <w:pStyle w:val="ListBullet"/>
        <w:spacing w:after="160"/>
        <w:ind w:left="714" w:hanging="357"/>
      </w:pPr>
      <w:r w:rsidRPr="005060E0">
        <w:t>v</w:t>
      </w:r>
      <w:r w:rsidR="00AD108B" w:rsidRPr="005060E0">
        <w:t>oluntary guidelines</w:t>
      </w:r>
    </w:p>
    <w:p w14:paraId="5EAF5050" w14:textId="5078A19B" w:rsidR="00AD108B" w:rsidRPr="005060E0" w:rsidRDefault="001E68FB" w:rsidP="00BB2154">
      <w:pPr>
        <w:pStyle w:val="ListBullet"/>
        <w:spacing w:after="160"/>
        <w:ind w:left="714" w:hanging="357"/>
      </w:pPr>
      <w:r w:rsidRPr="005060E0">
        <w:t>i</w:t>
      </w:r>
      <w:r w:rsidR="00AD108B" w:rsidRPr="005060E0">
        <w:t>nter-governmental agreement or memorandum of understanding</w:t>
      </w:r>
    </w:p>
    <w:p w14:paraId="06A8FC56" w14:textId="3EDC8FF3" w:rsidR="00AD108B" w:rsidRPr="005060E0" w:rsidRDefault="001E68FB" w:rsidP="00287064">
      <w:pPr>
        <w:pStyle w:val="ListBullet"/>
      </w:pPr>
      <w:r w:rsidRPr="005060E0">
        <w:t>v</w:t>
      </w:r>
      <w:r w:rsidR="00AD108B" w:rsidRPr="005060E0">
        <w:t>ariation of the AAQ NEPM</w:t>
      </w:r>
      <w:r w:rsidRPr="005060E0">
        <w:t>.</w:t>
      </w:r>
    </w:p>
    <w:p w14:paraId="334C7A81" w14:textId="0E7FA2D2" w:rsidR="008E496A" w:rsidRPr="005060E0" w:rsidRDefault="00AD108B" w:rsidP="00AD108B">
      <w:r w:rsidRPr="005060E0">
        <w:t xml:space="preserve">A variation of the existing AAQ NEPM is highly likely to be the most appropriate step. </w:t>
      </w:r>
      <w:r w:rsidR="003878CA" w:rsidRPr="005060E0">
        <w:t xml:space="preserve">Specifically, the </w:t>
      </w:r>
      <w:r w:rsidR="005A5C6C" w:rsidRPr="005060E0">
        <w:t>Impact Statement</w:t>
      </w:r>
      <w:r w:rsidR="003878CA" w:rsidRPr="005060E0">
        <w:t xml:space="preserve"> deals with the possibility of amendin</w:t>
      </w:r>
      <w:r w:rsidR="003A73B2" w:rsidRPr="005060E0">
        <w:t>g the standards and goals for SO</w:t>
      </w:r>
      <w:r w:rsidR="003A73B2" w:rsidRPr="005060E0">
        <w:rPr>
          <w:vertAlign w:val="subscript"/>
        </w:rPr>
        <w:t>2</w:t>
      </w:r>
      <w:r w:rsidR="003A73B2" w:rsidRPr="005060E0">
        <w:t>, NO</w:t>
      </w:r>
      <w:r w:rsidR="003A73B2" w:rsidRPr="005060E0">
        <w:rPr>
          <w:vertAlign w:val="subscript"/>
        </w:rPr>
        <w:t>2</w:t>
      </w:r>
      <w:r w:rsidR="003A73B2" w:rsidRPr="005060E0">
        <w:t xml:space="preserve"> and O</w:t>
      </w:r>
      <w:r w:rsidR="003A73B2" w:rsidRPr="005060E0">
        <w:rPr>
          <w:vertAlign w:val="subscript"/>
        </w:rPr>
        <w:t>3</w:t>
      </w:r>
      <w:r w:rsidR="003A73B2" w:rsidRPr="005060E0">
        <w:t xml:space="preserve"> (including the form of the standards) in the </w:t>
      </w:r>
      <w:r w:rsidR="0049398C" w:rsidRPr="005060E0">
        <w:t>AAQ NEPM and</w:t>
      </w:r>
      <w:r w:rsidR="003878CA" w:rsidRPr="005060E0">
        <w:t xml:space="preserve"> considers the prospect of introducing a framework for re</w:t>
      </w:r>
      <w:r w:rsidR="003A73B2" w:rsidRPr="005060E0">
        <w:t>ducing population exposure</w:t>
      </w:r>
      <w:r w:rsidR="005A3A19" w:rsidRPr="005060E0">
        <w:t xml:space="preserve"> for each pollutant</w:t>
      </w:r>
      <w:r w:rsidR="003878CA" w:rsidRPr="005060E0">
        <w:t xml:space="preserve">. </w:t>
      </w:r>
      <w:r w:rsidRPr="005060E0">
        <w:t>However, for completeness</w:t>
      </w:r>
      <w:r w:rsidR="001E68FB" w:rsidRPr="005060E0">
        <w:t>,</w:t>
      </w:r>
      <w:r w:rsidRPr="005060E0">
        <w:t xml:space="preserve"> </w:t>
      </w:r>
      <w:r w:rsidR="001E68FB" w:rsidRPr="005060E0">
        <w:t xml:space="preserve">all </w:t>
      </w:r>
      <w:r w:rsidR="003878CA" w:rsidRPr="005060E0">
        <w:t>of the options listed above</w:t>
      </w:r>
      <w:r w:rsidRPr="005060E0">
        <w:t xml:space="preserve"> </w:t>
      </w:r>
      <w:r w:rsidR="001E68FB" w:rsidRPr="005060E0">
        <w:t>have</w:t>
      </w:r>
      <w:r w:rsidRPr="005060E0">
        <w:t xml:space="preserve"> been considered.</w:t>
      </w:r>
    </w:p>
    <w:p w14:paraId="42F89162" w14:textId="4D2740DC" w:rsidR="00AD108B" w:rsidRPr="005060E0" w:rsidRDefault="008E496A" w:rsidP="008E496A">
      <w:r w:rsidRPr="005060E0">
        <w:t xml:space="preserve">The </w:t>
      </w:r>
      <w:r w:rsidR="005A5C6C" w:rsidRPr="005060E0">
        <w:t>Impact Statement</w:t>
      </w:r>
      <w:r w:rsidR="00AD108B" w:rsidRPr="005060E0">
        <w:t xml:space="preserve"> </w:t>
      </w:r>
      <w:r w:rsidRPr="005060E0">
        <w:t xml:space="preserve">has been prepared </w:t>
      </w:r>
      <w:r w:rsidRPr="005060E0">
        <w:rPr>
          <w:szCs w:val="20"/>
        </w:rPr>
        <w:t>with reference to</w:t>
      </w:r>
      <w:r w:rsidRPr="005060E0">
        <w:t xml:space="preserve"> the requirements of the NEPC Act, which</w:t>
      </w:r>
      <w:r w:rsidR="00CA57E3" w:rsidRPr="005060E0">
        <w:t xml:space="preserve"> are summarised in S</w:t>
      </w:r>
      <w:r w:rsidR="00364D08" w:rsidRPr="005060E0">
        <w:t xml:space="preserve">ection </w:t>
      </w:r>
      <w:r w:rsidR="00364D08" w:rsidRPr="005060E0">
        <w:fldChar w:fldCharType="begin"/>
      </w:r>
      <w:r w:rsidR="00364D08" w:rsidRPr="005060E0">
        <w:instrText xml:space="preserve"> REF _Ref506133908 \r \h </w:instrText>
      </w:r>
      <w:r w:rsidR="00364D08" w:rsidRPr="005060E0">
        <w:fldChar w:fldCharType="separate"/>
      </w:r>
      <w:r w:rsidR="00F2067C">
        <w:t>1.6.2</w:t>
      </w:r>
      <w:r w:rsidR="00364D08" w:rsidRPr="005060E0">
        <w:fldChar w:fldCharType="end"/>
      </w:r>
      <w:r w:rsidRPr="005060E0">
        <w:t xml:space="preserve">. The </w:t>
      </w:r>
      <w:r w:rsidR="005A5C6C" w:rsidRPr="005060E0">
        <w:t>Impact Statement</w:t>
      </w:r>
      <w:r w:rsidRPr="005060E0">
        <w:t xml:space="preserve"> also builds on the recommendations of the 2011 review of the AAQ NEPM,</w:t>
      </w:r>
      <w:r w:rsidR="00364D08" w:rsidRPr="005060E0">
        <w:t xml:space="preserve"> as summarised i</w:t>
      </w:r>
      <w:r w:rsidR="00CA57E3" w:rsidRPr="005060E0">
        <w:t>n S</w:t>
      </w:r>
      <w:r w:rsidR="00364D08" w:rsidRPr="005060E0">
        <w:t xml:space="preserve">ection </w:t>
      </w:r>
      <w:r w:rsidR="00364D08" w:rsidRPr="005060E0">
        <w:fldChar w:fldCharType="begin"/>
      </w:r>
      <w:r w:rsidR="00364D08" w:rsidRPr="005060E0">
        <w:instrText xml:space="preserve"> REF _Ref506133939 \r \h </w:instrText>
      </w:r>
      <w:r w:rsidR="00364D08" w:rsidRPr="005060E0">
        <w:fldChar w:fldCharType="separate"/>
      </w:r>
      <w:r w:rsidR="00F2067C">
        <w:t>1.6.3</w:t>
      </w:r>
      <w:r w:rsidR="00364D08" w:rsidRPr="005060E0">
        <w:fldChar w:fldCharType="end"/>
      </w:r>
      <w:r w:rsidRPr="005060E0">
        <w:t>.</w:t>
      </w:r>
    </w:p>
    <w:p w14:paraId="78425175" w14:textId="2CC59569" w:rsidR="00076A9D" w:rsidRPr="005060E0" w:rsidRDefault="00364D08" w:rsidP="00BB2154">
      <w:pPr>
        <w:pStyle w:val="Heading3"/>
        <w:spacing w:after="200"/>
      </w:pPr>
      <w:bookmarkStart w:id="27" w:name="_Toc479201558"/>
      <w:bookmarkStart w:id="28" w:name="_Ref506133908"/>
      <w:r w:rsidRPr="005060E0">
        <w:t>R</w:t>
      </w:r>
      <w:r w:rsidR="00205B41" w:rsidRPr="005060E0">
        <w:t>equirements of the National Environment Protection Council</w:t>
      </w:r>
      <w:r w:rsidR="00076A9D" w:rsidRPr="005060E0">
        <w:t xml:space="preserve"> Act</w:t>
      </w:r>
      <w:bookmarkEnd w:id="27"/>
      <w:bookmarkEnd w:id="28"/>
    </w:p>
    <w:p w14:paraId="7B7DEC5D" w14:textId="6CCE99E9" w:rsidR="00925345" w:rsidRPr="005060E0" w:rsidRDefault="006B6070">
      <w:pPr>
        <w:rPr>
          <w:rFonts w:eastAsia="Times New Roman" w:cs="Times New Roman"/>
        </w:rPr>
      </w:pPr>
      <w:r w:rsidRPr="005060E0">
        <w:rPr>
          <w:rFonts w:eastAsia="Times New Roman" w:cs="Times New Roman"/>
        </w:rPr>
        <w:t xml:space="preserve">The </w:t>
      </w:r>
      <w:r w:rsidRPr="005060E0">
        <w:rPr>
          <w:rFonts w:eastAsia="Times New Roman" w:cs="Times New Roman"/>
          <w:i/>
        </w:rPr>
        <w:t xml:space="preserve">National Environment Protection Council Act </w:t>
      </w:r>
      <w:r w:rsidRPr="00CC2143">
        <w:rPr>
          <w:rFonts w:eastAsia="Times New Roman" w:cs="Times New Roman"/>
          <w:i/>
        </w:rPr>
        <w:t>1994</w:t>
      </w:r>
      <w:r w:rsidR="001E68FB" w:rsidRPr="005060E0">
        <w:rPr>
          <w:rFonts w:eastAsia="Times New Roman" w:cs="Times New Roman"/>
        </w:rPr>
        <w:t xml:space="preserve"> (section 15)</w:t>
      </w:r>
      <w:r w:rsidRPr="005060E0">
        <w:rPr>
          <w:rFonts w:eastAsia="Times New Roman" w:cs="Times New Roman"/>
        </w:rPr>
        <w:t xml:space="preserve"> allows the National Environment Protection Council to introduce, vary or revoke NEPMs.</w:t>
      </w:r>
    </w:p>
    <w:p w14:paraId="16585A7D" w14:textId="77777777" w:rsidR="00076A9D" w:rsidRPr="005060E0" w:rsidRDefault="00076A9D" w:rsidP="00E20C55">
      <w:pPr>
        <w:rPr>
          <w:rFonts w:eastAsia="Times New Roman" w:cs="Times New Roman"/>
        </w:rPr>
      </w:pPr>
      <w:r w:rsidRPr="005060E0">
        <w:rPr>
          <w:rFonts w:eastAsia="Times New Roman" w:cs="Times New Roman"/>
        </w:rPr>
        <w:t>In making or varying any national environment protection measure, the Council must have regard to:</w:t>
      </w:r>
    </w:p>
    <w:p w14:paraId="56942D9F" w14:textId="51960EAE" w:rsidR="00076A9D" w:rsidRPr="005060E0" w:rsidRDefault="00076A9D" w:rsidP="00BB2154">
      <w:pPr>
        <w:pStyle w:val="ListParagraph"/>
        <w:numPr>
          <w:ilvl w:val="0"/>
          <w:numId w:val="12"/>
        </w:numPr>
        <w:spacing w:after="120"/>
        <w:ind w:left="1134" w:hanging="357"/>
        <w:contextualSpacing w:val="0"/>
      </w:pPr>
      <w:r w:rsidRPr="005060E0">
        <w:t>whether the measur</w:t>
      </w:r>
      <w:r w:rsidR="00CA57E3" w:rsidRPr="005060E0">
        <w:t xml:space="preserve">e is consistent with </w:t>
      </w:r>
      <w:r w:rsidR="00DA712D" w:rsidRPr="005060E0">
        <w:t>s</w:t>
      </w:r>
      <w:r w:rsidRPr="005060E0">
        <w:t xml:space="preserve">ection 3 of the </w:t>
      </w:r>
      <w:r w:rsidR="009C21A8" w:rsidRPr="005060E0">
        <w:rPr>
          <w:rFonts w:eastAsia="Times New Roman" w:cs="Times New Roman"/>
        </w:rPr>
        <w:t xml:space="preserve">Intergovernmental </w:t>
      </w:r>
      <w:r w:rsidRPr="005060E0">
        <w:t>Agreement</w:t>
      </w:r>
      <w:r w:rsidR="009C21A8" w:rsidRPr="005060E0">
        <w:t xml:space="preserve"> on the Environment</w:t>
      </w:r>
      <w:r w:rsidRPr="005060E0">
        <w:t>; and</w:t>
      </w:r>
    </w:p>
    <w:p w14:paraId="0DA72028" w14:textId="77777777" w:rsidR="00076A9D" w:rsidRPr="005060E0" w:rsidRDefault="00076A9D" w:rsidP="00BB2154">
      <w:pPr>
        <w:pStyle w:val="ListParagraph"/>
        <w:numPr>
          <w:ilvl w:val="0"/>
          <w:numId w:val="12"/>
        </w:numPr>
        <w:spacing w:after="140"/>
        <w:ind w:left="1134" w:hanging="357"/>
        <w:contextualSpacing w:val="0"/>
      </w:pPr>
      <w:r w:rsidRPr="005060E0">
        <w:t>the environmental, economic and social impact of the measure; and</w:t>
      </w:r>
    </w:p>
    <w:p w14:paraId="5F894784" w14:textId="77777777" w:rsidR="00076A9D" w:rsidRPr="005060E0" w:rsidRDefault="00076A9D" w:rsidP="00BB2154">
      <w:pPr>
        <w:pStyle w:val="ListParagraph"/>
        <w:numPr>
          <w:ilvl w:val="0"/>
          <w:numId w:val="12"/>
        </w:numPr>
        <w:spacing w:after="120"/>
        <w:ind w:left="1134" w:hanging="357"/>
        <w:contextualSpacing w:val="0"/>
      </w:pPr>
      <w:r w:rsidRPr="005060E0">
        <w:t>the simplicity, efficiency and effectiveness of the administration of the measure; and</w:t>
      </w:r>
    </w:p>
    <w:p w14:paraId="30897A81" w14:textId="77777777" w:rsidR="00076A9D" w:rsidRPr="005060E0" w:rsidRDefault="00076A9D" w:rsidP="00BB2154">
      <w:pPr>
        <w:pStyle w:val="ListParagraph"/>
        <w:numPr>
          <w:ilvl w:val="0"/>
          <w:numId w:val="12"/>
        </w:numPr>
        <w:spacing w:after="120"/>
        <w:ind w:left="1134" w:hanging="357"/>
        <w:contextualSpacing w:val="0"/>
      </w:pPr>
      <w:r w:rsidRPr="005060E0">
        <w:t>whether the most effective means of achieving the desired environmental outcomes of the measure is by means of a national environment protection standard, goal or guideline or any particular combination thereof; and</w:t>
      </w:r>
    </w:p>
    <w:p w14:paraId="252D81C1" w14:textId="77777777" w:rsidR="00076A9D" w:rsidRPr="005060E0" w:rsidRDefault="00076A9D" w:rsidP="00BB2154">
      <w:pPr>
        <w:pStyle w:val="ListParagraph"/>
        <w:numPr>
          <w:ilvl w:val="0"/>
          <w:numId w:val="12"/>
        </w:numPr>
        <w:spacing w:after="120"/>
        <w:ind w:left="1134" w:hanging="357"/>
        <w:contextualSpacing w:val="0"/>
      </w:pPr>
      <w:r w:rsidRPr="005060E0">
        <w:t>the relationship of the measure to existing inter-governmental mechanisms; and</w:t>
      </w:r>
    </w:p>
    <w:p w14:paraId="5DD78940" w14:textId="77777777" w:rsidR="00076A9D" w:rsidRPr="005060E0" w:rsidRDefault="00076A9D" w:rsidP="00BB2154">
      <w:pPr>
        <w:pStyle w:val="ListParagraph"/>
        <w:numPr>
          <w:ilvl w:val="0"/>
          <w:numId w:val="12"/>
        </w:numPr>
        <w:spacing w:after="120"/>
        <w:ind w:left="1134" w:hanging="357"/>
        <w:contextualSpacing w:val="0"/>
      </w:pPr>
      <w:r w:rsidRPr="005060E0">
        <w:t>relevant international agreements to which Australia is a party; and</w:t>
      </w:r>
    </w:p>
    <w:p w14:paraId="30B948AC" w14:textId="77777777" w:rsidR="00076A9D" w:rsidRPr="005060E0" w:rsidRDefault="00076A9D" w:rsidP="00BB2154">
      <w:pPr>
        <w:pStyle w:val="ListParagraph"/>
        <w:numPr>
          <w:ilvl w:val="0"/>
          <w:numId w:val="12"/>
        </w:numPr>
        <w:spacing w:after="120"/>
        <w:ind w:left="1134" w:hanging="357"/>
        <w:contextualSpacing w:val="0"/>
      </w:pPr>
      <w:r w:rsidRPr="005060E0">
        <w:t>any regional environmental differences in Australia.</w:t>
      </w:r>
    </w:p>
    <w:p w14:paraId="4F25C1F4" w14:textId="0AD800C2" w:rsidR="00076A9D" w:rsidRPr="005060E0" w:rsidRDefault="00076A9D" w:rsidP="00B84DDB">
      <w:pPr>
        <w:rPr>
          <w:rFonts w:eastAsia="Times New Roman" w:cs="Times New Roman"/>
        </w:rPr>
      </w:pPr>
      <w:r w:rsidRPr="005060E0">
        <w:rPr>
          <w:rFonts w:eastAsia="Times New Roman" w:cs="Times New Roman"/>
        </w:rPr>
        <w:t xml:space="preserve">These issues were considered through the review of the </w:t>
      </w:r>
      <w:r w:rsidR="00D34A77" w:rsidRPr="005060E0">
        <w:rPr>
          <w:rFonts w:eastAsia="Times New Roman" w:cs="Times New Roman"/>
        </w:rPr>
        <w:t xml:space="preserve">AAQ </w:t>
      </w:r>
      <w:r w:rsidRPr="005060E0">
        <w:rPr>
          <w:rFonts w:eastAsia="Times New Roman" w:cs="Times New Roman"/>
        </w:rPr>
        <w:t>NEPM i</w:t>
      </w:r>
      <w:r w:rsidR="009C21A8" w:rsidRPr="005060E0">
        <w:rPr>
          <w:rFonts w:eastAsia="Times New Roman" w:cs="Times New Roman"/>
        </w:rPr>
        <w:t>n 2011 (NEPC 2011</w:t>
      </w:r>
      <w:r w:rsidR="00D34A77" w:rsidRPr="005060E0">
        <w:rPr>
          <w:rFonts w:eastAsia="Times New Roman" w:cs="Times New Roman"/>
        </w:rPr>
        <w:t>a</w:t>
      </w:r>
      <w:r w:rsidR="009C21A8" w:rsidRPr="005060E0">
        <w:rPr>
          <w:rFonts w:eastAsia="Times New Roman" w:cs="Times New Roman"/>
        </w:rPr>
        <w:t xml:space="preserve">). This </w:t>
      </w:r>
      <w:r w:rsidR="005A5C6C" w:rsidRPr="005060E0">
        <w:rPr>
          <w:rFonts w:eastAsia="Times New Roman" w:cs="Times New Roman"/>
        </w:rPr>
        <w:t>Impact Statement</w:t>
      </w:r>
      <w:r w:rsidRPr="005060E0">
        <w:rPr>
          <w:rFonts w:eastAsia="Times New Roman" w:cs="Times New Roman"/>
        </w:rPr>
        <w:t xml:space="preserve"> </w:t>
      </w:r>
      <w:r w:rsidR="001E68FB" w:rsidRPr="005060E0">
        <w:rPr>
          <w:rFonts w:eastAsia="Times New Roman" w:cs="Times New Roman"/>
        </w:rPr>
        <w:t xml:space="preserve">focuses </w:t>
      </w:r>
      <w:r w:rsidRPr="005060E0">
        <w:rPr>
          <w:rFonts w:eastAsia="Times New Roman" w:cs="Times New Roman"/>
        </w:rPr>
        <w:t xml:space="preserve">only on whether the standards for </w:t>
      </w:r>
      <w:r w:rsidR="006B3C35" w:rsidRPr="005060E0">
        <w:rPr>
          <w:rFonts w:eastAsia="Times New Roman" w:cs="Times New Roman"/>
        </w:rPr>
        <w:t>SO</w:t>
      </w:r>
      <w:r w:rsidR="006B3C35" w:rsidRPr="005060E0">
        <w:rPr>
          <w:rFonts w:eastAsia="Times New Roman" w:cs="Times New Roman"/>
          <w:vertAlign w:val="subscript"/>
        </w:rPr>
        <w:t>2</w:t>
      </w:r>
      <w:r w:rsidR="006B3C35" w:rsidRPr="005060E0">
        <w:rPr>
          <w:rFonts w:eastAsia="Times New Roman" w:cs="Times New Roman"/>
        </w:rPr>
        <w:t>, NO</w:t>
      </w:r>
      <w:r w:rsidR="006B3C35" w:rsidRPr="005060E0">
        <w:rPr>
          <w:rFonts w:eastAsia="Times New Roman" w:cs="Times New Roman"/>
          <w:vertAlign w:val="subscript"/>
        </w:rPr>
        <w:t>2</w:t>
      </w:r>
      <w:r w:rsidR="006B3C35" w:rsidRPr="005060E0">
        <w:rPr>
          <w:rFonts w:eastAsia="Times New Roman" w:cs="Times New Roman"/>
        </w:rPr>
        <w:t xml:space="preserve"> and O</w:t>
      </w:r>
      <w:r w:rsidR="006B3C35" w:rsidRPr="005060E0">
        <w:rPr>
          <w:rFonts w:eastAsia="Times New Roman" w:cs="Times New Roman"/>
          <w:vertAlign w:val="subscript"/>
        </w:rPr>
        <w:t>3</w:t>
      </w:r>
      <w:r w:rsidR="006B3C35" w:rsidRPr="005060E0">
        <w:rPr>
          <w:rFonts w:eastAsia="Times New Roman" w:cs="Times New Roman"/>
        </w:rPr>
        <w:t xml:space="preserve"> </w:t>
      </w:r>
      <w:r w:rsidRPr="005060E0">
        <w:rPr>
          <w:rFonts w:eastAsia="Times New Roman" w:cs="Times New Roman"/>
        </w:rPr>
        <w:t>still meet the requirements to achieve the desired environmental outcome of the</w:t>
      </w:r>
      <w:r w:rsidR="00D34A77" w:rsidRPr="005060E0">
        <w:rPr>
          <w:rFonts w:eastAsia="Times New Roman" w:cs="Times New Roman"/>
        </w:rPr>
        <w:t xml:space="preserve"> AAQ</w:t>
      </w:r>
      <w:r w:rsidRPr="005060E0">
        <w:rPr>
          <w:rFonts w:eastAsia="Times New Roman" w:cs="Times New Roman"/>
        </w:rPr>
        <w:t xml:space="preserve"> NEPM</w:t>
      </w:r>
      <w:r w:rsidR="001E68FB" w:rsidRPr="005060E0">
        <w:rPr>
          <w:rFonts w:eastAsia="Times New Roman" w:cs="Times New Roman"/>
        </w:rPr>
        <w:t>,</w:t>
      </w:r>
      <w:r w:rsidRPr="005060E0">
        <w:rPr>
          <w:rFonts w:eastAsia="Times New Roman" w:cs="Times New Roman"/>
        </w:rPr>
        <w:t xml:space="preserve"> which is ‘adequate protection of human health and wellbeing’</w:t>
      </w:r>
      <w:r w:rsidR="001E68FB" w:rsidRPr="005060E0">
        <w:rPr>
          <w:rFonts w:eastAsia="Times New Roman" w:cs="Times New Roman"/>
        </w:rPr>
        <w:t>,</w:t>
      </w:r>
      <w:r w:rsidRPr="005060E0">
        <w:rPr>
          <w:rFonts w:eastAsia="Times New Roman" w:cs="Times New Roman"/>
        </w:rPr>
        <w:t xml:space="preserve"> and the need for change.</w:t>
      </w:r>
    </w:p>
    <w:p w14:paraId="53AF8BD4" w14:textId="6DA22AC4" w:rsidR="009A634F" w:rsidRPr="005060E0" w:rsidRDefault="009A634F" w:rsidP="00B84DDB">
      <w:pPr>
        <w:rPr>
          <w:rFonts w:eastAsia="Times New Roman" w:cs="Times New Roman"/>
        </w:rPr>
      </w:pPr>
      <w:r w:rsidRPr="005060E0">
        <w:rPr>
          <w:rFonts w:eastAsia="Times New Roman" w:cs="Times New Roman"/>
        </w:rPr>
        <w:t xml:space="preserve">As noted above, </w:t>
      </w:r>
      <w:r w:rsidR="001E68FB" w:rsidRPr="005060E0">
        <w:rPr>
          <w:rFonts w:eastAsia="Times New Roman" w:cs="Times New Roman"/>
        </w:rPr>
        <w:t>s</w:t>
      </w:r>
      <w:r w:rsidRPr="005060E0">
        <w:rPr>
          <w:rFonts w:eastAsia="Times New Roman" w:cs="Times New Roman"/>
        </w:rPr>
        <w:t>ection 15(a) of the NEPC Act requires that the Council consider whether a</w:t>
      </w:r>
      <w:r w:rsidR="001E68FB" w:rsidRPr="005060E0">
        <w:rPr>
          <w:rFonts w:eastAsia="Times New Roman" w:cs="Times New Roman"/>
        </w:rPr>
        <w:t>n</w:t>
      </w:r>
      <w:r w:rsidRPr="005060E0">
        <w:rPr>
          <w:rFonts w:eastAsia="Times New Roman" w:cs="Times New Roman"/>
        </w:rPr>
        <w:t xml:space="preserve"> NEPM is consistent with </w:t>
      </w:r>
      <w:r w:rsidR="00DA712D" w:rsidRPr="005060E0">
        <w:rPr>
          <w:rFonts w:eastAsia="Times New Roman" w:cs="Times New Roman"/>
        </w:rPr>
        <w:t>s</w:t>
      </w:r>
      <w:r w:rsidRPr="005060E0">
        <w:rPr>
          <w:rFonts w:eastAsia="Times New Roman" w:cs="Times New Roman"/>
        </w:rPr>
        <w:t>ection 3 of the Intergovernmental Agreement on the Environment. Section 3 outlines several principles which have been set out to guide the development and implementation of environmental policy and programs. Two principles in particular have been taken into account in this report:</w:t>
      </w:r>
    </w:p>
    <w:p w14:paraId="56EFF456" w14:textId="5DDE2D35" w:rsidR="00076A9D" w:rsidRPr="005060E0" w:rsidRDefault="00B3682D" w:rsidP="00BE09B4">
      <w:pPr>
        <w:pStyle w:val="ListParagraph"/>
        <w:numPr>
          <w:ilvl w:val="1"/>
          <w:numId w:val="33"/>
        </w:numPr>
        <w:ind w:left="709" w:hanging="425"/>
        <w:contextualSpacing w:val="0"/>
        <w:rPr>
          <w:rFonts w:eastAsia="Times New Roman" w:cs="Times New Roman"/>
        </w:rPr>
      </w:pPr>
      <w:r w:rsidRPr="005060E0">
        <w:rPr>
          <w:rFonts w:eastAsia="Times New Roman" w:cs="Times New Roman"/>
        </w:rPr>
        <w:t>Precautionary p</w:t>
      </w:r>
      <w:r w:rsidR="00076A9D" w:rsidRPr="005060E0">
        <w:rPr>
          <w:rFonts w:eastAsia="Times New Roman" w:cs="Times New Roman"/>
        </w:rPr>
        <w:t>rinciple</w:t>
      </w:r>
    </w:p>
    <w:p w14:paraId="4E7D5BFC" w14:textId="77777777" w:rsidR="00076A9D" w:rsidRPr="005060E0" w:rsidRDefault="00076A9D" w:rsidP="00A9250D">
      <w:pPr>
        <w:spacing w:after="120"/>
        <w:ind w:left="284"/>
        <w:rPr>
          <w:rFonts w:eastAsia="Times New Roman" w:cs="Times New Roman"/>
          <w:szCs w:val="20"/>
        </w:rPr>
      </w:pPr>
      <w:r w:rsidRPr="005060E0">
        <w:rPr>
          <w:rFonts w:eastAsia="Times New Roman" w:cs="Times New Roman"/>
          <w:szCs w:val="20"/>
        </w:rPr>
        <w:t>Where there are threats of serious or irreversible environmental damage, lack of full scientific certainty should not be used as a reason for postponing measures to prevent environmental degradation. In the application of the precautionary principle, public and private decisions should be guided by:</w:t>
      </w:r>
    </w:p>
    <w:p w14:paraId="3A3EBD18" w14:textId="77777777" w:rsidR="00076A9D" w:rsidRPr="005060E0" w:rsidRDefault="00076A9D" w:rsidP="00BE09B4">
      <w:pPr>
        <w:pStyle w:val="ListParagraph"/>
        <w:numPr>
          <w:ilvl w:val="0"/>
          <w:numId w:val="13"/>
        </w:numPr>
        <w:spacing w:after="120"/>
        <w:ind w:left="1134"/>
        <w:contextualSpacing w:val="0"/>
        <w:rPr>
          <w:szCs w:val="20"/>
        </w:rPr>
      </w:pPr>
      <w:r w:rsidRPr="005060E0">
        <w:rPr>
          <w:szCs w:val="20"/>
        </w:rPr>
        <w:t>careful evaluation to avoid, wherever practicable, serious or irreversible damage to the environment; and</w:t>
      </w:r>
    </w:p>
    <w:p w14:paraId="13E926CD" w14:textId="77777777" w:rsidR="00076A9D" w:rsidRPr="005060E0" w:rsidRDefault="00076A9D" w:rsidP="00BE09B4">
      <w:pPr>
        <w:pStyle w:val="ListParagraph"/>
        <w:numPr>
          <w:ilvl w:val="0"/>
          <w:numId w:val="13"/>
        </w:numPr>
        <w:ind w:left="1134"/>
        <w:contextualSpacing w:val="0"/>
        <w:rPr>
          <w:szCs w:val="20"/>
        </w:rPr>
      </w:pPr>
      <w:r w:rsidRPr="005060E0">
        <w:rPr>
          <w:szCs w:val="20"/>
        </w:rPr>
        <w:t xml:space="preserve">an assessment of the risk weighted consequences of various options. </w:t>
      </w:r>
    </w:p>
    <w:p w14:paraId="72823B38" w14:textId="76351130" w:rsidR="00076A9D" w:rsidRPr="005060E0" w:rsidRDefault="00B3682D" w:rsidP="00BE09B4">
      <w:pPr>
        <w:pStyle w:val="ListParagraph"/>
        <w:numPr>
          <w:ilvl w:val="1"/>
          <w:numId w:val="33"/>
        </w:numPr>
        <w:spacing w:after="120"/>
        <w:ind w:left="709" w:hanging="425"/>
        <w:contextualSpacing w:val="0"/>
        <w:rPr>
          <w:rFonts w:eastAsia="Times New Roman" w:cs="Times New Roman"/>
        </w:rPr>
      </w:pPr>
      <w:r w:rsidRPr="005060E0">
        <w:rPr>
          <w:rFonts w:eastAsia="Times New Roman" w:cs="Times New Roman"/>
        </w:rPr>
        <w:t>Intergenerational e</w:t>
      </w:r>
      <w:r w:rsidR="00076A9D" w:rsidRPr="005060E0">
        <w:rPr>
          <w:rFonts w:eastAsia="Times New Roman" w:cs="Times New Roman"/>
        </w:rPr>
        <w:t>quity</w:t>
      </w:r>
    </w:p>
    <w:p w14:paraId="0926CEC1" w14:textId="77777777" w:rsidR="00076A9D" w:rsidRPr="005060E0" w:rsidRDefault="00076A9D" w:rsidP="00BE09B4">
      <w:pPr>
        <w:pStyle w:val="ListParagraph"/>
        <w:numPr>
          <w:ilvl w:val="0"/>
          <w:numId w:val="14"/>
        </w:numPr>
        <w:ind w:left="1134"/>
        <w:contextualSpacing w:val="0"/>
      </w:pPr>
      <w:r w:rsidRPr="005060E0">
        <w:t xml:space="preserve">The present generation should ensure that the health, diversity and productivity of the environment is maintained or enhanced for the benefit of future generations. </w:t>
      </w:r>
    </w:p>
    <w:p w14:paraId="04CEAB6F" w14:textId="7D715FAE" w:rsidR="003244F4" w:rsidRPr="005060E0" w:rsidRDefault="00D34A77" w:rsidP="00364D08">
      <w:pPr>
        <w:rPr>
          <w:rFonts w:eastAsia="Times New Roman" w:cs="Times New Roman"/>
        </w:rPr>
      </w:pPr>
      <w:r w:rsidRPr="005060E0">
        <w:rPr>
          <w:rFonts w:eastAsia="Times New Roman" w:cs="Times New Roman"/>
        </w:rPr>
        <w:t>These are important considerations when</w:t>
      </w:r>
      <w:r w:rsidR="00076A9D" w:rsidRPr="005060E0">
        <w:rPr>
          <w:rFonts w:eastAsia="Times New Roman" w:cs="Times New Roman"/>
        </w:rPr>
        <w:t xml:space="preserve"> assess</w:t>
      </w:r>
      <w:r w:rsidRPr="005060E0">
        <w:rPr>
          <w:rFonts w:eastAsia="Times New Roman" w:cs="Times New Roman"/>
        </w:rPr>
        <w:t>ing</w:t>
      </w:r>
      <w:r w:rsidR="00076A9D" w:rsidRPr="005060E0">
        <w:rPr>
          <w:rFonts w:eastAsia="Times New Roman" w:cs="Times New Roman"/>
        </w:rPr>
        <w:t xml:space="preserve"> whether the requirement of the NEPC Act and the desired environmental outcome of the </w:t>
      </w:r>
      <w:r w:rsidRPr="005060E0">
        <w:rPr>
          <w:rFonts w:eastAsia="Times New Roman" w:cs="Times New Roman"/>
        </w:rPr>
        <w:t xml:space="preserve">AAQ </w:t>
      </w:r>
      <w:r w:rsidR="00076A9D" w:rsidRPr="005060E0">
        <w:rPr>
          <w:rFonts w:eastAsia="Times New Roman" w:cs="Times New Roman"/>
        </w:rPr>
        <w:t>NEPM are being met and, if not, what changes are re</w:t>
      </w:r>
      <w:r w:rsidR="00CD5091" w:rsidRPr="005060E0">
        <w:rPr>
          <w:rFonts w:eastAsia="Times New Roman" w:cs="Times New Roman"/>
        </w:rPr>
        <w:t>quired to ensure that they are.</w:t>
      </w:r>
    </w:p>
    <w:p w14:paraId="363248C5" w14:textId="296811AD" w:rsidR="00EC32D9" w:rsidRPr="005060E0" w:rsidRDefault="00364D08" w:rsidP="00205B41">
      <w:pPr>
        <w:pStyle w:val="Heading3"/>
        <w:ind w:left="851" w:hanging="851"/>
      </w:pPr>
      <w:bookmarkStart w:id="29" w:name="_Ref506133939"/>
      <w:r w:rsidRPr="005060E0">
        <w:t>R</w:t>
      </w:r>
      <w:r w:rsidR="00EC32D9" w:rsidRPr="005060E0">
        <w:t xml:space="preserve">ecommendations of the </w:t>
      </w:r>
      <w:bookmarkEnd w:id="29"/>
      <w:r w:rsidR="00205B41" w:rsidRPr="005060E0">
        <w:t>review of the National Environment Protection (Ambient Air Quality) Measure</w:t>
      </w:r>
    </w:p>
    <w:p w14:paraId="421E732D" w14:textId="02C5E4B5" w:rsidR="00EC32D9" w:rsidRPr="005060E0" w:rsidRDefault="00711A38" w:rsidP="002027FF">
      <w:pPr>
        <w:rPr>
          <w:szCs w:val="20"/>
        </w:rPr>
      </w:pPr>
      <w:r w:rsidRPr="005060E0">
        <w:t xml:space="preserve">This </w:t>
      </w:r>
      <w:r w:rsidR="005A5C6C" w:rsidRPr="005060E0">
        <w:t>Impact Statement</w:t>
      </w:r>
      <w:r w:rsidRPr="005060E0">
        <w:t xml:space="preserve"> considers</w:t>
      </w:r>
      <w:r w:rsidR="006A1A76" w:rsidRPr="005060E0">
        <w:t xml:space="preserve"> some, but not all</w:t>
      </w:r>
      <w:r w:rsidRPr="005060E0">
        <w:t>, of the r</w:t>
      </w:r>
      <w:r w:rsidR="00D34A77" w:rsidRPr="005060E0">
        <w:t xml:space="preserve">ecommendations of the 2011 </w:t>
      </w:r>
      <w:r w:rsidRPr="005060E0">
        <w:t>review</w:t>
      </w:r>
      <w:r w:rsidR="002027FF" w:rsidRPr="005060E0">
        <w:t xml:space="preserve">. </w:t>
      </w:r>
      <w:r w:rsidR="006A1A76" w:rsidRPr="005060E0">
        <w:t xml:space="preserve">Certain </w:t>
      </w:r>
      <w:r w:rsidR="002027FF" w:rsidRPr="005060E0">
        <w:t>recommendations</w:t>
      </w:r>
      <w:r w:rsidR="006A1A76" w:rsidRPr="005060E0">
        <w:t xml:space="preserve"> </w:t>
      </w:r>
      <w:r w:rsidR="002027FF" w:rsidRPr="005060E0">
        <w:rPr>
          <w:szCs w:val="20"/>
        </w:rPr>
        <w:t>relating to SO</w:t>
      </w:r>
      <w:r w:rsidR="002027FF" w:rsidRPr="005060E0">
        <w:rPr>
          <w:szCs w:val="20"/>
          <w:vertAlign w:val="subscript"/>
        </w:rPr>
        <w:t>2</w:t>
      </w:r>
      <w:r w:rsidR="002027FF" w:rsidRPr="005060E0">
        <w:rPr>
          <w:szCs w:val="20"/>
        </w:rPr>
        <w:t>, NO</w:t>
      </w:r>
      <w:r w:rsidR="002027FF" w:rsidRPr="005060E0">
        <w:rPr>
          <w:szCs w:val="20"/>
          <w:vertAlign w:val="subscript"/>
        </w:rPr>
        <w:t>2</w:t>
      </w:r>
      <w:r w:rsidR="002027FF" w:rsidRPr="005060E0">
        <w:rPr>
          <w:szCs w:val="20"/>
        </w:rPr>
        <w:t xml:space="preserve"> and O</w:t>
      </w:r>
      <w:r w:rsidR="002027FF" w:rsidRPr="005060E0">
        <w:rPr>
          <w:szCs w:val="20"/>
          <w:vertAlign w:val="subscript"/>
        </w:rPr>
        <w:t>3</w:t>
      </w:r>
      <w:r w:rsidR="002027FF" w:rsidRPr="005060E0">
        <w:rPr>
          <w:szCs w:val="20"/>
        </w:rPr>
        <w:t xml:space="preserve"> </w:t>
      </w:r>
      <w:r w:rsidR="002027FF" w:rsidRPr="005060E0">
        <w:t>are addressed in depth</w:t>
      </w:r>
      <w:r w:rsidR="00EC32D9" w:rsidRPr="005060E0">
        <w:rPr>
          <w:szCs w:val="20"/>
        </w:rPr>
        <w:t>, including:</w:t>
      </w:r>
    </w:p>
    <w:p w14:paraId="5582297B" w14:textId="20F05A02" w:rsidR="00ED45AE" w:rsidRPr="005060E0" w:rsidRDefault="00ED45AE" w:rsidP="00ED45AE">
      <w:pPr>
        <w:pStyle w:val="ListBullet"/>
      </w:pPr>
      <w:r w:rsidRPr="005060E0">
        <w:t>Revise the desired environmental outcome and goal of the AAQ NEPM.</w:t>
      </w:r>
    </w:p>
    <w:p w14:paraId="2535555F" w14:textId="13731E5F" w:rsidR="00EC32D9" w:rsidRPr="005060E0" w:rsidRDefault="00EC32D9" w:rsidP="00287064">
      <w:pPr>
        <w:pStyle w:val="ListBullet"/>
      </w:pPr>
      <w:r w:rsidRPr="005060E0">
        <w:t xml:space="preserve">Review the standards for </w:t>
      </w:r>
      <w:r w:rsidR="006B3C35" w:rsidRPr="005060E0">
        <w:t>SO</w:t>
      </w:r>
      <w:r w:rsidR="006B3C35" w:rsidRPr="005060E0">
        <w:rPr>
          <w:vertAlign w:val="subscript"/>
        </w:rPr>
        <w:t>2</w:t>
      </w:r>
      <w:r w:rsidR="006B3C35" w:rsidRPr="005060E0">
        <w:t>, NO</w:t>
      </w:r>
      <w:r w:rsidR="006B3C35" w:rsidRPr="005060E0">
        <w:rPr>
          <w:vertAlign w:val="subscript"/>
        </w:rPr>
        <w:t>2</w:t>
      </w:r>
      <w:r w:rsidR="006B3C35" w:rsidRPr="005060E0">
        <w:t xml:space="preserve"> and O</w:t>
      </w:r>
      <w:r w:rsidR="006B3C35" w:rsidRPr="005060E0">
        <w:rPr>
          <w:vertAlign w:val="subscript"/>
        </w:rPr>
        <w:t>3</w:t>
      </w:r>
      <w:r w:rsidRPr="005060E0">
        <w:t xml:space="preserve"> to take into account recent health evidence. </w:t>
      </w:r>
    </w:p>
    <w:p w14:paraId="47188CFA" w14:textId="77777777" w:rsidR="00EC32D9" w:rsidRPr="005060E0" w:rsidRDefault="00EC32D9" w:rsidP="00287064">
      <w:pPr>
        <w:pStyle w:val="ListBullet"/>
      </w:pPr>
      <w:r w:rsidRPr="005060E0">
        <w:t>Introduce an 8-hour standard for O</w:t>
      </w:r>
      <w:r w:rsidRPr="005060E0">
        <w:rPr>
          <w:vertAlign w:val="subscript"/>
        </w:rPr>
        <w:t>3</w:t>
      </w:r>
      <w:r w:rsidRPr="005060E0">
        <w:t>.</w:t>
      </w:r>
    </w:p>
    <w:p w14:paraId="13E51FA0" w14:textId="71BEF8EE" w:rsidR="00EC32D9" w:rsidRPr="005060E0" w:rsidRDefault="00890723" w:rsidP="00287064">
      <w:pPr>
        <w:pStyle w:val="ListBullet"/>
      </w:pPr>
      <w:r w:rsidRPr="005060E0">
        <w:t>Introduce an exposure-</w:t>
      </w:r>
      <w:r w:rsidR="00EC32D9" w:rsidRPr="005060E0">
        <w:t>reduction framework and targets for priority pollutants.</w:t>
      </w:r>
    </w:p>
    <w:p w14:paraId="57FAF791" w14:textId="3DF4DD64" w:rsidR="00EC32D9" w:rsidRPr="005060E0" w:rsidRDefault="00EC32D9" w:rsidP="00287064">
      <w:pPr>
        <w:pStyle w:val="ListBullet"/>
      </w:pPr>
      <w:r w:rsidRPr="005060E0">
        <w:t>Remove allowable exceedances from Schedule 2</w:t>
      </w:r>
      <w:r w:rsidR="00D852AA" w:rsidRPr="005060E0">
        <w:t xml:space="preserve"> and introduce an exceptional </w:t>
      </w:r>
      <w:r w:rsidRPr="005060E0">
        <w:t>events rule.</w:t>
      </w:r>
    </w:p>
    <w:p w14:paraId="2CD13B69" w14:textId="74FDF2D7" w:rsidR="003244F4" w:rsidRPr="005060E0" w:rsidRDefault="00EC32D9" w:rsidP="00287064">
      <w:pPr>
        <w:pStyle w:val="ListBullet"/>
      </w:pPr>
      <w:r w:rsidRPr="005060E0">
        <w:t xml:space="preserve">Amend the </w:t>
      </w:r>
      <w:r w:rsidR="00D34A77" w:rsidRPr="005060E0">
        <w:t xml:space="preserve">AAQ </w:t>
      </w:r>
      <w:r w:rsidRPr="005060E0">
        <w:t>NEPM protocol (</w:t>
      </w:r>
      <w:r w:rsidR="00D852AA" w:rsidRPr="005060E0">
        <w:t>part 4) to incorporate an exceptional</w:t>
      </w:r>
      <w:r w:rsidRPr="005060E0">
        <w:t xml:space="preserve"> events rule, including definition of these events and criteria for assessment and reporting.</w:t>
      </w:r>
    </w:p>
    <w:p w14:paraId="5EF45230" w14:textId="014F8456" w:rsidR="00FE429E" w:rsidRPr="005060E0" w:rsidRDefault="00FE429E" w:rsidP="00054521">
      <w:pPr>
        <w:rPr>
          <w:szCs w:val="20"/>
        </w:rPr>
      </w:pPr>
      <w:r w:rsidRPr="005060E0">
        <w:rPr>
          <w:szCs w:val="20"/>
        </w:rPr>
        <w:t xml:space="preserve">Other recommendations concerning specific technical matters (e.g. monitoring methods and protocols, site locations) are being considered through external projects outside </w:t>
      </w:r>
      <w:r w:rsidR="00CD2A72" w:rsidRPr="005060E0">
        <w:rPr>
          <w:szCs w:val="20"/>
        </w:rPr>
        <w:t xml:space="preserve">the scope of the </w:t>
      </w:r>
      <w:r w:rsidR="00DF05A9" w:rsidRPr="005060E0">
        <w:rPr>
          <w:szCs w:val="20"/>
        </w:rPr>
        <w:t>Impact Statement</w:t>
      </w:r>
      <w:r w:rsidRPr="005060E0">
        <w:rPr>
          <w:szCs w:val="20"/>
        </w:rPr>
        <w:t xml:space="preserve">. The findings of these external projects have been included in this </w:t>
      </w:r>
      <w:r w:rsidR="00DF05A9" w:rsidRPr="005060E0">
        <w:rPr>
          <w:szCs w:val="20"/>
        </w:rPr>
        <w:t>Impact Statement</w:t>
      </w:r>
      <w:r w:rsidRPr="005060E0">
        <w:rPr>
          <w:szCs w:val="20"/>
        </w:rPr>
        <w:t xml:space="preserve"> (refer to Section</w:t>
      </w:r>
      <w:r w:rsidR="00DC5564" w:rsidRPr="005060E0">
        <w:rPr>
          <w:szCs w:val="20"/>
        </w:rPr>
        <w:t xml:space="preserve"> 1.5.3).</w:t>
      </w:r>
    </w:p>
    <w:p w14:paraId="38B19AA2" w14:textId="3DEB0CD4" w:rsidR="00B018C7" w:rsidRPr="005060E0" w:rsidRDefault="00144F23" w:rsidP="000B3B3D">
      <w:pPr>
        <w:pStyle w:val="Heading3"/>
      </w:pPr>
      <w:r w:rsidRPr="005060E0">
        <w:t>General considerations</w:t>
      </w:r>
    </w:p>
    <w:p w14:paraId="52E95772" w14:textId="629496B4" w:rsidR="006A1A76" w:rsidRPr="005060E0" w:rsidRDefault="006A1A76">
      <w:pPr>
        <w:spacing w:after="220"/>
      </w:pPr>
      <w:r w:rsidRPr="005060E0">
        <w:t>When developing air quality standards a ‘weight-of-evidence’</w:t>
      </w:r>
      <w:r w:rsidRPr="005060E0">
        <w:rPr>
          <w:b/>
        </w:rPr>
        <w:t xml:space="preserve"> </w:t>
      </w:r>
      <w:r w:rsidRPr="005060E0">
        <w:t>approach is typically used. Health studies play a central role, but the NEPC Act also requires an analysis of environmental, economic and social factors (NEPC 2011b)</w:t>
      </w:r>
      <w:r w:rsidR="00287064" w:rsidRPr="005060E0">
        <w:t xml:space="preserve">. </w:t>
      </w:r>
      <w:r w:rsidR="00AA2F41" w:rsidRPr="005060E0">
        <w:rPr>
          <w:szCs w:val="20"/>
        </w:rPr>
        <w:t xml:space="preserve">This </w:t>
      </w:r>
      <w:r w:rsidR="00DF05A9" w:rsidRPr="005060E0">
        <w:rPr>
          <w:szCs w:val="20"/>
        </w:rPr>
        <w:t>Impact Statement</w:t>
      </w:r>
      <w:r w:rsidR="00AA2F41" w:rsidRPr="005060E0">
        <w:rPr>
          <w:szCs w:val="20"/>
        </w:rPr>
        <w:t xml:space="preserve"> collates and analyses available information on SO</w:t>
      </w:r>
      <w:r w:rsidR="00AA2F41" w:rsidRPr="005060E0">
        <w:rPr>
          <w:szCs w:val="20"/>
          <w:vertAlign w:val="subscript"/>
        </w:rPr>
        <w:t>2</w:t>
      </w:r>
      <w:r w:rsidR="00AA2F41" w:rsidRPr="005060E0">
        <w:rPr>
          <w:szCs w:val="20"/>
        </w:rPr>
        <w:t>, NO</w:t>
      </w:r>
      <w:r w:rsidR="00AA2F41" w:rsidRPr="005060E0">
        <w:rPr>
          <w:szCs w:val="20"/>
          <w:vertAlign w:val="subscript"/>
        </w:rPr>
        <w:t>2</w:t>
      </w:r>
      <w:r w:rsidR="00AA2F41" w:rsidRPr="005060E0">
        <w:rPr>
          <w:szCs w:val="20"/>
        </w:rPr>
        <w:t xml:space="preserve"> and O</w:t>
      </w:r>
      <w:r w:rsidR="00AA2F41" w:rsidRPr="005060E0">
        <w:rPr>
          <w:szCs w:val="20"/>
          <w:vertAlign w:val="subscript"/>
        </w:rPr>
        <w:t>3</w:t>
      </w:r>
      <w:r w:rsidR="00AA2F41" w:rsidRPr="005060E0">
        <w:rPr>
          <w:szCs w:val="20"/>
        </w:rPr>
        <w:t xml:space="preserve"> in Australia. It considers the </w:t>
      </w:r>
      <w:r w:rsidR="006F49C7" w:rsidRPr="005060E0">
        <w:t>feasibility of updating the standards</w:t>
      </w:r>
      <w:r w:rsidR="006F49C7" w:rsidRPr="005060E0">
        <w:rPr>
          <w:szCs w:val="20"/>
        </w:rPr>
        <w:t xml:space="preserve"> and goals for these pollutants (as currently defined in the AAQ NEPM)</w:t>
      </w:r>
      <w:r w:rsidR="006F49C7" w:rsidRPr="005060E0">
        <w:t xml:space="preserve"> and the costs and benefits of a range of potential abatement measures that could be introduced to lower concentrations</w:t>
      </w:r>
      <w:r w:rsidR="006F49C7" w:rsidRPr="005060E0">
        <w:rPr>
          <w:szCs w:val="20"/>
        </w:rPr>
        <w:t xml:space="preserve"> for these pollutants. </w:t>
      </w:r>
      <w:r w:rsidR="00AA2F41" w:rsidRPr="005060E0">
        <w:rPr>
          <w:szCs w:val="20"/>
        </w:rPr>
        <w:t>It also considers a framework for reducing population exposure to these pollutants.</w:t>
      </w:r>
      <w:r w:rsidR="00054521" w:rsidRPr="005060E0">
        <w:t xml:space="preserve"> </w:t>
      </w:r>
      <w:r w:rsidR="000659CC" w:rsidRPr="005060E0">
        <w:t>The</w:t>
      </w:r>
      <w:r w:rsidR="00287064" w:rsidRPr="005060E0">
        <w:t xml:space="preserve"> </w:t>
      </w:r>
      <w:r w:rsidR="00DF05A9" w:rsidRPr="005060E0">
        <w:t>Impact Statement</w:t>
      </w:r>
      <w:r w:rsidRPr="005060E0">
        <w:t xml:space="preserve"> therefore presents the available information on each of these aspects in relation to specific options for varyi</w:t>
      </w:r>
      <w:r w:rsidR="00144F23" w:rsidRPr="005060E0">
        <w:t>ng the AAQ NEPM standards for SO</w:t>
      </w:r>
      <w:r w:rsidR="00144F23" w:rsidRPr="005060E0">
        <w:rPr>
          <w:vertAlign w:val="subscript"/>
        </w:rPr>
        <w:t>2</w:t>
      </w:r>
      <w:r w:rsidR="00144F23" w:rsidRPr="005060E0">
        <w:t>, NO</w:t>
      </w:r>
      <w:r w:rsidR="00144F23" w:rsidRPr="005060E0">
        <w:rPr>
          <w:vertAlign w:val="subscript"/>
        </w:rPr>
        <w:t>2</w:t>
      </w:r>
      <w:r w:rsidR="00144F23" w:rsidRPr="005060E0">
        <w:t xml:space="preserve"> and O</w:t>
      </w:r>
      <w:r w:rsidR="00287064" w:rsidRPr="005060E0">
        <w:rPr>
          <w:vertAlign w:val="subscript"/>
        </w:rPr>
        <w:t>3</w:t>
      </w:r>
      <w:r w:rsidRPr="005060E0">
        <w:t xml:space="preserve">. </w:t>
      </w:r>
    </w:p>
    <w:p w14:paraId="10861D2F" w14:textId="05CB1071" w:rsidR="00B018C7" w:rsidRPr="005060E0" w:rsidRDefault="00B018C7" w:rsidP="006B3C35">
      <w:pPr>
        <w:pStyle w:val="BodyText"/>
      </w:pPr>
      <w:r w:rsidRPr="005060E0">
        <w:t xml:space="preserve">Several broad decision criteria </w:t>
      </w:r>
      <w:r w:rsidR="000672FB" w:rsidRPr="005060E0">
        <w:t xml:space="preserve">/factors </w:t>
      </w:r>
      <w:r w:rsidRPr="005060E0">
        <w:t xml:space="preserve">have been considered in the recommendation of the standards for </w:t>
      </w:r>
      <w:r w:rsidR="006B3C35" w:rsidRPr="005060E0">
        <w:t>SO</w:t>
      </w:r>
      <w:r w:rsidR="006B3C35" w:rsidRPr="005060E0">
        <w:rPr>
          <w:vertAlign w:val="subscript"/>
        </w:rPr>
        <w:t>2</w:t>
      </w:r>
      <w:r w:rsidR="006B3C35" w:rsidRPr="005060E0">
        <w:t>, NO</w:t>
      </w:r>
      <w:r w:rsidR="006B3C35" w:rsidRPr="005060E0">
        <w:rPr>
          <w:vertAlign w:val="subscript"/>
        </w:rPr>
        <w:t>2</w:t>
      </w:r>
      <w:r w:rsidR="006B3C35" w:rsidRPr="005060E0">
        <w:t xml:space="preserve"> and O</w:t>
      </w:r>
      <w:r w:rsidR="006B3C35" w:rsidRPr="005060E0">
        <w:rPr>
          <w:vertAlign w:val="subscript"/>
        </w:rPr>
        <w:t>3</w:t>
      </w:r>
      <w:r w:rsidRPr="005060E0">
        <w:t xml:space="preserve">. </w:t>
      </w:r>
      <w:r w:rsidR="00BD2D1E" w:rsidRPr="005060E0">
        <w:t xml:space="preserve">The decision criteria </w:t>
      </w:r>
      <w:r w:rsidR="000672FB" w:rsidRPr="005060E0">
        <w:t xml:space="preserve">/ factors </w:t>
      </w:r>
      <w:r w:rsidR="00BD2D1E" w:rsidRPr="005060E0">
        <w:t>included</w:t>
      </w:r>
      <w:r w:rsidRPr="005060E0">
        <w:t xml:space="preserve">: </w:t>
      </w:r>
    </w:p>
    <w:p w14:paraId="43A84152" w14:textId="56859E00" w:rsidR="00054521" w:rsidRPr="005060E0" w:rsidRDefault="00F32E33" w:rsidP="00054521">
      <w:pPr>
        <w:pStyle w:val="ListBullet"/>
      </w:pPr>
      <w:r w:rsidRPr="005060E0">
        <w:t>averaging periods for</w:t>
      </w:r>
      <w:r w:rsidR="00054521" w:rsidRPr="005060E0">
        <w:t xml:space="preserve"> SO</w:t>
      </w:r>
      <w:r w:rsidR="00054521" w:rsidRPr="005060E0">
        <w:rPr>
          <w:vertAlign w:val="subscript"/>
        </w:rPr>
        <w:t>2</w:t>
      </w:r>
      <w:r w:rsidR="00054521" w:rsidRPr="005060E0">
        <w:t>, NO</w:t>
      </w:r>
      <w:r w:rsidR="00054521" w:rsidRPr="005060E0">
        <w:rPr>
          <w:vertAlign w:val="subscript"/>
        </w:rPr>
        <w:t>2</w:t>
      </w:r>
      <w:r w:rsidR="00054521" w:rsidRPr="005060E0">
        <w:t xml:space="preserve"> and O</w:t>
      </w:r>
      <w:r w:rsidR="00054521" w:rsidRPr="005060E0">
        <w:rPr>
          <w:vertAlign w:val="subscript"/>
        </w:rPr>
        <w:t>3</w:t>
      </w:r>
      <w:r w:rsidR="00054521" w:rsidRPr="005060E0">
        <w:t xml:space="preserve"> in the AAQ NEPM</w:t>
      </w:r>
    </w:p>
    <w:p w14:paraId="28DEC427" w14:textId="185384CB" w:rsidR="00054521" w:rsidRPr="005060E0" w:rsidRDefault="00054521" w:rsidP="00054521">
      <w:pPr>
        <w:pStyle w:val="ListBullet"/>
      </w:pPr>
      <w:r w:rsidRPr="005060E0">
        <w:t>numerical values of the SO</w:t>
      </w:r>
      <w:r w:rsidRPr="005060E0">
        <w:rPr>
          <w:vertAlign w:val="subscript"/>
        </w:rPr>
        <w:t>2</w:t>
      </w:r>
      <w:r w:rsidRPr="005060E0">
        <w:t>, NO</w:t>
      </w:r>
      <w:r w:rsidRPr="005060E0">
        <w:rPr>
          <w:vertAlign w:val="subscript"/>
        </w:rPr>
        <w:t>2</w:t>
      </w:r>
      <w:r w:rsidRPr="005060E0">
        <w:t xml:space="preserve"> and O</w:t>
      </w:r>
      <w:r w:rsidRPr="005060E0">
        <w:rPr>
          <w:vertAlign w:val="subscript"/>
        </w:rPr>
        <w:t>3</w:t>
      </w:r>
      <w:r w:rsidRPr="005060E0">
        <w:t xml:space="preserve"> standards</w:t>
      </w:r>
    </w:p>
    <w:p w14:paraId="0517CC16" w14:textId="56392A33" w:rsidR="00054521" w:rsidRPr="005060E0" w:rsidRDefault="00054521" w:rsidP="00054521">
      <w:pPr>
        <w:pStyle w:val="ListBullet"/>
      </w:pPr>
      <w:r w:rsidRPr="005060E0">
        <w:t>form of the SO</w:t>
      </w:r>
      <w:r w:rsidRPr="005060E0">
        <w:rPr>
          <w:vertAlign w:val="subscript"/>
        </w:rPr>
        <w:t>2</w:t>
      </w:r>
      <w:r w:rsidRPr="005060E0">
        <w:t>, NO</w:t>
      </w:r>
      <w:r w:rsidRPr="005060E0">
        <w:rPr>
          <w:vertAlign w:val="subscript"/>
        </w:rPr>
        <w:t>2</w:t>
      </w:r>
      <w:r w:rsidRPr="005060E0">
        <w:t xml:space="preserve"> and O</w:t>
      </w:r>
      <w:r w:rsidRPr="005060E0">
        <w:rPr>
          <w:vertAlign w:val="subscript"/>
        </w:rPr>
        <w:t>3</w:t>
      </w:r>
      <w:r w:rsidRPr="005060E0">
        <w:t xml:space="preserve"> standards (e.g. allowed exceedances)</w:t>
      </w:r>
    </w:p>
    <w:p w14:paraId="041A4FDF" w14:textId="28323DC2" w:rsidR="00B018C7" w:rsidRPr="005060E0" w:rsidRDefault="00B018C7" w:rsidP="00287064">
      <w:pPr>
        <w:pStyle w:val="ListBullet"/>
      </w:pPr>
      <w:r w:rsidRPr="005060E0">
        <w:t>adequacy of the health protection afforded by standards</w:t>
      </w:r>
    </w:p>
    <w:p w14:paraId="0076CF8B" w14:textId="1BF01EB9" w:rsidR="00B018C7" w:rsidRPr="005060E0" w:rsidRDefault="00B018C7" w:rsidP="00287064">
      <w:pPr>
        <w:pStyle w:val="ListBullet"/>
      </w:pPr>
      <w:r w:rsidRPr="005060E0">
        <w:t xml:space="preserve">weight of evidence that supports any proposed standards including, for instance, the advice of </w:t>
      </w:r>
      <w:r w:rsidR="00B272B8" w:rsidRPr="005060E0">
        <w:t xml:space="preserve">the </w:t>
      </w:r>
      <w:r w:rsidRPr="005060E0">
        <w:t>World Health Organization</w:t>
      </w:r>
      <w:r w:rsidR="00287064" w:rsidRPr="005060E0">
        <w:t xml:space="preserve"> (WHO)</w:t>
      </w:r>
    </w:p>
    <w:p w14:paraId="6904BD71" w14:textId="4B449F91" w:rsidR="00B018C7" w:rsidRPr="005060E0" w:rsidRDefault="00B018C7" w:rsidP="00287064">
      <w:pPr>
        <w:pStyle w:val="ListBullet"/>
      </w:pPr>
      <w:r w:rsidRPr="005060E0">
        <w:t>relevance and achievability of the proposed standards including, for instance, the form of th</w:t>
      </w:r>
      <w:r w:rsidR="008C5416" w:rsidRPr="005060E0">
        <w:t>e</w:t>
      </w:r>
      <w:r w:rsidRPr="005060E0">
        <w:t xml:space="preserve"> standards with regards to exceptional events such as bushfires</w:t>
      </w:r>
    </w:p>
    <w:p w14:paraId="75E48FDC" w14:textId="7EF73193" w:rsidR="00B018C7" w:rsidRPr="005060E0" w:rsidRDefault="00B272B8" w:rsidP="00287064">
      <w:pPr>
        <w:pStyle w:val="ListBullet"/>
      </w:pPr>
      <w:r w:rsidRPr="005060E0">
        <w:t>a</w:t>
      </w:r>
      <w:r w:rsidR="00B018C7" w:rsidRPr="005060E0">
        <w:t>ny regional environmental differences</w:t>
      </w:r>
    </w:p>
    <w:p w14:paraId="580F1EDE" w14:textId="6774F820" w:rsidR="00054521" w:rsidRPr="005060E0" w:rsidRDefault="00B272B8" w:rsidP="00287064">
      <w:pPr>
        <w:pStyle w:val="ListBullet"/>
      </w:pPr>
      <w:r w:rsidRPr="005060E0">
        <w:t>s</w:t>
      </w:r>
      <w:r w:rsidR="00B018C7" w:rsidRPr="005060E0">
        <w:t>ocietal costs and benefits of meeting proposed standards</w:t>
      </w:r>
    </w:p>
    <w:p w14:paraId="01EB81D8" w14:textId="5662A7E2" w:rsidR="00054521" w:rsidRPr="005060E0" w:rsidRDefault="00054521" w:rsidP="00054521">
      <w:pPr>
        <w:pStyle w:val="ListBullet"/>
      </w:pPr>
      <w:r w:rsidRPr="005060E0">
        <w:t>options for an exposure-reduction framework for SO</w:t>
      </w:r>
      <w:r w:rsidRPr="005060E0">
        <w:rPr>
          <w:vertAlign w:val="subscript"/>
        </w:rPr>
        <w:t>2</w:t>
      </w:r>
      <w:r w:rsidRPr="005060E0">
        <w:t>, NO</w:t>
      </w:r>
      <w:r w:rsidRPr="005060E0">
        <w:rPr>
          <w:vertAlign w:val="subscript"/>
        </w:rPr>
        <w:t>2</w:t>
      </w:r>
      <w:r w:rsidRPr="005060E0">
        <w:t xml:space="preserve"> and O</w:t>
      </w:r>
      <w:r w:rsidRPr="005060E0">
        <w:rPr>
          <w:vertAlign w:val="subscript"/>
        </w:rPr>
        <w:t>3</w:t>
      </w:r>
      <w:r w:rsidRPr="005060E0">
        <w:t>.</w:t>
      </w:r>
    </w:p>
    <w:p w14:paraId="71BEBECC" w14:textId="03AABCAD" w:rsidR="006F5A00" w:rsidRPr="005060E0" w:rsidRDefault="00B272B8" w:rsidP="00B272B8">
      <w:r w:rsidRPr="005060E0">
        <w:t xml:space="preserve">These </w:t>
      </w:r>
      <w:r w:rsidR="006F5A00" w:rsidRPr="005060E0">
        <w:t>decision criteria</w:t>
      </w:r>
      <w:r w:rsidR="008C5416" w:rsidRPr="005060E0">
        <w:t xml:space="preserve"> / factors</w:t>
      </w:r>
      <w:r w:rsidR="006F5A00" w:rsidRPr="005060E0">
        <w:t xml:space="preserve"> </w:t>
      </w:r>
      <w:r w:rsidR="00561D49" w:rsidRPr="005060E0">
        <w:t>are</w:t>
      </w:r>
      <w:r w:rsidR="006F5A00" w:rsidRPr="005060E0">
        <w:t xml:space="preserve"> </w:t>
      </w:r>
      <w:r w:rsidR="007C026A" w:rsidRPr="005060E0">
        <w:t xml:space="preserve">derived from </w:t>
      </w:r>
      <w:r w:rsidR="00D1369D">
        <w:t xml:space="preserve">the </w:t>
      </w:r>
      <w:r w:rsidR="006F5A00" w:rsidRPr="005060E0">
        <w:t xml:space="preserve">NEPC’s 2011 </w:t>
      </w:r>
      <w:r w:rsidR="006F5A00" w:rsidRPr="005060E0">
        <w:rPr>
          <w:i/>
        </w:rPr>
        <w:t>Methodology for Setting Air Quality Standards</w:t>
      </w:r>
      <w:r w:rsidR="006F5A00" w:rsidRPr="005060E0">
        <w:t xml:space="preserve"> </w:t>
      </w:r>
      <w:r w:rsidRPr="005060E0">
        <w:t xml:space="preserve">(NEPC 2011a) </w:t>
      </w:r>
      <w:r w:rsidR="006F5A00" w:rsidRPr="005060E0">
        <w:t>and good practice air quality standard setting</w:t>
      </w:r>
      <w:r w:rsidR="007C026A" w:rsidRPr="005060E0">
        <w:t>.</w:t>
      </w:r>
    </w:p>
    <w:p w14:paraId="40B0D99A" w14:textId="5EF21E8C" w:rsidR="00076A9D" w:rsidRPr="005060E0" w:rsidRDefault="00144F23" w:rsidP="0043533F">
      <w:pPr>
        <w:pStyle w:val="Heading2"/>
      </w:pPr>
      <w:bookmarkStart w:id="30" w:name="_Toc3278924"/>
      <w:r w:rsidRPr="005060E0">
        <w:t>S</w:t>
      </w:r>
      <w:r w:rsidR="005D7748" w:rsidRPr="005060E0">
        <w:t>cope and s</w:t>
      </w:r>
      <w:r w:rsidRPr="005060E0">
        <w:t xml:space="preserve">tructure of </w:t>
      </w:r>
      <w:r w:rsidR="002237E0" w:rsidRPr="005060E0">
        <w:t>the</w:t>
      </w:r>
      <w:r w:rsidR="009221B6" w:rsidRPr="005060E0">
        <w:t xml:space="preserve"> </w:t>
      </w:r>
      <w:r w:rsidR="00DF05A9" w:rsidRPr="005060E0">
        <w:t>Impact Statement</w:t>
      </w:r>
      <w:bookmarkEnd w:id="30"/>
    </w:p>
    <w:p w14:paraId="4C22914D" w14:textId="7A16236B" w:rsidR="00E40950" w:rsidRPr="005060E0" w:rsidRDefault="005D7748" w:rsidP="00E40950">
      <w:pPr>
        <w:rPr>
          <w:szCs w:val="20"/>
        </w:rPr>
      </w:pPr>
      <w:r w:rsidRPr="005060E0">
        <w:rPr>
          <w:szCs w:val="20"/>
        </w:rPr>
        <w:t xml:space="preserve">The scope of the </w:t>
      </w:r>
      <w:r w:rsidR="00DF05A9" w:rsidRPr="005060E0">
        <w:rPr>
          <w:szCs w:val="20"/>
        </w:rPr>
        <w:t>Impact Statement</w:t>
      </w:r>
      <w:r w:rsidR="00E40950" w:rsidRPr="005060E0">
        <w:rPr>
          <w:szCs w:val="20"/>
        </w:rPr>
        <w:t xml:space="preserve"> was</w:t>
      </w:r>
      <w:r w:rsidRPr="005060E0">
        <w:rPr>
          <w:szCs w:val="20"/>
        </w:rPr>
        <w:t xml:space="preserve"> defined</w:t>
      </w:r>
      <w:r w:rsidR="00E40950" w:rsidRPr="005060E0">
        <w:rPr>
          <w:szCs w:val="20"/>
        </w:rPr>
        <w:t xml:space="preserve"> largely</w:t>
      </w:r>
      <w:r w:rsidRPr="005060E0">
        <w:rPr>
          <w:szCs w:val="20"/>
        </w:rPr>
        <w:t xml:space="preserve"> in terms of the </w:t>
      </w:r>
      <w:r w:rsidR="00E40950" w:rsidRPr="005060E0">
        <w:rPr>
          <w:szCs w:val="20"/>
        </w:rPr>
        <w:t xml:space="preserve">recommendations of the </w:t>
      </w:r>
      <w:r w:rsidRPr="005060E0">
        <w:rPr>
          <w:szCs w:val="20"/>
        </w:rPr>
        <w:t>AAQ</w:t>
      </w:r>
      <w:r w:rsidR="00E01EBE" w:rsidRPr="005060E0">
        <w:rPr>
          <w:szCs w:val="20"/>
        </w:rPr>
        <w:t> </w:t>
      </w:r>
      <w:r w:rsidRPr="005060E0">
        <w:rPr>
          <w:szCs w:val="20"/>
        </w:rPr>
        <w:t>NEPM review</w:t>
      </w:r>
      <w:r w:rsidR="00E40950" w:rsidRPr="005060E0">
        <w:rPr>
          <w:szCs w:val="20"/>
        </w:rPr>
        <w:t>. These</w:t>
      </w:r>
      <w:r w:rsidRPr="005060E0">
        <w:rPr>
          <w:szCs w:val="20"/>
        </w:rPr>
        <w:t xml:space="preserve"> recommendations </w:t>
      </w:r>
      <w:r w:rsidR="00E40950" w:rsidRPr="005060E0">
        <w:rPr>
          <w:szCs w:val="20"/>
        </w:rPr>
        <w:t xml:space="preserve">are provided </w:t>
      </w:r>
      <w:r w:rsidRPr="005060E0">
        <w:rPr>
          <w:szCs w:val="20"/>
        </w:rPr>
        <w:t xml:space="preserve">in </w:t>
      </w:r>
      <w:r w:rsidRPr="005060E0">
        <w:rPr>
          <w:szCs w:val="20"/>
        </w:rPr>
        <w:fldChar w:fldCharType="begin"/>
      </w:r>
      <w:r w:rsidRPr="005060E0">
        <w:rPr>
          <w:szCs w:val="20"/>
        </w:rPr>
        <w:instrText xml:space="preserve"> REF _Ref515341418 \h </w:instrText>
      </w:r>
      <w:r w:rsidR="00A9250D" w:rsidRPr="005060E0">
        <w:rPr>
          <w:szCs w:val="20"/>
        </w:rPr>
        <w:instrText xml:space="preserve"> \* MERGEFORMAT </w:instrText>
      </w:r>
      <w:r w:rsidRPr="005060E0">
        <w:rPr>
          <w:szCs w:val="20"/>
        </w:rPr>
      </w:r>
      <w:r w:rsidRPr="005060E0">
        <w:rPr>
          <w:szCs w:val="20"/>
        </w:rPr>
        <w:fldChar w:fldCharType="separate"/>
      </w:r>
      <w:r w:rsidR="00F2067C" w:rsidRPr="00F2067C">
        <w:rPr>
          <w:szCs w:val="20"/>
        </w:rPr>
        <w:t xml:space="preserve">Table </w:t>
      </w:r>
      <w:r w:rsidR="00F2067C" w:rsidRPr="00F2067C">
        <w:rPr>
          <w:noProof/>
          <w:szCs w:val="20"/>
        </w:rPr>
        <w:t>1</w:t>
      </w:r>
      <w:r w:rsidR="00F2067C" w:rsidRPr="00F2067C">
        <w:rPr>
          <w:noProof/>
          <w:szCs w:val="20"/>
        </w:rPr>
        <w:noBreakHyphen/>
        <w:t>2</w:t>
      </w:r>
      <w:r w:rsidRPr="005060E0">
        <w:rPr>
          <w:szCs w:val="20"/>
        </w:rPr>
        <w:fldChar w:fldCharType="end"/>
      </w:r>
      <w:r w:rsidRPr="005060E0">
        <w:rPr>
          <w:szCs w:val="20"/>
        </w:rPr>
        <w:t xml:space="preserve">, which </w:t>
      </w:r>
      <w:r w:rsidR="00E40950" w:rsidRPr="005060E0">
        <w:rPr>
          <w:szCs w:val="20"/>
        </w:rPr>
        <w:t xml:space="preserve">also </w:t>
      </w:r>
      <w:r w:rsidRPr="005060E0">
        <w:rPr>
          <w:szCs w:val="20"/>
        </w:rPr>
        <w:t>summarises how each recommendation has been co</w:t>
      </w:r>
      <w:r w:rsidR="001A5DE2" w:rsidRPr="005060E0">
        <w:rPr>
          <w:szCs w:val="20"/>
        </w:rPr>
        <w:t>nsidered</w:t>
      </w:r>
      <w:r w:rsidRPr="005060E0">
        <w:rPr>
          <w:szCs w:val="20"/>
        </w:rPr>
        <w:t>.</w:t>
      </w:r>
    </w:p>
    <w:p w14:paraId="15297439" w14:textId="231C1977" w:rsidR="005D7748" w:rsidRPr="005060E0" w:rsidRDefault="00E40950" w:rsidP="00E40950">
      <w:pPr>
        <w:rPr>
          <w:szCs w:val="20"/>
        </w:rPr>
      </w:pPr>
      <w:r w:rsidRPr="005060E0">
        <w:t xml:space="preserve">The </w:t>
      </w:r>
      <w:r w:rsidR="00DF05A9" w:rsidRPr="005060E0">
        <w:t>Impact Statement</w:t>
      </w:r>
      <w:r w:rsidRPr="005060E0">
        <w:t xml:space="preserve"> takes into account some, but not all, of the recommendations of the </w:t>
      </w:r>
      <w:r w:rsidRPr="005060E0">
        <w:rPr>
          <w:szCs w:val="20"/>
        </w:rPr>
        <w:t xml:space="preserve">AAQ NEPM review. </w:t>
      </w:r>
      <w:r w:rsidR="000659CC" w:rsidRPr="005060E0">
        <w:rPr>
          <w:szCs w:val="20"/>
        </w:rPr>
        <w:t xml:space="preserve">It is worth noting that some of the recommendations </w:t>
      </w:r>
      <w:r w:rsidR="00B70B84" w:rsidRPr="005060E0">
        <w:rPr>
          <w:szCs w:val="20"/>
        </w:rPr>
        <w:t>have been</w:t>
      </w:r>
      <w:r w:rsidR="000659CC" w:rsidRPr="005060E0">
        <w:rPr>
          <w:szCs w:val="20"/>
        </w:rPr>
        <w:t xml:space="preserve"> addressed </w:t>
      </w:r>
      <w:r w:rsidR="00B70B84" w:rsidRPr="005060E0">
        <w:rPr>
          <w:szCs w:val="20"/>
        </w:rPr>
        <w:t xml:space="preserve">by </w:t>
      </w:r>
      <w:r w:rsidR="000659CC" w:rsidRPr="005060E0">
        <w:rPr>
          <w:szCs w:val="20"/>
        </w:rPr>
        <w:t xml:space="preserve">other projects </w:t>
      </w:r>
      <w:r w:rsidR="00BB11A5" w:rsidRPr="005060E0">
        <w:rPr>
          <w:szCs w:val="20"/>
        </w:rPr>
        <w:t xml:space="preserve">and </w:t>
      </w:r>
      <w:r w:rsidR="000659CC" w:rsidRPr="005060E0">
        <w:rPr>
          <w:szCs w:val="20"/>
        </w:rPr>
        <w:t xml:space="preserve">are also summarised in </w:t>
      </w:r>
      <w:r w:rsidR="00BB11A5" w:rsidRPr="005060E0">
        <w:rPr>
          <w:szCs w:val="20"/>
        </w:rPr>
        <w:t xml:space="preserve">this </w:t>
      </w:r>
      <w:r w:rsidR="00DF05A9" w:rsidRPr="005060E0">
        <w:rPr>
          <w:szCs w:val="20"/>
        </w:rPr>
        <w:t>Impact Statement</w:t>
      </w:r>
      <w:r w:rsidR="000659CC" w:rsidRPr="005060E0">
        <w:rPr>
          <w:szCs w:val="20"/>
        </w:rPr>
        <w:t>.</w:t>
      </w:r>
    </w:p>
    <w:p w14:paraId="7064CE2B" w14:textId="466103BB" w:rsidR="001A5DE2" w:rsidRPr="005060E0" w:rsidRDefault="001A5DE2">
      <w:pPr>
        <w:spacing w:after="160" w:line="259" w:lineRule="auto"/>
        <w:rPr>
          <w:szCs w:val="20"/>
        </w:rPr>
      </w:pPr>
      <w:r w:rsidRPr="005060E0">
        <w:rPr>
          <w:szCs w:val="20"/>
        </w:rPr>
        <w:br w:type="page"/>
      </w:r>
    </w:p>
    <w:p w14:paraId="49954115" w14:textId="5B4937E6" w:rsidR="005D7748" w:rsidRPr="005060E0" w:rsidRDefault="006C6B7C" w:rsidP="006C6B7C">
      <w:pPr>
        <w:widowControl w:val="0"/>
        <w:spacing w:after="120" w:line="240" w:lineRule="auto"/>
        <w:jc w:val="center"/>
        <w:rPr>
          <w:sz w:val="18"/>
          <w:szCs w:val="18"/>
        </w:rPr>
      </w:pPr>
      <w:bookmarkStart w:id="31" w:name="_Ref515341418"/>
      <w:r w:rsidRPr="005060E0">
        <w:rPr>
          <w:sz w:val="18"/>
          <w:szCs w:val="18"/>
        </w:rPr>
        <w:t xml:space="preserve">Table </w:t>
      </w:r>
      <w:r w:rsidRPr="005060E0">
        <w:rPr>
          <w:sz w:val="18"/>
          <w:szCs w:val="18"/>
        </w:rPr>
        <w:fldChar w:fldCharType="begin"/>
      </w:r>
      <w:r w:rsidRPr="005060E0">
        <w:rPr>
          <w:sz w:val="18"/>
          <w:szCs w:val="18"/>
        </w:rPr>
        <w:instrText xml:space="preserve"> STYLEREF 1 \s </w:instrText>
      </w:r>
      <w:r w:rsidRPr="005060E0">
        <w:rPr>
          <w:sz w:val="18"/>
          <w:szCs w:val="18"/>
        </w:rPr>
        <w:fldChar w:fldCharType="separate"/>
      </w:r>
      <w:r w:rsidR="00F2067C">
        <w:rPr>
          <w:noProof/>
          <w:sz w:val="18"/>
          <w:szCs w:val="18"/>
        </w:rPr>
        <w:t>1</w:t>
      </w:r>
      <w:r w:rsidRPr="005060E0">
        <w:rPr>
          <w:noProof/>
          <w:sz w:val="18"/>
          <w:szCs w:val="18"/>
        </w:rPr>
        <w:fldChar w:fldCharType="end"/>
      </w:r>
      <w:r w:rsidRPr="005060E0">
        <w:rPr>
          <w:sz w:val="18"/>
          <w:szCs w:val="18"/>
        </w:rPr>
        <w:noBreakHyphen/>
      </w:r>
      <w:r w:rsidRPr="005060E0">
        <w:rPr>
          <w:sz w:val="18"/>
          <w:szCs w:val="18"/>
        </w:rPr>
        <w:fldChar w:fldCharType="begin"/>
      </w:r>
      <w:r w:rsidRPr="005060E0">
        <w:rPr>
          <w:sz w:val="18"/>
          <w:szCs w:val="18"/>
        </w:rPr>
        <w:instrText xml:space="preserve"> SEQ Table \* ARABIC \s 1 </w:instrText>
      </w:r>
      <w:r w:rsidRPr="005060E0">
        <w:rPr>
          <w:sz w:val="18"/>
          <w:szCs w:val="18"/>
        </w:rPr>
        <w:fldChar w:fldCharType="separate"/>
      </w:r>
      <w:r w:rsidR="00F2067C">
        <w:rPr>
          <w:noProof/>
          <w:sz w:val="18"/>
          <w:szCs w:val="18"/>
        </w:rPr>
        <w:t>2</w:t>
      </w:r>
      <w:r w:rsidRPr="005060E0">
        <w:rPr>
          <w:noProof/>
          <w:sz w:val="18"/>
          <w:szCs w:val="18"/>
        </w:rPr>
        <w:fldChar w:fldCharType="end"/>
      </w:r>
      <w:bookmarkEnd w:id="31"/>
      <w:r w:rsidRPr="005060E0">
        <w:rPr>
          <w:sz w:val="18"/>
          <w:szCs w:val="18"/>
        </w:rPr>
        <w:t>: Recommendations from the 2011 NEPM review and the projects to address them</w:t>
      </w:r>
    </w:p>
    <w:tbl>
      <w:tblPr>
        <w:tblStyle w:val="TableGrid"/>
        <w:tblW w:w="9634" w:type="dxa"/>
        <w:tblBorders>
          <w:top w:val="single" w:sz="4" w:space="0" w:color="606372" w:themeColor="text2"/>
          <w:left w:val="single" w:sz="4" w:space="0" w:color="606372" w:themeColor="text2"/>
          <w:bottom w:val="single" w:sz="4" w:space="0" w:color="606372" w:themeColor="text2"/>
          <w:right w:val="single" w:sz="4" w:space="0" w:color="606372" w:themeColor="text2"/>
          <w:insideH w:val="single" w:sz="4" w:space="0" w:color="606372" w:themeColor="text2"/>
          <w:insideV w:val="single" w:sz="4" w:space="0" w:color="606372" w:themeColor="text2"/>
        </w:tblBorders>
        <w:tblLook w:val="04A0" w:firstRow="1" w:lastRow="0" w:firstColumn="1" w:lastColumn="0" w:noHBand="0" w:noVBand="1"/>
      </w:tblPr>
      <w:tblGrid>
        <w:gridCol w:w="988"/>
        <w:gridCol w:w="1417"/>
        <w:gridCol w:w="3827"/>
        <w:gridCol w:w="3402"/>
      </w:tblGrid>
      <w:tr w:rsidR="006C6B7C" w:rsidRPr="005060E0" w14:paraId="598B2EE0" w14:textId="77777777" w:rsidTr="00A9250D">
        <w:trPr>
          <w:trHeight w:val="520"/>
          <w:tblHeader/>
        </w:trPr>
        <w:tc>
          <w:tcPr>
            <w:tcW w:w="988" w:type="dxa"/>
            <w:shd w:val="clear" w:color="auto" w:fill="606372" w:themeFill="text2"/>
            <w:vAlign w:val="center"/>
          </w:tcPr>
          <w:p w14:paraId="04C18988" w14:textId="6BA73FD9" w:rsidR="006C6B7C" w:rsidRPr="005060E0" w:rsidRDefault="006C6B7C" w:rsidP="007F02EB">
            <w:pPr>
              <w:tabs>
                <w:tab w:val="left" w:pos="851"/>
              </w:tabs>
              <w:spacing w:before="60" w:after="60" w:line="240" w:lineRule="auto"/>
              <w:jc w:val="center"/>
              <w:rPr>
                <w:rFonts w:cs="Arial"/>
                <w:sz w:val="16"/>
                <w:szCs w:val="16"/>
              </w:rPr>
            </w:pPr>
            <w:r w:rsidRPr="005060E0">
              <w:rPr>
                <w:rFonts w:cs="Arial"/>
                <w:color w:val="FFFFFF" w:themeColor="background1"/>
                <w:sz w:val="16"/>
                <w:szCs w:val="16"/>
              </w:rPr>
              <w:t>Number in NEPM review</w:t>
            </w:r>
          </w:p>
        </w:tc>
        <w:tc>
          <w:tcPr>
            <w:tcW w:w="1417" w:type="dxa"/>
            <w:shd w:val="clear" w:color="auto" w:fill="606372" w:themeFill="text2"/>
            <w:vAlign w:val="center"/>
          </w:tcPr>
          <w:p w14:paraId="0FC5D098" w14:textId="0A496471" w:rsidR="006C6B7C" w:rsidRPr="005060E0" w:rsidRDefault="006C6B7C" w:rsidP="007F02EB">
            <w:pPr>
              <w:tabs>
                <w:tab w:val="left" w:pos="851"/>
              </w:tabs>
              <w:spacing w:before="60" w:after="60" w:line="240" w:lineRule="auto"/>
              <w:jc w:val="center"/>
              <w:rPr>
                <w:rFonts w:cs="Arial"/>
                <w:sz w:val="16"/>
                <w:szCs w:val="16"/>
              </w:rPr>
            </w:pPr>
            <w:r w:rsidRPr="005060E0">
              <w:rPr>
                <w:rFonts w:cs="Arial"/>
                <w:color w:val="FFFFFF" w:themeColor="background1"/>
                <w:sz w:val="16"/>
                <w:szCs w:val="16"/>
              </w:rPr>
              <w:t>Aspect of AAQ NEPM</w:t>
            </w:r>
          </w:p>
        </w:tc>
        <w:tc>
          <w:tcPr>
            <w:tcW w:w="3827" w:type="dxa"/>
            <w:shd w:val="clear" w:color="auto" w:fill="606372" w:themeFill="text2"/>
            <w:vAlign w:val="center"/>
          </w:tcPr>
          <w:p w14:paraId="355E60CC" w14:textId="3C9EF939" w:rsidR="006C6B7C" w:rsidRPr="005060E0" w:rsidRDefault="006C6B7C" w:rsidP="007F02EB">
            <w:pPr>
              <w:tabs>
                <w:tab w:val="left" w:pos="851"/>
              </w:tabs>
              <w:spacing w:before="60" w:after="60" w:line="240" w:lineRule="auto"/>
              <w:jc w:val="center"/>
              <w:rPr>
                <w:rFonts w:cs="Arial"/>
                <w:sz w:val="16"/>
                <w:szCs w:val="16"/>
              </w:rPr>
            </w:pPr>
            <w:r w:rsidRPr="005060E0">
              <w:rPr>
                <w:rFonts w:cs="Arial"/>
                <w:color w:val="FFFFFF" w:themeColor="background1"/>
                <w:sz w:val="16"/>
                <w:szCs w:val="16"/>
              </w:rPr>
              <w:t>Recommendation</w:t>
            </w:r>
          </w:p>
        </w:tc>
        <w:tc>
          <w:tcPr>
            <w:tcW w:w="3402" w:type="dxa"/>
            <w:shd w:val="clear" w:color="auto" w:fill="606372" w:themeFill="text2"/>
            <w:vAlign w:val="center"/>
          </w:tcPr>
          <w:p w14:paraId="32E014D0" w14:textId="08099DA3" w:rsidR="006C6B7C" w:rsidRPr="005060E0" w:rsidRDefault="006C6B7C" w:rsidP="007F02EB">
            <w:pPr>
              <w:tabs>
                <w:tab w:val="left" w:pos="851"/>
              </w:tabs>
              <w:spacing w:before="60" w:after="60" w:line="240" w:lineRule="auto"/>
              <w:jc w:val="center"/>
              <w:rPr>
                <w:rFonts w:cs="Arial"/>
                <w:sz w:val="16"/>
                <w:szCs w:val="16"/>
              </w:rPr>
            </w:pPr>
            <w:r w:rsidRPr="005060E0">
              <w:rPr>
                <w:rFonts w:cs="Arial"/>
                <w:color w:val="FFFFFF" w:themeColor="background1"/>
                <w:sz w:val="16"/>
                <w:szCs w:val="16"/>
              </w:rPr>
              <w:t xml:space="preserve">Included in this </w:t>
            </w:r>
            <w:r w:rsidR="00DF05A9" w:rsidRPr="005060E0">
              <w:rPr>
                <w:rFonts w:cs="Arial"/>
                <w:color w:val="FFFFFF" w:themeColor="background1"/>
                <w:sz w:val="16"/>
                <w:szCs w:val="16"/>
              </w:rPr>
              <w:t>Impact Statement</w:t>
            </w:r>
            <w:r w:rsidRPr="005060E0">
              <w:rPr>
                <w:rFonts w:cs="Arial"/>
                <w:color w:val="FFFFFF" w:themeColor="background1"/>
                <w:sz w:val="16"/>
                <w:szCs w:val="16"/>
              </w:rPr>
              <w:t>?</w:t>
            </w:r>
          </w:p>
        </w:tc>
      </w:tr>
      <w:tr w:rsidR="006C6B7C" w:rsidRPr="005060E0" w14:paraId="2389DC2A" w14:textId="77777777" w:rsidTr="001A5DE2">
        <w:tc>
          <w:tcPr>
            <w:tcW w:w="988" w:type="dxa"/>
            <w:tcBorders>
              <w:bottom w:val="dotted" w:sz="4" w:space="0" w:color="606372" w:themeColor="text2"/>
            </w:tcBorders>
          </w:tcPr>
          <w:p w14:paraId="4B9233DF" w14:textId="2727D6EE" w:rsidR="006C6B7C" w:rsidRPr="005060E0" w:rsidRDefault="006C6B7C" w:rsidP="006C6B7C">
            <w:pPr>
              <w:tabs>
                <w:tab w:val="left" w:pos="851"/>
              </w:tabs>
              <w:spacing w:before="60" w:after="60" w:line="240" w:lineRule="auto"/>
              <w:rPr>
                <w:rFonts w:cs="Arial"/>
                <w:sz w:val="16"/>
                <w:szCs w:val="16"/>
              </w:rPr>
            </w:pPr>
            <w:r w:rsidRPr="005060E0">
              <w:rPr>
                <w:rFonts w:cs="Arial"/>
                <w:sz w:val="16"/>
                <w:szCs w:val="16"/>
              </w:rPr>
              <w:t>1</w:t>
            </w:r>
          </w:p>
        </w:tc>
        <w:tc>
          <w:tcPr>
            <w:tcW w:w="1417" w:type="dxa"/>
            <w:tcBorders>
              <w:bottom w:val="nil"/>
            </w:tcBorders>
          </w:tcPr>
          <w:p w14:paraId="42DCCC73" w14:textId="4B7B3972" w:rsidR="006C6B7C" w:rsidRPr="005060E0" w:rsidRDefault="006C6B7C" w:rsidP="006C6B7C">
            <w:pPr>
              <w:tabs>
                <w:tab w:val="left" w:pos="851"/>
              </w:tabs>
              <w:spacing w:before="60" w:after="60" w:line="240" w:lineRule="auto"/>
              <w:rPr>
                <w:rFonts w:cs="Arial"/>
                <w:sz w:val="16"/>
                <w:szCs w:val="16"/>
              </w:rPr>
            </w:pPr>
            <w:r w:rsidRPr="005060E0">
              <w:rPr>
                <w:rFonts w:cs="Arial"/>
                <w:sz w:val="16"/>
                <w:szCs w:val="16"/>
              </w:rPr>
              <w:t>AAQ NEPM goal</w:t>
            </w:r>
          </w:p>
        </w:tc>
        <w:tc>
          <w:tcPr>
            <w:tcW w:w="3827" w:type="dxa"/>
            <w:tcBorders>
              <w:bottom w:val="dotted" w:sz="4" w:space="0" w:color="606372" w:themeColor="text2"/>
            </w:tcBorders>
          </w:tcPr>
          <w:p w14:paraId="1FF4F966" w14:textId="7E25D82E" w:rsidR="006C6B7C" w:rsidRPr="005060E0" w:rsidRDefault="006C6B7C" w:rsidP="006C6B7C">
            <w:pPr>
              <w:tabs>
                <w:tab w:val="left" w:pos="851"/>
              </w:tabs>
              <w:spacing w:before="60" w:after="60" w:line="240" w:lineRule="auto"/>
              <w:rPr>
                <w:rFonts w:cs="Arial"/>
                <w:sz w:val="16"/>
                <w:szCs w:val="16"/>
              </w:rPr>
            </w:pPr>
            <w:r w:rsidRPr="005060E0">
              <w:rPr>
                <w:rFonts w:cs="Arial"/>
                <w:sz w:val="16"/>
                <w:szCs w:val="16"/>
              </w:rPr>
              <w:t>Revise the desired environmental outcome of the NEPM to ‘minimise the risk from adverse health impacts from exposure to air pollution for all people wherever they may live’.</w:t>
            </w:r>
          </w:p>
        </w:tc>
        <w:tc>
          <w:tcPr>
            <w:tcW w:w="3402" w:type="dxa"/>
            <w:tcBorders>
              <w:bottom w:val="dotted" w:sz="4" w:space="0" w:color="606372" w:themeColor="text2"/>
            </w:tcBorders>
          </w:tcPr>
          <w:p w14:paraId="2B9C3AD6" w14:textId="34ADAB1E" w:rsidR="006C6B7C" w:rsidRPr="005060E0" w:rsidRDefault="006C6B7C" w:rsidP="006C6B7C">
            <w:pPr>
              <w:tabs>
                <w:tab w:val="left" w:pos="851"/>
              </w:tabs>
              <w:spacing w:before="60" w:after="60" w:line="240" w:lineRule="auto"/>
              <w:rPr>
                <w:rFonts w:cs="Arial"/>
                <w:sz w:val="16"/>
                <w:szCs w:val="16"/>
              </w:rPr>
            </w:pPr>
            <w:r w:rsidRPr="005060E0">
              <w:rPr>
                <w:rFonts w:cs="Arial"/>
                <w:sz w:val="16"/>
                <w:szCs w:val="16"/>
              </w:rPr>
              <w:t xml:space="preserve">Yes. Discussion to support the change to the AAQ NEPM outcome and implications is provided in </w:t>
            </w:r>
            <w:r w:rsidR="001A5DE2" w:rsidRPr="005060E0">
              <w:rPr>
                <w:rFonts w:cs="Arial"/>
                <w:sz w:val="16"/>
                <w:szCs w:val="16"/>
              </w:rPr>
              <w:t>Chapter 5</w:t>
            </w:r>
            <w:r w:rsidRPr="005060E0">
              <w:rPr>
                <w:rFonts w:cs="Arial"/>
                <w:sz w:val="16"/>
                <w:szCs w:val="16"/>
              </w:rPr>
              <w:t>.</w:t>
            </w:r>
          </w:p>
        </w:tc>
      </w:tr>
      <w:tr w:rsidR="006C6B7C" w:rsidRPr="005060E0" w14:paraId="11EEF1A5" w14:textId="77777777" w:rsidTr="001A5DE2">
        <w:tc>
          <w:tcPr>
            <w:tcW w:w="988" w:type="dxa"/>
            <w:tcBorders>
              <w:top w:val="dotted" w:sz="4" w:space="0" w:color="606372" w:themeColor="text2"/>
            </w:tcBorders>
          </w:tcPr>
          <w:p w14:paraId="7AD0087A" w14:textId="3E6D30EB" w:rsidR="006C6B7C" w:rsidRPr="005060E0" w:rsidRDefault="006C6B7C" w:rsidP="006C6B7C">
            <w:pPr>
              <w:tabs>
                <w:tab w:val="left" w:pos="851"/>
              </w:tabs>
              <w:spacing w:before="60" w:after="60" w:line="240" w:lineRule="auto"/>
              <w:rPr>
                <w:rFonts w:cs="Arial"/>
                <w:sz w:val="16"/>
                <w:szCs w:val="16"/>
              </w:rPr>
            </w:pPr>
            <w:r w:rsidRPr="005060E0">
              <w:rPr>
                <w:rFonts w:cs="Arial"/>
                <w:sz w:val="16"/>
                <w:szCs w:val="16"/>
              </w:rPr>
              <w:t>2</w:t>
            </w:r>
          </w:p>
        </w:tc>
        <w:tc>
          <w:tcPr>
            <w:tcW w:w="1417" w:type="dxa"/>
            <w:tcBorders>
              <w:top w:val="nil"/>
            </w:tcBorders>
          </w:tcPr>
          <w:p w14:paraId="19E22CA1" w14:textId="77777777" w:rsidR="006C6B7C" w:rsidRPr="005060E0" w:rsidRDefault="006C6B7C" w:rsidP="006C6B7C">
            <w:pPr>
              <w:tabs>
                <w:tab w:val="left" w:pos="851"/>
              </w:tabs>
              <w:spacing w:before="60" w:after="60" w:line="240" w:lineRule="auto"/>
              <w:rPr>
                <w:rFonts w:cs="Arial"/>
                <w:sz w:val="16"/>
                <w:szCs w:val="16"/>
              </w:rPr>
            </w:pPr>
          </w:p>
        </w:tc>
        <w:tc>
          <w:tcPr>
            <w:tcW w:w="3827" w:type="dxa"/>
            <w:tcBorders>
              <w:top w:val="dotted" w:sz="4" w:space="0" w:color="606372" w:themeColor="text2"/>
            </w:tcBorders>
          </w:tcPr>
          <w:p w14:paraId="59E55D48" w14:textId="2EDF4906" w:rsidR="006C6B7C" w:rsidRPr="005060E0" w:rsidRDefault="006C6B7C" w:rsidP="001A5DE2">
            <w:pPr>
              <w:widowControl w:val="0"/>
              <w:tabs>
                <w:tab w:val="left" w:pos="851"/>
              </w:tabs>
              <w:spacing w:before="60" w:after="60" w:line="240" w:lineRule="auto"/>
              <w:rPr>
                <w:rFonts w:cs="Arial"/>
                <w:sz w:val="16"/>
                <w:szCs w:val="16"/>
              </w:rPr>
            </w:pPr>
            <w:r w:rsidRPr="005060E0">
              <w:rPr>
                <w:rFonts w:cs="Arial"/>
                <w:sz w:val="16"/>
                <w:szCs w:val="16"/>
              </w:rPr>
              <w:t>Revise the desired environmental goal to make reference to the air quality standards and inco</w:t>
            </w:r>
            <w:r w:rsidR="001A5DE2" w:rsidRPr="005060E0">
              <w:rPr>
                <w:rFonts w:cs="Arial"/>
                <w:sz w:val="16"/>
                <w:szCs w:val="16"/>
              </w:rPr>
              <w:t>rporation of exposure</w:t>
            </w:r>
            <w:r w:rsidR="0011733C" w:rsidRPr="005060E0">
              <w:rPr>
                <w:rFonts w:cs="Arial"/>
                <w:sz w:val="16"/>
                <w:szCs w:val="16"/>
              </w:rPr>
              <w:t>-</w:t>
            </w:r>
            <w:r w:rsidR="001A5DE2" w:rsidRPr="005060E0">
              <w:rPr>
                <w:rFonts w:cs="Arial"/>
                <w:sz w:val="16"/>
                <w:szCs w:val="16"/>
              </w:rPr>
              <w:t xml:space="preserve">reduction </w:t>
            </w:r>
            <w:r w:rsidRPr="005060E0">
              <w:rPr>
                <w:rFonts w:cs="Arial"/>
                <w:sz w:val="16"/>
                <w:szCs w:val="16"/>
              </w:rPr>
              <w:t>targets for priority pollutants.</w:t>
            </w:r>
          </w:p>
        </w:tc>
        <w:tc>
          <w:tcPr>
            <w:tcW w:w="3402" w:type="dxa"/>
            <w:tcBorders>
              <w:top w:val="dotted" w:sz="4" w:space="0" w:color="606372" w:themeColor="text2"/>
            </w:tcBorders>
          </w:tcPr>
          <w:p w14:paraId="14D6DD28" w14:textId="10BF064D" w:rsidR="006C6B7C" w:rsidRPr="005060E0" w:rsidRDefault="006C6B7C" w:rsidP="006C6B7C">
            <w:pPr>
              <w:tabs>
                <w:tab w:val="left" w:pos="851"/>
              </w:tabs>
              <w:spacing w:before="60" w:after="60" w:line="240" w:lineRule="auto"/>
              <w:rPr>
                <w:rFonts w:cs="Arial"/>
                <w:sz w:val="16"/>
                <w:szCs w:val="16"/>
              </w:rPr>
            </w:pPr>
            <w:r w:rsidRPr="005060E0">
              <w:rPr>
                <w:rFonts w:cs="Arial"/>
                <w:sz w:val="16"/>
                <w:szCs w:val="16"/>
              </w:rPr>
              <w:t xml:space="preserve">Yes. Discussion to support the change to the AAQ NEPM goal and implications is provided in </w:t>
            </w:r>
            <w:r w:rsidR="001A5DE2" w:rsidRPr="005060E0">
              <w:rPr>
                <w:rFonts w:cs="Arial"/>
                <w:sz w:val="16"/>
                <w:szCs w:val="16"/>
              </w:rPr>
              <w:t>Chapter 5</w:t>
            </w:r>
            <w:r w:rsidRPr="005060E0">
              <w:rPr>
                <w:rFonts w:cs="Arial"/>
                <w:sz w:val="16"/>
                <w:szCs w:val="16"/>
              </w:rPr>
              <w:t>.</w:t>
            </w:r>
          </w:p>
        </w:tc>
      </w:tr>
      <w:tr w:rsidR="006C6B7C" w:rsidRPr="005060E0" w14:paraId="073EA3D9" w14:textId="77777777" w:rsidTr="004B291D">
        <w:tc>
          <w:tcPr>
            <w:tcW w:w="988" w:type="dxa"/>
          </w:tcPr>
          <w:p w14:paraId="12C1BD95" w14:textId="7DFA73A5" w:rsidR="006C6B7C" w:rsidRPr="005060E0" w:rsidRDefault="006C6B7C" w:rsidP="006C6B7C">
            <w:pPr>
              <w:tabs>
                <w:tab w:val="left" w:pos="851"/>
              </w:tabs>
              <w:spacing w:before="60" w:after="60" w:line="240" w:lineRule="auto"/>
              <w:rPr>
                <w:rFonts w:cs="Arial"/>
                <w:sz w:val="16"/>
                <w:szCs w:val="16"/>
              </w:rPr>
            </w:pPr>
            <w:r w:rsidRPr="005060E0">
              <w:rPr>
                <w:rFonts w:cs="Arial"/>
                <w:sz w:val="16"/>
                <w:szCs w:val="16"/>
              </w:rPr>
              <w:t>3</w:t>
            </w:r>
          </w:p>
        </w:tc>
        <w:tc>
          <w:tcPr>
            <w:tcW w:w="1417" w:type="dxa"/>
            <w:tcBorders>
              <w:bottom w:val="nil"/>
            </w:tcBorders>
          </w:tcPr>
          <w:p w14:paraId="2D92C151" w14:textId="663AA0C8" w:rsidR="006C6B7C" w:rsidRPr="005060E0" w:rsidRDefault="004B291D" w:rsidP="006C6B7C">
            <w:pPr>
              <w:tabs>
                <w:tab w:val="left" w:pos="851"/>
              </w:tabs>
              <w:spacing w:before="60" w:after="60" w:line="240" w:lineRule="auto"/>
              <w:rPr>
                <w:rFonts w:cs="Arial"/>
                <w:sz w:val="16"/>
                <w:szCs w:val="16"/>
              </w:rPr>
            </w:pPr>
            <w:r w:rsidRPr="005060E0">
              <w:rPr>
                <w:rFonts w:cs="Arial"/>
                <w:sz w:val="16"/>
                <w:szCs w:val="16"/>
              </w:rPr>
              <w:t>Air quality standards</w:t>
            </w:r>
          </w:p>
        </w:tc>
        <w:tc>
          <w:tcPr>
            <w:tcW w:w="3827" w:type="dxa"/>
            <w:tcBorders>
              <w:bottom w:val="dotted" w:sz="4" w:space="0" w:color="606372" w:themeColor="text2"/>
            </w:tcBorders>
          </w:tcPr>
          <w:p w14:paraId="720EFF23" w14:textId="0FBFB0C3" w:rsidR="006C6B7C" w:rsidRPr="005060E0" w:rsidRDefault="004B291D" w:rsidP="006C6B7C">
            <w:pPr>
              <w:tabs>
                <w:tab w:val="left" w:pos="851"/>
              </w:tabs>
              <w:spacing w:before="60" w:after="60" w:line="240" w:lineRule="auto"/>
              <w:rPr>
                <w:rFonts w:cs="Arial"/>
                <w:sz w:val="16"/>
                <w:szCs w:val="16"/>
              </w:rPr>
            </w:pPr>
            <w:r w:rsidRPr="005060E0">
              <w:rPr>
                <w:rFonts w:cs="Arial"/>
                <w:sz w:val="16"/>
                <w:szCs w:val="16"/>
              </w:rPr>
              <w:t>Remove lead (Pb) f</w:t>
            </w:r>
            <w:r w:rsidR="006C6B7C" w:rsidRPr="005060E0">
              <w:rPr>
                <w:rFonts w:cs="Arial"/>
                <w:sz w:val="16"/>
                <w:szCs w:val="16"/>
              </w:rPr>
              <w:t xml:space="preserve">rom </w:t>
            </w:r>
            <w:r w:rsidRPr="005060E0">
              <w:rPr>
                <w:rFonts w:cs="Arial"/>
                <w:sz w:val="16"/>
                <w:szCs w:val="16"/>
              </w:rPr>
              <w:t xml:space="preserve">the AAQ NEPM and include in the </w:t>
            </w:r>
            <w:r w:rsidR="006C6B7C" w:rsidRPr="005060E0">
              <w:rPr>
                <w:rFonts w:cs="Arial"/>
                <w:sz w:val="16"/>
                <w:szCs w:val="16"/>
              </w:rPr>
              <w:t>Air Toxics NEPM during the scheduled Air Toxics NEPM review of 2012.</w:t>
            </w:r>
          </w:p>
        </w:tc>
        <w:tc>
          <w:tcPr>
            <w:tcW w:w="3402" w:type="dxa"/>
            <w:tcBorders>
              <w:bottom w:val="dotted" w:sz="4" w:space="0" w:color="606372" w:themeColor="text2"/>
            </w:tcBorders>
          </w:tcPr>
          <w:p w14:paraId="445EE331" w14:textId="30ADE500" w:rsidR="006C6B7C" w:rsidRPr="005060E0" w:rsidRDefault="006C6B7C" w:rsidP="006F1D77">
            <w:pPr>
              <w:widowControl w:val="0"/>
              <w:tabs>
                <w:tab w:val="left" w:pos="851"/>
              </w:tabs>
              <w:spacing w:before="60" w:after="60" w:line="240" w:lineRule="auto"/>
              <w:rPr>
                <w:rFonts w:cs="Arial"/>
                <w:sz w:val="16"/>
                <w:szCs w:val="16"/>
              </w:rPr>
            </w:pPr>
            <w:r w:rsidRPr="005060E0">
              <w:rPr>
                <w:rFonts w:cs="Arial"/>
                <w:sz w:val="16"/>
                <w:szCs w:val="16"/>
              </w:rPr>
              <w:t>No.</w:t>
            </w:r>
            <w:r w:rsidR="001A5DE2" w:rsidRPr="005060E0">
              <w:rPr>
                <w:rFonts w:cs="Arial"/>
                <w:sz w:val="16"/>
                <w:szCs w:val="16"/>
              </w:rPr>
              <w:t xml:space="preserve"> This will occur as part of an </w:t>
            </w:r>
            <w:r w:rsidRPr="005060E0">
              <w:rPr>
                <w:rFonts w:cs="Arial"/>
                <w:sz w:val="16"/>
                <w:szCs w:val="16"/>
              </w:rPr>
              <w:t>Air Toxics NEPM review.</w:t>
            </w:r>
          </w:p>
        </w:tc>
      </w:tr>
      <w:tr w:rsidR="006C6B7C" w:rsidRPr="005060E0" w14:paraId="401DCAD2" w14:textId="77777777" w:rsidTr="004B291D">
        <w:tc>
          <w:tcPr>
            <w:tcW w:w="988" w:type="dxa"/>
            <w:tcBorders>
              <w:bottom w:val="dotted" w:sz="4" w:space="0" w:color="606372" w:themeColor="text2"/>
            </w:tcBorders>
          </w:tcPr>
          <w:p w14:paraId="09207588" w14:textId="0C337DB3" w:rsidR="006C6B7C" w:rsidRPr="005060E0" w:rsidRDefault="006C6B7C" w:rsidP="006C6B7C">
            <w:pPr>
              <w:tabs>
                <w:tab w:val="left" w:pos="851"/>
              </w:tabs>
              <w:spacing w:before="60" w:after="60" w:line="240" w:lineRule="auto"/>
              <w:rPr>
                <w:rFonts w:cs="Arial"/>
                <w:sz w:val="16"/>
                <w:szCs w:val="16"/>
              </w:rPr>
            </w:pPr>
            <w:r w:rsidRPr="005060E0">
              <w:rPr>
                <w:rFonts w:cs="Arial"/>
                <w:sz w:val="16"/>
                <w:szCs w:val="16"/>
              </w:rPr>
              <w:t>4</w:t>
            </w:r>
          </w:p>
        </w:tc>
        <w:tc>
          <w:tcPr>
            <w:tcW w:w="1417" w:type="dxa"/>
            <w:tcBorders>
              <w:top w:val="nil"/>
              <w:bottom w:val="nil"/>
            </w:tcBorders>
          </w:tcPr>
          <w:p w14:paraId="3D4990A3" w14:textId="1F97C3BE" w:rsidR="006C6B7C" w:rsidRPr="005060E0" w:rsidRDefault="006C6B7C" w:rsidP="006C6B7C">
            <w:pPr>
              <w:tabs>
                <w:tab w:val="left" w:pos="851"/>
              </w:tabs>
              <w:spacing w:before="60" w:after="60" w:line="240" w:lineRule="auto"/>
              <w:rPr>
                <w:rFonts w:cs="Arial"/>
                <w:sz w:val="16"/>
                <w:szCs w:val="16"/>
              </w:rPr>
            </w:pPr>
          </w:p>
        </w:tc>
        <w:tc>
          <w:tcPr>
            <w:tcW w:w="3827" w:type="dxa"/>
            <w:tcBorders>
              <w:top w:val="dotted" w:sz="4" w:space="0" w:color="606372" w:themeColor="text2"/>
              <w:bottom w:val="dotted" w:sz="4" w:space="0" w:color="606372" w:themeColor="text2"/>
            </w:tcBorders>
          </w:tcPr>
          <w:p w14:paraId="4A3E99D3" w14:textId="09BD020D" w:rsidR="006C6B7C" w:rsidRPr="005060E0" w:rsidRDefault="006C6B7C" w:rsidP="006C6B7C">
            <w:pPr>
              <w:tabs>
                <w:tab w:val="left" w:pos="851"/>
              </w:tabs>
              <w:spacing w:before="60" w:after="60" w:line="240" w:lineRule="auto"/>
              <w:rPr>
                <w:rFonts w:cs="Arial"/>
                <w:sz w:val="16"/>
                <w:szCs w:val="16"/>
              </w:rPr>
            </w:pPr>
            <w:r w:rsidRPr="005060E0">
              <w:rPr>
                <w:rFonts w:cs="Arial"/>
                <w:sz w:val="16"/>
                <w:szCs w:val="16"/>
              </w:rPr>
              <w:t>Revise the standards for all air pollutants in Schedule 1 of the NEPM to take into account new evidence around the health effects of air pollution.</w:t>
            </w:r>
          </w:p>
        </w:tc>
        <w:tc>
          <w:tcPr>
            <w:tcW w:w="3402" w:type="dxa"/>
            <w:tcBorders>
              <w:top w:val="dotted" w:sz="4" w:space="0" w:color="606372" w:themeColor="text2"/>
              <w:bottom w:val="dotted" w:sz="4" w:space="0" w:color="606372" w:themeColor="text2"/>
            </w:tcBorders>
          </w:tcPr>
          <w:p w14:paraId="5EA020F9" w14:textId="1BA3BA6B" w:rsidR="006C6B7C" w:rsidRPr="005060E0" w:rsidRDefault="006C6B7C" w:rsidP="001A5DE2">
            <w:pPr>
              <w:tabs>
                <w:tab w:val="left" w:pos="851"/>
              </w:tabs>
              <w:spacing w:before="60" w:after="60" w:line="240" w:lineRule="auto"/>
              <w:rPr>
                <w:rFonts w:cs="Arial"/>
                <w:sz w:val="16"/>
                <w:szCs w:val="16"/>
              </w:rPr>
            </w:pPr>
            <w:r w:rsidRPr="005060E0">
              <w:rPr>
                <w:rFonts w:cs="Arial"/>
                <w:sz w:val="16"/>
                <w:szCs w:val="16"/>
              </w:rPr>
              <w:t xml:space="preserve">Yes. This review considered revised standards for </w:t>
            </w:r>
            <w:r w:rsidR="001A5DE2" w:rsidRPr="005060E0">
              <w:rPr>
                <w:rFonts w:cs="Arial"/>
                <w:sz w:val="16"/>
                <w:szCs w:val="16"/>
              </w:rPr>
              <w:t>SO</w:t>
            </w:r>
            <w:r w:rsidR="001A5DE2" w:rsidRPr="005060E0">
              <w:rPr>
                <w:rFonts w:cs="Arial"/>
                <w:sz w:val="16"/>
                <w:szCs w:val="16"/>
                <w:vertAlign w:val="subscript"/>
              </w:rPr>
              <w:t>2</w:t>
            </w:r>
            <w:r w:rsidR="001A5DE2" w:rsidRPr="005060E0">
              <w:rPr>
                <w:rFonts w:cs="Arial"/>
                <w:sz w:val="16"/>
                <w:szCs w:val="16"/>
              </w:rPr>
              <w:t>, NO</w:t>
            </w:r>
            <w:r w:rsidR="001A5DE2" w:rsidRPr="005060E0">
              <w:rPr>
                <w:rFonts w:cs="Arial"/>
                <w:sz w:val="16"/>
                <w:szCs w:val="16"/>
                <w:vertAlign w:val="subscript"/>
              </w:rPr>
              <w:t>2</w:t>
            </w:r>
            <w:r w:rsidR="001A5DE2" w:rsidRPr="005060E0">
              <w:rPr>
                <w:rFonts w:cs="Arial"/>
                <w:sz w:val="16"/>
                <w:szCs w:val="16"/>
              </w:rPr>
              <w:t xml:space="preserve"> and </w:t>
            </w:r>
            <w:r w:rsidRPr="005060E0">
              <w:rPr>
                <w:rFonts w:cs="Arial"/>
                <w:sz w:val="16"/>
                <w:szCs w:val="16"/>
              </w:rPr>
              <w:t>O</w:t>
            </w:r>
            <w:r w:rsidRPr="005060E0">
              <w:rPr>
                <w:rFonts w:cs="Arial"/>
                <w:sz w:val="16"/>
                <w:szCs w:val="16"/>
                <w:vertAlign w:val="subscript"/>
              </w:rPr>
              <w:t>3</w:t>
            </w:r>
            <w:r w:rsidR="001A5DE2" w:rsidRPr="005060E0">
              <w:rPr>
                <w:rFonts w:cs="Arial"/>
                <w:sz w:val="16"/>
                <w:szCs w:val="16"/>
              </w:rPr>
              <w:t xml:space="preserve">. </w:t>
            </w:r>
            <w:r w:rsidRPr="005060E0">
              <w:rPr>
                <w:rFonts w:cs="Arial"/>
                <w:sz w:val="16"/>
                <w:szCs w:val="16"/>
              </w:rPr>
              <w:t>Variation to the particle standards occurred as part of the 2015 AAQ NEPM review of particle standards.</w:t>
            </w:r>
          </w:p>
        </w:tc>
      </w:tr>
      <w:tr w:rsidR="006C6B7C" w:rsidRPr="005060E0" w14:paraId="5FF3E1B5" w14:textId="77777777" w:rsidTr="004B291D">
        <w:tc>
          <w:tcPr>
            <w:tcW w:w="988" w:type="dxa"/>
            <w:tcBorders>
              <w:top w:val="dotted" w:sz="4" w:space="0" w:color="606372" w:themeColor="text2"/>
              <w:bottom w:val="dotted" w:sz="4" w:space="0" w:color="606372" w:themeColor="text2"/>
            </w:tcBorders>
          </w:tcPr>
          <w:p w14:paraId="51FAB660" w14:textId="2E6A0023" w:rsidR="006C6B7C" w:rsidRPr="005060E0" w:rsidRDefault="006C6B7C" w:rsidP="006C6B7C">
            <w:pPr>
              <w:tabs>
                <w:tab w:val="left" w:pos="851"/>
              </w:tabs>
              <w:spacing w:before="60" w:after="60" w:line="240" w:lineRule="auto"/>
              <w:rPr>
                <w:rFonts w:cs="Arial"/>
                <w:sz w:val="16"/>
                <w:szCs w:val="16"/>
              </w:rPr>
            </w:pPr>
            <w:r w:rsidRPr="005060E0">
              <w:rPr>
                <w:rFonts w:cs="Arial"/>
                <w:sz w:val="16"/>
                <w:szCs w:val="16"/>
              </w:rPr>
              <w:t>5</w:t>
            </w:r>
          </w:p>
        </w:tc>
        <w:tc>
          <w:tcPr>
            <w:tcW w:w="1417" w:type="dxa"/>
            <w:tcBorders>
              <w:top w:val="nil"/>
              <w:bottom w:val="nil"/>
            </w:tcBorders>
          </w:tcPr>
          <w:p w14:paraId="1A3363C8" w14:textId="77777777" w:rsidR="006C6B7C" w:rsidRPr="005060E0" w:rsidRDefault="006C6B7C" w:rsidP="006C6B7C">
            <w:pPr>
              <w:tabs>
                <w:tab w:val="left" w:pos="851"/>
              </w:tabs>
              <w:spacing w:before="60" w:after="60" w:line="240" w:lineRule="auto"/>
              <w:rPr>
                <w:rFonts w:cs="Arial"/>
                <w:sz w:val="16"/>
                <w:szCs w:val="16"/>
              </w:rPr>
            </w:pPr>
          </w:p>
        </w:tc>
        <w:tc>
          <w:tcPr>
            <w:tcW w:w="3827" w:type="dxa"/>
            <w:tcBorders>
              <w:top w:val="dotted" w:sz="4" w:space="0" w:color="606372" w:themeColor="text2"/>
              <w:bottom w:val="dotted" w:sz="4" w:space="0" w:color="606372" w:themeColor="text2"/>
            </w:tcBorders>
          </w:tcPr>
          <w:p w14:paraId="4087C081" w14:textId="4B1C087E" w:rsidR="006C6B7C" w:rsidRPr="005060E0" w:rsidRDefault="006C6B7C" w:rsidP="006C6B7C">
            <w:pPr>
              <w:tabs>
                <w:tab w:val="left" w:pos="851"/>
              </w:tabs>
              <w:spacing w:before="60" w:after="60" w:line="240" w:lineRule="auto"/>
              <w:rPr>
                <w:rFonts w:cs="Arial"/>
                <w:sz w:val="16"/>
                <w:szCs w:val="16"/>
              </w:rPr>
            </w:pPr>
            <w:r w:rsidRPr="005060E0">
              <w:rPr>
                <w:rFonts w:cs="Arial"/>
                <w:sz w:val="16"/>
                <w:szCs w:val="16"/>
              </w:rPr>
              <w:t>Introduce compliance standards for PM</w:t>
            </w:r>
            <w:r w:rsidRPr="005060E0">
              <w:rPr>
                <w:rFonts w:cs="Arial"/>
                <w:sz w:val="16"/>
                <w:szCs w:val="16"/>
                <w:vertAlign w:val="subscript"/>
              </w:rPr>
              <w:t>2.5</w:t>
            </w:r>
            <w:r w:rsidRPr="005060E0">
              <w:rPr>
                <w:rFonts w:cs="Arial"/>
                <w:sz w:val="16"/>
                <w:szCs w:val="16"/>
              </w:rPr>
              <w:t>.</w:t>
            </w:r>
          </w:p>
        </w:tc>
        <w:tc>
          <w:tcPr>
            <w:tcW w:w="3402" w:type="dxa"/>
            <w:tcBorders>
              <w:top w:val="dotted" w:sz="4" w:space="0" w:color="606372" w:themeColor="text2"/>
              <w:bottom w:val="dotted" w:sz="4" w:space="0" w:color="606372" w:themeColor="text2"/>
            </w:tcBorders>
          </w:tcPr>
          <w:p w14:paraId="32F0EE54" w14:textId="0D7E9455" w:rsidR="006C6B7C" w:rsidRPr="005060E0" w:rsidRDefault="006C6B7C" w:rsidP="006C6B7C">
            <w:pPr>
              <w:tabs>
                <w:tab w:val="left" w:pos="851"/>
              </w:tabs>
              <w:spacing w:before="60" w:after="60" w:line="240" w:lineRule="auto"/>
              <w:rPr>
                <w:rFonts w:cs="Arial"/>
                <w:sz w:val="16"/>
                <w:szCs w:val="16"/>
              </w:rPr>
            </w:pPr>
            <w:r w:rsidRPr="005060E0">
              <w:rPr>
                <w:rFonts w:cs="Arial"/>
                <w:sz w:val="16"/>
                <w:szCs w:val="16"/>
              </w:rPr>
              <w:t>No. Consideration of a compliance standard for PM</w:t>
            </w:r>
            <w:r w:rsidRPr="005060E0">
              <w:rPr>
                <w:rFonts w:cs="Arial"/>
                <w:sz w:val="16"/>
                <w:szCs w:val="16"/>
                <w:vertAlign w:val="subscript"/>
              </w:rPr>
              <w:t>2.5</w:t>
            </w:r>
            <w:r w:rsidRPr="005060E0">
              <w:rPr>
                <w:rFonts w:cs="Arial"/>
                <w:sz w:val="16"/>
                <w:szCs w:val="16"/>
              </w:rPr>
              <w:t xml:space="preserve"> occurred as part of the 2015 AAQ NEPM review of particle standards.</w:t>
            </w:r>
          </w:p>
        </w:tc>
      </w:tr>
      <w:tr w:rsidR="006C6B7C" w:rsidRPr="005060E0" w14:paraId="7368D70C" w14:textId="77777777" w:rsidTr="004B291D">
        <w:tc>
          <w:tcPr>
            <w:tcW w:w="988" w:type="dxa"/>
            <w:tcBorders>
              <w:top w:val="dotted" w:sz="4" w:space="0" w:color="606372" w:themeColor="text2"/>
              <w:bottom w:val="dotted" w:sz="4" w:space="0" w:color="606372" w:themeColor="text2"/>
            </w:tcBorders>
          </w:tcPr>
          <w:p w14:paraId="2A26CAC0" w14:textId="33941CD3" w:rsidR="006C6B7C" w:rsidRPr="005060E0" w:rsidRDefault="006C6B7C" w:rsidP="006C6B7C">
            <w:pPr>
              <w:tabs>
                <w:tab w:val="left" w:pos="851"/>
              </w:tabs>
              <w:spacing w:before="60" w:after="60" w:line="240" w:lineRule="auto"/>
              <w:rPr>
                <w:rFonts w:cs="Arial"/>
                <w:sz w:val="16"/>
                <w:szCs w:val="16"/>
              </w:rPr>
            </w:pPr>
            <w:r w:rsidRPr="005060E0">
              <w:rPr>
                <w:rFonts w:cs="Arial"/>
                <w:sz w:val="16"/>
                <w:szCs w:val="16"/>
              </w:rPr>
              <w:t>7</w:t>
            </w:r>
          </w:p>
        </w:tc>
        <w:tc>
          <w:tcPr>
            <w:tcW w:w="1417" w:type="dxa"/>
            <w:tcBorders>
              <w:top w:val="nil"/>
              <w:bottom w:val="nil"/>
            </w:tcBorders>
          </w:tcPr>
          <w:p w14:paraId="2D3CF41A" w14:textId="1C3D03F4" w:rsidR="006C6B7C" w:rsidRPr="005060E0" w:rsidRDefault="006C6B7C" w:rsidP="006C6B7C">
            <w:pPr>
              <w:tabs>
                <w:tab w:val="left" w:pos="851"/>
              </w:tabs>
              <w:spacing w:before="60" w:after="60" w:line="240" w:lineRule="auto"/>
              <w:rPr>
                <w:rFonts w:cs="Arial"/>
                <w:sz w:val="16"/>
                <w:szCs w:val="16"/>
              </w:rPr>
            </w:pPr>
          </w:p>
        </w:tc>
        <w:tc>
          <w:tcPr>
            <w:tcW w:w="3827" w:type="dxa"/>
            <w:tcBorders>
              <w:top w:val="dotted" w:sz="4" w:space="0" w:color="606372" w:themeColor="text2"/>
              <w:bottom w:val="dotted" w:sz="4" w:space="0" w:color="606372" w:themeColor="text2"/>
            </w:tcBorders>
          </w:tcPr>
          <w:p w14:paraId="166D66CF" w14:textId="4C0D2A17" w:rsidR="006C6B7C" w:rsidRPr="005060E0" w:rsidRDefault="006C6B7C" w:rsidP="006C6B7C">
            <w:pPr>
              <w:tabs>
                <w:tab w:val="left" w:pos="851"/>
              </w:tabs>
              <w:spacing w:before="60" w:after="60" w:line="240" w:lineRule="auto"/>
              <w:rPr>
                <w:rFonts w:cs="Arial"/>
                <w:sz w:val="16"/>
                <w:szCs w:val="16"/>
              </w:rPr>
            </w:pPr>
            <w:r w:rsidRPr="005060E0">
              <w:rPr>
                <w:rFonts w:cs="Arial"/>
                <w:sz w:val="16"/>
                <w:szCs w:val="16"/>
              </w:rPr>
              <w:t>Introduce an annual average standard for PM</w:t>
            </w:r>
            <w:r w:rsidRPr="005060E0">
              <w:rPr>
                <w:rFonts w:cs="Arial"/>
                <w:sz w:val="16"/>
                <w:szCs w:val="16"/>
                <w:vertAlign w:val="subscript"/>
              </w:rPr>
              <w:t>10</w:t>
            </w:r>
            <w:r w:rsidRPr="005060E0">
              <w:rPr>
                <w:rFonts w:cs="Arial"/>
                <w:sz w:val="16"/>
                <w:szCs w:val="16"/>
              </w:rPr>
              <w:t>.</w:t>
            </w:r>
          </w:p>
        </w:tc>
        <w:tc>
          <w:tcPr>
            <w:tcW w:w="3402" w:type="dxa"/>
            <w:tcBorders>
              <w:top w:val="dotted" w:sz="4" w:space="0" w:color="606372" w:themeColor="text2"/>
              <w:bottom w:val="dotted" w:sz="4" w:space="0" w:color="606372" w:themeColor="text2"/>
            </w:tcBorders>
          </w:tcPr>
          <w:p w14:paraId="7E0DD31C" w14:textId="30148A73" w:rsidR="006C6B7C" w:rsidRPr="005060E0" w:rsidRDefault="006C6B7C" w:rsidP="006C6B7C">
            <w:pPr>
              <w:tabs>
                <w:tab w:val="left" w:pos="851"/>
              </w:tabs>
              <w:spacing w:before="60" w:after="60" w:line="240" w:lineRule="auto"/>
              <w:rPr>
                <w:rFonts w:cs="Arial"/>
                <w:sz w:val="16"/>
                <w:szCs w:val="16"/>
              </w:rPr>
            </w:pPr>
            <w:r w:rsidRPr="005060E0">
              <w:rPr>
                <w:rFonts w:cs="Arial"/>
                <w:sz w:val="16"/>
                <w:szCs w:val="16"/>
              </w:rPr>
              <w:t>No. Consideration of an annual average standard for PM</w:t>
            </w:r>
            <w:r w:rsidRPr="005060E0">
              <w:rPr>
                <w:rFonts w:cs="Arial"/>
                <w:sz w:val="16"/>
                <w:szCs w:val="16"/>
                <w:vertAlign w:val="subscript"/>
              </w:rPr>
              <w:t>10</w:t>
            </w:r>
            <w:r w:rsidRPr="005060E0">
              <w:rPr>
                <w:rFonts w:cs="Arial"/>
                <w:sz w:val="16"/>
                <w:szCs w:val="16"/>
              </w:rPr>
              <w:t xml:space="preserve"> occurred as part of the 2015 AAQ NEPM review of particle standards.</w:t>
            </w:r>
          </w:p>
        </w:tc>
      </w:tr>
      <w:tr w:rsidR="006C6B7C" w:rsidRPr="005060E0" w14:paraId="1339E8FC" w14:textId="77777777" w:rsidTr="004B291D">
        <w:tc>
          <w:tcPr>
            <w:tcW w:w="988" w:type="dxa"/>
            <w:tcBorders>
              <w:top w:val="dotted" w:sz="4" w:space="0" w:color="606372" w:themeColor="text2"/>
            </w:tcBorders>
          </w:tcPr>
          <w:p w14:paraId="180EED8F" w14:textId="5422A9E3" w:rsidR="006C6B7C" w:rsidRPr="005060E0" w:rsidRDefault="006C6B7C" w:rsidP="006C6B7C">
            <w:pPr>
              <w:tabs>
                <w:tab w:val="left" w:pos="851"/>
              </w:tabs>
              <w:spacing w:before="60" w:after="60" w:line="240" w:lineRule="auto"/>
              <w:rPr>
                <w:rFonts w:cs="Arial"/>
                <w:sz w:val="16"/>
                <w:szCs w:val="16"/>
              </w:rPr>
            </w:pPr>
            <w:r w:rsidRPr="005060E0">
              <w:rPr>
                <w:rFonts w:cs="Arial"/>
                <w:sz w:val="16"/>
                <w:szCs w:val="16"/>
              </w:rPr>
              <w:t>6</w:t>
            </w:r>
          </w:p>
        </w:tc>
        <w:tc>
          <w:tcPr>
            <w:tcW w:w="1417" w:type="dxa"/>
            <w:tcBorders>
              <w:top w:val="nil"/>
              <w:bottom w:val="single" w:sz="4" w:space="0" w:color="606372" w:themeColor="text2"/>
            </w:tcBorders>
          </w:tcPr>
          <w:p w14:paraId="0FBC46B7" w14:textId="09269BDB" w:rsidR="006C6B7C" w:rsidRPr="005060E0" w:rsidRDefault="006C6B7C" w:rsidP="006C6B7C">
            <w:pPr>
              <w:tabs>
                <w:tab w:val="left" w:pos="851"/>
              </w:tabs>
              <w:spacing w:before="60" w:after="60" w:line="240" w:lineRule="auto"/>
              <w:rPr>
                <w:rFonts w:cs="Arial"/>
                <w:sz w:val="16"/>
                <w:szCs w:val="16"/>
              </w:rPr>
            </w:pPr>
          </w:p>
        </w:tc>
        <w:tc>
          <w:tcPr>
            <w:tcW w:w="3827" w:type="dxa"/>
            <w:tcBorders>
              <w:top w:val="dotted" w:sz="4" w:space="0" w:color="606372" w:themeColor="text2"/>
            </w:tcBorders>
          </w:tcPr>
          <w:p w14:paraId="44F1A40F" w14:textId="1F102C4E" w:rsidR="006C6B7C" w:rsidRPr="005060E0" w:rsidRDefault="006C6B7C" w:rsidP="006C6B7C">
            <w:pPr>
              <w:tabs>
                <w:tab w:val="left" w:pos="851"/>
              </w:tabs>
              <w:spacing w:before="60" w:after="60" w:line="240" w:lineRule="auto"/>
              <w:rPr>
                <w:rFonts w:cs="Arial"/>
                <w:sz w:val="16"/>
                <w:szCs w:val="16"/>
              </w:rPr>
            </w:pPr>
            <w:r w:rsidRPr="005060E0">
              <w:rPr>
                <w:rFonts w:cs="Arial"/>
                <w:sz w:val="16"/>
                <w:szCs w:val="16"/>
              </w:rPr>
              <w:t>Introduce an 8-hour standard for ozone.</w:t>
            </w:r>
          </w:p>
        </w:tc>
        <w:tc>
          <w:tcPr>
            <w:tcW w:w="3402" w:type="dxa"/>
            <w:tcBorders>
              <w:top w:val="dotted" w:sz="4" w:space="0" w:color="606372" w:themeColor="text2"/>
            </w:tcBorders>
          </w:tcPr>
          <w:p w14:paraId="052FBB87" w14:textId="73F11A8D" w:rsidR="006C6B7C" w:rsidRPr="005060E0" w:rsidRDefault="006C6B7C" w:rsidP="006C6B7C">
            <w:pPr>
              <w:tabs>
                <w:tab w:val="left" w:pos="851"/>
              </w:tabs>
              <w:spacing w:before="60" w:after="60" w:line="240" w:lineRule="auto"/>
              <w:rPr>
                <w:rFonts w:cs="Arial"/>
                <w:sz w:val="16"/>
                <w:szCs w:val="16"/>
              </w:rPr>
            </w:pPr>
            <w:r w:rsidRPr="005060E0">
              <w:rPr>
                <w:rFonts w:cs="Arial"/>
                <w:sz w:val="16"/>
                <w:szCs w:val="16"/>
              </w:rPr>
              <w:t>Yes. Discussion and a recommendation regarding the introduction of an 8</w:t>
            </w:r>
            <w:r w:rsidRPr="005060E0">
              <w:rPr>
                <w:rFonts w:cs="Arial"/>
                <w:sz w:val="16"/>
                <w:szCs w:val="16"/>
              </w:rPr>
              <w:noBreakHyphen/>
              <w:t>hour O</w:t>
            </w:r>
            <w:r w:rsidRPr="005060E0">
              <w:rPr>
                <w:rFonts w:cs="Arial"/>
                <w:sz w:val="16"/>
                <w:szCs w:val="16"/>
                <w:vertAlign w:val="subscript"/>
              </w:rPr>
              <w:t>3</w:t>
            </w:r>
            <w:r w:rsidRPr="005060E0">
              <w:rPr>
                <w:rFonts w:cs="Arial"/>
                <w:sz w:val="16"/>
                <w:szCs w:val="16"/>
              </w:rPr>
              <w:t xml:space="preserve"> standard is included in this </w:t>
            </w:r>
            <w:bookmarkStart w:id="32" w:name="_Hlk534794432"/>
            <w:r w:rsidR="00DF05A9" w:rsidRPr="005060E0">
              <w:rPr>
                <w:rFonts w:cs="Arial"/>
                <w:sz w:val="16"/>
                <w:szCs w:val="16"/>
              </w:rPr>
              <w:t>Impact Statement</w:t>
            </w:r>
            <w:bookmarkEnd w:id="32"/>
            <w:r w:rsidRPr="005060E0">
              <w:rPr>
                <w:rFonts w:cs="Arial"/>
                <w:sz w:val="16"/>
                <w:szCs w:val="16"/>
              </w:rPr>
              <w:t>.</w:t>
            </w:r>
          </w:p>
        </w:tc>
      </w:tr>
      <w:tr w:rsidR="006C6B7C" w:rsidRPr="005060E0" w14:paraId="432291B1" w14:textId="77777777" w:rsidTr="004B291D">
        <w:tc>
          <w:tcPr>
            <w:tcW w:w="988" w:type="dxa"/>
            <w:tcBorders>
              <w:bottom w:val="dotted" w:sz="4" w:space="0" w:color="606372" w:themeColor="text2"/>
            </w:tcBorders>
          </w:tcPr>
          <w:p w14:paraId="2FABD534" w14:textId="50DC3E22" w:rsidR="006C6B7C" w:rsidRPr="005060E0" w:rsidRDefault="006C6B7C" w:rsidP="006C6B7C">
            <w:pPr>
              <w:tabs>
                <w:tab w:val="left" w:pos="851"/>
              </w:tabs>
              <w:spacing w:before="60" w:after="60" w:line="240" w:lineRule="auto"/>
              <w:rPr>
                <w:rFonts w:cs="Arial"/>
                <w:sz w:val="16"/>
                <w:szCs w:val="16"/>
              </w:rPr>
            </w:pPr>
            <w:r w:rsidRPr="005060E0">
              <w:rPr>
                <w:rFonts w:cs="Arial"/>
                <w:sz w:val="16"/>
                <w:szCs w:val="16"/>
              </w:rPr>
              <w:t>8</w:t>
            </w:r>
          </w:p>
        </w:tc>
        <w:tc>
          <w:tcPr>
            <w:tcW w:w="1417" w:type="dxa"/>
            <w:tcBorders>
              <w:top w:val="single" w:sz="4" w:space="0" w:color="606372" w:themeColor="text2"/>
              <w:bottom w:val="nil"/>
            </w:tcBorders>
          </w:tcPr>
          <w:p w14:paraId="6E1EF492" w14:textId="2935C9FF" w:rsidR="006C6B7C" w:rsidRPr="005060E0" w:rsidRDefault="001A5DE2" w:rsidP="006C6B7C">
            <w:pPr>
              <w:tabs>
                <w:tab w:val="left" w:pos="851"/>
              </w:tabs>
              <w:spacing w:before="60" w:after="60" w:line="240" w:lineRule="auto"/>
              <w:rPr>
                <w:rFonts w:cs="Arial"/>
                <w:sz w:val="16"/>
                <w:szCs w:val="16"/>
              </w:rPr>
            </w:pPr>
            <w:r w:rsidRPr="005060E0">
              <w:rPr>
                <w:rFonts w:cs="Arial"/>
                <w:sz w:val="16"/>
                <w:szCs w:val="16"/>
              </w:rPr>
              <w:t>Exposure reduction</w:t>
            </w:r>
          </w:p>
        </w:tc>
        <w:tc>
          <w:tcPr>
            <w:tcW w:w="3827" w:type="dxa"/>
            <w:tcBorders>
              <w:bottom w:val="dotted" w:sz="4" w:space="0" w:color="606372" w:themeColor="text2"/>
            </w:tcBorders>
          </w:tcPr>
          <w:p w14:paraId="34996639" w14:textId="470127DF" w:rsidR="006C6B7C" w:rsidRPr="005060E0" w:rsidRDefault="006C6B7C" w:rsidP="006C6B7C">
            <w:pPr>
              <w:tabs>
                <w:tab w:val="left" w:pos="851"/>
              </w:tabs>
              <w:spacing w:before="60" w:after="60" w:line="240" w:lineRule="auto"/>
              <w:rPr>
                <w:rFonts w:cs="Arial"/>
                <w:sz w:val="16"/>
                <w:szCs w:val="16"/>
              </w:rPr>
            </w:pPr>
            <w:r w:rsidRPr="005060E0">
              <w:rPr>
                <w:rFonts w:cs="Arial"/>
                <w:sz w:val="16"/>
                <w:szCs w:val="16"/>
              </w:rPr>
              <w:t>Introduce an exposure</w:t>
            </w:r>
            <w:r w:rsidR="0011733C" w:rsidRPr="005060E0">
              <w:rPr>
                <w:rFonts w:cs="Arial"/>
                <w:sz w:val="16"/>
                <w:szCs w:val="16"/>
              </w:rPr>
              <w:t>-</w:t>
            </w:r>
            <w:r w:rsidRPr="005060E0">
              <w:rPr>
                <w:rFonts w:cs="Arial"/>
                <w:sz w:val="16"/>
                <w:szCs w:val="16"/>
              </w:rPr>
              <w:t>reduction framework and targets for priority pollutants.</w:t>
            </w:r>
          </w:p>
        </w:tc>
        <w:tc>
          <w:tcPr>
            <w:tcW w:w="3402" w:type="dxa"/>
            <w:tcBorders>
              <w:bottom w:val="dotted" w:sz="4" w:space="0" w:color="606372" w:themeColor="text2"/>
            </w:tcBorders>
          </w:tcPr>
          <w:p w14:paraId="7BF362CF" w14:textId="0C848756" w:rsidR="006C6B7C" w:rsidRPr="005060E0" w:rsidRDefault="006C6B7C" w:rsidP="006C6B7C">
            <w:pPr>
              <w:tabs>
                <w:tab w:val="left" w:pos="851"/>
              </w:tabs>
              <w:spacing w:before="60" w:after="60" w:line="240" w:lineRule="auto"/>
              <w:rPr>
                <w:rFonts w:cs="Arial"/>
                <w:sz w:val="16"/>
                <w:szCs w:val="16"/>
              </w:rPr>
            </w:pPr>
            <w:r w:rsidRPr="005060E0">
              <w:rPr>
                <w:rFonts w:cs="Arial"/>
                <w:sz w:val="16"/>
                <w:szCs w:val="16"/>
              </w:rPr>
              <w:t>Yes. Consideration of an exposure</w:t>
            </w:r>
            <w:r w:rsidR="0011733C" w:rsidRPr="005060E0">
              <w:rPr>
                <w:rFonts w:cs="Arial"/>
                <w:sz w:val="16"/>
                <w:szCs w:val="16"/>
              </w:rPr>
              <w:t>-</w:t>
            </w:r>
            <w:r w:rsidRPr="005060E0">
              <w:rPr>
                <w:rFonts w:cs="Arial"/>
                <w:sz w:val="16"/>
                <w:szCs w:val="16"/>
              </w:rPr>
              <w:t xml:space="preserve">reduction framework (ERF) has been included for </w:t>
            </w:r>
            <w:r w:rsidR="001A5DE2" w:rsidRPr="005060E0">
              <w:rPr>
                <w:rFonts w:cs="Arial"/>
                <w:sz w:val="16"/>
                <w:szCs w:val="16"/>
              </w:rPr>
              <w:t>S</w:t>
            </w:r>
            <w:r w:rsidRPr="005060E0">
              <w:rPr>
                <w:rFonts w:cs="Arial"/>
                <w:sz w:val="16"/>
                <w:szCs w:val="16"/>
              </w:rPr>
              <w:t>O</w:t>
            </w:r>
            <w:r w:rsidR="001A5DE2" w:rsidRPr="005060E0">
              <w:rPr>
                <w:rFonts w:cs="Arial"/>
                <w:sz w:val="16"/>
                <w:szCs w:val="16"/>
                <w:vertAlign w:val="subscript"/>
              </w:rPr>
              <w:t>2</w:t>
            </w:r>
            <w:r w:rsidRPr="005060E0">
              <w:rPr>
                <w:rFonts w:cs="Arial"/>
                <w:sz w:val="16"/>
                <w:szCs w:val="16"/>
              </w:rPr>
              <w:t>, NO</w:t>
            </w:r>
            <w:r w:rsidRPr="005060E0">
              <w:rPr>
                <w:rFonts w:cs="Arial"/>
                <w:sz w:val="16"/>
                <w:szCs w:val="16"/>
                <w:vertAlign w:val="subscript"/>
              </w:rPr>
              <w:t>2</w:t>
            </w:r>
            <w:r w:rsidR="001A5DE2" w:rsidRPr="005060E0">
              <w:rPr>
                <w:rFonts w:cs="Arial"/>
                <w:sz w:val="16"/>
                <w:szCs w:val="16"/>
              </w:rPr>
              <w:t xml:space="preserve"> and </w:t>
            </w:r>
            <w:r w:rsidRPr="005060E0">
              <w:rPr>
                <w:rFonts w:cs="Arial"/>
                <w:sz w:val="16"/>
                <w:szCs w:val="16"/>
              </w:rPr>
              <w:t>O</w:t>
            </w:r>
            <w:r w:rsidR="001A5DE2" w:rsidRPr="005060E0">
              <w:rPr>
                <w:rFonts w:cs="Arial"/>
                <w:sz w:val="16"/>
                <w:szCs w:val="16"/>
                <w:vertAlign w:val="subscript"/>
              </w:rPr>
              <w:t>3</w:t>
            </w:r>
            <w:r w:rsidRPr="005060E0">
              <w:rPr>
                <w:rFonts w:cs="Arial"/>
                <w:sz w:val="16"/>
                <w:szCs w:val="16"/>
              </w:rPr>
              <w:t xml:space="preserve"> in </w:t>
            </w:r>
            <w:r w:rsidR="0011733C" w:rsidRPr="005060E0">
              <w:rPr>
                <w:rFonts w:cs="Arial"/>
                <w:sz w:val="16"/>
                <w:szCs w:val="16"/>
              </w:rPr>
              <w:t>S</w:t>
            </w:r>
            <w:r w:rsidRPr="005060E0">
              <w:rPr>
                <w:rFonts w:cs="Arial"/>
                <w:sz w:val="16"/>
                <w:szCs w:val="16"/>
              </w:rPr>
              <w:t>ection</w:t>
            </w:r>
            <w:r w:rsidR="001A5DE2" w:rsidRPr="005060E0">
              <w:rPr>
                <w:rFonts w:cs="Arial"/>
                <w:sz w:val="16"/>
                <w:szCs w:val="16"/>
              </w:rPr>
              <w:t>s 6.10, 7.10 and 8.10 respectively</w:t>
            </w:r>
            <w:r w:rsidRPr="005060E0">
              <w:rPr>
                <w:rFonts w:cs="Arial"/>
                <w:sz w:val="16"/>
                <w:szCs w:val="16"/>
              </w:rPr>
              <w:t>. The 2015 AAQ NEPM particles review considered an ERF for PM</w:t>
            </w:r>
            <w:r w:rsidR="001A5DE2" w:rsidRPr="005060E0">
              <w:rPr>
                <w:rFonts w:cs="Arial"/>
                <w:sz w:val="16"/>
                <w:szCs w:val="16"/>
              </w:rPr>
              <w:t>.</w:t>
            </w:r>
          </w:p>
        </w:tc>
      </w:tr>
      <w:tr w:rsidR="006C6B7C" w:rsidRPr="005060E0" w14:paraId="2F61577C" w14:textId="77777777" w:rsidTr="004B291D">
        <w:tc>
          <w:tcPr>
            <w:tcW w:w="988" w:type="dxa"/>
            <w:tcBorders>
              <w:top w:val="dotted" w:sz="4" w:space="0" w:color="606372" w:themeColor="text2"/>
            </w:tcBorders>
          </w:tcPr>
          <w:p w14:paraId="203BFBC2" w14:textId="2C4881EF" w:rsidR="006C6B7C" w:rsidRPr="005060E0" w:rsidRDefault="006C6B7C" w:rsidP="006C6B7C">
            <w:pPr>
              <w:tabs>
                <w:tab w:val="left" w:pos="851"/>
              </w:tabs>
              <w:spacing w:before="60" w:after="60" w:line="240" w:lineRule="auto"/>
              <w:rPr>
                <w:rFonts w:cs="Arial"/>
                <w:sz w:val="16"/>
                <w:szCs w:val="16"/>
              </w:rPr>
            </w:pPr>
            <w:r w:rsidRPr="005060E0">
              <w:rPr>
                <w:rFonts w:cs="Arial"/>
                <w:sz w:val="16"/>
                <w:szCs w:val="16"/>
              </w:rPr>
              <w:t>14</w:t>
            </w:r>
          </w:p>
        </w:tc>
        <w:tc>
          <w:tcPr>
            <w:tcW w:w="1417" w:type="dxa"/>
            <w:tcBorders>
              <w:top w:val="nil"/>
            </w:tcBorders>
          </w:tcPr>
          <w:p w14:paraId="38360DC1" w14:textId="77777777" w:rsidR="006C6B7C" w:rsidRPr="005060E0" w:rsidRDefault="006C6B7C" w:rsidP="006C6B7C">
            <w:pPr>
              <w:tabs>
                <w:tab w:val="left" w:pos="851"/>
              </w:tabs>
              <w:spacing w:before="60" w:after="60" w:line="240" w:lineRule="auto"/>
              <w:rPr>
                <w:rFonts w:cs="Arial"/>
                <w:sz w:val="16"/>
                <w:szCs w:val="16"/>
              </w:rPr>
            </w:pPr>
          </w:p>
        </w:tc>
        <w:tc>
          <w:tcPr>
            <w:tcW w:w="3827" w:type="dxa"/>
            <w:tcBorders>
              <w:top w:val="dotted" w:sz="4" w:space="0" w:color="606372" w:themeColor="text2"/>
            </w:tcBorders>
          </w:tcPr>
          <w:p w14:paraId="0CBA7B82" w14:textId="2CD33FF9" w:rsidR="006C6B7C" w:rsidRPr="005060E0" w:rsidRDefault="006C6B7C" w:rsidP="006C6B7C">
            <w:pPr>
              <w:tabs>
                <w:tab w:val="left" w:pos="851"/>
              </w:tabs>
              <w:spacing w:before="60" w:after="60" w:line="240" w:lineRule="auto"/>
              <w:rPr>
                <w:rFonts w:cs="Arial"/>
                <w:sz w:val="16"/>
                <w:szCs w:val="16"/>
              </w:rPr>
            </w:pPr>
            <w:r w:rsidRPr="005060E0">
              <w:rPr>
                <w:rFonts w:cs="Arial"/>
                <w:sz w:val="16"/>
                <w:szCs w:val="16"/>
              </w:rPr>
              <w:t>Develop nationally consistent approaches to assess population exposure, including appropriate modelling and emissions inventories.</w:t>
            </w:r>
          </w:p>
        </w:tc>
        <w:tc>
          <w:tcPr>
            <w:tcW w:w="3402" w:type="dxa"/>
            <w:tcBorders>
              <w:top w:val="dotted" w:sz="4" w:space="0" w:color="606372" w:themeColor="text2"/>
            </w:tcBorders>
          </w:tcPr>
          <w:p w14:paraId="6920EE42" w14:textId="3F4A0368" w:rsidR="006C6B7C" w:rsidRPr="005060E0" w:rsidRDefault="006C6B7C" w:rsidP="006C6B7C">
            <w:pPr>
              <w:tabs>
                <w:tab w:val="left" w:pos="851"/>
              </w:tabs>
              <w:spacing w:before="60" w:after="60" w:line="240" w:lineRule="auto"/>
              <w:rPr>
                <w:rFonts w:cs="Arial"/>
                <w:sz w:val="16"/>
                <w:szCs w:val="16"/>
              </w:rPr>
            </w:pPr>
            <w:r w:rsidRPr="005060E0">
              <w:rPr>
                <w:rFonts w:cs="Arial"/>
                <w:sz w:val="16"/>
                <w:szCs w:val="16"/>
              </w:rPr>
              <w:t>No. This recommendation will be addressed by a National Air Quality Technical Advisory Group.</w:t>
            </w:r>
          </w:p>
        </w:tc>
      </w:tr>
      <w:tr w:rsidR="006C6B7C" w:rsidRPr="005060E0" w14:paraId="0398D0F6" w14:textId="77777777" w:rsidTr="007F02EB">
        <w:tc>
          <w:tcPr>
            <w:tcW w:w="988" w:type="dxa"/>
          </w:tcPr>
          <w:p w14:paraId="4465ED0A" w14:textId="74AD70A8" w:rsidR="006C6B7C" w:rsidRPr="005060E0" w:rsidRDefault="006C6B7C" w:rsidP="006C6B7C">
            <w:pPr>
              <w:tabs>
                <w:tab w:val="left" w:pos="851"/>
              </w:tabs>
              <w:spacing w:before="60" w:after="60" w:line="240" w:lineRule="auto"/>
              <w:rPr>
                <w:rFonts w:cs="Arial"/>
                <w:sz w:val="16"/>
                <w:szCs w:val="16"/>
              </w:rPr>
            </w:pPr>
            <w:r w:rsidRPr="005060E0">
              <w:rPr>
                <w:rFonts w:cs="Arial"/>
                <w:sz w:val="16"/>
                <w:szCs w:val="16"/>
              </w:rPr>
              <w:t>9</w:t>
            </w:r>
          </w:p>
        </w:tc>
        <w:tc>
          <w:tcPr>
            <w:tcW w:w="1417" w:type="dxa"/>
          </w:tcPr>
          <w:p w14:paraId="15436CEE" w14:textId="23DB58AD" w:rsidR="006C6B7C" w:rsidRPr="005060E0" w:rsidRDefault="006C6B7C" w:rsidP="006C6B7C">
            <w:pPr>
              <w:tabs>
                <w:tab w:val="left" w:pos="851"/>
              </w:tabs>
              <w:spacing w:before="60" w:after="60" w:line="240" w:lineRule="auto"/>
              <w:rPr>
                <w:rFonts w:cs="Arial"/>
                <w:sz w:val="16"/>
                <w:szCs w:val="16"/>
              </w:rPr>
            </w:pPr>
            <w:r w:rsidRPr="005060E0">
              <w:rPr>
                <w:rFonts w:cs="Arial"/>
                <w:sz w:val="16"/>
                <w:szCs w:val="16"/>
              </w:rPr>
              <w:t>Allowable exceedances</w:t>
            </w:r>
          </w:p>
        </w:tc>
        <w:tc>
          <w:tcPr>
            <w:tcW w:w="3827" w:type="dxa"/>
          </w:tcPr>
          <w:p w14:paraId="56B6A733" w14:textId="15717F5B" w:rsidR="006C6B7C" w:rsidRPr="005060E0" w:rsidRDefault="006C6B7C" w:rsidP="006C6B7C">
            <w:pPr>
              <w:tabs>
                <w:tab w:val="left" w:pos="851"/>
              </w:tabs>
              <w:spacing w:before="60" w:after="60" w:line="240" w:lineRule="auto"/>
              <w:rPr>
                <w:rFonts w:cs="Arial"/>
                <w:sz w:val="16"/>
                <w:szCs w:val="16"/>
              </w:rPr>
            </w:pPr>
            <w:r w:rsidRPr="005060E0">
              <w:rPr>
                <w:rFonts w:cs="Arial"/>
                <w:sz w:val="16"/>
                <w:szCs w:val="16"/>
              </w:rPr>
              <w:t>Remove allowable exceedances from Schedule 2 and introduce a natural events rule.</w:t>
            </w:r>
          </w:p>
        </w:tc>
        <w:tc>
          <w:tcPr>
            <w:tcW w:w="3402" w:type="dxa"/>
          </w:tcPr>
          <w:p w14:paraId="3E2F7FFB" w14:textId="23DB683E" w:rsidR="006C6B7C" w:rsidRPr="005060E0" w:rsidRDefault="006C6B7C" w:rsidP="006C6B7C">
            <w:pPr>
              <w:widowControl w:val="0"/>
              <w:tabs>
                <w:tab w:val="left" w:pos="851"/>
              </w:tabs>
              <w:spacing w:before="60" w:after="60" w:line="240" w:lineRule="auto"/>
              <w:rPr>
                <w:rFonts w:cs="Arial"/>
                <w:sz w:val="16"/>
                <w:szCs w:val="16"/>
              </w:rPr>
            </w:pPr>
            <w:r w:rsidRPr="005060E0">
              <w:rPr>
                <w:rFonts w:cs="Arial"/>
                <w:sz w:val="16"/>
                <w:szCs w:val="16"/>
              </w:rPr>
              <w:t xml:space="preserve">Yes. Consideration of the removal of the allowable exceedance rule and the introduction of an exceptional events rule for </w:t>
            </w:r>
            <w:r w:rsidR="00142A03" w:rsidRPr="005060E0">
              <w:rPr>
                <w:rFonts w:cs="Arial"/>
                <w:sz w:val="16"/>
                <w:szCs w:val="16"/>
              </w:rPr>
              <w:t>SO</w:t>
            </w:r>
            <w:r w:rsidR="00142A03" w:rsidRPr="005060E0">
              <w:rPr>
                <w:rFonts w:cs="Arial"/>
                <w:sz w:val="16"/>
                <w:szCs w:val="16"/>
                <w:vertAlign w:val="subscript"/>
              </w:rPr>
              <w:t>2</w:t>
            </w:r>
            <w:r w:rsidR="00142A03" w:rsidRPr="005060E0">
              <w:rPr>
                <w:rFonts w:cs="Arial"/>
                <w:sz w:val="16"/>
                <w:szCs w:val="16"/>
              </w:rPr>
              <w:t>, NO</w:t>
            </w:r>
            <w:r w:rsidR="00142A03" w:rsidRPr="005060E0">
              <w:rPr>
                <w:rFonts w:cs="Arial"/>
                <w:sz w:val="16"/>
                <w:szCs w:val="16"/>
                <w:vertAlign w:val="subscript"/>
              </w:rPr>
              <w:t>2</w:t>
            </w:r>
            <w:r w:rsidR="00142A03" w:rsidRPr="005060E0">
              <w:rPr>
                <w:rFonts w:cs="Arial"/>
                <w:sz w:val="16"/>
                <w:szCs w:val="16"/>
              </w:rPr>
              <w:t xml:space="preserve"> and O</w:t>
            </w:r>
            <w:r w:rsidR="00142A03" w:rsidRPr="005060E0">
              <w:rPr>
                <w:rFonts w:cs="Arial"/>
                <w:sz w:val="16"/>
                <w:szCs w:val="16"/>
                <w:vertAlign w:val="subscript"/>
              </w:rPr>
              <w:t>3</w:t>
            </w:r>
            <w:r w:rsidR="00142A03" w:rsidRPr="005060E0">
              <w:rPr>
                <w:rFonts w:cs="Arial"/>
                <w:sz w:val="16"/>
                <w:szCs w:val="16"/>
              </w:rPr>
              <w:t xml:space="preserve"> is </w:t>
            </w:r>
            <w:r w:rsidRPr="005060E0">
              <w:rPr>
                <w:rFonts w:cs="Arial"/>
                <w:sz w:val="16"/>
                <w:szCs w:val="16"/>
              </w:rPr>
              <w:t xml:space="preserve">provided in </w:t>
            </w:r>
            <w:r w:rsidR="0011733C" w:rsidRPr="005060E0">
              <w:rPr>
                <w:rFonts w:cs="Arial"/>
                <w:sz w:val="16"/>
                <w:szCs w:val="16"/>
              </w:rPr>
              <w:t>S</w:t>
            </w:r>
            <w:r w:rsidR="00142A03" w:rsidRPr="005060E0">
              <w:rPr>
                <w:rFonts w:cs="Arial"/>
                <w:sz w:val="16"/>
                <w:szCs w:val="16"/>
              </w:rPr>
              <w:t>ections 6.12, 7.12 and 8.12 respectively</w:t>
            </w:r>
            <w:r w:rsidRPr="005060E0">
              <w:rPr>
                <w:rFonts w:cs="Arial"/>
                <w:sz w:val="16"/>
                <w:szCs w:val="16"/>
              </w:rPr>
              <w:t>.</w:t>
            </w:r>
          </w:p>
          <w:p w14:paraId="383926F8" w14:textId="3F4D8352" w:rsidR="006C6B7C" w:rsidRPr="005060E0" w:rsidRDefault="006C6B7C" w:rsidP="006C6B7C">
            <w:pPr>
              <w:tabs>
                <w:tab w:val="left" w:pos="851"/>
              </w:tabs>
              <w:spacing w:before="60" w:after="60" w:line="240" w:lineRule="auto"/>
              <w:rPr>
                <w:rFonts w:cs="Arial"/>
                <w:sz w:val="16"/>
                <w:szCs w:val="16"/>
              </w:rPr>
            </w:pPr>
            <w:r w:rsidRPr="005060E0">
              <w:rPr>
                <w:rFonts w:cs="Arial"/>
                <w:sz w:val="16"/>
                <w:szCs w:val="16"/>
              </w:rPr>
              <w:t>Consideration of removal of allowable exceedances and introduction of an exceptional events rule for PM were included in the 2015 AAQ NEPM review of particle standards.</w:t>
            </w:r>
          </w:p>
        </w:tc>
      </w:tr>
      <w:tr w:rsidR="00FF1E38" w:rsidRPr="005060E0" w14:paraId="1E426D7C" w14:textId="77777777" w:rsidTr="00E40950">
        <w:tc>
          <w:tcPr>
            <w:tcW w:w="988" w:type="dxa"/>
            <w:tcBorders>
              <w:bottom w:val="dotted" w:sz="4" w:space="0" w:color="606372" w:themeColor="text2"/>
            </w:tcBorders>
          </w:tcPr>
          <w:p w14:paraId="1895312E" w14:textId="3CC7DE22" w:rsidR="00FF1E38" w:rsidRPr="005060E0" w:rsidRDefault="00FF1E38" w:rsidP="006C6B7C">
            <w:pPr>
              <w:tabs>
                <w:tab w:val="left" w:pos="851"/>
              </w:tabs>
              <w:spacing w:before="60" w:after="60" w:line="240" w:lineRule="auto"/>
              <w:rPr>
                <w:rFonts w:cs="Arial"/>
                <w:sz w:val="16"/>
                <w:szCs w:val="16"/>
              </w:rPr>
            </w:pPr>
            <w:r w:rsidRPr="005060E0">
              <w:rPr>
                <w:rFonts w:cs="Arial"/>
                <w:sz w:val="16"/>
                <w:szCs w:val="16"/>
              </w:rPr>
              <w:t>10</w:t>
            </w:r>
          </w:p>
        </w:tc>
        <w:tc>
          <w:tcPr>
            <w:tcW w:w="1417" w:type="dxa"/>
            <w:tcBorders>
              <w:bottom w:val="nil"/>
            </w:tcBorders>
          </w:tcPr>
          <w:p w14:paraId="2E8C73F3" w14:textId="30E59D92" w:rsidR="00FF1E38" w:rsidRPr="005060E0" w:rsidRDefault="00FF1E38" w:rsidP="006C6B7C">
            <w:pPr>
              <w:tabs>
                <w:tab w:val="left" w:pos="851"/>
              </w:tabs>
              <w:spacing w:before="60" w:after="60" w:line="240" w:lineRule="auto"/>
              <w:rPr>
                <w:rFonts w:cs="Arial"/>
                <w:sz w:val="16"/>
                <w:szCs w:val="16"/>
              </w:rPr>
            </w:pPr>
            <w:r w:rsidRPr="005060E0">
              <w:rPr>
                <w:rFonts w:cs="Arial"/>
                <w:sz w:val="16"/>
                <w:szCs w:val="16"/>
              </w:rPr>
              <w:t>Monitoring network</w:t>
            </w:r>
          </w:p>
        </w:tc>
        <w:tc>
          <w:tcPr>
            <w:tcW w:w="3827" w:type="dxa"/>
            <w:tcBorders>
              <w:bottom w:val="dotted" w:sz="4" w:space="0" w:color="606372" w:themeColor="text2"/>
            </w:tcBorders>
          </w:tcPr>
          <w:p w14:paraId="5D48FAA1" w14:textId="41B0D555" w:rsidR="00FF1E38" w:rsidRPr="005060E0" w:rsidRDefault="00FF1E38" w:rsidP="006C6B7C">
            <w:pPr>
              <w:tabs>
                <w:tab w:val="left" w:pos="851"/>
              </w:tabs>
              <w:spacing w:before="60" w:after="60" w:line="240" w:lineRule="auto"/>
              <w:rPr>
                <w:rFonts w:cs="Arial"/>
                <w:sz w:val="16"/>
                <w:szCs w:val="16"/>
              </w:rPr>
            </w:pPr>
            <w:r w:rsidRPr="005060E0">
              <w:rPr>
                <w:rFonts w:cs="Arial"/>
                <w:sz w:val="16"/>
                <w:szCs w:val="16"/>
              </w:rPr>
              <w:t>Redesign monitoring networks to represent population exposure on a pollutant-by-pollutant basis without compromising data collection for long-term trend analysis. A procedure to determine the location and number of sites similar to EU and/or USEPA is recommended.</w:t>
            </w:r>
          </w:p>
        </w:tc>
        <w:tc>
          <w:tcPr>
            <w:tcW w:w="3402" w:type="dxa"/>
            <w:vMerge w:val="restart"/>
          </w:tcPr>
          <w:p w14:paraId="53C3EC05" w14:textId="333ADC07" w:rsidR="00FF1E38" w:rsidRPr="005060E0" w:rsidRDefault="00FF1E38" w:rsidP="006C6B7C">
            <w:pPr>
              <w:tabs>
                <w:tab w:val="left" w:pos="851"/>
              </w:tabs>
              <w:spacing w:before="60" w:after="60" w:line="240" w:lineRule="auto"/>
              <w:rPr>
                <w:rFonts w:cs="Arial"/>
                <w:sz w:val="16"/>
                <w:szCs w:val="16"/>
              </w:rPr>
            </w:pPr>
            <w:r w:rsidRPr="005060E0">
              <w:rPr>
                <w:rFonts w:cs="Arial"/>
                <w:sz w:val="16"/>
                <w:szCs w:val="16"/>
              </w:rPr>
              <w:t xml:space="preserve">No. These recommendations were addressed through a project led by an Expert Working Group. The outcomes of the project will give greater flexibility to jurisdictions in the location and number of monitoring stations. A summary of this work is provided in </w:t>
            </w:r>
            <w:r w:rsidR="006F1D77" w:rsidRPr="005060E0">
              <w:rPr>
                <w:rFonts w:cs="Arial"/>
                <w:sz w:val="16"/>
                <w:szCs w:val="16"/>
              </w:rPr>
              <w:t>S</w:t>
            </w:r>
            <w:r w:rsidRPr="005060E0">
              <w:rPr>
                <w:rFonts w:cs="Arial"/>
                <w:sz w:val="16"/>
                <w:szCs w:val="16"/>
              </w:rPr>
              <w:t xml:space="preserve">ection 1.5.3 of this </w:t>
            </w:r>
            <w:r w:rsidR="00DF05A9" w:rsidRPr="005060E0">
              <w:rPr>
                <w:rFonts w:cs="Arial"/>
                <w:sz w:val="16"/>
                <w:szCs w:val="16"/>
              </w:rPr>
              <w:t>Impact Statement</w:t>
            </w:r>
            <w:r w:rsidRPr="005060E0">
              <w:rPr>
                <w:rFonts w:cs="Arial"/>
                <w:sz w:val="16"/>
                <w:szCs w:val="16"/>
              </w:rPr>
              <w:t>.</w:t>
            </w:r>
          </w:p>
        </w:tc>
      </w:tr>
      <w:tr w:rsidR="00FF1E38" w:rsidRPr="005060E0" w14:paraId="552A27AC" w14:textId="77777777" w:rsidTr="00E40950">
        <w:tc>
          <w:tcPr>
            <w:tcW w:w="988" w:type="dxa"/>
            <w:tcBorders>
              <w:top w:val="dotted" w:sz="4" w:space="0" w:color="606372" w:themeColor="text2"/>
            </w:tcBorders>
          </w:tcPr>
          <w:p w14:paraId="756EF693" w14:textId="5AA196FE" w:rsidR="00FF1E38" w:rsidRPr="005060E0" w:rsidRDefault="00FF1E38" w:rsidP="006C6B7C">
            <w:pPr>
              <w:tabs>
                <w:tab w:val="left" w:pos="851"/>
              </w:tabs>
              <w:spacing w:before="60" w:after="60" w:line="240" w:lineRule="auto"/>
              <w:rPr>
                <w:rFonts w:cs="Arial"/>
                <w:sz w:val="16"/>
                <w:szCs w:val="16"/>
              </w:rPr>
            </w:pPr>
            <w:r w:rsidRPr="005060E0">
              <w:rPr>
                <w:rFonts w:cs="Arial"/>
                <w:sz w:val="16"/>
                <w:szCs w:val="16"/>
              </w:rPr>
              <w:t>11</w:t>
            </w:r>
          </w:p>
        </w:tc>
        <w:tc>
          <w:tcPr>
            <w:tcW w:w="1417" w:type="dxa"/>
            <w:tcBorders>
              <w:top w:val="nil"/>
            </w:tcBorders>
          </w:tcPr>
          <w:p w14:paraId="3CF65F03" w14:textId="7F8B4917" w:rsidR="00FF1E38" w:rsidRPr="005060E0" w:rsidRDefault="00FF1E38" w:rsidP="006C6B7C">
            <w:pPr>
              <w:tabs>
                <w:tab w:val="left" w:pos="851"/>
              </w:tabs>
              <w:spacing w:before="60" w:after="60" w:line="240" w:lineRule="auto"/>
              <w:rPr>
                <w:rFonts w:cs="Arial"/>
                <w:sz w:val="16"/>
                <w:szCs w:val="16"/>
              </w:rPr>
            </w:pPr>
          </w:p>
        </w:tc>
        <w:tc>
          <w:tcPr>
            <w:tcW w:w="3827" w:type="dxa"/>
            <w:tcBorders>
              <w:top w:val="dotted" w:sz="4" w:space="0" w:color="606372" w:themeColor="text2"/>
            </w:tcBorders>
          </w:tcPr>
          <w:p w14:paraId="52A7C86F" w14:textId="06A50048" w:rsidR="00FF1E38" w:rsidRPr="005060E0" w:rsidRDefault="00FF1E38" w:rsidP="006C6B7C">
            <w:pPr>
              <w:tabs>
                <w:tab w:val="left" w:pos="851"/>
              </w:tabs>
              <w:spacing w:before="60" w:after="60" w:line="240" w:lineRule="auto"/>
              <w:rPr>
                <w:rFonts w:cs="Arial"/>
                <w:sz w:val="16"/>
                <w:szCs w:val="16"/>
              </w:rPr>
            </w:pPr>
            <w:r w:rsidRPr="005060E0">
              <w:rPr>
                <w:rFonts w:cs="Arial"/>
                <w:sz w:val="16"/>
                <w:szCs w:val="16"/>
              </w:rPr>
              <w:t>Remove the population threshold and formula to enable monitoring on potential population risk rather than on population size.</w:t>
            </w:r>
          </w:p>
        </w:tc>
        <w:tc>
          <w:tcPr>
            <w:tcW w:w="3402" w:type="dxa"/>
            <w:vMerge/>
          </w:tcPr>
          <w:p w14:paraId="09C13C12" w14:textId="6D853927" w:rsidR="00FF1E38" w:rsidRPr="005060E0" w:rsidRDefault="00FF1E38" w:rsidP="006C6B7C">
            <w:pPr>
              <w:tabs>
                <w:tab w:val="left" w:pos="851"/>
              </w:tabs>
              <w:spacing w:before="60" w:after="60" w:line="240" w:lineRule="auto"/>
              <w:rPr>
                <w:rFonts w:cs="Arial"/>
                <w:color w:val="FF0000"/>
                <w:sz w:val="16"/>
                <w:szCs w:val="16"/>
              </w:rPr>
            </w:pPr>
          </w:p>
        </w:tc>
      </w:tr>
      <w:tr w:rsidR="006A0913" w:rsidRPr="005060E0" w14:paraId="2DBF219F" w14:textId="77777777" w:rsidTr="000659CC">
        <w:trPr>
          <w:trHeight w:val="1148"/>
        </w:trPr>
        <w:tc>
          <w:tcPr>
            <w:tcW w:w="988" w:type="dxa"/>
            <w:tcBorders>
              <w:bottom w:val="dotted" w:sz="4" w:space="0" w:color="606372" w:themeColor="text2"/>
            </w:tcBorders>
          </w:tcPr>
          <w:p w14:paraId="4D40E6F9" w14:textId="042A638C" w:rsidR="006A0913" w:rsidRPr="005060E0" w:rsidRDefault="006A0913" w:rsidP="006A0913">
            <w:pPr>
              <w:tabs>
                <w:tab w:val="left" w:pos="851"/>
              </w:tabs>
              <w:spacing w:before="60" w:after="60" w:line="240" w:lineRule="auto"/>
              <w:rPr>
                <w:rFonts w:cs="Arial"/>
                <w:sz w:val="16"/>
                <w:szCs w:val="16"/>
              </w:rPr>
            </w:pPr>
            <w:r w:rsidRPr="005060E0">
              <w:rPr>
                <w:rFonts w:cs="Arial"/>
                <w:sz w:val="16"/>
                <w:szCs w:val="16"/>
              </w:rPr>
              <w:t>12</w:t>
            </w:r>
          </w:p>
        </w:tc>
        <w:tc>
          <w:tcPr>
            <w:tcW w:w="1417" w:type="dxa"/>
            <w:tcBorders>
              <w:bottom w:val="nil"/>
            </w:tcBorders>
          </w:tcPr>
          <w:p w14:paraId="4DE9B11A" w14:textId="27BC6164" w:rsidR="006A0913" w:rsidRPr="005060E0" w:rsidRDefault="006A0913" w:rsidP="006A0913">
            <w:pPr>
              <w:tabs>
                <w:tab w:val="left" w:pos="851"/>
              </w:tabs>
              <w:spacing w:before="60" w:after="60" w:line="240" w:lineRule="auto"/>
              <w:rPr>
                <w:rFonts w:cs="Arial"/>
                <w:sz w:val="16"/>
                <w:szCs w:val="16"/>
              </w:rPr>
            </w:pPr>
            <w:r w:rsidRPr="005060E0">
              <w:rPr>
                <w:rFonts w:cs="Arial"/>
                <w:sz w:val="16"/>
                <w:szCs w:val="16"/>
              </w:rPr>
              <w:t>Monitoring methods</w:t>
            </w:r>
          </w:p>
        </w:tc>
        <w:tc>
          <w:tcPr>
            <w:tcW w:w="3827" w:type="dxa"/>
            <w:tcBorders>
              <w:bottom w:val="dotted" w:sz="4" w:space="0" w:color="606372" w:themeColor="text2"/>
            </w:tcBorders>
          </w:tcPr>
          <w:p w14:paraId="193C19B3" w14:textId="2D45C441" w:rsidR="006A0913" w:rsidRPr="005060E0" w:rsidRDefault="006A0913" w:rsidP="006A0913">
            <w:pPr>
              <w:tabs>
                <w:tab w:val="left" w:pos="851"/>
              </w:tabs>
              <w:spacing w:before="60" w:after="60" w:line="240" w:lineRule="auto"/>
              <w:rPr>
                <w:rFonts w:cs="Arial"/>
                <w:sz w:val="16"/>
                <w:szCs w:val="16"/>
              </w:rPr>
            </w:pPr>
            <w:r w:rsidRPr="005060E0">
              <w:rPr>
                <w:rFonts w:cs="Arial"/>
                <w:sz w:val="16"/>
                <w:szCs w:val="16"/>
              </w:rPr>
              <w:t>Amend requirements of monitoring methods (clause 16 and Schedule 3) to allow appropriate Australian Standards methods; or methods determined by the EU and/or USEPA as Reference or Equivalence Methods.</w:t>
            </w:r>
          </w:p>
        </w:tc>
        <w:tc>
          <w:tcPr>
            <w:tcW w:w="3402" w:type="dxa"/>
            <w:tcBorders>
              <w:bottom w:val="dotted" w:sz="4" w:space="0" w:color="606372" w:themeColor="text2"/>
            </w:tcBorders>
          </w:tcPr>
          <w:p w14:paraId="31B2A70B" w14:textId="7417D9A6" w:rsidR="006A0913" w:rsidRPr="005060E0" w:rsidRDefault="006A0913" w:rsidP="006A0913">
            <w:pPr>
              <w:tabs>
                <w:tab w:val="left" w:pos="851"/>
              </w:tabs>
              <w:spacing w:before="60" w:after="60" w:line="240" w:lineRule="auto"/>
            </w:pPr>
            <w:r w:rsidRPr="005060E0">
              <w:rPr>
                <w:rFonts w:cs="Arial"/>
                <w:sz w:val="16"/>
                <w:szCs w:val="16"/>
              </w:rPr>
              <w:t xml:space="preserve">No. This recommendation was addressed through a project led by an Expert Working Group. A summary of this work is provided in </w:t>
            </w:r>
            <w:r w:rsidR="006F1D77" w:rsidRPr="005060E0">
              <w:rPr>
                <w:rFonts w:cs="Arial"/>
                <w:sz w:val="16"/>
                <w:szCs w:val="16"/>
              </w:rPr>
              <w:t>S</w:t>
            </w:r>
            <w:r w:rsidRPr="005060E0">
              <w:rPr>
                <w:rFonts w:cs="Arial"/>
                <w:sz w:val="16"/>
                <w:szCs w:val="16"/>
              </w:rPr>
              <w:t xml:space="preserve">ection 1.5.3 of this </w:t>
            </w:r>
            <w:r w:rsidR="00DF05A9" w:rsidRPr="005060E0">
              <w:rPr>
                <w:rFonts w:cs="Arial"/>
                <w:sz w:val="16"/>
                <w:szCs w:val="16"/>
              </w:rPr>
              <w:t>Impact Statement</w:t>
            </w:r>
            <w:r w:rsidRPr="005060E0">
              <w:rPr>
                <w:rFonts w:cs="Arial"/>
                <w:sz w:val="16"/>
                <w:szCs w:val="16"/>
              </w:rPr>
              <w:t>.</w:t>
            </w:r>
          </w:p>
        </w:tc>
      </w:tr>
      <w:tr w:rsidR="006A0913" w:rsidRPr="005060E0" w14:paraId="451D9FA1" w14:textId="77777777" w:rsidTr="000659CC">
        <w:tc>
          <w:tcPr>
            <w:tcW w:w="988" w:type="dxa"/>
            <w:tcBorders>
              <w:top w:val="dotted" w:sz="4" w:space="0" w:color="606372" w:themeColor="text2"/>
            </w:tcBorders>
          </w:tcPr>
          <w:p w14:paraId="18799553" w14:textId="69399A18" w:rsidR="006A0913" w:rsidRPr="005060E0" w:rsidRDefault="006A0913" w:rsidP="006A0913">
            <w:pPr>
              <w:tabs>
                <w:tab w:val="left" w:pos="851"/>
              </w:tabs>
              <w:spacing w:before="60" w:after="60" w:line="240" w:lineRule="auto"/>
              <w:rPr>
                <w:rFonts w:cs="Arial"/>
                <w:sz w:val="16"/>
                <w:szCs w:val="16"/>
              </w:rPr>
            </w:pPr>
            <w:r w:rsidRPr="005060E0">
              <w:rPr>
                <w:rFonts w:cs="Arial"/>
                <w:sz w:val="16"/>
                <w:szCs w:val="16"/>
              </w:rPr>
              <w:t>13</w:t>
            </w:r>
          </w:p>
        </w:tc>
        <w:tc>
          <w:tcPr>
            <w:tcW w:w="1417" w:type="dxa"/>
            <w:tcBorders>
              <w:top w:val="nil"/>
            </w:tcBorders>
          </w:tcPr>
          <w:p w14:paraId="0B624C59" w14:textId="77777777" w:rsidR="006A0913" w:rsidRPr="005060E0" w:rsidRDefault="006A0913" w:rsidP="006A0913">
            <w:pPr>
              <w:tabs>
                <w:tab w:val="left" w:pos="851"/>
              </w:tabs>
              <w:spacing w:before="60" w:after="60" w:line="240" w:lineRule="auto"/>
              <w:rPr>
                <w:rFonts w:cs="Arial"/>
                <w:sz w:val="16"/>
                <w:szCs w:val="16"/>
              </w:rPr>
            </w:pPr>
          </w:p>
        </w:tc>
        <w:tc>
          <w:tcPr>
            <w:tcW w:w="3827" w:type="dxa"/>
            <w:tcBorders>
              <w:top w:val="dotted" w:sz="4" w:space="0" w:color="606372" w:themeColor="text2"/>
            </w:tcBorders>
          </w:tcPr>
          <w:p w14:paraId="5517B8D7" w14:textId="6DCF2B3D" w:rsidR="006A0913" w:rsidRPr="005060E0" w:rsidRDefault="006A0913" w:rsidP="006A0913">
            <w:pPr>
              <w:tabs>
                <w:tab w:val="left" w:pos="851"/>
              </w:tabs>
              <w:spacing w:before="60" w:after="60" w:line="240" w:lineRule="auto"/>
              <w:rPr>
                <w:rFonts w:cs="Arial"/>
                <w:sz w:val="16"/>
                <w:szCs w:val="16"/>
              </w:rPr>
            </w:pPr>
            <w:r w:rsidRPr="005060E0">
              <w:rPr>
                <w:rFonts w:cs="Arial"/>
                <w:sz w:val="16"/>
                <w:szCs w:val="16"/>
              </w:rPr>
              <w:t>Remove Schedule 5 of the AAQ NEPM.</w:t>
            </w:r>
          </w:p>
        </w:tc>
        <w:tc>
          <w:tcPr>
            <w:tcW w:w="3402" w:type="dxa"/>
            <w:tcBorders>
              <w:top w:val="dotted" w:sz="4" w:space="0" w:color="606372" w:themeColor="text2"/>
            </w:tcBorders>
          </w:tcPr>
          <w:p w14:paraId="0A1AE707" w14:textId="2B650DA0" w:rsidR="006A0913" w:rsidRPr="005060E0" w:rsidRDefault="006A0913" w:rsidP="006A0913">
            <w:pPr>
              <w:tabs>
                <w:tab w:val="left" w:pos="851"/>
              </w:tabs>
              <w:spacing w:before="60" w:after="60" w:line="240" w:lineRule="auto"/>
              <w:rPr>
                <w:rFonts w:cs="Arial"/>
                <w:sz w:val="16"/>
                <w:szCs w:val="16"/>
              </w:rPr>
            </w:pPr>
            <w:r w:rsidRPr="005060E0">
              <w:rPr>
                <w:rFonts w:cs="Arial"/>
                <w:sz w:val="16"/>
                <w:szCs w:val="16"/>
              </w:rPr>
              <w:t>No. Consideration of removal of Schedule 5 occurred as part of the 2015 AAQ NEPM review of particle standards.</w:t>
            </w:r>
          </w:p>
        </w:tc>
      </w:tr>
      <w:tr w:rsidR="006A0913" w:rsidRPr="005060E0" w14:paraId="29193ADB" w14:textId="77777777" w:rsidTr="000659CC">
        <w:trPr>
          <w:trHeight w:val="1442"/>
        </w:trPr>
        <w:tc>
          <w:tcPr>
            <w:tcW w:w="988" w:type="dxa"/>
          </w:tcPr>
          <w:p w14:paraId="1C81C426" w14:textId="61D97950" w:rsidR="006A0913" w:rsidRPr="005060E0" w:rsidRDefault="006A0913" w:rsidP="006A0913">
            <w:pPr>
              <w:tabs>
                <w:tab w:val="left" w:pos="851"/>
              </w:tabs>
              <w:spacing w:before="60" w:after="60" w:line="240" w:lineRule="auto"/>
              <w:rPr>
                <w:rFonts w:cs="Arial"/>
                <w:sz w:val="16"/>
                <w:szCs w:val="16"/>
              </w:rPr>
            </w:pPr>
            <w:r w:rsidRPr="005060E0">
              <w:rPr>
                <w:rFonts w:cs="Arial"/>
                <w:sz w:val="16"/>
                <w:szCs w:val="16"/>
              </w:rPr>
              <w:t>15</w:t>
            </w:r>
          </w:p>
        </w:tc>
        <w:tc>
          <w:tcPr>
            <w:tcW w:w="1417" w:type="dxa"/>
          </w:tcPr>
          <w:p w14:paraId="394EA56B" w14:textId="5D028AFB" w:rsidR="006A0913" w:rsidRPr="005060E0" w:rsidRDefault="006A0913" w:rsidP="006A0913">
            <w:pPr>
              <w:tabs>
                <w:tab w:val="left" w:pos="851"/>
              </w:tabs>
              <w:spacing w:before="60" w:after="60" w:line="240" w:lineRule="auto"/>
              <w:rPr>
                <w:rFonts w:cs="Arial"/>
                <w:sz w:val="16"/>
                <w:szCs w:val="16"/>
              </w:rPr>
            </w:pPr>
            <w:r w:rsidRPr="005060E0">
              <w:rPr>
                <w:rFonts w:cs="Arial"/>
                <w:sz w:val="16"/>
                <w:szCs w:val="16"/>
              </w:rPr>
              <w:t>Severity of exceedances</w:t>
            </w:r>
          </w:p>
        </w:tc>
        <w:tc>
          <w:tcPr>
            <w:tcW w:w="3827" w:type="dxa"/>
          </w:tcPr>
          <w:p w14:paraId="192CDBE1" w14:textId="0C686E8C" w:rsidR="006A0913" w:rsidRPr="005060E0" w:rsidRDefault="006A0913" w:rsidP="006A0913">
            <w:pPr>
              <w:widowControl w:val="0"/>
              <w:tabs>
                <w:tab w:val="left" w:pos="851"/>
              </w:tabs>
              <w:spacing w:before="60" w:after="60" w:line="240" w:lineRule="auto"/>
              <w:rPr>
                <w:rFonts w:cs="Arial"/>
                <w:sz w:val="16"/>
                <w:szCs w:val="16"/>
              </w:rPr>
            </w:pPr>
            <w:r w:rsidRPr="005060E0">
              <w:rPr>
                <w:rFonts w:cs="Arial"/>
                <w:sz w:val="16"/>
                <w:szCs w:val="16"/>
              </w:rPr>
              <w:t>Revise the assessment (clause 17) and reporting (clause 18) protocol to include additional performance assessment indicators and expanded reporting requirements to enable inclusion of population exposure determinations, severity of exceedance and effectiveness of management actions undertaken.</w:t>
            </w:r>
          </w:p>
        </w:tc>
        <w:tc>
          <w:tcPr>
            <w:tcW w:w="3402" w:type="dxa"/>
            <w:vMerge w:val="restart"/>
          </w:tcPr>
          <w:p w14:paraId="68FC10B1" w14:textId="52059EBA" w:rsidR="006A0913" w:rsidRPr="005060E0" w:rsidRDefault="006A0913" w:rsidP="006A0913">
            <w:pPr>
              <w:tabs>
                <w:tab w:val="left" w:pos="851"/>
              </w:tabs>
              <w:spacing w:before="60" w:after="60" w:line="240" w:lineRule="auto"/>
            </w:pPr>
            <w:r w:rsidRPr="005060E0">
              <w:rPr>
                <w:rFonts w:cs="Arial"/>
                <w:sz w:val="16"/>
                <w:szCs w:val="16"/>
              </w:rPr>
              <w:t xml:space="preserve">No. These recommendations were addressed through a project led by an Expert Working Group. A summary of this work is provided in </w:t>
            </w:r>
            <w:r w:rsidR="006F1D77" w:rsidRPr="005060E0">
              <w:rPr>
                <w:rFonts w:cs="Arial"/>
                <w:sz w:val="16"/>
                <w:szCs w:val="16"/>
              </w:rPr>
              <w:t>S</w:t>
            </w:r>
            <w:r w:rsidRPr="005060E0">
              <w:rPr>
                <w:rFonts w:cs="Arial"/>
                <w:sz w:val="16"/>
                <w:szCs w:val="16"/>
              </w:rPr>
              <w:t xml:space="preserve">ection 1.5.3 of this </w:t>
            </w:r>
            <w:r w:rsidR="00DF05A9" w:rsidRPr="005060E0">
              <w:rPr>
                <w:rFonts w:cs="Arial"/>
                <w:sz w:val="16"/>
                <w:szCs w:val="16"/>
              </w:rPr>
              <w:t>Impact Statement</w:t>
            </w:r>
            <w:r w:rsidRPr="005060E0">
              <w:rPr>
                <w:rFonts w:cs="Arial"/>
                <w:sz w:val="16"/>
                <w:szCs w:val="16"/>
              </w:rPr>
              <w:t>.</w:t>
            </w:r>
          </w:p>
        </w:tc>
      </w:tr>
      <w:tr w:rsidR="006A0913" w:rsidRPr="005060E0" w14:paraId="4023E035" w14:textId="77777777" w:rsidTr="00E40950">
        <w:tc>
          <w:tcPr>
            <w:tcW w:w="988" w:type="dxa"/>
            <w:tcBorders>
              <w:bottom w:val="dotted" w:sz="4" w:space="0" w:color="606372" w:themeColor="text2"/>
            </w:tcBorders>
          </w:tcPr>
          <w:p w14:paraId="16B8FD91" w14:textId="6F0FCFCC" w:rsidR="006A0913" w:rsidRPr="005060E0" w:rsidRDefault="006A0913" w:rsidP="006A0913">
            <w:pPr>
              <w:tabs>
                <w:tab w:val="left" w:pos="851"/>
              </w:tabs>
              <w:spacing w:before="60" w:after="60" w:line="240" w:lineRule="auto"/>
              <w:rPr>
                <w:rFonts w:cs="Arial"/>
                <w:sz w:val="16"/>
                <w:szCs w:val="16"/>
              </w:rPr>
            </w:pPr>
            <w:r w:rsidRPr="005060E0">
              <w:rPr>
                <w:rFonts w:cs="Arial"/>
                <w:sz w:val="16"/>
                <w:szCs w:val="16"/>
              </w:rPr>
              <w:t>16</w:t>
            </w:r>
          </w:p>
        </w:tc>
        <w:tc>
          <w:tcPr>
            <w:tcW w:w="1417" w:type="dxa"/>
            <w:tcBorders>
              <w:bottom w:val="nil"/>
            </w:tcBorders>
          </w:tcPr>
          <w:p w14:paraId="51E4671C" w14:textId="6D349BDB" w:rsidR="006A0913" w:rsidRPr="005060E0" w:rsidRDefault="006A0913" w:rsidP="006A0913">
            <w:pPr>
              <w:tabs>
                <w:tab w:val="left" w:pos="851"/>
              </w:tabs>
              <w:spacing w:before="60" w:after="60" w:line="240" w:lineRule="auto"/>
              <w:rPr>
                <w:rFonts w:cs="Arial"/>
                <w:sz w:val="16"/>
                <w:szCs w:val="16"/>
              </w:rPr>
            </w:pPr>
            <w:r w:rsidRPr="005060E0">
              <w:rPr>
                <w:rFonts w:cs="Arial"/>
                <w:sz w:val="16"/>
                <w:szCs w:val="16"/>
              </w:rPr>
              <w:t>Reporting</w:t>
            </w:r>
          </w:p>
        </w:tc>
        <w:tc>
          <w:tcPr>
            <w:tcW w:w="3827" w:type="dxa"/>
            <w:tcBorders>
              <w:bottom w:val="dotted" w:sz="4" w:space="0" w:color="606372" w:themeColor="text2"/>
            </w:tcBorders>
          </w:tcPr>
          <w:p w14:paraId="423A5A1A" w14:textId="0F44D131" w:rsidR="006A0913" w:rsidRPr="005060E0" w:rsidRDefault="006A0913" w:rsidP="006A0913">
            <w:pPr>
              <w:widowControl w:val="0"/>
              <w:tabs>
                <w:tab w:val="left" w:pos="851"/>
              </w:tabs>
              <w:spacing w:before="60" w:after="60" w:line="240" w:lineRule="auto"/>
              <w:rPr>
                <w:rFonts w:cs="Arial"/>
                <w:sz w:val="16"/>
                <w:szCs w:val="16"/>
              </w:rPr>
            </w:pPr>
            <w:r w:rsidRPr="005060E0">
              <w:rPr>
                <w:rFonts w:cs="Arial"/>
                <w:sz w:val="16"/>
                <w:szCs w:val="16"/>
              </w:rPr>
              <w:t>Revise guidance documents and templates associated with assessment and reporting to accommodate presentation of clear messages, to allow for better communication and more accessible air quality reports.</w:t>
            </w:r>
          </w:p>
        </w:tc>
        <w:tc>
          <w:tcPr>
            <w:tcW w:w="3402" w:type="dxa"/>
            <w:vMerge/>
          </w:tcPr>
          <w:p w14:paraId="4254894B" w14:textId="575BEE76" w:rsidR="006A0913" w:rsidRPr="005060E0" w:rsidRDefault="006A0913" w:rsidP="006A0913">
            <w:pPr>
              <w:tabs>
                <w:tab w:val="left" w:pos="851"/>
              </w:tabs>
              <w:spacing w:before="60" w:after="60" w:line="240" w:lineRule="auto"/>
              <w:rPr>
                <w:rFonts w:cs="Arial"/>
                <w:color w:val="FF0000"/>
                <w:sz w:val="16"/>
                <w:szCs w:val="16"/>
              </w:rPr>
            </w:pPr>
          </w:p>
        </w:tc>
      </w:tr>
      <w:tr w:rsidR="006A0913" w:rsidRPr="005060E0" w14:paraId="75761C07" w14:textId="77777777" w:rsidTr="00E40950">
        <w:tc>
          <w:tcPr>
            <w:tcW w:w="988" w:type="dxa"/>
            <w:tcBorders>
              <w:top w:val="dotted" w:sz="4" w:space="0" w:color="606372" w:themeColor="text2"/>
            </w:tcBorders>
          </w:tcPr>
          <w:p w14:paraId="3B5D228D" w14:textId="4CA3A7DD" w:rsidR="006A0913" w:rsidRPr="005060E0" w:rsidRDefault="006A0913" w:rsidP="006A0913">
            <w:pPr>
              <w:tabs>
                <w:tab w:val="left" w:pos="851"/>
              </w:tabs>
              <w:spacing w:before="60" w:after="60" w:line="240" w:lineRule="auto"/>
              <w:rPr>
                <w:rFonts w:cs="Arial"/>
                <w:sz w:val="16"/>
                <w:szCs w:val="16"/>
              </w:rPr>
            </w:pPr>
            <w:r w:rsidRPr="005060E0">
              <w:rPr>
                <w:rFonts w:cs="Arial"/>
                <w:sz w:val="16"/>
                <w:szCs w:val="16"/>
              </w:rPr>
              <w:t>18</w:t>
            </w:r>
          </w:p>
        </w:tc>
        <w:tc>
          <w:tcPr>
            <w:tcW w:w="1417" w:type="dxa"/>
            <w:tcBorders>
              <w:top w:val="nil"/>
            </w:tcBorders>
          </w:tcPr>
          <w:p w14:paraId="7F035821" w14:textId="77777777" w:rsidR="006A0913" w:rsidRPr="005060E0" w:rsidRDefault="006A0913" w:rsidP="006A0913">
            <w:pPr>
              <w:tabs>
                <w:tab w:val="left" w:pos="851"/>
              </w:tabs>
              <w:spacing w:before="60" w:after="60" w:line="240" w:lineRule="auto"/>
              <w:rPr>
                <w:rFonts w:cs="Arial"/>
                <w:sz w:val="16"/>
                <w:szCs w:val="16"/>
              </w:rPr>
            </w:pPr>
          </w:p>
        </w:tc>
        <w:tc>
          <w:tcPr>
            <w:tcW w:w="3827" w:type="dxa"/>
            <w:tcBorders>
              <w:top w:val="dotted" w:sz="4" w:space="0" w:color="606372" w:themeColor="text2"/>
            </w:tcBorders>
          </w:tcPr>
          <w:p w14:paraId="25FAD881" w14:textId="634A50BE" w:rsidR="006A0913" w:rsidRPr="005060E0" w:rsidRDefault="006A0913" w:rsidP="006A0913">
            <w:pPr>
              <w:tabs>
                <w:tab w:val="left" w:pos="851"/>
              </w:tabs>
              <w:spacing w:before="60" w:after="60" w:line="240" w:lineRule="auto"/>
              <w:rPr>
                <w:rFonts w:cs="Arial"/>
                <w:sz w:val="16"/>
                <w:szCs w:val="16"/>
              </w:rPr>
            </w:pPr>
            <w:r w:rsidRPr="005060E0">
              <w:rPr>
                <w:rFonts w:cs="Arial"/>
                <w:sz w:val="16"/>
                <w:szCs w:val="16"/>
              </w:rPr>
              <w:t>Require timely reporting of all exceedances, with jurisdictions publicly releasing the analysis of these events on their respective websites within three months of the event.</w:t>
            </w:r>
          </w:p>
        </w:tc>
        <w:tc>
          <w:tcPr>
            <w:tcW w:w="3402" w:type="dxa"/>
            <w:vMerge/>
          </w:tcPr>
          <w:p w14:paraId="3E58F32F" w14:textId="7CD7F650" w:rsidR="006A0913" w:rsidRPr="005060E0" w:rsidRDefault="006A0913" w:rsidP="006A0913">
            <w:pPr>
              <w:tabs>
                <w:tab w:val="left" w:pos="851"/>
              </w:tabs>
              <w:spacing w:before="60" w:after="60" w:line="240" w:lineRule="auto"/>
              <w:rPr>
                <w:rFonts w:cs="Arial"/>
                <w:color w:val="FF0000"/>
                <w:sz w:val="16"/>
                <w:szCs w:val="16"/>
              </w:rPr>
            </w:pPr>
          </w:p>
        </w:tc>
      </w:tr>
      <w:tr w:rsidR="006A0913" w:rsidRPr="005060E0" w14:paraId="5313C84A" w14:textId="77777777" w:rsidTr="007F02EB">
        <w:tc>
          <w:tcPr>
            <w:tcW w:w="988" w:type="dxa"/>
          </w:tcPr>
          <w:p w14:paraId="4F1E1D19" w14:textId="3D6BB2B6" w:rsidR="006A0913" w:rsidRPr="005060E0" w:rsidRDefault="006A0913" w:rsidP="006A0913">
            <w:pPr>
              <w:tabs>
                <w:tab w:val="left" w:pos="851"/>
              </w:tabs>
              <w:spacing w:before="60" w:after="60" w:line="240" w:lineRule="auto"/>
              <w:rPr>
                <w:rFonts w:cs="Arial"/>
                <w:sz w:val="16"/>
                <w:szCs w:val="16"/>
              </w:rPr>
            </w:pPr>
            <w:r w:rsidRPr="005060E0">
              <w:rPr>
                <w:rFonts w:cs="Arial"/>
                <w:sz w:val="16"/>
                <w:szCs w:val="16"/>
              </w:rPr>
              <w:t>17</w:t>
            </w:r>
          </w:p>
        </w:tc>
        <w:tc>
          <w:tcPr>
            <w:tcW w:w="1417" w:type="dxa"/>
          </w:tcPr>
          <w:p w14:paraId="514F18EE" w14:textId="2EE0D256" w:rsidR="006A0913" w:rsidRPr="005060E0" w:rsidRDefault="006A0913" w:rsidP="006A0913">
            <w:pPr>
              <w:tabs>
                <w:tab w:val="left" w:pos="851"/>
              </w:tabs>
              <w:spacing w:before="60" w:after="60" w:line="240" w:lineRule="auto"/>
              <w:rPr>
                <w:rFonts w:cs="Arial"/>
                <w:sz w:val="16"/>
                <w:szCs w:val="16"/>
              </w:rPr>
            </w:pPr>
            <w:r w:rsidRPr="005060E0">
              <w:rPr>
                <w:rFonts w:cs="Arial"/>
                <w:sz w:val="16"/>
                <w:szCs w:val="16"/>
              </w:rPr>
              <w:t>Form of the standards</w:t>
            </w:r>
          </w:p>
        </w:tc>
        <w:tc>
          <w:tcPr>
            <w:tcW w:w="3827" w:type="dxa"/>
          </w:tcPr>
          <w:p w14:paraId="667FEB6D" w14:textId="16A510E5" w:rsidR="006A0913" w:rsidRPr="005060E0" w:rsidRDefault="006A0913" w:rsidP="006A0913">
            <w:pPr>
              <w:tabs>
                <w:tab w:val="left" w:pos="851"/>
              </w:tabs>
              <w:spacing w:before="60" w:after="60" w:line="240" w:lineRule="auto"/>
              <w:rPr>
                <w:rFonts w:cs="Arial"/>
                <w:sz w:val="16"/>
                <w:szCs w:val="16"/>
              </w:rPr>
            </w:pPr>
            <w:r w:rsidRPr="005060E0">
              <w:rPr>
                <w:rFonts w:cs="Arial"/>
                <w:sz w:val="16"/>
                <w:szCs w:val="16"/>
              </w:rPr>
              <w:t>Amend the AAQ NEPM protocol (part 4) to incorporate natural event rule including definition of these events and criteria for assessment and reporting.</w:t>
            </w:r>
          </w:p>
        </w:tc>
        <w:tc>
          <w:tcPr>
            <w:tcW w:w="3402" w:type="dxa"/>
          </w:tcPr>
          <w:p w14:paraId="627C3BEC" w14:textId="3CA7354A" w:rsidR="006A0913" w:rsidRPr="005060E0" w:rsidRDefault="006A0913" w:rsidP="006A0913">
            <w:pPr>
              <w:tabs>
                <w:tab w:val="left" w:pos="851"/>
              </w:tabs>
              <w:spacing w:before="60" w:after="60" w:line="240" w:lineRule="auto"/>
              <w:rPr>
                <w:rFonts w:cs="Arial"/>
                <w:sz w:val="16"/>
                <w:szCs w:val="16"/>
              </w:rPr>
            </w:pPr>
            <w:r w:rsidRPr="005060E0">
              <w:rPr>
                <w:rFonts w:cs="Arial"/>
                <w:sz w:val="16"/>
                <w:szCs w:val="16"/>
              </w:rPr>
              <w:t>Yes. Consideration of this recommendation in relation to SO</w:t>
            </w:r>
            <w:r w:rsidRPr="005060E0">
              <w:rPr>
                <w:rFonts w:cs="Arial"/>
                <w:sz w:val="16"/>
                <w:szCs w:val="16"/>
                <w:vertAlign w:val="subscript"/>
              </w:rPr>
              <w:t>2</w:t>
            </w:r>
            <w:r w:rsidRPr="005060E0">
              <w:rPr>
                <w:rFonts w:cs="Arial"/>
                <w:sz w:val="16"/>
                <w:szCs w:val="16"/>
              </w:rPr>
              <w:t>, NO</w:t>
            </w:r>
            <w:r w:rsidRPr="005060E0">
              <w:rPr>
                <w:rFonts w:cs="Arial"/>
                <w:sz w:val="16"/>
                <w:szCs w:val="16"/>
                <w:vertAlign w:val="subscript"/>
              </w:rPr>
              <w:t>2</w:t>
            </w:r>
            <w:r w:rsidRPr="005060E0">
              <w:rPr>
                <w:rFonts w:cs="Arial"/>
                <w:sz w:val="16"/>
                <w:szCs w:val="16"/>
              </w:rPr>
              <w:t xml:space="preserve"> and O</w:t>
            </w:r>
            <w:r w:rsidRPr="005060E0">
              <w:rPr>
                <w:rFonts w:cs="Arial"/>
                <w:sz w:val="16"/>
                <w:szCs w:val="16"/>
                <w:vertAlign w:val="subscript"/>
              </w:rPr>
              <w:t>3</w:t>
            </w:r>
            <w:r w:rsidRPr="005060E0">
              <w:rPr>
                <w:rFonts w:cs="Arial"/>
                <w:sz w:val="16"/>
                <w:szCs w:val="16"/>
              </w:rPr>
              <w:t xml:space="preserve"> has been included in </w:t>
            </w:r>
            <w:r w:rsidR="006F1D77" w:rsidRPr="005060E0">
              <w:rPr>
                <w:rFonts w:cs="Arial"/>
                <w:sz w:val="16"/>
                <w:szCs w:val="16"/>
              </w:rPr>
              <w:t>S</w:t>
            </w:r>
            <w:r w:rsidRPr="005060E0">
              <w:rPr>
                <w:rFonts w:cs="Arial"/>
                <w:sz w:val="16"/>
                <w:szCs w:val="16"/>
              </w:rPr>
              <w:t>ections 6.12, 7.12 and 8.12 respectively. Consideration of the form of the standards for PM was included in the 2015 AAQ NEPM review of particle standards.</w:t>
            </w:r>
          </w:p>
        </w:tc>
      </w:tr>
      <w:tr w:rsidR="006A0913" w:rsidRPr="005060E0" w14:paraId="65FF05C1" w14:textId="77777777" w:rsidTr="007F02EB">
        <w:tc>
          <w:tcPr>
            <w:tcW w:w="988" w:type="dxa"/>
          </w:tcPr>
          <w:p w14:paraId="38F7ACE1" w14:textId="67B3B965" w:rsidR="006A0913" w:rsidRPr="005060E0" w:rsidRDefault="006A0913" w:rsidP="006A0913">
            <w:pPr>
              <w:tabs>
                <w:tab w:val="left" w:pos="851"/>
              </w:tabs>
              <w:spacing w:before="60" w:after="60" w:line="240" w:lineRule="auto"/>
              <w:rPr>
                <w:rFonts w:cs="Arial"/>
                <w:sz w:val="16"/>
                <w:szCs w:val="16"/>
              </w:rPr>
            </w:pPr>
            <w:r w:rsidRPr="005060E0">
              <w:rPr>
                <w:rFonts w:cs="Arial"/>
                <w:sz w:val="16"/>
                <w:szCs w:val="16"/>
              </w:rPr>
              <w:t>19</w:t>
            </w:r>
          </w:p>
        </w:tc>
        <w:tc>
          <w:tcPr>
            <w:tcW w:w="1417" w:type="dxa"/>
          </w:tcPr>
          <w:p w14:paraId="10B00018" w14:textId="01F1ED76" w:rsidR="006A0913" w:rsidRPr="005060E0" w:rsidRDefault="006A0913" w:rsidP="006A0913">
            <w:pPr>
              <w:tabs>
                <w:tab w:val="left" w:pos="851"/>
              </w:tabs>
              <w:spacing w:before="60" w:after="60" w:line="240" w:lineRule="auto"/>
              <w:rPr>
                <w:rFonts w:cs="Arial"/>
                <w:sz w:val="16"/>
                <w:szCs w:val="16"/>
              </w:rPr>
            </w:pPr>
            <w:r w:rsidRPr="005060E0">
              <w:rPr>
                <w:rFonts w:cs="Arial"/>
                <w:sz w:val="16"/>
                <w:szCs w:val="16"/>
              </w:rPr>
              <w:t>Technical Working Group</w:t>
            </w:r>
          </w:p>
        </w:tc>
        <w:tc>
          <w:tcPr>
            <w:tcW w:w="3827" w:type="dxa"/>
          </w:tcPr>
          <w:p w14:paraId="0B04A054" w14:textId="05B972FB" w:rsidR="006A0913" w:rsidRPr="005060E0" w:rsidRDefault="006A0913" w:rsidP="006A0913">
            <w:pPr>
              <w:widowControl w:val="0"/>
              <w:tabs>
                <w:tab w:val="left" w:pos="851"/>
              </w:tabs>
              <w:spacing w:before="60" w:after="60" w:line="240" w:lineRule="auto"/>
              <w:rPr>
                <w:rFonts w:cs="Arial"/>
                <w:sz w:val="16"/>
                <w:szCs w:val="16"/>
              </w:rPr>
            </w:pPr>
            <w:r w:rsidRPr="005060E0">
              <w:rPr>
                <w:rFonts w:cs="Arial"/>
                <w:sz w:val="16"/>
                <w:szCs w:val="16"/>
              </w:rPr>
              <w:t>Disband the existing PRC and replace with a specialist working group or groups with a broader range of expertise to assist with scientific and technical matters. This working group would report to the Air Quality Working Group.</w:t>
            </w:r>
          </w:p>
        </w:tc>
        <w:tc>
          <w:tcPr>
            <w:tcW w:w="3402" w:type="dxa"/>
          </w:tcPr>
          <w:p w14:paraId="4B004FB7" w14:textId="2047B0B2" w:rsidR="006A0913" w:rsidRPr="005060E0" w:rsidRDefault="006A0913" w:rsidP="006A0913">
            <w:pPr>
              <w:tabs>
                <w:tab w:val="left" w:pos="851"/>
              </w:tabs>
              <w:spacing w:before="60" w:after="60" w:line="240" w:lineRule="auto"/>
              <w:rPr>
                <w:rFonts w:cs="Arial"/>
                <w:sz w:val="16"/>
                <w:szCs w:val="16"/>
              </w:rPr>
            </w:pPr>
            <w:r w:rsidRPr="005060E0">
              <w:rPr>
                <w:rFonts w:cs="Arial"/>
                <w:sz w:val="16"/>
                <w:szCs w:val="16"/>
              </w:rPr>
              <w:t>No. A National Air Quality Technical Advisory Group has formed under the National Clean Air Agreement.</w:t>
            </w:r>
          </w:p>
        </w:tc>
      </w:tr>
      <w:tr w:rsidR="006A0913" w:rsidRPr="005060E0" w14:paraId="4B597FE5" w14:textId="77777777" w:rsidTr="007F02EB">
        <w:tc>
          <w:tcPr>
            <w:tcW w:w="988" w:type="dxa"/>
          </w:tcPr>
          <w:p w14:paraId="038CBAFF" w14:textId="74DC4A41" w:rsidR="006A0913" w:rsidRPr="005060E0" w:rsidRDefault="006A0913" w:rsidP="006A0913">
            <w:pPr>
              <w:tabs>
                <w:tab w:val="left" w:pos="851"/>
              </w:tabs>
              <w:spacing w:before="60" w:after="60" w:line="240" w:lineRule="auto"/>
              <w:rPr>
                <w:rFonts w:cs="Arial"/>
                <w:sz w:val="16"/>
                <w:szCs w:val="16"/>
              </w:rPr>
            </w:pPr>
            <w:r w:rsidRPr="005060E0">
              <w:rPr>
                <w:rFonts w:cs="Arial"/>
                <w:sz w:val="16"/>
                <w:szCs w:val="16"/>
              </w:rPr>
              <w:t>20</w:t>
            </w:r>
          </w:p>
        </w:tc>
        <w:tc>
          <w:tcPr>
            <w:tcW w:w="1417" w:type="dxa"/>
          </w:tcPr>
          <w:p w14:paraId="48EE821B" w14:textId="392F6E88" w:rsidR="006A0913" w:rsidRPr="005060E0" w:rsidRDefault="006A0913" w:rsidP="006A0913">
            <w:pPr>
              <w:tabs>
                <w:tab w:val="left" w:pos="851"/>
              </w:tabs>
              <w:spacing w:before="60" w:after="60" w:line="240" w:lineRule="auto"/>
              <w:rPr>
                <w:rFonts w:cs="Arial"/>
                <w:sz w:val="16"/>
                <w:szCs w:val="16"/>
              </w:rPr>
            </w:pPr>
            <w:r w:rsidRPr="005060E0">
              <w:rPr>
                <w:rFonts w:cs="Arial"/>
                <w:sz w:val="16"/>
                <w:szCs w:val="16"/>
              </w:rPr>
              <w:t>Secondary pollutant precursors</w:t>
            </w:r>
          </w:p>
        </w:tc>
        <w:tc>
          <w:tcPr>
            <w:tcW w:w="3827" w:type="dxa"/>
          </w:tcPr>
          <w:p w14:paraId="23115CEF" w14:textId="795257EE" w:rsidR="006A0913" w:rsidRPr="005060E0" w:rsidRDefault="006A0913" w:rsidP="006A0913">
            <w:pPr>
              <w:tabs>
                <w:tab w:val="left" w:pos="851"/>
              </w:tabs>
              <w:spacing w:before="60" w:after="60" w:line="240" w:lineRule="auto"/>
              <w:rPr>
                <w:rFonts w:cs="Arial"/>
                <w:sz w:val="16"/>
                <w:szCs w:val="16"/>
              </w:rPr>
            </w:pPr>
            <w:r w:rsidRPr="005060E0">
              <w:rPr>
                <w:rFonts w:cs="Arial"/>
                <w:sz w:val="16"/>
                <w:szCs w:val="16"/>
              </w:rPr>
              <w:t>Evaluate the options to assess ozone and secondary particle precursors.</w:t>
            </w:r>
          </w:p>
        </w:tc>
        <w:tc>
          <w:tcPr>
            <w:tcW w:w="3402" w:type="dxa"/>
          </w:tcPr>
          <w:p w14:paraId="01022BDD" w14:textId="6704394C" w:rsidR="006A0913" w:rsidRPr="005060E0" w:rsidRDefault="006A0913" w:rsidP="006A0913">
            <w:pPr>
              <w:tabs>
                <w:tab w:val="left" w:pos="851"/>
              </w:tabs>
              <w:spacing w:before="60" w:after="60" w:line="240" w:lineRule="auto"/>
              <w:rPr>
                <w:rFonts w:cs="Arial"/>
                <w:sz w:val="16"/>
                <w:szCs w:val="16"/>
              </w:rPr>
            </w:pPr>
            <w:r w:rsidRPr="005060E0">
              <w:rPr>
                <w:rFonts w:cs="Arial"/>
                <w:sz w:val="16"/>
                <w:szCs w:val="16"/>
              </w:rPr>
              <w:t>No. Consideration of this recommendation will occur under projects led by the National Air Quality Technical Advisory Group.</w:t>
            </w:r>
          </w:p>
        </w:tc>
      </w:tr>
      <w:tr w:rsidR="006A0913" w:rsidRPr="005060E0" w14:paraId="13F4A398" w14:textId="77777777" w:rsidTr="000659CC">
        <w:tc>
          <w:tcPr>
            <w:tcW w:w="988" w:type="dxa"/>
            <w:tcBorders>
              <w:bottom w:val="dotted" w:sz="4" w:space="0" w:color="606372" w:themeColor="text2"/>
            </w:tcBorders>
          </w:tcPr>
          <w:p w14:paraId="5ECC2C50" w14:textId="42199567" w:rsidR="006A0913" w:rsidRPr="005060E0" w:rsidRDefault="006A0913" w:rsidP="006A0913">
            <w:pPr>
              <w:tabs>
                <w:tab w:val="left" w:pos="851"/>
              </w:tabs>
              <w:spacing w:before="60" w:after="60" w:line="240" w:lineRule="auto"/>
              <w:rPr>
                <w:rFonts w:cs="Arial"/>
                <w:sz w:val="16"/>
                <w:szCs w:val="16"/>
              </w:rPr>
            </w:pPr>
            <w:r w:rsidRPr="005060E0">
              <w:rPr>
                <w:rFonts w:cs="Arial"/>
                <w:sz w:val="16"/>
                <w:szCs w:val="16"/>
              </w:rPr>
              <w:t>21</w:t>
            </w:r>
          </w:p>
        </w:tc>
        <w:tc>
          <w:tcPr>
            <w:tcW w:w="1417" w:type="dxa"/>
            <w:tcBorders>
              <w:bottom w:val="nil"/>
            </w:tcBorders>
          </w:tcPr>
          <w:p w14:paraId="59CCD825" w14:textId="587FF445" w:rsidR="006A0913" w:rsidRPr="005060E0" w:rsidRDefault="006A0913" w:rsidP="006A0913">
            <w:pPr>
              <w:tabs>
                <w:tab w:val="left" w:pos="851"/>
              </w:tabs>
              <w:spacing w:before="60" w:after="60" w:line="240" w:lineRule="auto"/>
              <w:rPr>
                <w:rFonts w:cs="Arial"/>
                <w:sz w:val="16"/>
                <w:szCs w:val="16"/>
              </w:rPr>
            </w:pPr>
            <w:r w:rsidRPr="005060E0">
              <w:rPr>
                <w:rFonts w:cs="Arial"/>
                <w:sz w:val="16"/>
                <w:szCs w:val="16"/>
              </w:rPr>
              <w:t>Future work</w:t>
            </w:r>
          </w:p>
        </w:tc>
        <w:tc>
          <w:tcPr>
            <w:tcW w:w="3827" w:type="dxa"/>
            <w:tcBorders>
              <w:bottom w:val="dotted" w:sz="4" w:space="0" w:color="606372" w:themeColor="text2"/>
            </w:tcBorders>
          </w:tcPr>
          <w:p w14:paraId="2E4D7B18" w14:textId="0987DBD1" w:rsidR="006A0913" w:rsidRPr="005060E0" w:rsidRDefault="006A0913" w:rsidP="006A0913">
            <w:pPr>
              <w:widowControl w:val="0"/>
              <w:tabs>
                <w:tab w:val="left" w:pos="851"/>
              </w:tabs>
              <w:spacing w:before="60" w:after="60" w:line="240" w:lineRule="auto"/>
              <w:rPr>
                <w:rFonts w:cs="Arial"/>
                <w:sz w:val="16"/>
                <w:szCs w:val="16"/>
              </w:rPr>
            </w:pPr>
            <w:r w:rsidRPr="005060E0">
              <w:rPr>
                <w:rFonts w:cs="Arial"/>
                <w:sz w:val="16"/>
                <w:szCs w:val="16"/>
              </w:rPr>
              <w:t>Initiate research into the composition of particles in Australia and associated health impacts.</w:t>
            </w:r>
          </w:p>
        </w:tc>
        <w:tc>
          <w:tcPr>
            <w:tcW w:w="3402" w:type="dxa"/>
            <w:vMerge w:val="restart"/>
          </w:tcPr>
          <w:p w14:paraId="228CF08A" w14:textId="75B42B0D" w:rsidR="006A0913" w:rsidRPr="005060E0" w:rsidRDefault="006B6070" w:rsidP="006A0913">
            <w:pPr>
              <w:tabs>
                <w:tab w:val="left" w:pos="851"/>
              </w:tabs>
              <w:spacing w:before="60" w:after="60" w:line="240" w:lineRule="auto"/>
              <w:rPr>
                <w:rFonts w:cs="Arial"/>
                <w:sz w:val="16"/>
                <w:szCs w:val="16"/>
              </w:rPr>
            </w:pPr>
            <w:r w:rsidRPr="005060E0">
              <w:rPr>
                <w:rFonts w:cs="Arial"/>
                <w:sz w:val="16"/>
                <w:szCs w:val="16"/>
              </w:rPr>
              <w:t xml:space="preserve">No. Consideration of </w:t>
            </w:r>
            <w:r w:rsidR="006F1D77" w:rsidRPr="005060E0">
              <w:rPr>
                <w:rFonts w:cs="Arial"/>
                <w:sz w:val="16"/>
                <w:szCs w:val="16"/>
              </w:rPr>
              <w:t xml:space="preserve">these </w:t>
            </w:r>
            <w:r w:rsidRPr="005060E0">
              <w:rPr>
                <w:rFonts w:cs="Arial"/>
                <w:sz w:val="16"/>
                <w:szCs w:val="16"/>
              </w:rPr>
              <w:t>recommendation</w:t>
            </w:r>
            <w:r w:rsidR="006F1D77" w:rsidRPr="005060E0">
              <w:rPr>
                <w:rFonts w:cs="Arial"/>
                <w:sz w:val="16"/>
                <w:szCs w:val="16"/>
              </w:rPr>
              <w:t>s</w:t>
            </w:r>
            <w:r w:rsidRPr="005060E0">
              <w:rPr>
                <w:rFonts w:cs="Arial"/>
                <w:sz w:val="16"/>
                <w:szCs w:val="16"/>
              </w:rPr>
              <w:t xml:space="preserve"> will occur under projects led by the National Air Quality Technical Advisory Group.</w:t>
            </w:r>
          </w:p>
        </w:tc>
      </w:tr>
      <w:tr w:rsidR="006A0913" w:rsidRPr="005060E0" w14:paraId="29DEDB9E" w14:textId="77777777" w:rsidTr="000659CC">
        <w:tc>
          <w:tcPr>
            <w:tcW w:w="988" w:type="dxa"/>
            <w:tcBorders>
              <w:top w:val="dotted" w:sz="4" w:space="0" w:color="606372" w:themeColor="text2"/>
              <w:bottom w:val="dotted" w:sz="4" w:space="0" w:color="606372" w:themeColor="text2"/>
            </w:tcBorders>
          </w:tcPr>
          <w:p w14:paraId="2B34C04F" w14:textId="6A855892" w:rsidR="006A0913" w:rsidRPr="005060E0" w:rsidRDefault="006A0913" w:rsidP="006A0913">
            <w:pPr>
              <w:tabs>
                <w:tab w:val="left" w:pos="851"/>
              </w:tabs>
              <w:spacing w:before="60" w:after="60" w:line="240" w:lineRule="auto"/>
              <w:rPr>
                <w:rFonts w:cs="Arial"/>
                <w:sz w:val="16"/>
                <w:szCs w:val="16"/>
              </w:rPr>
            </w:pPr>
            <w:r w:rsidRPr="005060E0">
              <w:rPr>
                <w:rFonts w:cs="Arial"/>
                <w:sz w:val="16"/>
                <w:szCs w:val="16"/>
              </w:rPr>
              <w:t>22</w:t>
            </w:r>
          </w:p>
        </w:tc>
        <w:tc>
          <w:tcPr>
            <w:tcW w:w="1417" w:type="dxa"/>
            <w:tcBorders>
              <w:top w:val="nil"/>
              <w:bottom w:val="nil"/>
            </w:tcBorders>
          </w:tcPr>
          <w:p w14:paraId="21C2521F" w14:textId="77777777" w:rsidR="006A0913" w:rsidRPr="005060E0" w:rsidRDefault="006A0913" w:rsidP="006A0913">
            <w:pPr>
              <w:tabs>
                <w:tab w:val="left" w:pos="851"/>
              </w:tabs>
              <w:spacing w:before="60" w:after="60" w:line="240" w:lineRule="auto"/>
              <w:rPr>
                <w:rFonts w:cs="Arial"/>
                <w:sz w:val="16"/>
                <w:szCs w:val="16"/>
              </w:rPr>
            </w:pPr>
          </w:p>
        </w:tc>
        <w:tc>
          <w:tcPr>
            <w:tcW w:w="3827" w:type="dxa"/>
            <w:tcBorders>
              <w:top w:val="dotted" w:sz="4" w:space="0" w:color="606372" w:themeColor="text2"/>
              <w:bottom w:val="dotted" w:sz="4" w:space="0" w:color="606372" w:themeColor="text2"/>
            </w:tcBorders>
          </w:tcPr>
          <w:p w14:paraId="3050EECD" w14:textId="1D9F8C52" w:rsidR="006A0913" w:rsidRPr="005060E0" w:rsidRDefault="006A0913" w:rsidP="006A0913">
            <w:pPr>
              <w:widowControl w:val="0"/>
              <w:tabs>
                <w:tab w:val="left" w:pos="851"/>
              </w:tabs>
              <w:spacing w:before="60" w:after="60" w:line="240" w:lineRule="auto"/>
              <w:rPr>
                <w:rFonts w:cs="Arial"/>
                <w:sz w:val="16"/>
                <w:szCs w:val="16"/>
              </w:rPr>
            </w:pPr>
            <w:r w:rsidRPr="005060E0">
              <w:rPr>
                <w:rFonts w:cs="Arial"/>
                <w:sz w:val="16"/>
                <w:szCs w:val="16"/>
              </w:rPr>
              <w:t>Initiate health research on the impact of air pollution (in particular, particles) in regional areas.</w:t>
            </w:r>
          </w:p>
        </w:tc>
        <w:tc>
          <w:tcPr>
            <w:tcW w:w="3402" w:type="dxa"/>
            <w:vMerge/>
          </w:tcPr>
          <w:p w14:paraId="36D52450" w14:textId="25F82718" w:rsidR="006A0913" w:rsidRPr="005060E0" w:rsidRDefault="006A0913" w:rsidP="006A0913">
            <w:pPr>
              <w:tabs>
                <w:tab w:val="left" w:pos="851"/>
              </w:tabs>
              <w:spacing w:before="60" w:after="60" w:line="240" w:lineRule="auto"/>
              <w:rPr>
                <w:rFonts w:cs="Arial"/>
                <w:sz w:val="16"/>
                <w:szCs w:val="16"/>
              </w:rPr>
            </w:pPr>
          </w:p>
        </w:tc>
      </w:tr>
      <w:tr w:rsidR="006A0913" w:rsidRPr="005060E0" w14:paraId="30096704" w14:textId="77777777" w:rsidTr="000659CC">
        <w:tc>
          <w:tcPr>
            <w:tcW w:w="988" w:type="dxa"/>
            <w:tcBorders>
              <w:top w:val="dotted" w:sz="4" w:space="0" w:color="606372" w:themeColor="text2"/>
            </w:tcBorders>
          </w:tcPr>
          <w:p w14:paraId="659C0BF8" w14:textId="18A3D62C" w:rsidR="006A0913" w:rsidRPr="005060E0" w:rsidRDefault="006A0913" w:rsidP="006A0913">
            <w:pPr>
              <w:tabs>
                <w:tab w:val="left" w:pos="851"/>
              </w:tabs>
              <w:spacing w:before="60" w:after="60" w:line="240" w:lineRule="auto"/>
              <w:rPr>
                <w:rFonts w:cs="Arial"/>
                <w:sz w:val="16"/>
                <w:szCs w:val="16"/>
              </w:rPr>
            </w:pPr>
            <w:r w:rsidRPr="005060E0">
              <w:rPr>
                <w:rFonts w:cs="Arial"/>
                <w:sz w:val="16"/>
                <w:szCs w:val="16"/>
              </w:rPr>
              <w:t>23</w:t>
            </w:r>
          </w:p>
        </w:tc>
        <w:tc>
          <w:tcPr>
            <w:tcW w:w="1417" w:type="dxa"/>
            <w:tcBorders>
              <w:top w:val="nil"/>
            </w:tcBorders>
          </w:tcPr>
          <w:p w14:paraId="2E84258D" w14:textId="77777777" w:rsidR="006A0913" w:rsidRPr="005060E0" w:rsidRDefault="006A0913" w:rsidP="006A0913">
            <w:pPr>
              <w:tabs>
                <w:tab w:val="left" w:pos="851"/>
              </w:tabs>
              <w:spacing w:before="60" w:after="60" w:line="240" w:lineRule="auto"/>
              <w:rPr>
                <w:rFonts w:cs="Arial"/>
                <w:sz w:val="16"/>
                <w:szCs w:val="16"/>
              </w:rPr>
            </w:pPr>
          </w:p>
        </w:tc>
        <w:tc>
          <w:tcPr>
            <w:tcW w:w="3827" w:type="dxa"/>
            <w:tcBorders>
              <w:top w:val="dotted" w:sz="4" w:space="0" w:color="606372" w:themeColor="text2"/>
            </w:tcBorders>
          </w:tcPr>
          <w:p w14:paraId="30F6CC76" w14:textId="42D86659" w:rsidR="006A0913" w:rsidRPr="005060E0" w:rsidRDefault="006A0913" w:rsidP="006A0913">
            <w:pPr>
              <w:tabs>
                <w:tab w:val="left" w:pos="851"/>
              </w:tabs>
              <w:spacing w:before="60" w:after="60" w:line="240" w:lineRule="auto"/>
              <w:rPr>
                <w:rFonts w:cs="Arial"/>
                <w:sz w:val="16"/>
                <w:szCs w:val="16"/>
              </w:rPr>
            </w:pPr>
            <w:r w:rsidRPr="005060E0">
              <w:rPr>
                <w:rFonts w:cs="Arial"/>
                <w:sz w:val="16"/>
                <w:szCs w:val="16"/>
              </w:rPr>
              <w:t>Monitor and report coarse particle fraction.</w:t>
            </w:r>
          </w:p>
        </w:tc>
        <w:tc>
          <w:tcPr>
            <w:tcW w:w="3402" w:type="dxa"/>
            <w:vMerge/>
          </w:tcPr>
          <w:p w14:paraId="1EA160C0" w14:textId="362E8597" w:rsidR="006A0913" w:rsidRPr="005060E0" w:rsidRDefault="006A0913" w:rsidP="006A0913">
            <w:pPr>
              <w:tabs>
                <w:tab w:val="left" w:pos="851"/>
              </w:tabs>
              <w:spacing w:before="60" w:after="60" w:line="240" w:lineRule="auto"/>
              <w:rPr>
                <w:rFonts w:cs="Arial"/>
                <w:sz w:val="16"/>
                <w:szCs w:val="16"/>
              </w:rPr>
            </w:pPr>
          </w:p>
        </w:tc>
      </w:tr>
    </w:tbl>
    <w:p w14:paraId="2B212B70" w14:textId="6D0E4B44" w:rsidR="006C6B7C" w:rsidRPr="005060E0" w:rsidRDefault="006C6B7C" w:rsidP="005D7748">
      <w:pPr>
        <w:tabs>
          <w:tab w:val="left" w:pos="851"/>
        </w:tabs>
      </w:pPr>
    </w:p>
    <w:p w14:paraId="4BDBA92E" w14:textId="77777777" w:rsidR="000659CC" w:rsidRPr="005060E0" w:rsidRDefault="000659CC">
      <w:pPr>
        <w:spacing w:after="160" w:line="259" w:lineRule="auto"/>
      </w:pPr>
      <w:r w:rsidRPr="005060E0">
        <w:br w:type="page"/>
      </w:r>
    </w:p>
    <w:p w14:paraId="65496E73" w14:textId="74E07E81" w:rsidR="00144F23" w:rsidRPr="005060E0" w:rsidRDefault="00020E51" w:rsidP="00144F23">
      <w:pPr>
        <w:spacing w:after="160"/>
      </w:pPr>
      <w:r w:rsidRPr="005060E0">
        <w:t xml:space="preserve">The remaining chapters of the </w:t>
      </w:r>
      <w:r w:rsidR="00DF05A9" w:rsidRPr="005060E0">
        <w:t>Impact Statement</w:t>
      </w:r>
      <w:r w:rsidR="00144F23" w:rsidRPr="005060E0">
        <w:t xml:space="preserve"> address the following aspects:</w:t>
      </w:r>
    </w:p>
    <w:p w14:paraId="51269D02" w14:textId="28915BEF" w:rsidR="005A3A19" w:rsidRPr="005060E0" w:rsidRDefault="006E76C7" w:rsidP="00020E51">
      <w:pPr>
        <w:pStyle w:val="ListBullet"/>
      </w:pPr>
      <w:r w:rsidRPr="005060E0">
        <w:t>a</w:t>
      </w:r>
      <w:r w:rsidR="005A3A19" w:rsidRPr="005060E0">
        <w:t>ir quality management in Australia (Chapter 2)</w:t>
      </w:r>
    </w:p>
    <w:p w14:paraId="52FBDB50" w14:textId="462EE6E1" w:rsidR="005A3A19" w:rsidRPr="005060E0" w:rsidRDefault="005A3A19" w:rsidP="00020E51">
      <w:pPr>
        <w:pStyle w:val="ListBullet"/>
      </w:pPr>
      <w:r w:rsidRPr="005060E0">
        <w:t>statement of the problem</w:t>
      </w:r>
      <w:r w:rsidR="002C17C1" w:rsidRPr="005060E0">
        <w:t xml:space="preserve"> and the case for government intervention</w:t>
      </w:r>
      <w:r w:rsidRPr="005060E0">
        <w:t xml:space="preserve"> (Chapter 3)</w:t>
      </w:r>
    </w:p>
    <w:p w14:paraId="4A2E00E7" w14:textId="34B84E20" w:rsidR="002C17C1" w:rsidRPr="005060E0" w:rsidRDefault="002E4EB4" w:rsidP="00020E51">
      <w:pPr>
        <w:pStyle w:val="ListBullet"/>
      </w:pPr>
      <w:r w:rsidRPr="005060E0">
        <w:t>review methodology (Chapter 4)</w:t>
      </w:r>
    </w:p>
    <w:p w14:paraId="05283BD5" w14:textId="3DA6357B" w:rsidR="00ED45AE" w:rsidRPr="005060E0" w:rsidRDefault="00FE2AF4" w:rsidP="00ED45AE">
      <w:pPr>
        <w:pStyle w:val="ListBullet"/>
      </w:pPr>
      <w:r w:rsidRPr="005060E0">
        <w:t>discussion of t</w:t>
      </w:r>
      <w:r w:rsidR="00ED45AE" w:rsidRPr="005060E0">
        <w:t>he desired environmental outcome and goal of the AAQ NEPM (Chapter 5)</w:t>
      </w:r>
    </w:p>
    <w:p w14:paraId="0E9949F5" w14:textId="53A649FB" w:rsidR="002E4EB4" w:rsidRPr="005060E0" w:rsidRDefault="002E4EB4" w:rsidP="00020E51">
      <w:pPr>
        <w:pStyle w:val="ListBullet"/>
      </w:pPr>
      <w:r w:rsidRPr="005060E0">
        <w:t>impact assessments for SO</w:t>
      </w:r>
      <w:r w:rsidRPr="005060E0">
        <w:rPr>
          <w:vertAlign w:val="subscript"/>
        </w:rPr>
        <w:t>2</w:t>
      </w:r>
      <w:r w:rsidRPr="005060E0">
        <w:t>, NO</w:t>
      </w:r>
      <w:r w:rsidRPr="005060E0">
        <w:rPr>
          <w:vertAlign w:val="subscript"/>
        </w:rPr>
        <w:t>2</w:t>
      </w:r>
      <w:r w:rsidRPr="005060E0">
        <w:t xml:space="preserve"> and O</w:t>
      </w:r>
      <w:r w:rsidRPr="005060E0">
        <w:rPr>
          <w:vertAlign w:val="subscript"/>
        </w:rPr>
        <w:t>3</w:t>
      </w:r>
      <w:r w:rsidR="008B2B8E" w:rsidRPr="005060E0">
        <w:t xml:space="preserve">, which </w:t>
      </w:r>
      <w:r w:rsidRPr="005060E0">
        <w:t xml:space="preserve">are presented in </w:t>
      </w:r>
      <w:r w:rsidR="00ED45AE" w:rsidRPr="005060E0">
        <w:t>Chapter 6</w:t>
      </w:r>
      <w:r w:rsidRPr="005060E0">
        <w:t xml:space="preserve">, </w:t>
      </w:r>
      <w:r w:rsidR="00ED45AE" w:rsidRPr="005060E0">
        <w:t>Chapter 7</w:t>
      </w:r>
      <w:r w:rsidRPr="005060E0">
        <w:t xml:space="preserve"> and </w:t>
      </w:r>
      <w:r w:rsidR="00ED45AE" w:rsidRPr="005060E0">
        <w:t>Chapter 8</w:t>
      </w:r>
      <w:r w:rsidRPr="005060E0">
        <w:t xml:space="preserve"> respectively. Each of these </w:t>
      </w:r>
      <w:r w:rsidR="00452CCE" w:rsidRPr="005060E0">
        <w:t>c</w:t>
      </w:r>
      <w:r w:rsidRPr="005060E0">
        <w:t>hapters considers:</w:t>
      </w:r>
    </w:p>
    <w:p w14:paraId="247DFACF" w14:textId="560E3424" w:rsidR="002E4EB4" w:rsidRPr="005060E0" w:rsidRDefault="002E4EB4" w:rsidP="002E4EB4">
      <w:pPr>
        <w:pStyle w:val="PBListL2"/>
      </w:pPr>
      <w:r w:rsidRPr="005060E0">
        <w:t>characteristics and sources of the pollutant</w:t>
      </w:r>
    </w:p>
    <w:p w14:paraId="100B8BE1" w14:textId="012D506D" w:rsidR="002E4EB4" w:rsidRPr="005060E0" w:rsidRDefault="006E76C7" w:rsidP="002E4EB4">
      <w:pPr>
        <w:pStyle w:val="PBListL2"/>
      </w:pPr>
      <w:r w:rsidRPr="005060E0">
        <w:t>a</w:t>
      </w:r>
      <w:r w:rsidR="002E4EB4" w:rsidRPr="005060E0">
        <w:t xml:space="preserve"> review of the recent health evidence</w:t>
      </w:r>
    </w:p>
    <w:p w14:paraId="481A1C39" w14:textId="51D85F21" w:rsidR="002E4EB4" w:rsidRPr="005060E0" w:rsidRDefault="006E76C7" w:rsidP="002E4EB4">
      <w:pPr>
        <w:pStyle w:val="PBListL2"/>
      </w:pPr>
      <w:r w:rsidRPr="005060E0">
        <w:t>t</w:t>
      </w:r>
      <w:r w:rsidR="002E4EB4" w:rsidRPr="005060E0">
        <w:t xml:space="preserve">he WHO guidelines, the air quality standards in </w:t>
      </w:r>
      <w:r w:rsidR="007116E3" w:rsidRPr="005060E0">
        <w:t>other leading countries</w:t>
      </w:r>
      <w:r w:rsidR="002E4EB4" w:rsidRPr="005060E0">
        <w:t>, and the proposed air quality standards for review</w:t>
      </w:r>
    </w:p>
    <w:p w14:paraId="36CD259D" w14:textId="79A7EBB5" w:rsidR="002E4EB4" w:rsidRPr="005060E0" w:rsidRDefault="006E76C7" w:rsidP="002E4EB4">
      <w:pPr>
        <w:pStyle w:val="PBListL2"/>
      </w:pPr>
      <w:r w:rsidRPr="005060E0">
        <w:t>c</w:t>
      </w:r>
      <w:r w:rsidR="002E4EB4" w:rsidRPr="005060E0">
        <w:t>oncentrations of the pollutant in Australian airsheds, and exceedances of air quality criteria. These are describe</w:t>
      </w:r>
      <w:r w:rsidR="00E01EBE" w:rsidRPr="005060E0">
        <w:t>d</w:t>
      </w:r>
      <w:r w:rsidR="002E4EB4" w:rsidRPr="005060E0">
        <w:t xml:space="preserve"> in terms of historical trends and future projections</w:t>
      </w:r>
    </w:p>
    <w:p w14:paraId="71424FFD" w14:textId="3D652964" w:rsidR="002E4EB4" w:rsidRPr="005060E0" w:rsidRDefault="006E76C7" w:rsidP="002E4EB4">
      <w:pPr>
        <w:pStyle w:val="PBListL2"/>
      </w:pPr>
      <w:r w:rsidRPr="005060E0">
        <w:t>a</w:t>
      </w:r>
      <w:r w:rsidR="002E4EB4" w:rsidRPr="005060E0">
        <w:t xml:space="preserve"> health risk assessment, in which health outcomes are presen</w:t>
      </w:r>
      <w:r w:rsidR="00205B41" w:rsidRPr="005060E0">
        <w:t>ted for ‘</w:t>
      </w:r>
      <w:r w:rsidR="005128BC" w:rsidRPr="005060E0">
        <w:t>Business-as-U</w:t>
      </w:r>
      <w:r w:rsidR="00205B41" w:rsidRPr="005060E0">
        <w:t>sual’ (</w:t>
      </w:r>
      <w:r w:rsidR="002E4EB4" w:rsidRPr="005060E0">
        <w:t>BAU</w:t>
      </w:r>
      <w:r w:rsidR="00205B41" w:rsidRPr="005060E0">
        <w:t>)</w:t>
      </w:r>
      <w:r w:rsidR="002E4EB4" w:rsidRPr="005060E0">
        <w:t xml:space="preserve"> and </w:t>
      </w:r>
      <w:r w:rsidR="00205B41" w:rsidRPr="005060E0">
        <w:t>‘</w:t>
      </w:r>
      <w:r w:rsidR="002E4EB4" w:rsidRPr="005060E0">
        <w:t>Abatement Package</w:t>
      </w:r>
      <w:r w:rsidR="00205B41" w:rsidRPr="005060E0">
        <w:t>’</w:t>
      </w:r>
      <w:r w:rsidR="002E4EB4" w:rsidRPr="005060E0">
        <w:t xml:space="preserve"> scenarios, and for compliance</w:t>
      </w:r>
      <w:r w:rsidR="008E1710" w:rsidRPr="005060E0">
        <w:rPr>
          <w:rStyle w:val="FootnoteReference"/>
          <w:rFonts w:cs="Arial"/>
        </w:rPr>
        <w:footnoteReference w:id="11"/>
      </w:r>
      <w:r w:rsidR="002E4EB4" w:rsidRPr="005060E0">
        <w:t xml:space="preserve"> with the proposed standards</w:t>
      </w:r>
    </w:p>
    <w:p w14:paraId="5AF1D2D6" w14:textId="3AF989FC" w:rsidR="002E4EB4" w:rsidRPr="005060E0" w:rsidRDefault="006E76C7" w:rsidP="002E4EB4">
      <w:pPr>
        <w:pStyle w:val="PBListL2"/>
      </w:pPr>
      <w:r w:rsidRPr="005060E0">
        <w:t>a</w:t>
      </w:r>
      <w:r w:rsidR="004A3349" w:rsidRPr="005060E0">
        <w:t xml:space="preserve"> c</w:t>
      </w:r>
      <w:r w:rsidR="002E4EB4" w:rsidRPr="005060E0">
        <w:t>ost</w:t>
      </w:r>
      <w:r w:rsidR="00875B93" w:rsidRPr="005060E0">
        <w:t>–</w:t>
      </w:r>
      <w:r w:rsidR="002E4EB4" w:rsidRPr="005060E0">
        <w:t>benefit analysis</w:t>
      </w:r>
    </w:p>
    <w:p w14:paraId="0A324432" w14:textId="3B438B27" w:rsidR="002E4EB4" w:rsidRPr="005060E0" w:rsidRDefault="006E76C7" w:rsidP="002E4EB4">
      <w:pPr>
        <w:pStyle w:val="PBListL2"/>
      </w:pPr>
      <w:r w:rsidRPr="005060E0">
        <w:t>a</w:t>
      </w:r>
      <w:r w:rsidR="00CB74CF" w:rsidRPr="005060E0">
        <w:t xml:space="preserve"> discussion of </w:t>
      </w:r>
      <w:r w:rsidR="002E4EB4" w:rsidRPr="005060E0">
        <w:t>non-quantifiable benefits and disbenefits</w:t>
      </w:r>
    </w:p>
    <w:p w14:paraId="456EED95" w14:textId="4EDFEE72" w:rsidR="002E4EB4" w:rsidRPr="005060E0" w:rsidRDefault="006E76C7" w:rsidP="002E4EB4">
      <w:pPr>
        <w:pStyle w:val="PBListL2"/>
      </w:pPr>
      <w:r w:rsidRPr="005060E0">
        <w:t>t</w:t>
      </w:r>
      <w:r w:rsidR="00844E52" w:rsidRPr="005060E0">
        <w:t>he relevance of an exposure-</w:t>
      </w:r>
      <w:r w:rsidR="004A3349" w:rsidRPr="005060E0">
        <w:t>reduction</w:t>
      </w:r>
      <w:r w:rsidR="00844E52" w:rsidRPr="005060E0">
        <w:t xml:space="preserve"> framework</w:t>
      </w:r>
    </w:p>
    <w:p w14:paraId="6BF4C70C" w14:textId="398AD9B1" w:rsidR="002E4EB4" w:rsidRPr="005060E0" w:rsidRDefault="006E76C7" w:rsidP="00844E52">
      <w:pPr>
        <w:pStyle w:val="PBListL2"/>
        <w:rPr>
          <w:color w:val="auto"/>
        </w:rPr>
      </w:pPr>
      <w:r w:rsidRPr="005060E0">
        <w:t>a</w:t>
      </w:r>
      <w:r w:rsidR="00844E52" w:rsidRPr="005060E0">
        <w:t xml:space="preserve"> summary </w:t>
      </w:r>
      <w:r w:rsidR="00844E52" w:rsidRPr="005060E0">
        <w:rPr>
          <w:color w:val="auto"/>
        </w:rPr>
        <w:t>of the assessment</w:t>
      </w:r>
      <w:r w:rsidR="00CB74CF" w:rsidRPr="005060E0">
        <w:rPr>
          <w:color w:val="auto"/>
        </w:rPr>
        <w:t>,</w:t>
      </w:r>
      <w:r w:rsidR="00844E52" w:rsidRPr="005060E0">
        <w:rPr>
          <w:color w:val="auto"/>
        </w:rPr>
        <w:t xml:space="preserve"> and recommendations for the AAQ NEPM variation</w:t>
      </w:r>
    </w:p>
    <w:p w14:paraId="5B820616" w14:textId="4DDE129C" w:rsidR="00BD39EA" w:rsidRPr="005060E0" w:rsidRDefault="00BD39EA" w:rsidP="00020E51">
      <w:pPr>
        <w:pStyle w:val="ListBullet"/>
      </w:pPr>
      <w:r w:rsidRPr="005060E0">
        <w:t>overall results of the cost</w:t>
      </w:r>
      <w:r w:rsidR="00875B93" w:rsidRPr="005060E0">
        <w:t>–</w:t>
      </w:r>
      <w:r w:rsidRPr="005060E0">
        <w:t>benefit analysis (</w:t>
      </w:r>
      <w:r w:rsidR="00ED45AE" w:rsidRPr="005060E0">
        <w:t>Chapter 9</w:t>
      </w:r>
      <w:r w:rsidRPr="005060E0">
        <w:t>)</w:t>
      </w:r>
    </w:p>
    <w:p w14:paraId="51D47AF7" w14:textId="2F20A5EE" w:rsidR="00144F23" w:rsidRPr="005060E0" w:rsidRDefault="00850899" w:rsidP="00DF05A9">
      <w:pPr>
        <w:pStyle w:val="ListBullet"/>
      </w:pPr>
      <w:r w:rsidRPr="005060E0">
        <w:t xml:space="preserve">summary of the </w:t>
      </w:r>
      <w:r w:rsidR="00DF05A9" w:rsidRPr="005060E0">
        <w:t>Impact Statement</w:t>
      </w:r>
      <w:r w:rsidR="00BD39EA" w:rsidRPr="005060E0">
        <w:t xml:space="preserve"> and the </w:t>
      </w:r>
      <w:r w:rsidR="00CB74CF" w:rsidRPr="005060E0">
        <w:t>main recommendations for further consultation (</w:t>
      </w:r>
      <w:r w:rsidR="001D45D7" w:rsidRPr="005060E0">
        <w:t>Chapter 10</w:t>
      </w:r>
      <w:r w:rsidR="00CB74CF" w:rsidRPr="005060E0">
        <w:t>)</w:t>
      </w:r>
    </w:p>
    <w:p w14:paraId="13A78960" w14:textId="629DD558" w:rsidR="00BE09B4" w:rsidRPr="005060E0" w:rsidRDefault="00CB74CF" w:rsidP="00020E51">
      <w:pPr>
        <w:pStyle w:val="ListBullet"/>
      </w:pPr>
      <w:r w:rsidRPr="005060E0">
        <w:t>discussion of the limitations of the review, and uncertainty in the results (</w:t>
      </w:r>
      <w:r w:rsidR="001D45D7" w:rsidRPr="005060E0">
        <w:t>Chapter 11</w:t>
      </w:r>
      <w:r w:rsidRPr="005060E0">
        <w:t>)</w:t>
      </w:r>
    </w:p>
    <w:p w14:paraId="75008AFE" w14:textId="5C0E7E36" w:rsidR="00CB74CF" w:rsidRPr="005060E0" w:rsidRDefault="006E76C7" w:rsidP="00020E51">
      <w:pPr>
        <w:pStyle w:val="ListBullet"/>
      </w:pPr>
      <w:r w:rsidRPr="005060E0">
        <w:t>h</w:t>
      </w:r>
      <w:r w:rsidR="00BE09B4" w:rsidRPr="005060E0">
        <w:t>ow to make a submission, next steps and consolidated list of consultation questions that are also at the end of relevant chapters (Chapter 12)</w:t>
      </w:r>
      <w:r w:rsidR="00CB74CF" w:rsidRPr="005060E0">
        <w:t>.</w:t>
      </w:r>
    </w:p>
    <w:p w14:paraId="64336B1B" w14:textId="6FFD3B10" w:rsidR="006F7782" w:rsidRPr="005060E0" w:rsidRDefault="006F7782">
      <w:pPr>
        <w:spacing w:after="160" w:line="259" w:lineRule="auto"/>
      </w:pPr>
    </w:p>
    <w:p w14:paraId="2E83DD02" w14:textId="77777777" w:rsidR="0094208B" w:rsidRPr="005060E0" w:rsidRDefault="0094208B">
      <w:pPr>
        <w:spacing w:after="160" w:line="259" w:lineRule="auto"/>
        <w:sectPr w:rsidR="0094208B" w:rsidRPr="005060E0" w:rsidSect="00240B1D">
          <w:headerReference w:type="default" r:id="rId14"/>
          <w:footerReference w:type="default" r:id="rId15"/>
          <w:pgSz w:w="11906" w:h="16838" w:code="9"/>
          <w:pgMar w:top="1440" w:right="1134" w:bottom="1701" w:left="1134" w:header="709" w:footer="130" w:gutter="0"/>
          <w:pgNumType w:start="1"/>
          <w:cols w:space="255"/>
          <w:docGrid w:linePitch="360"/>
        </w:sectPr>
      </w:pPr>
    </w:p>
    <w:p w14:paraId="70824320" w14:textId="3B360E67" w:rsidR="006F7782" w:rsidRPr="005060E0" w:rsidRDefault="004C298B" w:rsidP="0043533F">
      <w:pPr>
        <w:pStyle w:val="Heading1"/>
      </w:pPr>
      <w:bookmarkStart w:id="33" w:name="_Toc3278925"/>
      <w:r w:rsidRPr="005060E0">
        <w:t>Air quality</w:t>
      </w:r>
      <w:r w:rsidR="006F7782" w:rsidRPr="005060E0">
        <w:t xml:space="preserve"> management in Australia</w:t>
      </w:r>
      <w:bookmarkEnd w:id="33"/>
    </w:p>
    <w:p w14:paraId="6108A7AC" w14:textId="443067FC" w:rsidR="00B30D28" w:rsidRPr="005060E0" w:rsidRDefault="00B30D28" w:rsidP="00B30D28">
      <w:pPr>
        <w:pStyle w:val="Heading2"/>
      </w:pPr>
      <w:bookmarkStart w:id="34" w:name="_Toc3278926"/>
      <w:r w:rsidRPr="005060E0">
        <w:t>National Environment Protection Council</w:t>
      </w:r>
      <w:bookmarkEnd w:id="34"/>
    </w:p>
    <w:p w14:paraId="2CAA0F3F" w14:textId="6121809E" w:rsidR="00F17F6B" w:rsidRPr="005060E0" w:rsidRDefault="00F17F6B" w:rsidP="00F17F6B">
      <w:pPr>
        <w:spacing w:after="180"/>
        <w:rPr>
          <w:rFonts w:ascii="Calibri" w:hAnsi="Calibri"/>
        </w:rPr>
      </w:pPr>
      <w:r w:rsidRPr="005060E0">
        <w:t xml:space="preserve">The National Environment Protection Council (NEPC) is established under the </w:t>
      </w:r>
      <w:r w:rsidRPr="005060E0">
        <w:rPr>
          <w:i/>
          <w:iCs/>
        </w:rPr>
        <w:t>National Environment Protection Council Act 1994</w:t>
      </w:r>
      <w:r w:rsidRPr="00CC2143">
        <w:rPr>
          <w:iCs/>
        </w:rPr>
        <w:t xml:space="preserve"> (Cth)</w:t>
      </w:r>
      <w:r w:rsidRPr="005060E0">
        <w:rPr>
          <w:i/>
          <w:iCs/>
        </w:rPr>
        <w:t xml:space="preserve"> </w:t>
      </w:r>
      <w:r w:rsidRPr="005060E0">
        <w:t xml:space="preserve">(the NEPC Act), and corresponding legislation in other Australian jurisdictions. The members of </w:t>
      </w:r>
      <w:r w:rsidR="00151EEC">
        <w:t xml:space="preserve">the </w:t>
      </w:r>
      <w:r w:rsidRPr="005060E0">
        <w:t xml:space="preserve">NEPC consist of environment ministers from each jurisdiction. </w:t>
      </w:r>
      <w:r w:rsidR="00151EEC">
        <w:t xml:space="preserve">The </w:t>
      </w:r>
      <w:r w:rsidRPr="005060E0">
        <w:t xml:space="preserve">NEPC’s primary functions are to make National Environment Protection Measures (NEPMs), and to assess and report on the implementation and effectiveness of NEPMs in each jurisdiction. The purpose of the NEPMs is to ensure that people enjoy the benefit of equivalent protection from air, water or soil pollution and from noise, wherever they live in Australia. The implementation of NEPMs is outside </w:t>
      </w:r>
      <w:r w:rsidR="00151EEC">
        <w:t xml:space="preserve">the </w:t>
      </w:r>
      <w:r w:rsidRPr="005060E0">
        <w:t xml:space="preserve">NEPC’s </w:t>
      </w:r>
      <w:r w:rsidR="007A63A1" w:rsidRPr="005060E0">
        <w:t>jurisdiction and</w:t>
      </w:r>
      <w:r w:rsidRPr="005060E0">
        <w:t xml:space="preserve"> is achieved through state and territory legislation and associated regulations. Each jurisdiction is required to allocate sufficient resources to enforce the NEPM and report annually on its implementation.</w:t>
      </w:r>
    </w:p>
    <w:p w14:paraId="20DAA275" w14:textId="4E8030E3" w:rsidR="00B30D28" w:rsidRPr="005060E0" w:rsidRDefault="00205698" w:rsidP="00205B41">
      <w:pPr>
        <w:pStyle w:val="Heading2"/>
        <w:ind w:left="709" w:hanging="709"/>
      </w:pPr>
      <w:bookmarkStart w:id="35" w:name="_Toc372615205"/>
      <w:bookmarkStart w:id="36" w:name="_Toc3278927"/>
      <w:r w:rsidRPr="005060E0">
        <w:t xml:space="preserve">The </w:t>
      </w:r>
      <w:bookmarkEnd w:id="35"/>
      <w:r w:rsidR="00205B41" w:rsidRPr="005060E0">
        <w:t>National Environment Protection (Ambient Air Quality) Measure</w:t>
      </w:r>
      <w:bookmarkEnd w:id="36"/>
    </w:p>
    <w:p w14:paraId="7E97282F" w14:textId="77777777" w:rsidR="00B30D28" w:rsidRPr="005060E0" w:rsidRDefault="00B30D28" w:rsidP="005D109B">
      <w:pPr>
        <w:pStyle w:val="Heading3"/>
      </w:pPr>
      <w:r w:rsidRPr="005060E0">
        <w:t>Overview</w:t>
      </w:r>
    </w:p>
    <w:p w14:paraId="3FCAA174" w14:textId="0844A833" w:rsidR="00B30D28" w:rsidRPr="005060E0" w:rsidRDefault="00B30D28" w:rsidP="005D109B">
      <w:r w:rsidRPr="005060E0">
        <w:t xml:space="preserve">As noted in </w:t>
      </w:r>
      <w:r w:rsidR="005D109B" w:rsidRPr="005060E0">
        <w:t>Chapter</w:t>
      </w:r>
      <w:r w:rsidR="005D109B" w:rsidRPr="005060E0">
        <w:rPr>
          <w:b/>
        </w:rPr>
        <w:t xml:space="preserve"> </w:t>
      </w:r>
      <w:r w:rsidR="005D109B" w:rsidRPr="005060E0">
        <w:t>1</w:t>
      </w:r>
      <w:r w:rsidRPr="005060E0">
        <w:t>, in 1998 the AAQ NEPM established national standar</w:t>
      </w:r>
      <w:r w:rsidR="005D109B" w:rsidRPr="005060E0">
        <w:t>ds for six criteria pollutants</w:t>
      </w:r>
      <w:r w:rsidR="00E206BB" w:rsidRPr="005060E0">
        <w:rPr>
          <w:rStyle w:val="FootnoteReference"/>
        </w:rPr>
        <w:footnoteReference w:id="12"/>
      </w:r>
      <w:r w:rsidR="005D109B" w:rsidRPr="005060E0">
        <w:t xml:space="preserve"> </w:t>
      </w:r>
      <w:r w:rsidRPr="005060E0">
        <w:t>and provided a consistent framework for the monitoring and r</w:t>
      </w:r>
      <w:r w:rsidR="00205698" w:rsidRPr="005060E0">
        <w:t>eporting of ambient air quality</w:t>
      </w:r>
      <w:r w:rsidRPr="005060E0">
        <w:t>.</w:t>
      </w:r>
      <w:r w:rsidR="00571994" w:rsidRPr="005060E0">
        <w:t xml:space="preserve"> </w:t>
      </w:r>
      <w:r w:rsidRPr="005060E0">
        <w:t xml:space="preserve">A thorough strategic and technical review of the AAQ NEPM was published in 2011 (NEPC 2011a). The review assessed whether the AAQ NEPM was achieving its desired environmental </w:t>
      </w:r>
      <w:r w:rsidR="008C5416" w:rsidRPr="005060E0">
        <w:t>outcome and</w:t>
      </w:r>
      <w:r w:rsidRPr="005060E0">
        <w:t xml:space="preserve"> provided an opportunity for feedback from interested parties regarding the efficacy of the current framework. </w:t>
      </w:r>
      <w:r w:rsidR="00151EEC">
        <w:t xml:space="preserve">The </w:t>
      </w:r>
      <w:r w:rsidRPr="005060E0">
        <w:t xml:space="preserve">NEPC agreed that the review’s recommendations would be prioritised and addressed through the development of a </w:t>
      </w:r>
      <w:r w:rsidR="005D109B" w:rsidRPr="005060E0">
        <w:t xml:space="preserve">then </w:t>
      </w:r>
      <w:r w:rsidRPr="005060E0">
        <w:t>National Plan for Clean Air (NPCA)</w:t>
      </w:r>
      <w:r w:rsidR="005D109B" w:rsidRPr="005060E0">
        <w:t>. This was superseded</w:t>
      </w:r>
      <w:r w:rsidR="00C40468" w:rsidRPr="005060E0">
        <w:t xml:space="preserve"> in 2015 by the National Clean A</w:t>
      </w:r>
      <w:r w:rsidR="005D109B" w:rsidRPr="005060E0">
        <w:t>ir Agreement.</w:t>
      </w:r>
      <w:r w:rsidRPr="005060E0">
        <w:t xml:space="preserve"> </w:t>
      </w:r>
    </w:p>
    <w:p w14:paraId="4158162C" w14:textId="3FFCF38E" w:rsidR="00B30D28" w:rsidRPr="005060E0" w:rsidRDefault="00D37083" w:rsidP="00205B41">
      <w:pPr>
        <w:pStyle w:val="Heading3"/>
        <w:ind w:left="851" w:hanging="851"/>
      </w:pPr>
      <w:r w:rsidRPr="005060E0">
        <w:t>Desired environmental outcome, g</w:t>
      </w:r>
      <w:r w:rsidR="00B30D28" w:rsidRPr="005060E0">
        <w:t>oal</w:t>
      </w:r>
      <w:r w:rsidR="005D109B" w:rsidRPr="005060E0">
        <w:t xml:space="preserve"> and standards</w:t>
      </w:r>
    </w:p>
    <w:p w14:paraId="74906B5A" w14:textId="3600781F" w:rsidR="00B30D28" w:rsidRPr="005060E0" w:rsidRDefault="00D37083" w:rsidP="005D109B">
      <w:r w:rsidRPr="005060E0">
        <w:t>The desired outcome</w:t>
      </w:r>
      <w:r w:rsidR="00B30D28" w:rsidRPr="005060E0">
        <w:t xml:space="preserve"> of the AAQ NEPM is ‘ambient air quality that allows for the adequate protection</w:t>
      </w:r>
      <w:r w:rsidRPr="005060E0">
        <w:t xml:space="preserve"> of human health and wellbeing’, and the goal is compliance with air quality standards.</w:t>
      </w:r>
      <w:r w:rsidR="00205698" w:rsidRPr="005060E0">
        <w:t xml:space="preserve"> </w:t>
      </w:r>
      <w:r w:rsidR="005D109B" w:rsidRPr="005060E0">
        <w:t>The standards for SO</w:t>
      </w:r>
      <w:r w:rsidR="005D109B" w:rsidRPr="005060E0">
        <w:rPr>
          <w:vertAlign w:val="subscript"/>
        </w:rPr>
        <w:t>2</w:t>
      </w:r>
      <w:r w:rsidR="005D109B" w:rsidRPr="005060E0">
        <w:t>, NO</w:t>
      </w:r>
      <w:r w:rsidR="005D109B" w:rsidRPr="005060E0">
        <w:rPr>
          <w:vertAlign w:val="subscript"/>
        </w:rPr>
        <w:t>2</w:t>
      </w:r>
      <w:r w:rsidR="005D109B" w:rsidRPr="005060E0">
        <w:t xml:space="preserve"> and O</w:t>
      </w:r>
      <w:r w:rsidR="005D109B" w:rsidRPr="005060E0">
        <w:rPr>
          <w:vertAlign w:val="subscript"/>
        </w:rPr>
        <w:t>3</w:t>
      </w:r>
      <w:r w:rsidR="005D109B" w:rsidRPr="005060E0">
        <w:t xml:space="preserve"> were stated in Chapter 1. </w:t>
      </w:r>
      <w:r w:rsidR="00B30D28" w:rsidRPr="005060E0">
        <w:t>The</w:t>
      </w:r>
      <w:r w:rsidR="00701756" w:rsidRPr="005060E0">
        <w:t>re are no sanctions for not meeting the</w:t>
      </w:r>
      <w:r w:rsidR="00B30D28" w:rsidRPr="005060E0">
        <w:t xml:space="preserve"> standards </w:t>
      </w:r>
      <w:r w:rsidR="00701756" w:rsidRPr="005060E0">
        <w:t>and goals of the AAQ NEPM</w:t>
      </w:r>
      <w:r w:rsidR="007C261A" w:rsidRPr="005060E0">
        <w:t>. They</w:t>
      </w:r>
      <w:r w:rsidR="00B30D28" w:rsidRPr="005060E0">
        <w:t xml:space="preserve"> aim to guide policy formulation that allows for the adequate protection of health and wellbeing. Under the current AAQ NEPM, participating jurisdictions (Commonwealth, </w:t>
      </w:r>
      <w:r w:rsidR="00EC18F0" w:rsidRPr="005060E0">
        <w:t>s</w:t>
      </w:r>
      <w:r w:rsidR="00B30D28" w:rsidRPr="005060E0">
        <w:t xml:space="preserve">tates and </w:t>
      </w:r>
      <w:r w:rsidR="00EC18F0" w:rsidRPr="005060E0">
        <w:t>t</w:t>
      </w:r>
      <w:r w:rsidR="00B30D28" w:rsidRPr="005060E0">
        <w:t>erritories) are required to undertake reporting and monitoring activities to provide data that assist jurisdictions in formulating air quality policies. The AAQ NEPM itself does not compel or direct pollution control measures.</w:t>
      </w:r>
    </w:p>
    <w:p w14:paraId="6373577A" w14:textId="608DFA1A" w:rsidR="00B30D28" w:rsidRPr="005060E0" w:rsidRDefault="009B7316" w:rsidP="005D109B">
      <w:pPr>
        <w:pStyle w:val="Heading3"/>
      </w:pPr>
      <w:r w:rsidRPr="005060E0">
        <w:t>Exposure-</w:t>
      </w:r>
      <w:r w:rsidR="00B30D28" w:rsidRPr="005060E0">
        <w:t>reduction</w:t>
      </w:r>
      <w:r w:rsidRPr="005060E0">
        <w:t xml:space="preserve"> framework</w:t>
      </w:r>
    </w:p>
    <w:p w14:paraId="7C272186" w14:textId="51A641D2" w:rsidR="004339A6" w:rsidRPr="005060E0" w:rsidRDefault="004339A6" w:rsidP="00C30402">
      <w:pPr>
        <w:widowControl w:val="0"/>
      </w:pPr>
      <w:r w:rsidRPr="005060E0">
        <w:t>In Australia, most monitoring and assessment to date has largely been directed towards evaluating air quality against standards at specific locations</w:t>
      </w:r>
      <w:r w:rsidR="00EC18F0" w:rsidRPr="005060E0">
        <w:t>;</w:t>
      </w:r>
      <w:r w:rsidRPr="005060E0">
        <w:t xml:space="preserve"> </w:t>
      </w:r>
      <w:r w:rsidR="00EC18F0" w:rsidRPr="005060E0">
        <w:t>h</w:t>
      </w:r>
      <w:r w:rsidRPr="005060E0">
        <w:t>owever, for non-threshold</w:t>
      </w:r>
      <w:r w:rsidRPr="005060E0">
        <w:rPr>
          <w:rStyle w:val="FootnoteReference"/>
        </w:rPr>
        <w:footnoteReference w:id="13"/>
      </w:r>
      <w:r w:rsidRPr="005060E0">
        <w:t xml:space="preserve"> air pollutants it has become clear that the overall health outcomes in a population are driven by large-scale exposure to the prevailing background concentration, rather than by relatively small-scale exposure to higher concentrations at localised ‘hot spots’. This has compelled a shift in the approach to air quality management, and in some countries and regions (notably the EU) this has taken the form of an ‘exposure-reduction framework’. There are currently no targets for exposure-reduction for SO</w:t>
      </w:r>
      <w:r w:rsidRPr="005060E0">
        <w:rPr>
          <w:vertAlign w:val="subscript"/>
        </w:rPr>
        <w:t>2</w:t>
      </w:r>
      <w:r w:rsidRPr="005060E0">
        <w:t>, NO</w:t>
      </w:r>
      <w:r w:rsidRPr="005060E0">
        <w:rPr>
          <w:vertAlign w:val="subscript"/>
        </w:rPr>
        <w:t>2</w:t>
      </w:r>
      <w:r w:rsidRPr="005060E0">
        <w:t xml:space="preserve"> and O</w:t>
      </w:r>
      <w:r w:rsidRPr="005060E0">
        <w:rPr>
          <w:vertAlign w:val="subscript"/>
        </w:rPr>
        <w:t>3</w:t>
      </w:r>
      <w:r w:rsidRPr="005060E0">
        <w:t xml:space="preserve"> in the AAQ NEPM. </w:t>
      </w:r>
    </w:p>
    <w:p w14:paraId="1CD60981" w14:textId="2AE6D80A" w:rsidR="0047123A" w:rsidRPr="005060E0" w:rsidRDefault="0047123A" w:rsidP="00A867CC">
      <w:r w:rsidRPr="005060E0">
        <w:t>The development of an exp</w:t>
      </w:r>
      <w:r w:rsidR="004339A6" w:rsidRPr="005060E0">
        <w:t>osure-reduction framework for particulate matter in Australia</w:t>
      </w:r>
      <w:r w:rsidRPr="005060E0">
        <w:t xml:space="preserve"> was </w:t>
      </w:r>
      <w:r w:rsidR="004339A6" w:rsidRPr="005060E0">
        <w:t xml:space="preserve">a </w:t>
      </w:r>
      <w:r w:rsidRPr="005060E0">
        <w:t>recommendation of the AAQ NEPM review, and the options for developing such a framework were inv</w:t>
      </w:r>
      <w:r w:rsidR="004339A6" w:rsidRPr="005060E0">
        <w:t xml:space="preserve">estigated by </w:t>
      </w:r>
      <w:r w:rsidRPr="005060E0">
        <w:t xml:space="preserve">Bawden </w:t>
      </w:r>
      <w:r w:rsidRPr="00CC2143">
        <w:t>et al</w:t>
      </w:r>
      <w:r w:rsidR="004339A6" w:rsidRPr="005060E0">
        <w:t>.</w:t>
      </w:r>
      <w:r w:rsidRPr="005060E0">
        <w:t xml:space="preserve"> </w:t>
      </w:r>
      <w:r w:rsidR="004339A6" w:rsidRPr="005060E0">
        <w:t>(</w:t>
      </w:r>
      <w:r w:rsidRPr="005060E0">
        <w:t>2012).</w:t>
      </w:r>
      <w:r w:rsidR="00610503" w:rsidRPr="005060E0">
        <w:t xml:space="preserve"> The authors </w:t>
      </w:r>
      <w:r w:rsidR="003447B4" w:rsidRPr="005060E0">
        <w:t xml:space="preserve">identified several </w:t>
      </w:r>
      <w:r w:rsidRPr="005060E0">
        <w:t>approaches to an exposure-reduction framework</w:t>
      </w:r>
      <w:r w:rsidR="00A867CC" w:rsidRPr="005060E0">
        <w:t>, including</w:t>
      </w:r>
      <w:r w:rsidR="003447B4" w:rsidRPr="005060E0">
        <w:t xml:space="preserve"> e</w:t>
      </w:r>
      <w:r w:rsidRPr="005060E0">
        <w:t>mission-reduction approaches</w:t>
      </w:r>
      <w:r w:rsidR="003447B4" w:rsidRPr="005060E0">
        <w:t>, e</w:t>
      </w:r>
      <w:r w:rsidRPr="005060E0">
        <w:t>xposure-reduction approaches</w:t>
      </w:r>
      <w:r w:rsidR="003447B4" w:rsidRPr="005060E0">
        <w:t>, a</w:t>
      </w:r>
      <w:r w:rsidRPr="005060E0">
        <w:t>ir pollution indices</w:t>
      </w:r>
      <w:r w:rsidR="003447B4" w:rsidRPr="005060E0">
        <w:t xml:space="preserve">, </w:t>
      </w:r>
      <w:r w:rsidR="00A867CC" w:rsidRPr="005060E0">
        <w:t>and economic (‘</w:t>
      </w:r>
      <w:r w:rsidR="003447B4" w:rsidRPr="005060E0">
        <w:t>d</w:t>
      </w:r>
      <w:r w:rsidRPr="005060E0">
        <w:t>amage cost</w:t>
      </w:r>
      <w:r w:rsidR="00A867CC" w:rsidRPr="005060E0">
        <w:t>’)</w:t>
      </w:r>
      <w:r w:rsidRPr="005060E0">
        <w:t xml:space="preserve"> approaches.</w:t>
      </w:r>
      <w:r w:rsidR="00A867CC" w:rsidRPr="005060E0">
        <w:t xml:space="preserve"> They </w:t>
      </w:r>
      <w:r w:rsidRPr="005060E0">
        <w:t>recommended the establishment of an exposure-reduction framework within the AAQ NEPM</w:t>
      </w:r>
      <w:r w:rsidR="00A867CC" w:rsidRPr="005060E0">
        <w:t xml:space="preserve">, and </w:t>
      </w:r>
      <w:r w:rsidRPr="005060E0">
        <w:t xml:space="preserve">three main </w:t>
      </w:r>
      <w:r w:rsidR="00A867CC" w:rsidRPr="005060E0">
        <w:t>elements:</w:t>
      </w:r>
    </w:p>
    <w:p w14:paraId="5A376624" w14:textId="697878A8" w:rsidR="0047123A" w:rsidRPr="005060E0" w:rsidRDefault="0047123A" w:rsidP="00E20C55">
      <w:pPr>
        <w:pStyle w:val="ListBullet"/>
        <w:tabs>
          <w:tab w:val="left" w:pos="709"/>
        </w:tabs>
        <w:ind w:left="709" w:hanging="283"/>
        <w:rPr>
          <w:b/>
        </w:rPr>
      </w:pPr>
      <w:r w:rsidRPr="005060E0">
        <w:rPr>
          <w:i/>
        </w:rPr>
        <w:t xml:space="preserve">Development of emission-reduction </w:t>
      </w:r>
      <w:r w:rsidR="00EC18F0" w:rsidRPr="005060E0">
        <w:rPr>
          <w:i/>
        </w:rPr>
        <w:t>programs</w:t>
      </w:r>
      <w:r w:rsidRPr="005060E0">
        <w:rPr>
          <w:i/>
        </w:rPr>
        <w:t>.</w:t>
      </w:r>
      <w:r w:rsidRPr="005060E0">
        <w:t xml:space="preserve"> This would introduce a requirement for jurisdictions to develop </w:t>
      </w:r>
      <w:r w:rsidR="00EC18F0" w:rsidRPr="005060E0">
        <w:t xml:space="preserve">programs </w:t>
      </w:r>
      <w:r w:rsidRPr="005060E0">
        <w:t>to reduce emissions so as to reduce exposure to PM.</w:t>
      </w:r>
    </w:p>
    <w:p w14:paraId="1A56607A" w14:textId="675F8DA8" w:rsidR="0047123A" w:rsidRPr="005060E0" w:rsidRDefault="0047123A" w:rsidP="00E20C55">
      <w:pPr>
        <w:pStyle w:val="ListBullet"/>
        <w:tabs>
          <w:tab w:val="left" w:pos="709"/>
        </w:tabs>
        <w:ind w:left="709" w:hanging="283"/>
        <w:rPr>
          <w:b/>
        </w:rPr>
      </w:pPr>
      <w:r w:rsidRPr="005060E0">
        <w:rPr>
          <w:i/>
        </w:rPr>
        <w:t>Development of PM</w:t>
      </w:r>
      <w:r w:rsidRPr="005060E0">
        <w:rPr>
          <w:i/>
          <w:vertAlign w:val="subscript"/>
        </w:rPr>
        <w:t>2.5</w:t>
      </w:r>
      <w:r w:rsidRPr="005060E0">
        <w:rPr>
          <w:i/>
        </w:rPr>
        <w:t xml:space="preserve"> monitoring networks and regional emission inventories.</w:t>
      </w:r>
      <w:r w:rsidRPr="005060E0">
        <w:t xml:space="preserve"> This would involve a requirement to focus monitoring on PM</w:t>
      </w:r>
      <w:r w:rsidRPr="005060E0">
        <w:rPr>
          <w:vertAlign w:val="subscript"/>
        </w:rPr>
        <w:t>2.5</w:t>
      </w:r>
      <w:r w:rsidRPr="005060E0">
        <w:t xml:space="preserve"> and to carry out a minimum level of monitoring followin</w:t>
      </w:r>
      <w:r w:rsidR="00A867CC" w:rsidRPr="005060E0">
        <w:t>g appropriate national guidance</w:t>
      </w:r>
      <w:r w:rsidRPr="005060E0">
        <w:t>.</w:t>
      </w:r>
    </w:p>
    <w:p w14:paraId="7EBFE349" w14:textId="4DB9A191" w:rsidR="0047123A" w:rsidRPr="005060E0" w:rsidRDefault="0047123A" w:rsidP="00E20C55">
      <w:pPr>
        <w:pStyle w:val="ListBullet"/>
        <w:tabs>
          <w:tab w:val="left" w:pos="709"/>
        </w:tabs>
        <w:ind w:left="709" w:hanging="283"/>
        <w:rPr>
          <w:b/>
        </w:rPr>
      </w:pPr>
      <w:r w:rsidRPr="005060E0">
        <w:rPr>
          <w:i/>
        </w:rPr>
        <w:t xml:space="preserve">Development of exposure-reduction targets. </w:t>
      </w:r>
      <w:r w:rsidRPr="005060E0">
        <w:t xml:space="preserve">Work would be required at a national level using available information to identify sources and suitable cost-effective control </w:t>
      </w:r>
      <w:r w:rsidR="00EC18F0" w:rsidRPr="005060E0">
        <w:t>programs</w:t>
      </w:r>
      <w:r w:rsidRPr="005060E0">
        <w:t>, and thus to define realistic targets.</w:t>
      </w:r>
    </w:p>
    <w:p w14:paraId="77807651" w14:textId="65781E07" w:rsidR="00184048" w:rsidRPr="005060E0" w:rsidRDefault="00184048" w:rsidP="00571994">
      <w:r w:rsidRPr="005060E0">
        <w:t>The costs and benefits of an exposure-reduction framework for particulate matter in Australia were also summarised in the Impact Statement for a draft variation to the AAQ NEPM</w:t>
      </w:r>
      <w:r w:rsidR="00C30402" w:rsidRPr="005060E0">
        <w:t xml:space="preserve"> (NEPC 2014)</w:t>
      </w:r>
      <w:r w:rsidRPr="005060E0">
        <w:t>. It was noted that meeting a target of a 10</w:t>
      </w:r>
      <w:r w:rsidR="00C75B58">
        <w:t xml:space="preserve"> per cent</w:t>
      </w:r>
      <w:r w:rsidRPr="005060E0">
        <w:t xml:space="preserve"> reduction in the annual mean PM</w:t>
      </w:r>
      <w:r w:rsidRPr="005060E0">
        <w:rPr>
          <w:vertAlign w:val="subscript"/>
        </w:rPr>
        <w:t>2.5</w:t>
      </w:r>
      <w:r w:rsidRPr="005060E0">
        <w:t xml:space="preserve"> concentration between 2015 and 2025 would </w:t>
      </w:r>
      <w:r w:rsidR="00D474D2" w:rsidRPr="005060E0">
        <w:t>require extensive</w:t>
      </w:r>
      <w:r w:rsidRPr="005060E0">
        <w:t xml:space="preserve"> additional abatement measures in most </w:t>
      </w:r>
      <w:r w:rsidR="00B92589" w:rsidRPr="005060E0">
        <w:t>jurisdictions and</w:t>
      </w:r>
      <w:r w:rsidRPr="005060E0">
        <w:t xml:space="preserve"> is unlikely to be feasible in practice. Nevertheless, it is important to emphasise the likely health benefits of a</w:t>
      </w:r>
      <w:r w:rsidR="009F1CFE" w:rsidRPr="005060E0">
        <w:t>n exposure-reduction framework.</w:t>
      </w:r>
    </w:p>
    <w:p w14:paraId="1ADE86E5" w14:textId="3D92CCB3" w:rsidR="00BB11A5" w:rsidRPr="005060E0" w:rsidRDefault="00BB11A5" w:rsidP="00184048">
      <w:pPr>
        <w:spacing w:after="300"/>
      </w:pPr>
      <w:r w:rsidRPr="005060E0">
        <w:t>In 2015 the NEPC agreed to include long</w:t>
      </w:r>
      <w:r w:rsidR="00571994" w:rsidRPr="005060E0">
        <w:t>-</w:t>
      </w:r>
      <w:r w:rsidRPr="005060E0">
        <w:t>term PM</w:t>
      </w:r>
      <w:r w:rsidRPr="005060E0">
        <w:rPr>
          <w:vertAlign w:val="subscript"/>
        </w:rPr>
        <w:t>2.5</w:t>
      </w:r>
      <w:r w:rsidRPr="005060E0">
        <w:t xml:space="preserve"> targets to be achieved by 2025 (</w:t>
      </w:r>
      <w:r w:rsidR="00571994" w:rsidRPr="005060E0">
        <w:t xml:space="preserve">an </w:t>
      </w:r>
      <w:r w:rsidRPr="005060E0">
        <w:t>annual average target of 7</w:t>
      </w:r>
      <w:r w:rsidR="008C5416" w:rsidRPr="005060E0">
        <w:t> </w:t>
      </w:r>
      <w:r w:rsidRPr="005060E0">
        <w:rPr>
          <w:rFonts w:cs="Arial"/>
        </w:rPr>
        <w:t>µ</w:t>
      </w:r>
      <w:r w:rsidRPr="005060E0">
        <w:t>g/m</w:t>
      </w:r>
      <w:r w:rsidRPr="005060E0">
        <w:rPr>
          <w:vertAlign w:val="superscript"/>
        </w:rPr>
        <w:t>3</w:t>
      </w:r>
      <w:r w:rsidRPr="005060E0">
        <w:t xml:space="preserve"> and a 24-hour target of 20</w:t>
      </w:r>
      <w:r w:rsidR="008C5416" w:rsidRPr="005060E0">
        <w:t> </w:t>
      </w:r>
      <w:r w:rsidRPr="005060E0">
        <w:rPr>
          <w:rFonts w:cs="Arial"/>
        </w:rPr>
        <w:t>µ</w:t>
      </w:r>
      <w:r w:rsidRPr="005060E0">
        <w:t>g/m</w:t>
      </w:r>
      <w:r w:rsidRPr="005060E0">
        <w:rPr>
          <w:vertAlign w:val="superscript"/>
        </w:rPr>
        <w:t>3</w:t>
      </w:r>
      <w:r w:rsidRPr="005060E0">
        <w:t>) as a simplified approach for an exposure</w:t>
      </w:r>
      <w:r w:rsidR="00571994" w:rsidRPr="005060E0">
        <w:t>-</w:t>
      </w:r>
      <w:r w:rsidRPr="005060E0">
        <w:t>reduction framework.</w:t>
      </w:r>
      <w:r w:rsidR="0079506B" w:rsidRPr="005060E0">
        <w:t xml:space="preserve"> These changes took effect in the AAQ NEPM in February 2016.</w:t>
      </w:r>
    </w:p>
    <w:p w14:paraId="6CBEEFD3" w14:textId="12B6FA4D" w:rsidR="00B30D28" w:rsidRPr="005060E0" w:rsidRDefault="005D109B" w:rsidP="005D109B">
      <w:pPr>
        <w:pStyle w:val="Heading3"/>
      </w:pPr>
      <w:r w:rsidRPr="005060E0">
        <w:t>Monitoring requirements</w:t>
      </w:r>
    </w:p>
    <w:p w14:paraId="6F013F31" w14:textId="77777777" w:rsidR="00B30D28" w:rsidRPr="005060E0" w:rsidRDefault="00B30D28" w:rsidP="00236A25">
      <w:pPr>
        <w:pStyle w:val="Heading4"/>
      </w:pPr>
      <w:r w:rsidRPr="005060E0">
        <w:t>Performance monitoring stations</w:t>
      </w:r>
    </w:p>
    <w:p w14:paraId="1DE231A4" w14:textId="3B73D541" w:rsidR="00B30D28" w:rsidRPr="005060E0" w:rsidRDefault="00B30D28" w:rsidP="00236A25">
      <w:r w:rsidRPr="005060E0">
        <w:t xml:space="preserve">The </w:t>
      </w:r>
      <w:r w:rsidR="001C69DC" w:rsidRPr="005060E0">
        <w:t>s</w:t>
      </w:r>
      <w:r w:rsidRPr="005060E0">
        <w:t xml:space="preserve">tates and </w:t>
      </w:r>
      <w:r w:rsidR="001C69DC" w:rsidRPr="005060E0">
        <w:t>t</w:t>
      </w:r>
      <w:r w:rsidRPr="005060E0">
        <w:t>erritories are currently required to monitor and report on air quality to determine whether the AAQ NEPM standards are being met within populated areas. Two approaches are available for evaluating performance against the standards:</w:t>
      </w:r>
    </w:p>
    <w:p w14:paraId="0997175B" w14:textId="77777777" w:rsidR="00B30D28" w:rsidRPr="005060E0" w:rsidRDefault="00B30D28" w:rsidP="00236A25">
      <w:pPr>
        <w:pStyle w:val="ListBullet"/>
      </w:pPr>
      <w:r w:rsidRPr="005060E0">
        <w:t>Pollutant concentrations can be measured at ‘performance monitoring stations’.</w:t>
      </w:r>
    </w:p>
    <w:p w14:paraId="0467A912" w14:textId="77777777" w:rsidR="00B30D28" w:rsidRPr="005060E0" w:rsidRDefault="00B30D28" w:rsidP="00236A25">
      <w:pPr>
        <w:pStyle w:val="ListBullet"/>
      </w:pPr>
      <w:r w:rsidRPr="005060E0">
        <w:t>Pollutant concentrations can be assessed by other means that provide information that is equivalent to measurements. These methods could include, for example, the use of emission inventories, dispersion modelling, and comparisons with other regions.</w:t>
      </w:r>
    </w:p>
    <w:p w14:paraId="17CDD50F" w14:textId="3A30F2B8" w:rsidR="00B30D28" w:rsidRPr="005060E0" w:rsidRDefault="00236A25" w:rsidP="00216CC0">
      <w:r w:rsidRPr="005060E0">
        <w:t>T</w:t>
      </w:r>
      <w:r w:rsidR="00B30D28" w:rsidRPr="005060E0">
        <w:t>he AAQ NEPM provide</w:t>
      </w:r>
      <w:r w:rsidR="000B0A7D" w:rsidRPr="005060E0">
        <w:t>s</w:t>
      </w:r>
      <w:r w:rsidR="00B30D28" w:rsidRPr="005060E0">
        <w:t xml:space="preserve"> guidance on the location of performance monitoring stations</w:t>
      </w:r>
      <w:r w:rsidR="00B30D28" w:rsidRPr="005060E0">
        <w:rPr>
          <w:rStyle w:val="FootnoteReference"/>
        </w:rPr>
        <w:footnoteReference w:id="14"/>
      </w:r>
      <w:r w:rsidR="00B30D28" w:rsidRPr="005060E0">
        <w:t>. T</w:t>
      </w:r>
      <w:r w:rsidR="00B30D28" w:rsidRPr="005060E0">
        <w:rPr>
          <w:rFonts w:cs="MiloOT-Text"/>
        </w:rPr>
        <w:t>he air quality standards are designed for locations that are generally representative of the level of exposure of the broad population, rather than for ‘hot spots’ near major point sources or roads.</w:t>
      </w:r>
      <w:r w:rsidR="00B30D28" w:rsidRPr="005060E0">
        <w:t xml:space="preserve"> The AAQ NEPM monitoring protocol (</w:t>
      </w:r>
      <w:r w:rsidRPr="005060E0">
        <w:t>PRC 2001a</w:t>
      </w:r>
      <w:r w:rsidR="00B30D28" w:rsidRPr="005060E0">
        <w:t>) states that some monitoring stations should be located in populated areas which are expected to experience relatively high concentrations, providing a basis for reliable statements about air pollution within the region or sub-region as a whole. These stations are called ‘generally representative upper bound (GRUB) for community exposure’ sites. A performance monitoring station should be operated in the same location</w:t>
      </w:r>
      <w:r w:rsidR="00B30D28" w:rsidRPr="005060E0">
        <w:rPr>
          <w:rFonts w:cs="MiloOT-Text"/>
          <w:sz w:val="21"/>
          <w:szCs w:val="21"/>
        </w:rPr>
        <w:t xml:space="preserve"> </w:t>
      </w:r>
      <w:r w:rsidR="00B30D28" w:rsidRPr="005060E0">
        <w:t>for at least five years.</w:t>
      </w:r>
    </w:p>
    <w:p w14:paraId="4E7358CB" w14:textId="77777777" w:rsidR="00B30D28" w:rsidRPr="005060E0" w:rsidRDefault="00B30D28" w:rsidP="00216CC0">
      <w:r w:rsidRPr="005060E0">
        <w:t xml:space="preserve">The number of performance monitoring stations for a region with a population of 25,000 people or more is the next whole number above the value calculated in accordance with the formula (1.5 x </w:t>
      </w:r>
      <w:r w:rsidRPr="005060E0">
        <w:rPr>
          <w:b/>
          <w:i/>
        </w:rPr>
        <w:t>P</w:t>
      </w:r>
      <w:r w:rsidRPr="005060E0">
        <w:t xml:space="preserve">) </w:t>
      </w:r>
      <w:r w:rsidRPr="005060E0">
        <w:rPr>
          <w:rFonts w:cs="MTSymbol"/>
        </w:rPr>
        <w:t xml:space="preserve">+ </w:t>
      </w:r>
      <w:r w:rsidRPr="005060E0">
        <w:t xml:space="preserve">0.5, where </w:t>
      </w:r>
      <w:r w:rsidRPr="005060E0">
        <w:rPr>
          <w:b/>
          <w:bCs/>
          <w:i/>
          <w:iCs/>
        </w:rPr>
        <w:t xml:space="preserve">P </w:t>
      </w:r>
      <w:r w:rsidRPr="005060E0">
        <w:t>is the population of the region (in millions). Additional (or fewer) performance monitoring stations can be implemented depending on local and regional conditions, or existing pollutant levels.</w:t>
      </w:r>
    </w:p>
    <w:p w14:paraId="46BE34DD" w14:textId="6BD33615" w:rsidR="00A46746" w:rsidRPr="005060E0" w:rsidRDefault="00B30D28" w:rsidP="00216CC0">
      <w:r w:rsidRPr="005060E0">
        <w:t xml:space="preserve">Under the current monitoring protocol in the AAQ NEPM, the exposure of people who live near major sources of pollution </w:t>
      </w:r>
      <w:r w:rsidR="001C69DC" w:rsidRPr="005060E0">
        <w:t>–</w:t>
      </w:r>
      <w:r w:rsidRPr="005060E0">
        <w:t xml:space="preserve"> such as busy roads </w:t>
      </w:r>
      <w:r w:rsidR="001C69DC" w:rsidRPr="005060E0">
        <w:t>–</w:t>
      </w:r>
      <w:r w:rsidRPr="005060E0">
        <w:t xml:space="preserve"> is not assessed through air quality monitoring. Such people are likely to be exposed to higher levels of air pollution than those measured at performance monitoring stations (NEPC 2011a).</w:t>
      </w:r>
    </w:p>
    <w:p w14:paraId="11D283B6" w14:textId="36E55802" w:rsidR="0061787D" w:rsidRPr="00216CC0" w:rsidRDefault="00A46746" w:rsidP="00216CC0">
      <w:r w:rsidRPr="005060E0">
        <w:t>The Commonwealth implements the NEPM administratively</w:t>
      </w:r>
      <w:r w:rsidR="005A403B" w:rsidRPr="005060E0">
        <w:t>;</w:t>
      </w:r>
      <w:r w:rsidRPr="005060E0">
        <w:t xml:space="preserve"> </w:t>
      </w:r>
      <w:r w:rsidR="005A403B" w:rsidRPr="005060E0">
        <w:t>h</w:t>
      </w:r>
      <w:r w:rsidRPr="005060E0">
        <w:t>owever, it is not required by the NEPM to undertake monitoring as there are currently no non self-governing Commonwealth territories or Commonwealth regions with a population above the 25,000 NEPM protocol threshold.</w:t>
      </w:r>
      <w:r w:rsidRPr="00216CC0">
        <w:t xml:space="preserve"> </w:t>
      </w:r>
    </w:p>
    <w:p w14:paraId="520B4DD9" w14:textId="37D2173E" w:rsidR="00B30D28" w:rsidRPr="005060E0" w:rsidRDefault="00B30D28" w:rsidP="00216CC0">
      <w:pPr>
        <w:pStyle w:val="Heading4"/>
        <w:spacing w:before="320" w:after="200"/>
      </w:pPr>
      <w:r w:rsidRPr="005060E0">
        <w:t>Trend monitoring stations</w:t>
      </w:r>
    </w:p>
    <w:p w14:paraId="16B66469" w14:textId="337FF5BA" w:rsidR="00B30D28" w:rsidRPr="005060E0" w:rsidRDefault="00B30D28" w:rsidP="00216CC0">
      <w:r w:rsidRPr="005060E0">
        <w:t xml:space="preserve">Some performance monitoring stations in each </w:t>
      </w:r>
      <w:r w:rsidR="005A403B" w:rsidRPr="005060E0">
        <w:t>s</w:t>
      </w:r>
      <w:r w:rsidRPr="005060E0">
        <w:t xml:space="preserve">tate or </w:t>
      </w:r>
      <w:r w:rsidR="005A403B" w:rsidRPr="005060E0">
        <w:t>t</w:t>
      </w:r>
      <w:r w:rsidRPr="005060E0">
        <w:t xml:space="preserve">erritory must be nominated as ‘trend’ stations. The number of trend stations must be sufficient to enable the assessment of long-term changes in ambient air quality in different parts of the jurisdiction. A trend station must be operated in the same location for at least </w:t>
      </w:r>
      <w:r w:rsidR="005A403B" w:rsidRPr="005060E0">
        <w:t xml:space="preserve">10 </w:t>
      </w:r>
      <w:r w:rsidRPr="005060E0">
        <w:t>years.</w:t>
      </w:r>
    </w:p>
    <w:p w14:paraId="664D4280" w14:textId="59669D81" w:rsidR="00B30D28" w:rsidRPr="005060E0" w:rsidRDefault="00B30D28" w:rsidP="00216CC0">
      <w:pPr>
        <w:pStyle w:val="Heading4"/>
        <w:spacing w:before="320" w:after="200"/>
      </w:pPr>
      <w:r w:rsidRPr="005060E0">
        <w:t>Evaluation of performance against standards and goal</w:t>
      </w:r>
      <w:r w:rsidR="005A403B" w:rsidRPr="005060E0">
        <w:t>s</w:t>
      </w:r>
    </w:p>
    <w:p w14:paraId="3CFD1ED0" w14:textId="37FC0D6C" w:rsidR="00B30D28" w:rsidRPr="005060E0" w:rsidRDefault="00236A25" w:rsidP="00216CC0">
      <w:r w:rsidRPr="005060E0">
        <w:t>T</w:t>
      </w:r>
      <w:r w:rsidR="00B30D28" w:rsidRPr="005060E0">
        <w:t>he AAQ NEPM sets out the criteria for evaluating performance against the standards and goals. Jurisdictions are required to assess their annual performance against the AAQ NEPM standards and goals at each monitoring station. Performance is assessed as ‘met’, ‘not met’, or ‘not demonstrated’</w:t>
      </w:r>
      <w:r w:rsidR="00B30D28" w:rsidRPr="005060E0">
        <w:rPr>
          <w:rStyle w:val="FootnoteReference"/>
        </w:rPr>
        <w:footnoteReference w:id="15"/>
      </w:r>
      <w:r w:rsidR="00B30D28" w:rsidRPr="005060E0">
        <w:t xml:space="preserve">. </w:t>
      </w:r>
    </w:p>
    <w:p w14:paraId="5593E422" w14:textId="77777777" w:rsidR="00B30D28" w:rsidRPr="005060E0" w:rsidRDefault="00B30D28" w:rsidP="00216CC0">
      <w:pPr>
        <w:pStyle w:val="Heading4"/>
        <w:spacing w:before="320" w:after="200"/>
      </w:pPr>
      <w:r w:rsidRPr="005060E0">
        <w:t>Reporting</w:t>
      </w:r>
    </w:p>
    <w:p w14:paraId="25A3CCA3" w14:textId="72DE0089" w:rsidR="00B30D28" w:rsidRPr="005060E0" w:rsidRDefault="00B30D28" w:rsidP="00216CC0">
      <w:r w:rsidRPr="005060E0">
        <w:t xml:space="preserve">Each year, jurisdictions must submit an annual report to the NEPC on the implementation and effectiveness of the AAQ NEPM. </w:t>
      </w:r>
      <w:r w:rsidR="00236A25" w:rsidRPr="005060E0">
        <w:t>T</w:t>
      </w:r>
      <w:r w:rsidRPr="005060E0">
        <w:t>he AAQ NEPM establishes the reporting requirements for annual performance reports, including the performance assessment described above, an analysis of the extent to which the standards are met, a statement of the progress made towards achieving the goal, and a description of the circumstances that led to any exceedances of the standards, in</w:t>
      </w:r>
      <w:r w:rsidR="00D852AA" w:rsidRPr="005060E0">
        <w:t xml:space="preserve">cluding the influence of </w:t>
      </w:r>
      <w:r w:rsidR="0079506B" w:rsidRPr="005060E0">
        <w:t xml:space="preserve">natural </w:t>
      </w:r>
      <w:r w:rsidRPr="005060E0">
        <w:t xml:space="preserve">events and fire management. </w:t>
      </w:r>
    </w:p>
    <w:p w14:paraId="17EE4C5A" w14:textId="77777777" w:rsidR="00B30D28" w:rsidRPr="005060E0" w:rsidRDefault="00B30D28" w:rsidP="00216CC0">
      <w:pPr>
        <w:pStyle w:val="Heading4"/>
        <w:spacing w:before="320" w:after="200"/>
      </w:pPr>
      <w:r w:rsidRPr="005060E0">
        <w:t>Accountability</w:t>
      </w:r>
    </w:p>
    <w:p w14:paraId="2BF3E8F2" w14:textId="1D9F4B96" w:rsidR="00B30D28" w:rsidRPr="005060E0" w:rsidRDefault="00B30D28" w:rsidP="00216CC0">
      <w:r w:rsidRPr="005060E0">
        <w:t>Under the NEPC Act, accountability for meeting the standards lies in the public reporting; that is, there are no penalties associated with non-compliance. Jurisdictions are only required to evaluate their performance at each monitoring station against the AAQ NEPM standards and goals, and to report the results to the NEPC each year.</w:t>
      </w:r>
    </w:p>
    <w:p w14:paraId="473C53FF" w14:textId="2A8DCE13" w:rsidR="00B30D28" w:rsidRPr="005060E0" w:rsidRDefault="00205B41" w:rsidP="00205B41">
      <w:pPr>
        <w:pStyle w:val="Heading2"/>
        <w:ind w:left="709" w:hanging="709"/>
      </w:pPr>
      <w:bookmarkStart w:id="37" w:name="_Ref369454810"/>
      <w:bookmarkStart w:id="38" w:name="_Toc372615206"/>
      <w:bookmarkStart w:id="39" w:name="_Toc3278928"/>
      <w:r w:rsidRPr="005060E0">
        <w:t xml:space="preserve">Use of the </w:t>
      </w:r>
      <w:r w:rsidR="00B30D28" w:rsidRPr="005060E0">
        <w:t xml:space="preserve">standards and goals </w:t>
      </w:r>
      <w:r w:rsidRPr="005060E0">
        <w:t xml:space="preserve">in the National Environment Protection (Ambient Air Quality) Measure </w:t>
      </w:r>
      <w:r w:rsidR="00B30D28" w:rsidRPr="005060E0">
        <w:t>by jurisdictions</w:t>
      </w:r>
      <w:bookmarkEnd w:id="37"/>
      <w:bookmarkEnd w:id="38"/>
      <w:bookmarkEnd w:id="39"/>
    </w:p>
    <w:p w14:paraId="706F2D6F" w14:textId="77777777" w:rsidR="00B30D28" w:rsidRPr="005060E0" w:rsidRDefault="00B30D28" w:rsidP="009027F1">
      <w:pPr>
        <w:pStyle w:val="Heading3"/>
      </w:pPr>
      <w:r w:rsidRPr="005060E0">
        <w:t>Overview</w:t>
      </w:r>
    </w:p>
    <w:p w14:paraId="742EE652" w14:textId="34C7B610" w:rsidR="00B30D28" w:rsidRPr="005060E0" w:rsidRDefault="00B30D28" w:rsidP="00B30D28">
      <w:pPr>
        <w:spacing w:after="180"/>
      </w:pPr>
      <w:r w:rsidRPr="005060E0">
        <w:t>The AAQ NEPM standards were established in relation to broad air quality within airsheds, and are applicable at urban locations away from hot spots. The original intent of the AAQ NEPM was to avoid monitoring near localised point sources of pollution and at peak sites, as these would not represent general population exposure</w:t>
      </w:r>
      <w:r w:rsidRPr="005060E0">
        <w:rPr>
          <w:rStyle w:val="FootnoteReference"/>
        </w:rPr>
        <w:footnoteReference w:id="16"/>
      </w:r>
      <w:r w:rsidRPr="005060E0">
        <w:t xml:space="preserve"> (NEPC 2011a). Generally speaking, the Australian </w:t>
      </w:r>
      <w:r w:rsidR="001C69DC" w:rsidRPr="005060E0">
        <w:t>s</w:t>
      </w:r>
      <w:r w:rsidRPr="005060E0">
        <w:t xml:space="preserve">tates and </w:t>
      </w:r>
      <w:r w:rsidR="001C69DC" w:rsidRPr="005060E0">
        <w:t>t</w:t>
      </w:r>
      <w:r w:rsidRPr="005060E0">
        <w:t>erritories manage emissions and air quality in relation to certain types of source (</w:t>
      </w:r>
      <w:r w:rsidRPr="00CC2143">
        <w:t>e.g.</w:t>
      </w:r>
      <w:r w:rsidRPr="005060E0">
        <w:t xml:space="preserve"> landfills, quarries, crematoria, and coal mines). The jurisdictions have legislation or guidance which includes design goals, licence conditions or other instruments for protecting local communities from ground-level impacts of pollutants in residential areas outside site boundaries. Where this is the case, the AAQ NEPM standards are often used as the criteria for air quality assessments. For example, environmental licences </w:t>
      </w:r>
      <w:r w:rsidR="008C3EAF" w:rsidRPr="005060E0">
        <w:t xml:space="preserve">or planning consent </w:t>
      </w:r>
      <w:r w:rsidRPr="005060E0">
        <w:t>may contain conditions requiring compliance with the AAQ NEPM standards at a site boundary or at the nearest sensitive receptor. Environmental licences often also contain requirements to implement monitoring of ambient air quality. If a company is shown not to comply with licence conditions, in many cases legal action can be taken.</w:t>
      </w:r>
    </w:p>
    <w:p w14:paraId="4646C050" w14:textId="561DD78B" w:rsidR="00B30D28" w:rsidRPr="005060E0" w:rsidRDefault="00B30D28" w:rsidP="00B30D28">
      <w:pPr>
        <w:spacing w:after="300"/>
      </w:pPr>
      <w:r w:rsidRPr="005060E0">
        <w:t>The following paragraphs summarise how the AAQ NEPM standards are implemented in this context by the separate jurisdictions.</w:t>
      </w:r>
    </w:p>
    <w:p w14:paraId="234CA5E4" w14:textId="43752661" w:rsidR="00B30D28" w:rsidRPr="005060E0" w:rsidRDefault="00205B41" w:rsidP="009027F1">
      <w:pPr>
        <w:pStyle w:val="Heading3"/>
      </w:pPr>
      <w:r w:rsidRPr="005060E0">
        <w:t>New South Wales</w:t>
      </w:r>
    </w:p>
    <w:p w14:paraId="4E84D3B9" w14:textId="6CA0491E" w:rsidR="00B30D28" w:rsidRPr="005060E0" w:rsidRDefault="00B30D28" w:rsidP="00B30D28">
      <w:pPr>
        <w:spacing w:after="200"/>
      </w:pPr>
      <w:r w:rsidRPr="005060E0">
        <w:t xml:space="preserve">In NSW the statutory methods that are used for assessing air pollution from stationary sources are listed in the document </w:t>
      </w:r>
      <w:r w:rsidRPr="005060E0">
        <w:rPr>
          <w:i/>
        </w:rPr>
        <w:t>Approved Methods for the Modelling and Assessment of Air Pollutants in NSW</w:t>
      </w:r>
      <w:r w:rsidRPr="005060E0">
        <w:t xml:space="preserve"> </w:t>
      </w:r>
      <w:r w:rsidR="00773BC9" w:rsidRPr="005060E0">
        <w:t>(NSW EPA 2016</w:t>
      </w:r>
      <w:r w:rsidRPr="005060E0">
        <w:t>). The Approved Methods do not contain specific information on the assessment of, for example, transport schemes and land</w:t>
      </w:r>
      <w:r w:rsidR="00105930" w:rsidRPr="005060E0">
        <w:t>-</w:t>
      </w:r>
      <w:r w:rsidRPr="005060E0">
        <w:t>use changes. Air quality must be assessed in relation to criteria and averaging periods for specific pollutants that are tak</w:t>
      </w:r>
      <w:r w:rsidR="00673F82" w:rsidRPr="005060E0">
        <w:t>en from several sources, including</w:t>
      </w:r>
      <w:r w:rsidRPr="005060E0">
        <w:t xml:space="preserve"> the AAQ NEPM.</w:t>
      </w:r>
    </w:p>
    <w:p w14:paraId="24944EAB" w14:textId="77777777" w:rsidR="00B30D28" w:rsidRPr="005060E0" w:rsidRDefault="00B30D28" w:rsidP="009027F1">
      <w:pPr>
        <w:pStyle w:val="Heading3"/>
      </w:pPr>
      <w:r w:rsidRPr="005060E0">
        <w:t>Victoria</w:t>
      </w:r>
    </w:p>
    <w:p w14:paraId="689AB416" w14:textId="5C2204C6" w:rsidR="00B30D28" w:rsidRPr="005060E0" w:rsidRDefault="00B30D28" w:rsidP="00B30D28">
      <w:pPr>
        <w:spacing w:after="200"/>
      </w:pPr>
      <w:r w:rsidRPr="005060E0">
        <w:t xml:space="preserve">The Victorian </w:t>
      </w:r>
      <w:r w:rsidRPr="005060E0">
        <w:rPr>
          <w:i/>
        </w:rPr>
        <w:t>State Environment Protection Policy (SEPP) for Ambient Air Quality</w:t>
      </w:r>
      <w:r w:rsidRPr="005060E0">
        <w:t xml:space="preserve"> (SEPP (AAQ)) sets air quality objectives and goals for the </w:t>
      </w:r>
      <w:r w:rsidR="00CD2FB2" w:rsidRPr="005060E0">
        <w:t>s</w:t>
      </w:r>
      <w:r w:rsidRPr="005060E0">
        <w:t xml:space="preserve">tate. The SEPP </w:t>
      </w:r>
      <w:r w:rsidR="00CD2FB2" w:rsidRPr="005060E0">
        <w:t xml:space="preserve">(AAQ) </w:t>
      </w:r>
      <w:r w:rsidRPr="005060E0">
        <w:t>adopts the specifications of the AAQ NEPM, and also includes a separate objective for visibility-reducing particles</w:t>
      </w:r>
      <w:r w:rsidR="0079506B" w:rsidRPr="005060E0">
        <w:t xml:space="preserve"> and a more stringent annual PM</w:t>
      </w:r>
      <w:r w:rsidR="0079506B" w:rsidRPr="005060E0">
        <w:rPr>
          <w:vertAlign w:val="subscript"/>
        </w:rPr>
        <w:t>10</w:t>
      </w:r>
      <w:r w:rsidR="0079506B" w:rsidRPr="005060E0">
        <w:t xml:space="preserve"> standard than the AAQ NEPM</w:t>
      </w:r>
      <w:r w:rsidRPr="005060E0">
        <w:t>.</w:t>
      </w:r>
    </w:p>
    <w:p w14:paraId="11FB9227" w14:textId="77777777" w:rsidR="00B30D28" w:rsidRPr="005060E0" w:rsidRDefault="00B30D28" w:rsidP="00B30D28">
      <w:pPr>
        <w:spacing w:after="140"/>
      </w:pPr>
      <w:r w:rsidRPr="005060E0">
        <w:t>Victoria’s</w:t>
      </w:r>
      <w:r w:rsidRPr="005060E0">
        <w:rPr>
          <w:i/>
        </w:rPr>
        <w:t xml:space="preserve"> State Environment Protection Policy for Air Quality Management</w:t>
      </w:r>
      <w:r w:rsidRPr="005060E0">
        <w:t xml:space="preserve"> (SEPP (AQM)) establishes the framework for managing emissions into the air environment in Victoria from all sources. The aims of SEPP (AQM) are to:</w:t>
      </w:r>
    </w:p>
    <w:p w14:paraId="7B2293B1" w14:textId="3B70B04E" w:rsidR="00B30D28" w:rsidRPr="005060E0" w:rsidRDefault="00CD2FB2" w:rsidP="00773BC9">
      <w:pPr>
        <w:pStyle w:val="ListBullet"/>
      </w:pPr>
      <w:r w:rsidRPr="005060E0">
        <w:t>m</w:t>
      </w:r>
      <w:r w:rsidR="00B30D28" w:rsidRPr="005060E0">
        <w:t>eet the air quality objectives outlined in the SEPP (AAQ)</w:t>
      </w:r>
    </w:p>
    <w:p w14:paraId="7888EFF9" w14:textId="43A7B03F" w:rsidR="00B30D28" w:rsidRPr="005060E0" w:rsidRDefault="00CD2FB2" w:rsidP="00773BC9">
      <w:pPr>
        <w:pStyle w:val="ListBullet"/>
      </w:pPr>
      <w:r w:rsidRPr="005060E0">
        <w:t>d</w:t>
      </w:r>
      <w:r w:rsidR="00B30D28" w:rsidRPr="005060E0">
        <w:t>rive continuous improvement</w:t>
      </w:r>
    </w:p>
    <w:p w14:paraId="386B1B45" w14:textId="1321333C" w:rsidR="00B30D28" w:rsidRPr="005060E0" w:rsidRDefault="00CD2FB2" w:rsidP="00773BC9">
      <w:pPr>
        <w:pStyle w:val="ListBullet"/>
      </w:pPr>
      <w:r w:rsidRPr="005060E0">
        <w:t>a</w:t>
      </w:r>
      <w:r w:rsidR="00B30D28" w:rsidRPr="005060E0">
        <w:t>chieve the cleanest air possible.</w:t>
      </w:r>
    </w:p>
    <w:p w14:paraId="0001EAA1" w14:textId="7BB7502C" w:rsidR="00B30D28" w:rsidRPr="005060E0" w:rsidRDefault="00B30D28" w:rsidP="00B30D28">
      <w:pPr>
        <w:spacing w:after="200"/>
      </w:pPr>
      <w:r w:rsidRPr="005060E0">
        <w:t xml:space="preserve">The management framework and attainment </w:t>
      </w:r>
      <w:r w:rsidR="00EC18F0" w:rsidRPr="005060E0">
        <w:t xml:space="preserve">program </w:t>
      </w:r>
      <w:r w:rsidRPr="005060E0">
        <w:t xml:space="preserve">for the protection of air quality contained in </w:t>
      </w:r>
      <w:r w:rsidR="00CD2FB2" w:rsidRPr="005060E0">
        <w:t xml:space="preserve">the </w:t>
      </w:r>
      <w:r w:rsidRPr="005060E0">
        <w:t>SEPP (AQM) address not only ambient (or regional) air quality, but also the management of particular sources (for example, industry, motor vehicles and open burning) and local air quality impacts, including air toxics, odorous pollutants, greenhouse gases and ozone-depleting substances.</w:t>
      </w:r>
    </w:p>
    <w:p w14:paraId="6492DDAE" w14:textId="428B9DD9" w:rsidR="00B30D28" w:rsidRPr="005060E0" w:rsidRDefault="00B30D28" w:rsidP="00B30D28">
      <w:pPr>
        <w:spacing w:after="300"/>
      </w:pPr>
      <w:r w:rsidRPr="005060E0">
        <w:t>For high-risk industrial activities (</w:t>
      </w:r>
      <w:r w:rsidR="00CD2FB2" w:rsidRPr="005060E0">
        <w:t>‘</w:t>
      </w:r>
      <w:r w:rsidRPr="005060E0">
        <w:t xml:space="preserve">scheduled premises’), EPA Victoria regulates compliance against </w:t>
      </w:r>
      <w:r w:rsidR="00CD2FB2" w:rsidRPr="005060E0">
        <w:t xml:space="preserve">the </w:t>
      </w:r>
      <w:r w:rsidRPr="005060E0">
        <w:t xml:space="preserve">SEPP (AQM) through works approvals and licensing. The key requirements include meeting ground-level concentration criteria for many air quality indicators (in addition to the ambient criteria pollutants), best practice management, and continuous improvement. </w:t>
      </w:r>
    </w:p>
    <w:p w14:paraId="7F3E5AAC" w14:textId="2F66EC5E" w:rsidR="002854C0" w:rsidRPr="005060E0" w:rsidRDefault="002854C0" w:rsidP="00B30D28">
      <w:pPr>
        <w:spacing w:after="300"/>
      </w:pPr>
      <w:r w:rsidRPr="005060E0">
        <w:t xml:space="preserve">The Victorian Government has made new environment protection laws to replace the </w:t>
      </w:r>
      <w:r w:rsidRPr="005060E0">
        <w:rPr>
          <w:i/>
        </w:rPr>
        <w:t>Environment Protection Act 1970</w:t>
      </w:r>
      <w:r w:rsidRPr="005060E0">
        <w:t>. The Government intends the laws to take effect from 1 July 2020. State Environment Protection Policies (SEPPs) will no longer exist under the new laws. Environment reference standards are intended to set out the environmental values and environmental quality objectives necessary to protect those environmental values and may house some elements of current SEPPs. Regulations and other subordinate legislation are under development and will propose to support the operation of the new laws. It is anticipated that separate Victorian public consultation on any proposed subordinate legislation is likely to occur in mid</w:t>
      </w:r>
      <w:r w:rsidR="00DF4D3A" w:rsidRPr="005060E0">
        <w:t>–20</w:t>
      </w:r>
      <w:r w:rsidRPr="005060E0">
        <w:t>19</w:t>
      </w:r>
      <w:r w:rsidR="00CD2FB2" w:rsidRPr="005060E0">
        <w:t>.</w:t>
      </w:r>
    </w:p>
    <w:p w14:paraId="714F4915" w14:textId="77777777" w:rsidR="00B30D28" w:rsidRPr="005060E0" w:rsidRDefault="00B30D28" w:rsidP="009027F1">
      <w:pPr>
        <w:pStyle w:val="Heading3"/>
      </w:pPr>
      <w:r w:rsidRPr="005060E0">
        <w:t xml:space="preserve">Queensland </w:t>
      </w:r>
    </w:p>
    <w:p w14:paraId="09B38F69" w14:textId="77777777" w:rsidR="00B30D28" w:rsidRPr="005060E0" w:rsidRDefault="00B30D28" w:rsidP="00B30D28">
      <w:pPr>
        <w:spacing w:after="180"/>
      </w:pPr>
      <w:r w:rsidRPr="005060E0">
        <w:rPr>
          <w:rFonts w:cs="Arial"/>
        </w:rPr>
        <w:t xml:space="preserve">In Queensland </w:t>
      </w:r>
      <w:r w:rsidRPr="005060E0">
        <w:t xml:space="preserve">the potential environmental impacts of developments and activities, especially those defined as environmentally relevant activities, are currently managed on a site-specific basis through assessment and conditioning under the </w:t>
      </w:r>
      <w:r w:rsidRPr="005060E0">
        <w:rPr>
          <w:i/>
        </w:rPr>
        <w:t>Environmental Protection Act 1994</w:t>
      </w:r>
      <w:r w:rsidRPr="005060E0">
        <w:t>.</w:t>
      </w:r>
    </w:p>
    <w:p w14:paraId="48916E75" w14:textId="7FD272EE" w:rsidR="00B30D28" w:rsidRPr="005060E0" w:rsidRDefault="00B30D28" w:rsidP="00B30D28">
      <w:pPr>
        <w:spacing w:after="180"/>
      </w:pPr>
      <w:r w:rsidRPr="005060E0">
        <w:t xml:space="preserve">As part of the assessment process, potential air quality impacts are evaluated against the </w:t>
      </w:r>
      <w:r w:rsidRPr="005060E0">
        <w:rPr>
          <w:i/>
        </w:rPr>
        <w:t>Environmental Protection (Air) Policy 2008</w:t>
      </w:r>
      <w:r w:rsidRPr="005060E0">
        <w:t xml:space="preserve"> (Air EPP) made under the </w:t>
      </w:r>
      <w:r w:rsidRPr="00CC2143">
        <w:t>Environmental Protection Act</w:t>
      </w:r>
      <w:r w:rsidRPr="005060E0">
        <w:t xml:space="preserve">. The Air EPP is the principal policy guidance for managing air quality. The Air EPP identifies environmental values to be enhanced or protected, states indicators and air quality objectives for enhancing or protecting the environmental values, and provides a framework for making consistent, equitable and informed decisions about the air environment. The Air EPP presents air quality objectives for 31 indicators (air pollutants). The detailed regulatory requirements for assessing and managing environmental issues are contained in the </w:t>
      </w:r>
      <w:r w:rsidRPr="00CC2143">
        <w:t>Environmental Protection Regulation 2008</w:t>
      </w:r>
      <w:r w:rsidRPr="005060E0">
        <w:t xml:space="preserve">, also made under the </w:t>
      </w:r>
      <w:r w:rsidRPr="00CC2143">
        <w:t>Environmental Protection Act</w:t>
      </w:r>
      <w:r w:rsidRPr="005060E0">
        <w:t>.</w:t>
      </w:r>
    </w:p>
    <w:p w14:paraId="0E476B01" w14:textId="77777777" w:rsidR="00B30D28" w:rsidRPr="005060E0" w:rsidRDefault="00B30D28" w:rsidP="00B30D28">
      <w:pPr>
        <w:spacing w:after="180"/>
      </w:pPr>
      <w:r w:rsidRPr="005060E0">
        <w:t xml:space="preserve">The </w:t>
      </w:r>
      <w:r w:rsidRPr="005060E0">
        <w:rPr>
          <w:i/>
        </w:rPr>
        <w:t>Integrated Development Assessment System</w:t>
      </w:r>
      <w:r w:rsidRPr="005060E0">
        <w:t xml:space="preserve"> is the process for assessing and deciding development applications at the property level. Development applications are assessed under the </w:t>
      </w:r>
      <w:r w:rsidRPr="005060E0">
        <w:rPr>
          <w:i/>
        </w:rPr>
        <w:t>Sustainable Planning Act 2009</w:t>
      </w:r>
      <w:r w:rsidRPr="005060E0">
        <w:t>. This process includes assessment against local planning instruments and for any impacts the proposed development may have on the surrounding environment.</w:t>
      </w:r>
    </w:p>
    <w:p w14:paraId="64E0B970" w14:textId="77777777" w:rsidR="00B30D28" w:rsidRPr="005060E0" w:rsidRDefault="00B30D28" w:rsidP="00B30D28">
      <w:pPr>
        <w:spacing w:after="180"/>
      </w:pPr>
      <w:r w:rsidRPr="005060E0">
        <w:t xml:space="preserve">The </w:t>
      </w:r>
      <w:r w:rsidRPr="005060E0">
        <w:rPr>
          <w:i/>
        </w:rPr>
        <w:t>State Planning Policy 5/10 Air, Noise and Hazardous Materials</w:t>
      </w:r>
      <w:r w:rsidRPr="005060E0">
        <w:t xml:space="preserve"> (2010) complements the existing assessment and management framework by providing a more strategic focus on the location of industrial land uses (particularly in relation to sensitive land uses such as housing) that can impact on community and human health, wellbeing, amenity and safety from issues such as air pollutants.</w:t>
      </w:r>
    </w:p>
    <w:p w14:paraId="0058B7D0" w14:textId="77777777" w:rsidR="00B30D28" w:rsidRPr="005060E0" w:rsidRDefault="00B30D28" w:rsidP="009027F1">
      <w:pPr>
        <w:pStyle w:val="Heading3"/>
        <w:rPr>
          <w:u w:val="single"/>
        </w:rPr>
      </w:pPr>
      <w:r w:rsidRPr="005060E0">
        <w:t xml:space="preserve">South Australia </w:t>
      </w:r>
    </w:p>
    <w:p w14:paraId="6690516B" w14:textId="03D4D09D" w:rsidR="00B30D28" w:rsidRPr="005060E0" w:rsidRDefault="00B30D28" w:rsidP="00B30D28">
      <w:pPr>
        <w:spacing w:after="180"/>
      </w:pPr>
      <w:r w:rsidRPr="005060E0">
        <w:t xml:space="preserve">South Australia </w:t>
      </w:r>
      <w:r w:rsidR="00773BC9" w:rsidRPr="005060E0">
        <w:t>references the AAQ NEPM</w:t>
      </w:r>
      <w:r w:rsidRPr="005060E0">
        <w:t xml:space="preserve"> standards for a range of purposes, which include requirements relating to ground-level concentrations for development applications and licence conditions. For example</w:t>
      </w:r>
      <w:r w:rsidR="00261D21" w:rsidRPr="005060E0">
        <w:t>,</w:t>
      </w:r>
      <w:r w:rsidRPr="005060E0">
        <w:t xml:space="preserve"> there is an expectation that submissions for new developments include high quality modelling reports from experienced practitioners, which provide conservative estimates for ground-level impacts of emissions from industrial activities </w:t>
      </w:r>
      <w:r w:rsidR="00773BC9" w:rsidRPr="005060E0">
        <w:t xml:space="preserve">meeting AAQ NEPM </w:t>
      </w:r>
      <w:r w:rsidRPr="005060E0">
        <w:t>standards.</w:t>
      </w:r>
    </w:p>
    <w:p w14:paraId="4990722E" w14:textId="6C4E564C" w:rsidR="00B30D28" w:rsidRPr="005060E0" w:rsidRDefault="00773BC9" w:rsidP="00B30D28">
      <w:pPr>
        <w:spacing w:after="180"/>
      </w:pPr>
      <w:r w:rsidRPr="005060E0">
        <w:t xml:space="preserve">Conditions to meet the </w:t>
      </w:r>
      <w:r w:rsidR="00B30D28" w:rsidRPr="005060E0">
        <w:t xml:space="preserve">standard(s) may be applied within licences under the </w:t>
      </w:r>
      <w:r w:rsidR="00B30D28" w:rsidRPr="005060E0">
        <w:rPr>
          <w:i/>
        </w:rPr>
        <w:t>Environment Protection Act 1993</w:t>
      </w:r>
      <w:r w:rsidR="00B30D28" w:rsidRPr="005060E0">
        <w:t xml:space="preserve"> and/or within development approvals under the </w:t>
      </w:r>
      <w:r w:rsidR="00B30D28" w:rsidRPr="005060E0">
        <w:rPr>
          <w:i/>
        </w:rPr>
        <w:t>Development Act 1993</w:t>
      </w:r>
      <w:r w:rsidR="00B30D28" w:rsidRPr="005060E0">
        <w:t>. Other orders or authorisations, or Environment Improvement Plans under the Environment Protection Act may also potentially embody the standards.</w:t>
      </w:r>
    </w:p>
    <w:p w14:paraId="45791DAF" w14:textId="45003273" w:rsidR="00B30D28" w:rsidRPr="005060E0" w:rsidRDefault="00644AA4" w:rsidP="00B30D28">
      <w:pPr>
        <w:spacing w:after="300"/>
      </w:pPr>
      <w:r w:rsidRPr="005060E0">
        <w:t>Where appropriate, licens</w:t>
      </w:r>
      <w:r w:rsidR="00B30D28" w:rsidRPr="005060E0">
        <w:t>ees can be required to undertake stack emission testing or monitoring to maintain emission levels to meet design ground-level concentr</w:t>
      </w:r>
      <w:r w:rsidRPr="005060E0">
        <w:t>ations. In some instances licens</w:t>
      </w:r>
      <w:r w:rsidR="00B30D28" w:rsidRPr="005060E0">
        <w:t>ees are also required to undertake ambient monitoring to confirm they are meeting the long-term and short-term standards. Non-</w:t>
      </w:r>
      <w:r w:rsidR="000F2B45" w:rsidRPr="005060E0">
        <w:t xml:space="preserve">licensed </w:t>
      </w:r>
      <w:r w:rsidR="00B30D28" w:rsidRPr="005060E0">
        <w:t>activities can also be required to control emissions to meet these standards.</w:t>
      </w:r>
    </w:p>
    <w:p w14:paraId="5274ADA5" w14:textId="77777777" w:rsidR="00B30D28" w:rsidRPr="005060E0" w:rsidRDefault="00B30D28" w:rsidP="009027F1">
      <w:pPr>
        <w:pStyle w:val="Heading3"/>
        <w:rPr>
          <w:u w:val="single"/>
        </w:rPr>
      </w:pPr>
      <w:r w:rsidRPr="005060E0">
        <w:t xml:space="preserve">Western Australia </w:t>
      </w:r>
    </w:p>
    <w:p w14:paraId="6136826F" w14:textId="339C30AB" w:rsidR="00B30D28" w:rsidRPr="005060E0" w:rsidRDefault="00B30D28" w:rsidP="00B30D28">
      <w:r w:rsidRPr="005060E0">
        <w:t xml:space="preserve">In Western Australia proponents are required to conduct assessments of the air quality impacts of existing or proposed sources of air pollutants under Part IV, or in relation to Works Approvals and </w:t>
      </w:r>
      <w:r w:rsidR="000F2B45" w:rsidRPr="005060E0">
        <w:t xml:space="preserve">Licences </w:t>
      </w:r>
      <w:r w:rsidRPr="005060E0">
        <w:t xml:space="preserve">under Part V, of the </w:t>
      </w:r>
      <w:r w:rsidRPr="005060E0">
        <w:rPr>
          <w:i/>
        </w:rPr>
        <w:t>Environmental Protection Act 1986</w:t>
      </w:r>
      <w:r w:rsidRPr="005060E0">
        <w:t xml:space="preserve">. There is an expectation that the </w:t>
      </w:r>
      <w:r w:rsidR="008C5416" w:rsidRPr="005060E0">
        <w:t xml:space="preserve">risk of impact, as measured against the </w:t>
      </w:r>
      <w:r w:rsidRPr="005060E0">
        <w:t>ambient air quality criteria (</w:t>
      </w:r>
      <w:r w:rsidRPr="00CC2143">
        <w:t>e.g.</w:t>
      </w:r>
      <w:r w:rsidRPr="005060E0">
        <w:t xml:space="preserve"> AAQ NEPM) will be </w:t>
      </w:r>
      <w:r w:rsidR="008C5416" w:rsidRPr="005060E0">
        <w:t xml:space="preserve">minimised </w:t>
      </w:r>
      <w:r w:rsidRPr="005060E0">
        <w:t>at all existing or likely future off-site sensitive receptors. For the purposes of air quality assessment, a ‘</w:t>
      </w:r>
      <w:r w:rsidRPr="005060E0">
        <w:rPr>
          <w:bCs/>
        </w:rPr>
        <w:t>sensitive receptor’</w:t>
      </w:r>
      <w:r w:rsidRPr="005060E0">
        <w:t xml:space="preserve"> means a location where people are likely to reside or congregate; this may include a dwelling, school, hospital, nursing home, child care facility or public recreation area or land zoned residential that is either developed or undeveloped. Locations of cultural or environmental significance, including ‘environmentally sensitive areas’ declared under the Act, may also be recognised as sensitive receptors and determined on a case-by-case basis. In </w:t>
      </w:r>
      <w:r w:rsidR="008C5416" w:rsidRPr="005060E0">
        <w:t xml:space="preserve">some </w:t>
      </w:r>
      <w:r w:rsidRPr="005060E0">
        <w:t xml:space="preserve">circumstances, the Department of </w:t>
      </w:r>
      <w:r w:rsidR="00673F82" w:rsidRPr="005060E0">
        <w:t xml:space="preserve">Water and </w:t>
      </w:r>
      <w:r w:rsidRPr="005060E0">
        <w:t>Environment</w:t>
      </w:r>
      <w:r w:rsidR="008C5416" w:rsidRPr="005060E0">
        <w:t>al</w:t>
      </w:r>
      <w:r w:rsidRPr="005060E0">
        <w:t xml:space="preserve"> Regulation or the Department of Health may recommend an alternative ambient air quality guideline be applied in ambient air quality assessments </w:t>
      </w:r>
      <w:r w:rsidR="008C5416" w:rsidRPr="005060E0">
        <w:t>to minimise the risk to a specific population</w:t>
      </w:r>
      <w:r w:rsidRPr="005060E0">
        <w:t>.</w:t>
      </w:r>
    </w:p>
    <w:p w14:paraId="0336C0F5" w14:textId="51EE6BB0" w:rsidR="00B30D28" w:rsidRPr="005060E0" w:rsidRDefault="00B30D28" w:rsidP="00FE2AF4">
      <w:pPr>
        <w:pStyle w:val="Heading3"/>
        <w:ind w:left="851" w:hanging="851"/>
        <w:jc w:val="left"/>
      </w:pPr>
      <w:r w:rsidRPr="005060E0">
        <w:t>Other jurisdictions (Tasm</w:t>
      </w:r>
      <w:r w:rsidR="00205B41" w:rsidRPr="005060E0">
        <w:t>ania, Northern Territory and Australian Capital Territory</w:t>
      </w:r>
      <w:r w:rsidRPr="005060E0">
        <w:t>)</w:t>
      </w:r>
    </w:p>
    <w:p w14:paraId="6695284E" w14:textId="537B30CE" w:rsidR="00B30D28" w:rsidRPr="005060E0" w:rsidRDefault="00B30D28" w:rsidP="00B30D28">
      <w:pPr>
        <w:spacing w:after="180"/>
      </w:pPr>
      <w:r w:rsidRPr="005060E0">
        <w:t xml:space="preserve">In Tasmania, </w:t>
      </w:r>
      <w:r w:rsidR="000F2B45" w:rsidRPr="005060E0">
        <w:t xml:space="preserve">the </w:t>
      </w:r>
      <w:r w:rsidRPr="005060E0">
        <w:t xml:space="preserve">state and local governments control emissions of industrial activities through permits and environment protection notices. Currently, emissions from industries are regulated under the general provisions of the </w:t>
      </w:r>
      <w:r w:rsidRPr="005060E0">
        <w:rPr>
          <w:i/>
        </w:rPr>
        <w:t>Environmental Management and Pollution Control Act 1994</w:t>
      </w:r>
      <w:r w:rsidRPr="005060E0">
        <w:t xml:space="preserve"> and the </w:t>
      </w:r>
      <w:r w:rsidRPr="005060E0">
        <w:rPr>
          <w:i/>
        </w:rPr>
        <w:t>Land Use Planning and Approvals Act 1993</w:t>
      </w:r>
      <w:r w:rsidRPr="005060E0">
        <w:t>. Conditions are applied during the development assessment process, and then compliance is regulated by either the local council for smaller activities</w:t>
      </w:r>
      <w:r w:rsidR="000F2B45" w:rsidRPr="005060E0">
        <w:t>,</w:t>
      </w:r>
      <w:r w:rsidRPr="005060E0">
        <w:t xml:space="preserve"> or by the </w:t>
      </w:r>
      <w:r w:rsidR="000F2B45" w:rsidRPr="005060E0">
        <w:t xml:space="preserve">Tasmanian </w:t>
      </w:r>
      <w:r w:rsidRPr="005060E0">
        <w:t xml:space="preserve">EPA for larger activities. The </w:t>
      </w:r>
      <w:r w:rsidRPr="005060E0">
        <w:rPr>
          <w:i/>
        </w:rPr>
        <w:t>Environment Protection Policy (Air Quality) 2004</w:t>
      </w:r>
      <w:r w:rsidRPr="005060E0">
        <w:t xml:space="preserve"> (EPP) also provides a framework for the management and regulation of both point and diffuse sources. The EPP sets particle limits to apply at the boundary of an activity, which can be incorporated into the premise’s conditions. These limits are not necessarily those specified in the AAQ NEPM</w:t>
      </w:r>
      <w:r w:rsidR="000F2B45" w:rsidRPr="005060E0">
        <w:t>;</w:t>
      </w:r>
      <w:r w:rsidRPr="005060E0">
        <w:t xml:space="preserve"> </w:t>
      </w:r>
      <w:r w:rsidR="000F2B45" w:rsidRPr="005060E0">
        <w:t>h</w:t>
      </w:r>
      <w:r w:rsidRPr="005060E0">
        <w:t>owever, the AAQ NEPM standards are applied during the setting of permit conditions by reference to the standards being met at the nearest sensitive receptor, which may or may not be at the boundary.</w:t>
      </w:r>
    </w:p>
    <w:p w14:paraId="0338261D" w14:textId="77777777" w:rsidR="00B30D28" w:rsidRPr="005060E0" w:rsidRDefault="00B30D28" w:rsidP="00B30D28">
      <w:pPr>
        <w:spacing w:after="180"/>
        <w:rPr>
          <w:highlight w:val="yellow"/>
        </w:rPr>
      </w:pPr>
      <w:r w:rsidRPr="005060E0">
        <w:t>In the Northern Territory the AAQ NEPM criteria are typically applied, although there is no formal recognition of the AAQ NEPM standards in Northern Territory regulatory instruments.</w:t>
      </w:r>
    </w:p>
    <w:p w14:paraId="1C1ACEA0" w14:textId="501D52C2" w:rsidR="00B30D28" w:rsidRPr="005060E0" w:rsidRDefault="00B30D28" w:rsidP="00B30D28">
      <w:pPr>
        <w:spacing w:after="300"/>
      </w:pPr>
      <w:r w:rsidRPr="005060E0">
        <w:t>The ACT does not formally reference the AAQ NEPM standards</w:t>
      </w:r>
      <w:r w:rsidR="000F2B45" w:rsidRPr="005060E0">
        <w:t>;</w:t>
      </w:r>
      <w:r w:rsidRPr="005060E0">
        <w:t xml:space="preserve"> </w:t>
      </w:r>
      <w:r w:rsidR="000F2B45" w:rsidRPr="005060E0">
        <w:t>h</w:t>
      </w:r>
      <w:r w:rsidRPr="005060E0">
        <w:t xml:space="preserve">owever, it does use them in the planning approval and formal Environmental Impact Assessment processes to ensure they will be achieved. In the absence of specific guidelines for </w:t>
      </w:r>
      <w:r w:rsidR="000F2B45" w:rsidRPr="005060E0">
        <w:t xml:space="preserve">the </w:t>
      </w:r>
      <w:r w:rsidRPr="005060E0">
        <w:t xml:space="preserve">ACT, either the NSW </w:t>
      </w:r>
      <w:r w:rsidRPr="005060E0">
        <w:rPr>
          <w:i/>
        </w:rPr>
        <w:t>Approved Methods</w:t>
      </w:r>
      <w:r w:rsidRPr="005060E0">
        <w:t xml:space="preserve"> are employed or the emission limits in the NSW </w:t>
      </w:r>
      <w:r w:rsidRPr="00CC2143">
        <w:t>Protection of the Environment Operations (Clean Air) Regulation 2010</w:t>
      </w:r>
      <w:r w:rsidRPr="005060E0">
        <w:t xml:space="preserve"> are applied.</w:t>
      </w:r>
    </w:p>
    <w:p w14:paraId="4B758A6C" w14:textId="77777777" w:rsidR="00B30D28" w:rsidRPr="005060E0" w:rsidRDefault="00B30D28" w:rsidP="009027F1">
      <w:pPr>
        <w:pStyle w:val="Heading3"/>
      </w:pPr>
      <w:r w:rsidRPr="005060E0">
        <w:t>Summary</w:t>
      </w:r>
    </w:p>
    <w:p w14:paraId="45D73D0F" w14:textId="6158F22C" w:rsidR="00CB3BB4" w:rsidRPr="005060E0" w:rsidRDefault="00B30D28" w:rsidP="00B30D28">
      <w:pPr>
        <w:spacing w:after="360"/>
      </w:pPr>
      <w:r w:rsidRPr="005060E0">
        <w:t xml:space="preserve">The AAQ NEPM standards are often used in a variety of locations and contexts, some of which are inconsistent with the intention of the AAQ NEPM. The AAQ NEPM standards are designed for use at locations away from hot </w:t>
      </w:r>
      <w:r w:rsidR="00551B13" w:rsidRPr="005060E0">
        <w:t>spots but</w:t>
      </w:r>
      <w:r w:rsidRPr="005060E0">
        <w:t xml:space="preserve"> are sometimes applied at other locations as part of environmental assessment (for example, at the boundary of an industrial facility).</w:t>
      </w:r>
    </w:p>
    <w:p w14:paraId="0401D89E" w14:textId="2D371906" w:rsidR="00CB3BB4" w:rsidRPr="005060E0" w:rsidRDefault="00CB3BB4" w:rsidP="00CB3BB4">
      <w:pPr>
        <w:pStyle w:val="Heading2"/>
      </w:pPr>
      <w:bookmarkStart w:id="40" w:name="_Toc3278929"/>
      <w:r w:rsidRPr="005060E0">
        <w:t>Sectoral approaches</w:t>
      </w:r>
      <w:bookmarkEnd w:id="40"/>
    </w:p>
    <w:p w14:paraId="7CD1DF0D" w14:textId="77777777" w:rsidR="00CB3BB4" w:rsidRPr="005060E0" w:rsidRDefault="00CB3BB4" w:rsidP="00CB3BB4">
      <w:pPr>
        <w:pStyle w:val="Heading3"/>
      </w:pPr>
      <w:r w:rsidRPr="005060E0">
        <w:t>Industry</w:t>
      </w:r>
    </w:p>
    <w:p w14:paraId="1A66F69A" w14:textId="0FFCBE69" w:rsidR="00CB3BB4" w:rsidRPr="005060E0" w:rsidRDefault="00CB3BB4" w:rsidP="00CB3BB4">
      <w:pPr>
        <w:rPr>
          <w:szCs w:val="20"/>
        </w:rPr>
      </w:pPr>
      <w:r w:rsidRPr="005060E0">
        <w:t xml:space="preserve">The relevant state and territory environmental agencies administer legislation that allows for the management and control of emissions from large industrial point sources such as power stations, refineries, smelters and cement works. These measures vary in name across the jurisdictions, but are generally works </w:t>
      </w:r>
      <w:r w:rsidRPr="005060E0">
        <w:rPr>
          <w:szCs w:val="20"/>
        </w:rPr>
        <w:t xml:space="preserve">approvals, licences and notices, as well as enforcement programs. </w:t>
      </w:r>
      <w:r w:rsidRPr="005060E0">
        <w:t xml:space="preserve">In some jurisdictions regulatory measures may be administered specific to a region or centre or source type where </w:t>
      </w:r>
      <w:r w:rsidR="001E68FB" w:rsidRPr="005060E0">
        <w:t xml:space="preserve">focused </w:t>
      </w:r>
      <w:r w:rsidRPr="005060E0">
        <w:t>attention has been required</w:t>
      </w:r>
      <w:r w:rsidRPr="005060E0">
        <w:rPr>
          <w:szCs w:val="20"/>
        </w:rPr>
        <w:t>, such as environmental protection policies and regional management plans.</w:t>
      </w:r>
    </w:p>
    <w:p w14:paraId="7B0F359A" w14:textId="51F7826E" w:rsidR="00CB3BB4" w:rsidRPr="005060E0" w:rsidRDefault="00CB3BB4" w:rsidP="00CB3BB4">
      <w:pPr>
        <w:pStyle w:val="Heading3"/>
      </w:pPr>
      <w:r w:rsidRPr="005060E0">
        <w:t>Road vehicles</w:t>
      </w:r>
    </w:p>
    <w:p w14:paraId="36570334" w14:textId="6E218521" w:rsidR="00CB3BB4" w:rsidRPr="005060E0" w:rsidRDefault="00CB3BB4" w:rsidP="00CB3BB4">
      <w:pPr>
        <w:rPr>
          <w:szCs w:val="20"/>
        </w:rPr>
      </w:pPr>
      <w:r w:rsidRPr="005060E0">
        <w:rPr>
          <w:szCs w:val="20"/>
        </w:rPr>
        <w:t xml:space="preserve">The management measures for vehicle emissions occur at both a national and state/territory level. The Australian Government has set emission standards for new vehicles through the Australian Design Rules (ADR) via the </w:t>
      </w:r>
      <w:r w:rsidRPr="00CC2143">
        <w:rPr>
          <w:i/>
          <w:szCs w:val="20"/>
        </w:rPr>
        <w:t>Motor Vehicles Standards Act</w:t>
      </w:r>
      <w:r w:rsidR="00C70F53" w:rsidRPr="00CC2143">
        <w:rPr>
          <w:i/>
          <w:szCs w:val="20"/>
        </w:rPr>
        <w:t xml:space="preserve"> 1989</w:t>
      </w:r>
      <w:r w:rsidRPr="005060E0">
        <w:rPr>
          <w:szCs w:val="20"/>
        </w:rPr>
        <w:t xml:space="preserve">, and minimum standards for fuel quality via the </w:t>
      </w:r>
      <w:r w:rsidRPr="00CC2143">
        <w:rPr>
          <w:i/>
          <w:szCs w:val="20"/>
        </w:rPr>
        <w:t>Fuel Quality Standards Act</w:t>
      </w:r>
      <w:r w:rsidR="00F30CFF" w:rsidRPr="00CC2143">
        <w:rPr>
          <w:i/>
          <w:szCs w:val="20"/>
        </w:rPr>
        <w:t xml:space="preserve"> 2000</w:t>
      </w:r>
      <w:r w:rsidRPr="005060E0">
        <w:rPr>
          <w:szCs w:val="20"/>
        </w:rPr>
        <w:t xml:space="preserve">. </w:t>
      </w:r>
      <w:r w:rsidR="00EC41A5" w:rsidRPr="005060E0">
        <w:t>The National Environment Protection (Diesel Vehicle Emissions) Measure 2001 was made</w:t>
      </w:r>
      <w:r w:rsidR="003E0EF4" w:rsidRPr="005060E0">
        <w:t>,</w:t>
      </w:r>
      <w:r w:rsidR="00EC41A5" w:rsidRPr="005060E0">
        <w:t xml:space="preserve"> focusing on PM and NO</w:t>
      </w:r>
      <w:r w:rsidR="00EC41A5" w:rsidRPr="00CC2143">
        <w:rPr>
          <w:vertAlign w:val="subscript"/>
        </w:rPr>
        <w:t>x</w:t>
      </w:r>
      <w:r w:rsidR="00EC41A5" w:rsidRPr="005060E0">
        <w:t xml:space="preserve"> emissions from the in-service fleet</w:t>
      </w:r>
      <w:r w:rsidRPr="005060E0">
        <w:t>.</w:t>
      </w:r>
    </w:p>
    <w:p w14:paraId="2782DB5B" w14:textId="0980E929" w:rsidR="00CB3BB4" w:rsidRPr="005060E0" w:rsidRDefault="00CB3BB4" w:rsidP="00CB3BB4">
      <w:r w:rsidRPr="005060E0">
        <w:rPr>
          <w:szCs w:val="20"/>
        </w:rPr>
        <w:t>The reduction in sulfur content of fuel has supported the introduction of exhaust after treatment devices in vehicles</w:t>
      </w:r>
      <w:r w:rsidR="00CD2C87" w:rsidRPr="005060E0">
        <w:rPr>
          <w:szCs w:val="20"/>
        </w:rPr>
        <w:t>,</w:t>
      </w:r>
      <w:r w:rsidRPr="005060E0">
        <w:rPr>
          <w:szCs w:val="20"/>
        </w:rPr>
        <w:t xml:space="preserve"> which also provide a co-benefit (reducing particles). </w:t>
      </w:r>
      <w:r w:rsidRPr="005060E0">
        <w:t>At the state and territory level the management strategies vary and include reporting and inspection programs, fines for excessive emissions, lowering the Reid Vapour Pressure of fuel, and vapour recovery at petrol stations. Alternative fuels to petrol and diesel, such as liquefied petroleum gas (LPG) or compressed natural gas (CNG)</w:t>
      </w:r>
      <w:r w:rsidR="00E04EC4" w:rsidRPr="005060E0">
        <w:t>,</w:t>
      </w:r>
      <w:r w:rsidRPr="005060E0">
        <w:t xml:space="preserve"> have been advocated to assist in reducing emissions</w:t>
      </w:r>
      <w:r w:rsidR="00E04EC4" w:rsidRPr="005060E0">
        <w:t xml:space="preserve"> of volatile organic compounds (VOCs)</w:t>
      </w:r>
      <w:r w:rsidRPr="005060E0">
        <w:t>, as well as a transition to hybrid and electric vehicles. Alternative transport modes are advocated to decrease the distance vehicles are used to travel</w:t>
      </w:r>
      <w:r w:rsidR="008622DE" w:rsidRPr="005060E0">
        <w:t>,</w:t>
      </w:r>
      <w:r w:rsidRPr="005060E0">
        <w:t xml:space="preserve"> i</w:t>
      </w:r>
      <w:r w:rsidR="0073647A" w:rsidRPr="005060E0">
        <w:t>.</w:t>
      </w:r>
      <w:r w:rsidRPr="005060E0">
        <w:t>e</w:t>
      </w:r>
      <w:r w:rsidR="0073647A" w:rsidRPr="005060E0">
        <w:t>.</w:t>
      </w:r>
      <w:r w:rsidRPr="005060E0">
        <w:t xml:space="preserve"> replacing vehicle transport mode with public transport (buses, trains and trams) and cycling. This approach is also supported with land-use planning and development strategies supportive of the alternative transport mode.</w:t>
      </w:r>
    </w:p>
    <w:p w14:paraId="6225FE2F" w14:textId="35ACDDC8" w:rsidR="00CB3BB4" w:rsidRPr="005060E0" w:rsidRDefault="00CB3BB4" w:rsidP="00CB3BB4">
      <w:r w:rsidRPr="005060E0">
        <w:t xml:space="preserve">Education and awareness </w:t>
      </w:r>
      <w:r w:rsidR="00EC18F0" w:rsidRPr="005060E0">
        <w:t xml:space="preserve">programs </w:t>
      </w:r>
      <w:r w:rsidRPr="005060E0">
        <w:t>have also been used. Awareness programs are varied and include advocating alternative fuels and transport modes to personal vehicle usage (i.e. cycling and public transport) as well as integrated land</w:t>
      </w:r>
      <w:r w:rsidR="008622DE" w:rsidRPr="005060E0">
        <w:t>-</w:t>
      </w:r>
      <w:r w:rsidRPr="005060E0">
        <w:t>use and transport planning strategies.</w:t>
      </w:r>
    </w:p>
    <w:p w14:paraId="06C10079" w14:textId="38D36B15" w:rsidR="00CB3BB4" w:rsidRPr="005060E0" w:rsidRDefault="00CB3BB4" w:rsidP="00CB3BB4">
      <w:pPr>
        <w:pStyle w:val="Heading3"/>
      </w:pPr>
      <w:r w:rsidRPr="005060E0">
        <w:t>Shipping</w:t>
      </w:r>
    </w:p>
    <w:p w14:paraId="64429B1B" w14:textId="3116D6D8" w:rsidR="004A537E" w:rsidRPr="005060E0" w:rsidRDefault="004A537E" w:rsidP="004A537E">
      <w:r w:rsidRPr="005060E0">
        <w:t>The Australian Government administers regulations to prevent pollution from ships in Australian waters. The legislative controls reference the International Convention for the Prevention of Pollution from Ships (MARPOL). This sets out provisions for the reduction in emissions of SO</w:t>
      </w:r>
      <w:r w:rsidRPr="005060E0">
        <w:rPr>
          <w:vertAlign w:val="subscript"/>
        </w:rPr>
        <w:t>2</w:t>
      </w:r>
      <w:r w:rsidRPr="005060E0">
        <w:t>, NO</w:t>
      </w:r>
      <w:r w:rsidRPr="005060E0">
        <w:rPr>
          <w:vertAlign w:val="subscript"/>
        </w:rPr>
        <w:t>X</w:t>
      </w:r>
      <w:r w:rsidRPr="005060E0">
        <w:t xml:space="preserve"> and particulate matter. SO</w:t>
      </w:r>
      <w:r w:rsidRPr="005060E0">
        <w:rPr>
          <w:vertAlign w:val="subscript"/>
        </w:rPr>
        <w:t>2</w:t>
      </w:r>
      <w:r w:rsidRPr="005060E0">
        <w:t xml:space="preserve"> emission reduction is achieved through the setting of limits on the sulfur content of marine fuel oil.</w:t>
      </w:r>
    </w:p>
    <w:p w14:paraId="543CE90B" w14:textId="482A2EB8" w:rsidR="00C543C5" w:rsidRPr="005060E0" w:rsidRDefault="00C543C5" w:rsidP="004A537E">
      <w:r w:rsidRPr="005060E0">
        <w:rPr>
          <w:rFonts w:cs="Arial"/>
        </w:rPr>
        <w:t xml:space="preserve">From January 2020 the International Maritime Organization </w:t>
      </w:r>
      <w:r w:rsidR="008622DE" w:rsidRPr="005060E0">
        <w:rPr>
          <w:rFonts w:cs="Arial"/>
        </w:rPr>
        <w:t xml:space="preserve">will </w:t>
      </w:r>
      <w:r w:rsidRPr="005060E0">
        <w:rPr>
          <w:rFonts w:cs="Arial"/>
        </w:rPr>
        <w:t>reduce the global sulfur cap from 3.5 to 0.5</w:t>
      </w:r>
      <w:r w:rsidR="00C75B58">
        <w:rPr>
          <w:rFonts w:cs="Arial"/>
        </w:rPr>
        <w:t xml:space="preserve"> per cent</w:t>
      </w:r>
      <w:r w:rsidRPr="005060E0">
        <w:rPr>
          <w:rFonts w:cs="Arial"/>
        </w:rPr>
        <w:t xml:space="preserve"> for fuel oil used by ships. This will be the minimum requirement for all ships. Currently, the average sulfur content of marine fuel (usually heavy fuel oil) in the NSW Greater Metropolitan Region is 2.7</w:t>
      </w:r>
      <w:r w:rsidR="00C75B58">
        <w:rPr>
          <w:rFonts w:cs="Arial"/>
        </w:rPr>
        <w:t xml:space="preserve"> per cent</w:t>
      </w:r>
      <w:r w:rsidRPr="005060E0">
        <w:rPr>
          <w:rFonts w:cs="Arial"/>
        </w:rPr>
        <w:t>. A 0.5</w:t>
      </w:r>
      <w:r w:rsidR="00C75B58">
        <w:rPr>
          <w:rFonts w:cs="Arial"/>
        </w:rPr>
        <w:t xml:space="preserve"> per cent</w:t>
      </w:r>
      <w:r w:rsidRPr="005060E0">
        <w:rPr>
          <w:rFonts w:cs="Arial"/>
        </w:rPr>
        <w:t xml:space="preserve"> maximum sulfur requirement is estimated to reduce SO</w:t>
      </w:r>
      <w:r w:rsidRPr="005060E0">
        <w:rPr>
          <w:rFonts w:cs="Arial"/>
          <w:vertAlign w:val="subscript"/>
        </w:rPr>
        <w:t>2</w:t>
      </w:r>
      <w:r w:rsidRPr="005060E0">
        <w:rPr>
          <w:rFonts w:cs="Arial"/>
        </w:rPr>
        <w:t xml:space="preserve"> (and PM</w:t>
      </w:r>
      <w:r w:rsidRPr="005060E0">
        <w:rPr>
          <w:rFonts w:cs="Arial"/>
          <w:vertAlign w:val="subscript"/>
        </w:rPr>
        <w:t>2.5</w:t>
      </w:r>
      <w:r w:rsidRPr="005060E0">
        <w:rPr>
          <w:rFonts w:cs="Arial"/>
        </w:rPr>
        <w:t>) emissions from all shipping in NSW.</w:t>
      </w:r>
    </w:p>
    <w:p w14:paraId="427A126E" w14:textId="41D985F3" w:rsidR="00B30D28" w:rsidRPr="005060E0" w:rsidRDefault="00876444" w:rsidP="00876444">
      <w:pPr>
        <w:pStyle w:val="Heading2"/>
      </w:pPr>
      <w:bookmarkStart w:id="41" w:name="_Toc3278930"/>
      <w:r w:rsidRPr="005060E0">
        <w:t>National Clean Air Agreement</w:t>
      </w:r>
      <w:bookmarkEnd w:id="41"/>
    </w:p>
    <w:p w14:paraId="261F56B5" w14:textId="5EBC35FB" w:rsidR="006E3289" w:rsidRPr="005060E0" w:rsidRDefault="006E3289" w:rsidP="006E3289">
      <w:r w:rsidRPr="005060E0">
        <w:t>Australia’s environment ministers established the National Clean Air Agreement</w:t>
      </w:r>
      <w:r w:rsidR="009670AC" w:rsidRPr="005060E0">
        <w:rPr>
          <w:rStyle w:val="FootnoteReference"/>
        </w:rPr>
        <w:footnoteReference w:id="17"/>
      </w:r>
      <w:r w:rsidRPr="005060E0">
        <w:t xml:space="preserve"> on 15 December 2015, recognising the challenges facing Australia’s air quality now and into the future. The agreement sets a framework to help governments identify and prioritise actions that would benefit from national collaboration to address air quality issues, and deliver health, environmental and economic outcomes for Australians. Actions agreed by Australia’s environment ministers are listed on the agreement’s work plan. </w:t>
      </w:r>
    </w:p>
    <w:p w14:paraId="683F3E72" w14:textId="1D668015" w:rsidR="002854C0" w:rsidRPr="005060E0" w:rsidRDefault="006E3289" w:rsidP="009670AC">
      <w:r w:rsidRPr="005060E0">
        <w:t>The agreement’s initial work plan included the strengthening of the AAQ NEPM’s particle standards, which came into effect through a variation to the AAQ NEPM in early 2016</w:t>
      </w:r>
      <w:r w:rsidR="009670AC" w:rsidRPr="005060E0">
        <w:rPr>
          <w:rStyle w:val="FootnoteReference"/>
        </w:rPr>
        <w:footnoteReference w:id="18"/>
      </w:r>
      <w:r w:rsidRPr="005060E0">
        <w:t>. It also included the current work to review the AAQ NEPM standards for SO</w:t>
      </w:r>
      <w:r w:rsidRPr="005060E0">
        <w:rPr>
          <w:vertAlign w:val="subscript"/>
        </w:rPr>
        <w:t>2</w:t>
      </w:r>
      <w:r w:rsidRPr="005060E0">
        <w:t>, NO</w:t>
      </w:r>
      <w:r w:rsidRPr="005060E0">
        <w:rPr>
          <w:vertAlign w:val="subscript"/>
        </w:rPr>
        <w:t>2</w:t>
      </w:r>
      <w:r w:rsidRPr="005060E0">
        <w:t xml:space="preserve"> and O</w:t>
      </w:r>
      <w:r w:rsidRPr="005060E0">
        <w:rPr>
          <w:vertAlign w:val="subscript"/>
        </w:rPr>
        <w:t>3</w:t>
      </w:r>
      <w:r w:rsidRPr="005060E0">
        <w:t>, with a view to strengthening these standards. The updated work plan, agreed by environment ministers in April 2018, continues to recognise this work as a priority.</w:t>
      </w:r>
      <w:r w:rsidR="009670AC" w:rsidRPr="005060E0">
        <w:t xml:space="preserve"> </w:t>
      </w:r>
    </w:p>
    <w:p w14:paraId="004C580F" w14:textId="77777777" w:rsidR="002854C0" w:rsidRPr="005060E0" w:rsidRDefault="002854C0">
      <w:pPr>
        <w:spacing w:after="160" w:line="259" w:lineRule="auto"/>
      </w:pPr>
      <w:r w:rsidRPr="005060E0">
        <w:br w:type="page"/>
      </w:r>
    </w:p>
    <w:p w14:paraId="5F6630F7" w14:textId="77777777" w:rsidR="00310D88" w:rsidRPr="005060E0" w:rsidRDefault="00310D88" w:rsidP="00762C3C">
      <w:pPr>
        <w:spacing w:after="240"/>
      </w:pPr>
      <w:r w:rsidRPr="005060E0">
        <w:rPr>
          <w:noProof/>
          <w:lang w:eastAsia="en-AU"/>
        </w:rPr>
        <mc:AlternateContent>
          <mc:Choice Requires="wps">
            <w:drawing>
              <wp:inline distT="0" distB="0" distL="0" distR="0" wp14:anchorId="66729B83" wp14:editId="687B829F">
                <wp:extent cx="6080125" cy="5003597"/>
                <wp:effectExtent l="0" t="0" r="15875" b="26035"/>
                <wp:docPr id="13" name="Text Box 13"/>
                <wp:cNvGraphicFramePr/>
                <a:graphic xmlns:a="http://schemas.openxmlformats.org/drawingml/2006/main">
                  <a:graphicData uri="http://schemas.microsoft.com/office/word/2010/wordprocessingShape">
                    <wps:wsp>
                      <wps:cNvSpPr txBox="1"/>
                      <wps:spPr>
                        <a:xfrm>
                          <a:off x="0" y="0"/>
                          <a:ext cx="6080125" cy="5003597"/>
                        </a:xfrm>
                        <a:prstGeom prst="rect">
                          <a:avLst/>
                        </a:prstGeom>
                        <a:ln>
                          <a:solidFill>
                            <a:schemeClr val="accent1">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10818A6E" w14:textId="24AB283F" w:rsidR="00B246FA" w:rsidRDefault="00B246FA">
                            <w:pPr>
                              <w:rPr>
                                <w:b/>
                                <w:sz w:val="24"/>
                              </w:rPr>
                            </w:pPr>
                            <w:r w:rsidRPr="006233CD">
                              <w:rPr>
                                <w:b/>
                                <w:sz w:val="24"/>
                              </w:rPr>
                              <w:t>Chapter</w:t>
                            </w:r>
                            <w:r>
                              <w:rPr>
                                <w:b/>
                                <w:sz w:val="24"/>
                              </w:rPr>
                              <w:t>s</w:t>
                            </w:r>
                            <w:r w:rsidRPr="006233CD">
                              <w:rPr>
                                <w:b/>
                                <w:sz w:val="24"/>
                              </w:rPr>
                              <w:t xml:space="preserve"> 1 and 2 – Key </w:t>
                            </w:r>
                            <w:r>
                              <w:rPr>
                                <w:b/>
                                <w:sz w:val="24"/>
                              </w:rPr>
                              <w:t>p</w:t>
                            </w:r>
                            <w:r w:rsidRPr="006233CD">
                              <w:rPr>
                                <w:b/>
                                <w:sz w:val="24"/>
                              </w:rPr>
                              <w:t>oints</w:t>
                            </w:r>
                          </w:p>
                          <w:p w14:paraId="3618D26F" w14:textId="72FC60D3" w:rsidR="00B246FA" w:rsidRPr="006233CD" w:rsidRDefault="00B246FA" w:rsidP="008C15D4">
                            <w:pPr>
                              <w:pStyle w:val="ListParagraph"/>
                              <w:numPr>
                                <w:ilvl w:val="0"/>
                                <w:numId w:val="76"/>
                              </w:numPr>
                              <w:ind w:left="714" w:hanging="357"/>
                              <w:contextualSpacing w:val="0"/>
                            </w:pPr>
                            <w:r w:rsidRPr="006233CD">
                              <w:t>The AAQ NEPM provides a consistent framework for the monitoring and reporting of ambient air quality in Australia.</w:t>
                            </w:r>
                          </w:p>
                          <w:p w14:paraId="714DC99B" w14:textId="52E1A045" w:rsidR="00B246FA" w:rsidRPr="006233CD" w:rsidRDefault="00B246FA" w:rsidP="008C15D4">
                            <w:pPr>
                              <w:pStyle w:val="ListParagraph"/>
                              <w:numPr>
                                <w:ilvl w:val="0"/>
                                <w:numId w:val="76"/>
                              </w:numPr>
                              <w:ind w:left="714" w:hanging="357"/>
                              <w:contextualSpacing w:val="0"/>
                            </w:pPr>
                            <w:r w:rsidRPr="006233CD">
                              <w:t>All Australian states and territories report annually against the AAQ NEPM.</w:t>
                            </w:r>
                          </w:p>
                          <w:p w14:paraId="503C44FB" w14:textId="6C1C2DC4" w:rsidR="00B246FA" w:rsidRPr="006233CD" w:rsidRDefault="00B246FA" w:rsidP="008C15D4">
                            <w:pPr>
                              <w:pStyle w:val="ListParagraph"/>
                              <w:numPr>
                                <w:ilvl w:val="0"/>
                                <w:numId w:val="76"/>
                              </w:numPr>
                              <w:ind w:left="714" w:hanging="357"/>
                              <w:contextualSpacing w:val="0"/>
                            </w:pPr>
                            <w:r w:rsidRPr="006233CD">
                              <w:t>The AAQ NEPM does not compel or direct pollution control measures. It is not directly enforceable on industry.</w:t>
                            </w:r>
                          </w:p>
                          <w:p w14:paraId="332F2CD2" w14:textId="0560A60D" w:rsidR="00B246FA" w:rsidRPr="006233CD" w:rsidRDefault="00B246FA" w:rsidP="008C15D4">
                            <w:pPr>
                              <w:pStyle w:val="ListParagraph"/>
                              <w:numPr>
                                <w:ilvl w:val="0"/>
                                <w:numId w:val="76"/>
                              </w:numPr>
                              <w:ind w:left="714" w:hanging="357"/>
                              <w:contextualSpacing w:val="0"/>
                            </w:pPr>
                            <w:r w:rsidRPr="006233CD">
                              <w:t>The AAQ NEPM standards are designed for locations that are generally representative of the level of exposure of the broad population, rather than for ‘hot spots’ near major point sources or roads.</w:t>
                            </w:r>
                          </w:p>
                          <w:p w14:paraId="33D753C0" w14:textId="0C2A1B4B" w:rsidR="00B246FA" w:rsidRPr="006233CD" w:rsidRDefault="00B246FA" w:rsidP="008C15D4">
                            <w:pPr>
                              <w:pStyle w:val="ListParagraph"/>
                              <w:numPr>
                                <w:ilvl w:val="0"/>
                                <w:numId w:val="76"/>
                              </w:numPr>
                              <w:ind w:left="714" w:hanging="357"/>
                              <w:contextualSpacing w:val="0"/>
                            </w:pPr>
                            <w:r w:rsidRPr="006233CD">
                              <w:t>Jurisdictions may employ complementary methods to support their air quality management frameworks. This could include setting design goals and/or licence conditions on industrial premises.</w:t>
                            </w:r>
                          </w:p>
                          <w:p w14:paraId="66B4AFF5" w14:textId="5533BE1F" w:rsidR="00B246FA" w:rsidRPr="006233CD" w:rsidRDefault="00B246FA" w:rsidP="008C15D4">
                            <w:pPr>
                              <w:pStyle w:val="ListParagraph"/>
                              <w:numPr>
                                <w:ilvl w:val="0"/>
                                <w:numId w:val="76"/>
                              </w:numPr>
                              <w:ind w:left="714" w:hanging="357"/>
                              <w:contextualSpacing w:val="0"/>
                            </w:pPr>
                            <w:r w:rsidRPr="006233CD">
                              <w:t xml:space="preserve">This review </w:t>
                            </w:r>
                            <w:r>
                              <w:t>focuses</w:t>
                            </w:r>
                            <w:r w:rsidRPr="006233CD">
                              <w:t xml:space="preserve"> on the review of the O</w:t>
                            </w:r>
                            <w:r w:rsidRPr="006233CD">
                              <w:rPr>
                                <w:vertAlign w:val="subscript"/>
                              </w:rPr>
                              <w:t>3</w:t>
                            </w:r>
                            <w:r w:rsidRPr="006233CD">
                              <w:t>, NO</w:t>
                            </w:r>
                            <w:r w:rsidRPr="006233CD">
                              <w:rPr>
                                <w:vertAlign w:val="subscript"/>
                              </w:rPr>
                              <w:t>2</w:t>
                            </w:r>
                            <w:r w:rsidRPr="006233CD">
                              <w:t xml:space="preserve"> and SO</w:t>
                            </w:r>
                            <w:r w:rsidRPr="006233CD">
                              <w:rPr>
                                <w:vertAlign w:val="subscript"/>
                              </w:rPr>
                              <w:t>2</w:t>
                            </w:r>
                            <w:r w:rsidRPr="006233CD">
                              <w:t xml:space="preserve"> standards in the AAQ NEPM.</w:t>
                            </w:r>
                          </w:p>
                          <w:p w14:paraId="3CCF4796" w14:textId="633A92FB" w:rsidR="00B246FA" w:rsidRPr="006233CD" w:rsidRDefault="00B246FA" w:rsidP="008C15D4">
                            <w:pPr>
                              <w:pStyle w:val="ListParagraph"/>
                              <w:numPr>
                                <w:ilvl w:val="0"/>
                                <w:numId w:val="76"/>
                              </w:numPr>
                              <w:ind w:left="714" w:hanging="357"/>
                              <w:contextualSpacing w:val="0"/>
                            </w:pPr>
                            <w:r w:rsidRPr="006233CD">
                              <w:t xml:space="preserve">A national Expert Working Group worked in parallel with this review on a number of projects to address monitoring, reporting and assessment recommendations from the 2011 AAQ NEPM </w:t>
                            </w:r>
                            <w:r>
                              <w:t>r</w:t>
                            </w:r>
                            <w:r w:rsidRPr="006233CD">
                              <w:t xml:space="preserve">eview. One of these projects has made recommendations for changes to </w:t>
                            </w:r>
                            <w:r>
                              <w:t>c</w:t>
                            </w:r>
                            <w:r w:rsidRPr="006233CD">
                              <w:t>lause 14 of the AAQ NEPM (Number of performance monitoring stations) to consider the potential population at risk (Section 1.5.3).</w:t>
                            </w:r>
                          </w:p>
                          <w:p w14:paraId="32F4C210" w14:textId="7C8C52C2" w:rsidR="00B246FA" w:rsidRPr="006233CD" w:rsidRDefault="00B246FA" w:rsidP="008C15D4">
                            <w:pPr>
                              <w:pStyle w:val="ListParagraph"/>
                              <w:numPr>
                                <w:ilvl w:val="0"/>
                                <w:numId w:val="76"/>
                              </w:numPr>
                              <w:ind w:left="714" w:hanging="357"/>
                              <w:contextualSpacing w:val="0"/>
                            </w:pPr>
                            <w:r w:rsidRPr="006233CD">
                              <w:t>The findings in this report for O</w:t>
                            </w:r>
                            <w:r w:rsidRPr="006233CD">
                              <w:rPr>
                                <w:vertAlign w:val="subscript"/>
                              </w:rPr>
                              <w:t>3</w:t>
                            </w:r>
                            <w:r w:rsidRPr="006233CD">
                              <w:t>, NO</w:t>
                            </w:r>
                            <w:r w:rsidRPr="006233CD">
                              <w:rPr>
                                <w:vertAlign w:val="subscript"/>
                              </w:rPr>
                              <w:t>2</w:t>
                            </w:r>
                            <w:r w:rsidRPr="006233CD">
                              <w:t xml:space="preserve"> and SO</w:t>
                            </w:r>
                            <w:r w:rsidRPr="006233CD">
                              <w:rPr>
                                <w:vertAlign w:val="subscript"/>
                              </w:rPr>
                              <w:t>2</w:t>
                            </w:r>
                            <w:r w:rsidRPr="006233CD">
                              <w:t xml:space="preserve"> include recommendations for the removal of maximum allowable exceedances to enhance the health protection provided by the standards. Although not assessed as part of this review, it is proposed that the allowable exceedances for carbon monoxide (CO) also be removed.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729B83" id="_x0000_t202" coordsize="21600,21600" o:spt="202" path="m,l,21600r21600,l21600,xe">
                <v:stroke joinstyle="miter"/>
                <v:path gradientshapeok="t" o:connecttype="rect"/>
              </v:shapetype>
              <v:shape id="Text Box 13" o:spid="_x0000_s1026" type="#_x0000_t202" style="width:478.75pt;height:3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7vPogIAAKYFAAAOAAAAZHJzL2Uyb0RvYy54bWysVN9P2zAQfp+0/8Hy+0ha2gIVKepATJMY&#10;oMHEs+vYNJrt82y3Tfnrd7aTUDGkSdP6kNr3+zt/d+cXrVZkK5xvwFR0dFRSIgyHujHPFf3xeP3p&#10;lBIfmKmZAiMquheeXiw+fjjf2bkYwxpULRzBIMbPd7ai6xDsvCg8XwvN/BFYYVApwWkW8Oqei9qx&#10;HUbXqhiX5azYgautAy68R+lVVtJFii+l4OFOSi8CURXF2kL6uvRdxW+xOGfzZ8fsuuFdGewfqtCs&#10;MZh0CHXFAiMb1/wRSjfcgQcZjjjoAqRsuEgYEM2ofIPmYc2sSFiwOd4ObfL/Lyy/3d470tT4dseU&#10;GKbxjR5FG8hnaAmKsD876+do9mDRMLQoR9te7lEYYbfS6fiPgAjqsdP7obsxGkfhrDwtR+MpJRx1&#10;07I8np6dxDjFq7t1PnwRoEk8VNTh86Wusu2ND9m0N4nZlIlfD6qprxul0iUSR1wqR7YMn5xxLkwY&#10;pSBqo79BneWzEn/58VGMFMniSS/GmhIFY6RU4UES1MXERexLxp9OYa9ELuq7kNhRRDxOeYdAhyXN&#10;OuTKoHV0kwhgcMwFv3FUiCP3oLONbiJxfHAs/55x8EhZwYTBWTcG3HsB6p9D5mzfo8+YI/zQrtqO&#10;Kyuo90gVB3nYvOXXDT7nDfPhnjmcLmQHboxwhx+pYFdR6E6UrMG9vCeP9kh61FKyw2mtqP+1YU5Q&#10;or4aHIez0WQSxztdJtOTMV7coWZ1qDEbfQnIjhHuJsvTMdoH1R+lA/2Ei2UZs6KKGY65Kxr642XI&#10;OwQXExfLZTLCgbYs3JgHy2Po2N5I1sf2iTnbMTrgMNxCP9ds/obY2TZ6GlhuAsgmsT42OHe1azwu&#10;g8TKbnHFbXN4T1av63XxGwAA//8DAFBLAwQUAAYACAAAACEAs3E0W9wAAAAFAQAADwAAAGRycy9k&#10;b3ducmV2LnhtbEyPT0sDMRDF74LfIYzgzWYVarfrZkvxDwhiobXep5t0N5hMliRtt9/e0YteHgxv&#10;eO/36sXonTiamGwgBbeTAoShNmhLnYLtx8tNCSJlJI0ukFFwNgkWzeVFjZUOJ1qb4yZ3gkMoVaig&#10;z3mopExtbzymSRgMsbcP0WPmM3ZSRzxxuHfyrijupUdL3NDjYB57035tDp5Lzu3bcr7/dO+4XUf7&#10;aldP4Xml1PXVuHwAkc2Y/57hB5/RoWGmXTiQTsIp4CH5V9mbT2dTEDsFs7IsQDa1/E/ffAMAAP//&#10;AwBQSwECLQAUAAYACAAAACEAtoM4kv4AAADhAQAAEwAAAAAAAAAAAAAAAAAAAAAAW0NvbnRlbnRf&#10;VHlwZXNdLnhtbFBLAQItABQABgAIAAAAIQA4/SH/1gAAAJQBAAALAAAAAAAAAAAAAAAAAC8BAABf&#10;cmVscy8ucmVsc1BLAQItABQABgAIAAAAIQBCs7vPogIAAKYFAAAOAAAAAAAAAAAAAAAAAC4CAABk&#10;cnMvZTJvRG9jLnhtbFBLAQItABQABgAIAAAAIQCzcTRb3AAAAAUBAAAPAAAAAAAAAAAAAAAAAPwE&#10;AABkcnMvZG93bnJldi54bWxQSwUGAAAAAAQABADzAAAABQYAAAAA&#10;" fillcolor="white [3201]" strokecolor="#40b4ff [1940]" strokeweight="2pt">
                <v:textbox>
                  <w:txbxContent>
                    <w:p w14:paraId="10818A6E" w14:textId="24AB283F" w:rsidR="00B246FA" w:rsidRDefault="00B246FA">
                      <w:pPr>
                        <w:rPr>
                          <w:b/>
                          <w:sz w:val="24"/>
                        </w:rPr>
                      </w:pPr>
                      <w:r w:rsidRPr="006233CD">
                        <w:rPr>
                          <w:b/>
                          <w:sz w:val="24"/>
                        </w:rPr>
                        <w:t>Chapter</w:t>
                      </w:r>
                      <w:r>
                        <w:rPr>
                          <w:b/>
                          <w:sz w:val="24"/>
                        </w:rPr>
                        <w:t>s</w:t>
                      </w:r>
                      <w:r w:rsidRPr="006233CD">
                        <w:rPr>
                          <w:b/>
                          <w:sz w:val="24"/>
                        </w:rPr>
                        <w:t xml:space="preserve"> 1 and 2 – Key </w:t>
                      </w:r>
                      <w:r>
                        <w:rPr>
                          <w:b/>
                          <w:sz w:val="24"/>
                        </w:rPr>
                        <w:t>p</w:t>
                      </w:r>
                      <w:r w:rsidRPr="006233CD">
                        <w:rPr>
                          <w:b/>
                          <w:sz w:val="24"/>
                        </w:rPr>
                        <w:t>oints</w:t>
                      </w:r>
                    </w:p>
                    <w:p w14:paraId="3618D26F" w14:textId="72FC60D3" w:rsidR="00B246FA" w:rsidRPr="006233CD" w:rsidRDefault="00B246FA" w:rsidP="008C15D4">
                      <w:pPr>
                        <w:pStyle w:val="ListParagraph"/>
                        <w:numPr>
                          <w:ilvl w:val="0"/>
                          <w:numId w:val="76"/>
                        </w:numPr>
                        <w:ind w:left="714" w:hanging="357"/>
                        <w:contextualSpacing w:val="0"/>
                      </w:pPr>
                      <w:r w:rsidRPr="006233CD">
                        <w:t>The AAQ NEPM provides a consistent framework for the monitoring and reporting of ambient air quality in Australia.</w:t>
                      </w:r>
                    </w:p>
                    <w:p w14:paraId="714DC99B" w14:textId="52E1A045" w:rsidR="00B246FA" w:rsidRPr="006233CD" w:rsidRDefault="00B246FA" w:rsidP="008C15D4">
                      <w:pPr>
                        <w:pStyle w:val="ListParagraph"/>
                        <w:numPr>
                          <w:ilvl w:val="0"/>
                          <w:numId w:val="76"/>
                        </w:numPr>
                        <w:ind w:left="714" w:hanging="357"/>
                        <w:contextualSpacing w:val="0"/>
                      </w:pPr>
                      <w:r w:rsidRPr="006233CD">
                        <w:t>All Australian states and territories report annually against the AAQ NEPM.</w:t>
                      </w:r>
                    </w:p>
                    <w:p w14:paraId="503C44FB" w14:textId="6C1C2DC4" w:rsidR="00B246FA" w:rsidRPr="006233CD" w:rsidRDefault="00B246FA" w:rsidP="008C15D4">
                      <w:pPr>
                        <w:pStyle w:val="ListParagraph"/>
                        <w:numPr>
                          <w:ilvl w:val="0"/>
                          <w:numId w:val="76"/>
                        </w:numPr>
                        <w:ind w:left="714" w:hanging="357"/>
                        <w:contextualSpacing w:val="0"/>
                      </w:pPr>
                      <w:r w:rsidRPr="006233CD">
                        <w:t>The AAQ NEPM does not compel or direct pollution control measures. It is not directly enforceable on industry.</w:t>
                      </w:r>
                    </w:p>
                    <w:p w14:paraId="332F2CD2" w14:textId="0560A60D" w:rsidR="00B246FA" w:rsidRPr="006233CD" w:rsidRDefault="00B246FA" w:rsidP="008C15D4">
                      <w:pPr>
                        <w:pStyle w:val="ListParagraph"/>
                        <w:numPr>
                          <w:ilvl w:val="0"/>
                          <w:numId w:val="76"/>
                        </w:numPr>
                        <w:ind w:left="714" w:hanging="357"/>
                        <w:contextualSpacing w:val="0"/>
                      </w:pPr>
                      <w:r w:rsidRPr="006233CD">
                        <w:t>The AAQ NEPM standards are designed for locations that are generally representative of the level of exposure of the broad population, rather than for ‘hot spots’ near major point sources or roads.</w:t>
                      </w:r>
                    </w:p>
                    <w:p w14:paraId="33D753C0" w14:textId="0C2A1B4B" w:rsidR="00B246FA" w:rsidRPr="006233CD" w:rsidRDefault="00B246FA" w:rsidP="008C15D4">
                      <w:pPr>
                        <w:pStyle w:val="ListParagraph"/>
                        <w:numPr>
                          <w:ilvl w:val="0"/>
                          <w:numId w:val="76"/>
                        </w:numPr>
                        <w:ind w:left="714" w:hanging="357"/>
                        <w:contextualSpacing w:val="0"/>
                      </w:pPr>
                      <w:r w:rsidRPr="006233CD">
                        <w:t>Jurisdictions may employ complementary methods to support their air quality management frameworks. This could include setting design goals and/or licence conditions on industrial premises.</w:t>
                      </w:r>
                    </w:p>
                    <w:p w14:paraId="66B4AFF5" w14:textId="5533BE1F" w:rsidR="00B246FA" w:rsidRPr="006233CD" w:rsidRDefault="00B246FA" w:rsidP="008C15D4">
                      <w:pPr>
                        <w:pStyle w:val="ListParagraph"/>
                        <w:numPr>
                          <w:ilvl w:val="0"/>
                          <w:numId w:val="76"/>
                        </w:numPr>
                        <w:ind w:left="714" w:hanging="357"/>
                        <w:contextualSpacing w:val="0"/>
                      </w:pPr>
                      <w:r w:rsidRPr="006233CD">
                        <w:t xml:space="preserve">This review </w:t>
                      </w:r>
                      <w:r>
                        <w:t>focuses</w:t>
                      </w:r>
                      <w:r w:rsidRPr="006233CD">
                        <w:t xml:space="preserve"> on the review of the O</w:t>
                      </w:r>
                      <w:r w:rsidRPr="006233CD">
                        <w:rPr>
                          <w:vertAlign w:val="subscript"/>
                        </w:rPr>
                        <w:t>3</w:t>
                      </w:r>
                      <w:r w:rsidRPr="006233CD">
                        <w:t>, NO</w:t>
                      </w:r>
                      <w:r w:rsidRPr="006233CD">
                        <w:rPr>
                          <w:vertAlign w:val="subscript"/>
                        </w:rPr>
                        <w:t>2</w:t>
                      </w:r>
                      <w:r w:rsidRPr="006233CD">
                        <w:t xml:space="preserve"> and SO</w:t>
                      </w:r>
                      <w:r w:rsidRPr="006233CD">
                        <w:rPr>
                          <w:vertAlign w:val="subscript"/>
                        </w:rPr>
                        <w:t>2</w:t>
                      </w:r>
                      <w:r w:rsidRPr="006233CD">
                        <w:t xml:space="preserve"> standards in the AAQ NEPM.</w:t>
                      </w:r>
                    </w:p>
                    <w:p w14:paraId="3CCF4796" w14:textId="633A92FB" w:rsidR="00B246FA" w:rsidRPr="006233CD" w:rsidRDefault="00B246FA" w:rsidP="008C15D4">
                      <w:pPr>
                        <w:pStyle w:val="ListParagraph"/>
                        <w:numPr>
                          <w:ilvl w:val="0"/>
                          <w:numId w:val="76"/>
                        </w:numPr>
                        <w:ind w:left="714" w:hanging="357"/>
                        <w:contextualSpacing w:val="0"/>
                      </w:pPr>
                      <w:r w:rsidRPr="006233CD">
                        <w:t xml:space="preserve">A national Expert Working Group worked in parallel with this review on a number of projects to address monitoring, reporting and assessment recommendations from the 2011 AAQ NEPM </w:t>
                      </w:r>
                      <w:r>
                        <w:t>r</w:t>
                      </w:r>
                      <w:r w:rsidRPr="006233CD">
                        <w:t xml:space="preserve">eview. One of these projects has made recommendations for changes to </w:t>
                      </w:r>
                      <w:r>
                        <w:t>c</w:t>
                      </w:r>
                      <w:r w:rsidRPr="006233CD">
                        <w:t>lause 14 of the AAQ NEPM (Number of performance monitoring stations) to consider the potential population at risk (Section 1.5.3).</w:t>
                      </w:r>
                    </w:p>
                    <w:p w14:paraId="32F4C210" w14:textId="7C8C52C2" w:rsidR="00B246FA" w:rsidRPr="006233CD" w:rsidRDefault="00B246FA" w:rsidP="008C15D4">
                      <w:pPr>
                        <w:pStyle w:val="ListParagraph"/>
                        <w:numPr>
                          <w:ilvl w:val="0"/>
                          <w:numId w:val="76"/>
                        </w:numPr>
                        <w:ind w:left="714" w:hanging="357"/>
                        <w:contextualSpacing w:val="0"/>
                      </w:pPr>
                      <w:r w:rsidRPr="006233CD">
                        <w:t>The findings in this report for O</w:t>
                      </w:r>
                      <w:r w:rsidRPr="006233CD">
                        <w:rPr>
                          <w:vertAlign w:val="subscript"/>
                        </w:rPr>
                        <w:t>3</w:t>
                      </w:r>
                      <w:r w:rsidRPr="006233CD">
                        <w:t>, NO</w:t>
                      </w:r>
                      <w:r w:rsidRPr="006233CD">
                        <w:rPr>
                          <w:vertAlign w:val="subscript"/>
                        </w:rPr>
                        <w:t>2</w:t>
                      </w:r>
                      <w:r w:rsidRPr="006233CD">
                        <w:t xml:space="preserve"> and SO</w:t>
                      </w:r>
                      <w:r w:rsidRPr="006233CD">
                        <w:rPr>
                          <w:vertAlign w:val="subscript"/>
                        </w:rPr>
                        <w:t>2</w:t>
                      </w:r>
                      <w:r w:rsidRPr="006233CD">
                        <w:t xml:space="preserve"> include recommendations for the removal of maximum allowable exceedances to enhance the health protection provided by the standards. Although not assessed as part of this review, it is proposed that the allowable exceedances for carbon monoxide (CO) also be removed.</w:t>
                      </w:r>
                    </w:p>
                  </w:txbxContent>
                </v:textbox>
                <w10:anchorlock/>
              </v:shape>
            </w:pict>
          </mc:Fallback>
        </mc:AlternateContent>
      </w:r>
    </w:p>
    <w:p w14:paraId="1E125A5F" w14:textId="31897248" w:rsidR="009F414F" w:rsidRPr="005060E0" w:rsidRDefault="002854C0" w:rsidP="005B04D5">
      <w:pPr>
        <w:rPr>
          <w:highlight w:val="green"/>
        </w:rPr>
      </w:pPr>
      <w:r w:rsidRPr="005060E0">
        <w:rPr>
          <w:noProof/>
          <w:lang w:eastAsia="en-AU"/>
        </w:rPr>
        <mc:AlternateContent>
          <mc:Choice Requires="wps">
            <w:drawing>
              <wp:inline distT="0" distB="0" distL="0" distR="0" wp14:anchorId="46F313B6" wp14:editId="7873FFCC">
                <wp:extent cx="6080166" cy="1157844"/>
                <wp:effectExtent l="0" t="0" r="15875" b="23495"/>
                <wp:docPr id="20" name="Text Box 20"/>
                <wp:cNvGraphicFramePr/>
                <a:graphic xmlns:a="http://schemas.openxmlformats.org/drawingml/2006/main">
                  <a:graphicData uri="http://schemas.microsoft.com/office/word/2010/wordprocessingShape">
                    <wps:wsp>
                      <wps:cNvSpPr txBox="1"/>
                      <wps:spPr>
                        <a:xfrm>
                          <a:off x="0" y="0"/>
                          <a:ext cx="6080166" cy="1157844"/>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ACBF41D" w14:textId="59258179" w:rsidR="00B246FA" w:rsidRDefault="00B246FA" w:rsidP="00713658">
                            <w:pPr>
                              <w:rPr>
                                <w:b/>
                                <w:sz w:val="24"/>
                              </w:rPr>
                            </w:pPr>
                            <w:r w:rsidRPr="00964CD3">
                              <w:rPr>
                                <w:b/>
                                <w:sz w:val="24"/>
                              </w:rPr>
                              <w:t>Chapter</w:t>
                            </w:r>
                            <w:r>
                              <w:rPr>
                                <w:b/>
                                <w:sz w:val="24"/>
                              </w:rPr>
                              <w:t>s</w:t>
                            </w:r>
                            <w:r w:rsidRPr="00964CD3">
                              <w:rPr>
                                <w:b/>
                                <w:sz w:val="24"/>
                              </w:rPr>
                              <w:t xml:space="preserve"> 1 and 2 – Consultation </w:t>
                            </w:r>
                            <w:r>
                              <w:rPr>
                                <w:b/>
                                <w:sz w:val="24"/>
                              </w:rPr>
                              <w:t>q</w:t>
                            </w:r>
                            <w:r w:rsidRPr="00964CD3">
                              <w:rPr>
                                <w:b/>
                                <w:sz w:val="24"/>
                              </w:rPr>
                              <w:t>uestions</w:t>
                            </w:r>
                          </w:p>
                          <w:p w14:paraId="296379F7" w14:textId="0EE4D414" w:rsidR="00B246FA" w:rsidRPr="00964CD3" w:rsidRDefault="00B246FA" w:rsidP="008C15D4">
                            <w:pPr>
                              <w:pStyle w:val="ListParagraph"/>
                              <w:numPr>
                                <w:ilvl w:val="0"/>
                                <w:numId w:val="77"/>
                              </w:numPr>
                              <w:ind w:left="714" w:hanging="357"/>
                              <w:contextualSpacing w:val="0"/>
                            </w:pPr>
                            <w:r w:rsidRPr="00964CD3">
                              <w:t xml:space="preserve">Do you support the recommended changes to </w:t>
                            </w:r>
                            <w:r>
                              <w:t>c</w:t>
                            </w:r>
                            <w:r w:rsidRPr="00964CD3">
                              <w:t xml:space="preserve">lause 14 (incorporating risk into how the number of performance monitoring stations is determined) and the inclusion of relevant definitions? </w:t>
                            </w:r>
                          </w:p>
                          <w:p w14:paraId="6A8C5E24" w14:textId="48F6C6CD" w:rsidR="00B246FA" w:rsidRPr="00964CD3" w:rsidRDefault="00B246FA" w:rsidP="008C15D4">
                            <w:pPr>
                              <w:pStyle w:val="ListParagraph"/>
                              <w:numPr>
                                <w:ilvl w:val="0"/>
                                <w:numId w:val="77"/>
                              </w:numPr>
                              <w:ind w:left="714" w:hanging="357"/>
                              <w:contextualSpacing w:val="0"/>
                            </w:pPr>
                            <w:r w:rsidRPr="00964CD3">
                              <w:t xml:space="preserve">Do you support the removal of allowable exceedances for </w:t>
                            </w:r>
                            <w:r>
                              <w:t>CO</w:t>
                            </w:r>
                            <w:r w:rsidRPr="00964CD3">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F313B6" id="Text Box 20" o:spid="_x0000_s1027" type="#_x0000_t202" style="width:478.75pt;height:9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KHWcwIAADUFAAAOAAAAZHJzL2Uyb0RvYy54bWysVFtv2yAUfp+0/4B4X2xHaZpFdaosVadJ&#10;UVu1nfpMMDTWgMOAxM5+/Q44drMuT9NeMD6X79y+w9V1qxXZC+drMCUtRjklwnCoavNa0u/Pt59m&#10;lPjATMUUGFHSg/D0evHxw1Vj52IMW1CVcARBjJ83tqTbEOw8yzzfCs38CKwwqJTgNAv4616zyrEG&#10;0bXKxnk+zRpwlXXAhfcovemUdJHwpRQ83EvpRSCqpJhbSKdL5yae2eKKzV8ds9uaH9Ng/5CFZrXB&#10;oAPUDQuM7Fz9F5SuuQMPMow46AykrLlINWA1Rf6umqctsyLVgs3xdmiT/3+w/G7/4EhdlXSM7TFM&#10;44yeRRvIF2gJirA/jfVzNHuyaBhalOOce7lHYSy7lU7HLxZEUI9Qh6G7EY2jcJrP8mI6pYSjrigu&#10;LmeTScTJ3tyt8+GrAE3ipaQOx5e6yvZrHzrT3iRGUybKYn5dHukWDkp0ykchsTKMPE4giVNipRzZ&#10;M2QD41yYkCrBDJRB6+gma6UGx+KcoxqcjrbRTSSuDY75Occ/Iw4eKSqYMDjr2oA7B1D96NOVnX1f&#10;fVdzLD+0mzaNcxjRBqoDTs5Bx31v+W2N3V0zHx6YQ7LjsHCBwz0eUkFTUjjeKNmC+3VOHu2Rg6il&#10;pMHlKan/uWNOUKK+GWTn52IyiduWfiYXl5Fb7lSzOdWYnV4BTqTAp8LydI32QfVX6UC/4J4vY1RU&#10;McMxdklDf12FbqXxneBiuUxGuF+WhbV5sjxCxy5H7jy3L8zZI8ECcvMO+jVj83c862yjp4HlLoCs&#10;Ewljn7uuHvuPu5lofHxH4vKf/iert9du8RsAAP//AwBQSwMEFAAGAAgAAAAhAL0ILIHaAAAABQEA&#10;AA8AAABkcnMvZG93bnJldi54bWxMj0FLw0AQhe+C/2EZwZvdtNIaYzZFgqU3wSqeJ9kxCc3Ohuw2&#10;Tf+9oxe9PBje471v8u3sejXRGDrPBpaLBBRx7W3HjYGP991dCipEZIu9ZzJwoQDb4voqx8z6M7/R&#10;dIiNkhIOGRpoYxwyrUPdksOw8AOxeF9+dBjlHBttRzxLuev1Kkk22mHHstDiQGVL9fFwcgbKpNyF&#10;ab+sNhffHT/TF34d6r0xtzfz8xOoSHP8C8MPvqBDIUyVP7ENqjcgj8RfFe9x/bAGVUkoXd2DLnL9&#10;n774BgAA//8DAFBLAQItABQABgAIAAAAIQC2gziS/gAAAOEBAAATAAAAAAAAAAAAAAAAAAAAAABb&#10;Q29udGVudF9UeXBlc10ueG1sUEsBAi0AFAAGAAgAAAAhADj9If/WAAAAlAEAAAsAAAAAAAAAAAAA&#10;AAAALwEAAF9yZWxzLy5yZWxzUEsBAi0AFAAGAAgAAAAhAEn0odZzAgAANQUAAA4AAAAAAAAAAAAA&#10;AAAALgIAAGRycy9lMm9Eb2MueG1sUEsBAi0AFAAGAAgAAAAhAL0ILIHaAAAABQEAAA8AAAAAAAAA&#10;AAAAAAAAzQQAAGRycy9kb3ducmV2LnhtbFBLBQYAAAAABAAEAPMAAADUBQAAAAA=&#10;" fillcolor="white [3201]" strokecolor="#0076c0 [3204]" strokeweight="2pt">
                <v:textbox>
                  <w:txbxContent>
                    <w:p w14:paraId="3ACBF41D" w14:textId="59258179" w:rsidR="00B246FA" w:rsidRDefault="00B246FA" w:rsidP="00713658">
                      <w:pPr>
                        <w:rPr>
                          <w:b/>
                          <w:sz w:val="24"/>
                        </w:rPr>
                      </w:pPr>
                      <w:r w:rsidRPr="00964CD3">
                        <w:rPr>
                          <w:b/>
                          <w:sz w:val="24"/>
                        </w:rPr>
                        <w:t>Chapter</w:t>
                      </w:r>
                      <w:r>
                        <w:rPr>
                          <w:b/>
                          <w:sz w:val="24"/>
                        </w:rPr>
                        <w:t>s</w:t>
                      </w:r>
                      <w:r w:rsidRPr="00964CD3">
                        <w:rPr>
                          <w:b/>
                          <w:sz w:val="24"/>
                        </w:rPr>
                        <w:t xml:space="preserve"> 1 and 2 – Consultation </w:t>
                      </w:r>
                      <w:r>
                        <w:rPr>
                          <w:b/>
                          <w:sz w:val="24"/>
                        </w:rPr>
                        <w:t>q</w:t>
                      </w:r>
                      <w:r w:rsidRPr="00964CD3">
                        <w:rPr>
                          <w:b/>
                          <w:sz w:val="24"/>
                        </w:rPr>
                        <w:t>uestions</w:t>
                      </w:r>
                    </w:p>
                    <w:p w14:paraId="296379F7" w14:textId="0EE4D414" w:rsidR="00B246FA" w:rsidRPr="00964CD3" w:rsidRDefault="00B246FA" w:rsidP="008C15D4">
                      <w:pPr>
                        <w:pStyle w:val="ListParagraph"/>
                        <w:numPr>
                          <w:ilvl w:val="0"/>
                          <w:numId w:val="77"/>
                        </w:numPr>
                        <w:ind w:left="714" w:hanging="357"/>
                        <w:contextualSpacing w:val="0"/>
                      </w:pPr>
                      <w:r w:rsidRPr="00964CD3">
                        <w:t xml:space="preserve">Do you support the recommended changes to </w:t>
                      </w:r>
                      <w:r>
                        <w:t>c</w:t>
                      </w:r>
                      <w:r w:rsidRPr="00964CD3">
                        <w:t xml:space="preserve">lause 14 (incorporating risk into how the number of performance monitoring stations is determined) and the inclusion of relevant definitions? </w:t>
                      </w:r>
                    </w:p>
                    <w:p w14:paraId="6A8C5E24" w14:textId="48F6C6CD" w:rsidR="00B246FA" w:rsidRPr="00964CD3" w:rsidRDefault="00B246FA" w:rsidP="008C15D4">
                      <w:pPr>
                        <w:pStyle w:val="ListParagraph"/>
                        <w:numPr>
                          <w:ilvl w:val="0"/>
                          <w:numId w:val="77"/>
                        </w:numPr>
                        <w:ind w:left="714" w:hanging="357"/>
                        <w:contextualSpacing w:val="0"/>
                      </w:pPr>
                      <w:r w:rsidRPr="00964CD3">
                        <w:t xml:space="preserve">Do you support the removal of allowable exceedances for </w:t>
                      </w:r>
                      <w:r>
                        <w:t>CO</w:t>
                      </w:r>
                      <w:r w:rsidRPr="00964CD3">
                        <w:t>?</w:t>
                      </w:r>
                    </w:p>
                  </w:txbxContent>
                </v:textbox>
                <w10:anchorlock/>
              </v:shape>
            </w:pict>
          </mc:Fallback>
        </mc:AlternateContent>
      </w:r>
    </w:p>
    <w:p w14:paraId="00F20DB3" w14:textId="77777777" w:rsidR="00762C3C" w:rsidRPr="005060E0" w:rsidRDefault="00762C3C" w:rsidP="005B04D5">
      <w:pPr>
        <w:rPr>
          <w:highlight w:val="green"/>
        </w:rPr>
      </w:pPr>
    </w:p>
    <w:p w14:paraId="4505F858" w14:textId="77777777" w:rsidR="009F414F" w:rsidRPr="005060E0" w:rsidRDefault="009F414F" w:rsidP="005B04D5">
      <w:pPr>
        <w:rPr>
          <w:highlight w:val="green"/>
        </w:rPr>
        <w:sectPr w:rsidR="009F414F" w:rsidRPr="005060E0" w:rsidSect="00240B1D">
          <w:headerReference w:type="default" r:id="rId16"/>
          <w:pgSz w:w="11906" w:h="16838" w:code="9"/>
          <w:pgMar w:top="1440" w:right="1134" w:bottom="1701" w:left="1134" w:header="709" w:footer="130" w:gutter="0"/>
          <w:cols w:space="255"/>
          <w:docGrid w:linePitch="360"/>
        </w:sectPr>
      </w:pPr>
    </w:p>
    <w:p w14:paraId="37A8F6D2" w14:textId="04DB8F99" w:rsidR="00E718D0" w:rsidRPr="005060E0" w:rsidRDefault="00E718D0" w:rsidP="0043533F">
      <w:pPr>
        <w:pStyle w:val="Heading1"/>
      </w:pPr>
      <w:bookmarkStart w:id="42" w:name="_Toc3278931"/>
      <w:r w:rsidRPr="005060E0">
        <w:t>Statement</w:t>
      </w:r>
      <w:bookmarkEnd w:id="24"/>
      <w:r w:rsidR="00906A6C" w:rsidRPr="005060E0">
        <w:t xml:space="preserve"> of the problem</w:t>
      </w:r>
      <w:bookmarkEnd w:id="42"/>
    </w:p>
    <w:p w14:paraId="254BDCD3" w14:textId="2E8CB025" w:rsidR="00DF3873" w:rsidRPr="005060E0" w:rsidRDefault="008A42EB" w:rsidP="00C30402">
      <w:pPr>
        <w:pStyle w:val="Heading2"/>
        <w:spacing w:after="200"/>
      </w:pPr>
      <w:bookmarkStart w:id="43" w:name="_Toc3278932"/>
      <w:r>
        <w:t>Background</w:t>
      </w:r>
      <w:bookmarkEnd w:id="43"/>
    </w:p>
    <w:p w14:paraId="62247B75" w14:textId="7EE85CAF" w:rsidR="0036448D" w:rsidRPr="005060E0" w:rsidRDefault="0036448D" w:rsidP="0036448D">
      <w:pPr>
        <w:pStyle w:val="BodyText"/>
      </w:pPr>
      <w:r w:rsidRPr="005060E0">
        <w:t>Outdoor air pollution impacts human health. The impacts include premature mortality, hospital admissions, allergic reactions, lung dysfunction, cardiovascular diseases and cancer</w:t>
      </w:r>
      <w:r w:rsidR="00EC41A5" w:rsidRPr="005060E0">
        <w:t>.</w:t>
      </w:r>
      <w:r w:rsidRPr="005060E0">
        <w:t xml:space="preserve"> </w:t>
      </w:r>
    </w:p>
    <w:p w14:paraId="2CA118FD" w14:textId="22083BE7" w:rsidR="0036448D" w:rsidRPr="005060E0" w:rsidRDefault="0036448D" w:rsidP="0036448D">
      <w:pPr>
        <w:pStyle w:val="BodyText"/>
      </w:pPr>
      <w:r w:rsidRPr="005060E0">
        <w:t xml:space="preserve">For some pollutants, the non-threshold nature of the health response means that sensitive individuals –  such as people with respiratory or cardiovascular disease – </w:t>
      </w:r>
      <w:r w:rsidR="00821FF7" w:rsidRPr="005060E0">
        <w:t xml:space="preserve">may be affected even where concentrations meet or are below the national ambient air quality standards. </w:t>
      </w:r>
      <w:r w:rsidRPr="005060E0">
        <w:t>There is</w:t>
      </w:r>
      <w:r w:rsidR="005572D2" w:rsidRPr="005060E0">
        <w:t>,</w:t>
      </w:r>
      <w:r w:rsidRPr="005060E0">
        <w:t xml:space="preserve"> therefore</w:t>
      </w:r>
      <w:r w:rsidR="00821FF7" w:rsidRPr="005060E0">
        <w:t>,</w:t>
      </w:r>
      <w:r w:rsidRPr="005060E0">
        <w:t xml:space="preserve"> still a health benefit (and cost saving) to be gained from any reduction in pollutant concentrations and overall population exposure.</w:t>
      </w:r>
    </w:p>
    <w:p w14:paraId="3B486173" w14:textId="154F33FE" w:rsidR="0036448D" w:rsidRPr="005060E0" w:rsidRDefault="0036448D" w:rsidP="0036448D">
      <w:pPr>
        <w:rPr>
          <w:szCs w:val="20"/>
        </w:rPr>
      </w:pPr>
      <w:r w:rsidRPr="005060E0">
        <w:rPr>
          <w:szCs w:val="20"/>
        </w:rPr>
        <w:t>There is a large body of information worldwide that identifies health effects associated with exposure to air pollution at levels below the current AAQ NEPM standards. Even at levels currently experienced in Australian cities, there are strong associations between exposure to NO</w:t>
      </w:r>
      <w:r w:rsidRPr="005060E0">
        <w:rPr>
          <w:szCs w:val="20"/>
          <w:vertAlign w:val="subscript"/>
        </w:rPr>
        <w:t>2</w:t>
      </w:r>
      <w:r w:rsidRPr="005060E0">
        <w:rPr>
          <w:szCs w:val="20"/>
        </w:rPr>
        <w:t>, O</w:t>
      </w:r>
      <w:r w:rsidRPr="005060E0">
        <w:rPr>
          <w:szCs w:val="20"/>
          <w:vertAlign w:val="subscript"/>
        </w:rPr>
        <w:t>3</w:t>
      </w:r>
      <w:r w:rsidRPr="005060E0">
        <w:rPr>
          <w:szCs w:val="20"/>
        </w:rPr>
        <w:t>, and SO</w:t>
      </w:r>
      <w:r w:rsidRPr="005060E0">
        <w:rPr>
          <w:szCs w:val="20"/>
          <w:vertAlign w:val="subscript"/>
        </w:rPr>
        <w:t>2</w:t>
      </w:r>
      <w:r w:rsidRPr="005060E0">
        <w:rPr>
          <w:szCs w:val="20"/>
        </w:rPr>
        <w:t xml:space="preserve"> and increases in daily mortality and hospital admissions for respiratory and cardiovascular causes. Given that these pollutants are considered as ‘non-threshold’ pollutants, there will always be some level of risk associated with the standard at whatever numerical value is set.</w:t>
      </w:r>
    </w:p>
    <w:p w14:paraId="46CF4700" w14:textId="77777777" w:rsidR="0036448D" w:rsidRPr="005060E0" w:rsidRDefault="0036448D" w:rsidP="0036448D">
      <w:pPr>
        <w:rPr>
          <w:szCs w:val="20"/>
          <w:highlight w:val="green"/>
        </w:rPr>
      </w:pPr>
      <w:r w:rsidRPr="005060E0">
        <w:rPr>
          <w:szCs w:val="20"/>
        </w:rPr>
        <w:t>As noted in the 2011 review, the AAQ NEPM has provided a nationally consistent framework for the monitoring and reporting of air quality. The air quality standards contained in the AAQ NEPM have provided nationally consistent benchmarks against which the quality of our air and the risk posed by air pollution to the Australian population can be assessed. The implementation of the AAQ NEPM by jurisdictions has led to greater consistency in air pollution data, and a much stronger database to enable an assessment of the achievability of any new standards that may be developed.</w:t>
      </w:r>
    </w:p>
    <w:p w14:paraId="18E3AF2F" w14:textId="57EAFFDB" w:rsidR="0036448D" w:rsidRPr="005060E0" w:rsidRDefault="0036448D" w:rsidP="00E20C55">
      <w:pPr>
        <w:rPr>
          <w:szCs w:val="20"/>
        </w:rPr>
      </w:pPr>
      <w:r w:rsidRPr="005060E0">
        <w:rPr>
          <w:szCs w:val="20"/>
        </w:rPr>
        <w:t xml:space="preserve">The standards contained in the AAQ NEPM were based on the understanding of the health effects of these air pollutants </w:t>
      </w:r>
      <w:r w:rsidR="00B718BD" w:rsidRPr="005060E0">
        <w:rPr>
          <w:szCs w:val="20"/>
        </w:rPr>
        <w:t xml:space="preserve">that </w:t>
      </w:r>
      <w:r w:rsidRPr="005060E0">
        <w:rPr>
          <w:szCs w:val="20"/>
        </w:rPr>
        <w:t xml:space="preserve">existed at the time of making the AAQ NEPM, in 1998. The form of the standards </w:t>
      </w:r>
      <w:r w:rsidR="005373CF" w:rsidRPr="005060E0">
        <w:rPr>
          <w:szCs w:val="20"/>
        </w:rPr>
        <w:t xml:space="preserve">– </w:t>
      </w:r>
      <w:r w:rsidRPr="005060E0">
        <w:rPr>
          <w:szCs w:val="20"/>
        </w:rPr>
        <w:t xml:space="preserve">setting a timeframe for compliance and an allowable number of exceedances (the goal associated with the standards) </w:t>
      </w:r>
      <w:r w:rsidR="005373CF" w:rsidRPr="005060E0">
        <w:rPr>
          <w:szCs w:val="20"/>
        </w:rPr>
        <w:t xml:space="preserve">– </w:t>
      </w:r>
      <w:r w:rsidRPr="005060E0">
        <w:rPr>
          <w:szCs w:val="20"/>
        </w:rPr>
        <w:t xml:space="preserve">was adopted based on the understanding of the achievability of those standards within 10 years of making the AAQ NEPM. There was limited information available to inform that decision at the time of making the AAQ NEPM. </w:t>
      </w:r>
    </w:p>
    <w:p w14:paraId="642F1033" w14:textId="0C32F147" w:rsidR="0092210A" w:rsidRPr="005060E0" w:rsidRDefault="00E25B6D" w:rsidP="00C30402">
      <w:pPr>
        <w:pStyle w:val="Heading2"/>
        <w:spacing w:after="200"/>
        <w:ind w:left="709" w:hanging="709"/>
      </w:pPr>
      <w:bookmarkStart w:id="44" w:name="_Toc3278933"/>
      <w:r w:rsidRPr="005060E0">
        <w:t xml:space="preserve">Why the </w:t>
      </w:r>
      <w:r w:rsidR="0092210A" w:rsidRPr="005060E0">
        <w:t xml:space="preserve">standards </w:t>
      </w:r>
      <w:r w:rsidR="00733F81" w:rsidRPr="005060E0">
        <w:t>for sulfur dioxide, nitrogen dioxide and ozone</w:t>
      </w:r>
      <w:r w:rsidR="003267EA" w:rsidRPr="005060E0">
        <w:t xml:space="preserve"> are being reviewed</w:t>
      </w:r>
      <w:bookmarkEnd w:id="44"/>
    </w:p>
    <w:p w14:paraId="6CF59B17" w14:textId="4806D791" w:rsidR="0092210A" w:rsidRPr="005060E0" w:rsidRDefault="0092210A" w:rsidP="0092210A">
      <w:pPr>
        <w:pStyle w:val="BodyText"/>
      </w:pPr>
      <w:r w:rsidRPr="005060E0">
        <w:t xml:space="preserve">An update of the AAQ NEPM standards for </w:t>
      </w:r>
      <w:r w:rsidR="006B3C35" w:rsidRPr="005060E0">
        <w:t>SO</w:t>
      </w:r>
      <w:r w:rsidR="006B3C35" w:rsidRPr="005060E0">
        <w:rPr>
          <w:vertAlign w:val="subscript"/>
        </w:rPr>
        <w:t>2</w:t>
      </w:r>
      <w:r w:rsidR="006B3C35" w:rsidRPr="005060E0">
        <w:t>, NO</w:t>
      </w:r>
      <w:r w:rsidR="006B3C35" w:rsidRPr="005060E0">
        <w:rPr>
          <w:vertAlign w:val="subscript"/>
        </w:rPr>
        <w:t>2</w:t>
      </w:r>
      <w:r w:rsidR="006B3C35" w:rsidRPr="005060E0">
        <w:t xml:space="preserve"> and O</w:t>
      </w:r>
      <w:r w:rsidR="006B3C35" w:rsidRPr="005060E0">
        <w:rPr>
          <w:vertAlign w:val="subscript"/>
        </w:rPr>
        <w:t>3</w:t>
      </w:r>
      <w:r w:rsidRPr="005060E0">
        <w:t xml:space="preserve"> is appropriate and timely for a number of reaso</w:t>
      </w:r>
      <w:r w:rsidR="00F93082" w:rsidRPr="005060E0">
        <w:t>ns. These are summarised below.</w:t>
      </w:r>
    </w:p>
    <w:p w14:paraId="77718358" w14:textId="00E28F8D" w:rsidR="0092210A" w:rsidRPr="005060E0" w:rsidRDefault="00F93082" w:rsidP="00C30402">
      <w:pPr>
        <w:pStyle w:val="Heading3"/>
        <w:spacing w:after="200"/>
      </w:pPr>
      <w:r w:rsidRPr="005060E0">
        <w:t>Meeting public expectation</w:t>
      </w:r>
    </w:p>
    <w:p w14:paraId="52EF62BA" w14:textId="748CDA44" w:rsidR="00F93082" w:rsidRPr="005060E0" w:rsidRDefault="00F93082" w:rsidP="00C30402">
      <w:pPr>
        <w:pStyle w:val="BodyText"/>
        <w:widowControl w:val="0"/>
      </w:pPr>
      <w:r w:rsidRPr="005060E0">
        <w:t>The</w:t>
      </w:r>
      <w:r w:rsidR="005572D2" w:rsidRPr="005060E0">
        <w:t xml:space="preserve"> </w:t>
      </w:r>
      <w:r w:rsidRPr="005060E0">
        <w:t xml:space="preserve">public </w:t>
      </w:r>
      <w:r w:rsidR="00EC41A5" w:rsidRPr="005060E0">
        <w:t xml:space="preserve">expects </w:t>
      </w:r>
      <w:r w:rsidRPr="005060E0">
        <w:t>that environmental legislation will provide a sufficiently high level of protection against the adverse effects of air pollution on health.</w:t>
      </w:r>
    </w:p>
    <w:p w14:paraId="27ACE462" w14:textId="6EE75FA0" w:rsidR="00111739" w:rsidRPr="005060E0" w:rsidRDefault="0092210A" w:rsidP="000B3B3D">
      <w:pPr>
        <w:pStyle w:val="Heading3"/>
      </w:pPr>
      <w:r w:rsidRPr="005060E0">
        <w:t>Reflecting current scientific understanding</w:t>
      </w:r>
    </w:p>
    <w:p w14:paraId="046B954A" w14:textId="77777777" w:rsidR="00421B7A" w:rsidRPr="005060E0" w:rsidRDefault="00F93082" w:rsidP="00421B7A">
      <w:pPr>
        <w:pStyle w:val="BodyText"/>
      </w:pPr>
      <w:r w:rsidRPr="005060E0">
        <w:t>Environmental legislation needs to reflect the current scientific understanding</w:t>
      </w:r>
      <w:r w:rsidR="00421B7A" w:rsidRPr="005060E0">
        <w:t>.</w:t>
      </w:r>
    </w:p>
    <w:p w14:paraId="6811BAB1" w14:textId="19135F4F" w:rsidR="00E718D0" w:rsidRPr="005060E0" w:rsidRDefault="00E718D0" w:rsidP="00421B7A">
      <w:pPr>
        <w:pStyle w:val="BodyText"/>
      </w:pPr>
      <w:r w:rsidRPr="005060E0">
        <w:t xml:space="preserve">The </w:t>
      </w:r>
      <w:r w:rsidR="00C51EE9" w:rsidRPr="005060E0">
        <w:t>AAQ NEPM r</w:t>
      </w:r>
      <w:r w:rsidRPr="005060E0">
        <w:t>eview (NEPC 2011</w:t>
      </w:r>
      <w:r w:rsidR="00C51EE9" w:rsidRPr="005060E0">
        <w:t>a</w:t>
      </w:r>
      <w:r w:rsidRPr="005060E0">
        <w:t xml:space="preserve">) found that exposure to </w:t>
      </w:r>
      <w:r w:rsidR="006B3C35" w:rsidRPr="005060E0">
        <w:t>SO</w:t>
      </w:r>
      <w:r w:rsidR="006B3C35" w:rsidRPr="005060E0">
        <w:rPr>
          <w:vertAlign w:val="subscript"/>
        </w:rPr>
        <w:t>2</w:t>
      </w:r>
      <w:r w:rsidR="006B3C35" w:rsidRPr="005060E0">
        <w:t>, NO</w:t>
      </w:r>
      <w:r w:rsidR="006B3C35" w:rsidRPr="005060E0">
        <w:rPr>
          <w:vertAlign w:val="subscript"/>
        </w:rPr>
        <w:t>2</w:t>
      </w:r>
      <w:r w:rsidR="006B3C35" w:rsidRPr="005060E0">
        <w:t xml:space="preserve"> and O</w:t>
      </w:r>
      <w:r w:rsidR="006B3C35" w:rsidRPr="005060E0">
        <w:rPr>
          <w:vertAlign w:val="subscript"/>
        </w:rPr>
        <w:t>3</w:t>
      </w:r>
      <w:r w:rsidR="005A7373" w:rsidRPr="005060E0">
        <w:t xml:space="preserve"> </w:t>
      </w:r>
      <w:r w:rsidRPr="005060E0">
        <w:t>is associated with health effects at the levels currently exp</w:t>
      </w:r>
      <w:r w:rsidR="009106B0" w:rsidRPr="005060E0">
        <w:t xml:space="preserve">erienced in Australian cities. </w:t>
      </w:r>
      <w:r w:rsidRPr="005060E0">
        <w:t>These health effects include increases in mortality, hospital admissions and emergency department attendances</w:t>
      </w:r>
      <w:r w:rsidR="00C77667" w:rsidRPr="005060E0">
        <w:t>,</w:t>
      </w:r>
      <w:r w:rsidRPr="005060E0">
        <w:t xml:space="preserve"> mainly in people with existing respirato</w:t>
      </w:r>
      <w:r w:rsidR="00C77667" w:rsidRPr="005060E0">
        <w:t xml:space="preserve">ry and cardiovascular disease. </w:t>
      </w:r>
      <w:r w:rsidRPr="005060E0">
        <w:t>There is no evidence from epidemiological studies conducted in Australia and overseas that there is a threshold below which adverse h</w:t>
      </w:r>
      <w:r w:rsidR="009106B0" w:rsidRPr="005060E0">
        <w:t>ealth effects are not observed.</w:t>
      </w:r>
      <w:r w:rsidRPr="005060E0">
        <w:t xml:space="preserve"> This means that any increase in population exposure to these pollutants will lead to an increase in risk to the health of the population.</w:t>
      </w:r>
      <w:r w:rsidR="009106B0" w:rsidRPr="005060E0">
        <w:t xml:space="preserve"> </w:t>
      </w:r>
      <w:r w:rsidRPr="005060E0">
        <w:t xml:space="preserve">The </w:t>
      </w:r>
      <w:r w:rsidR="00FE23DB" w:rsidRPr="005060E0">
        <w:t>AAQ NEPM r</w:t>
      </w:r>
      <w:r w:rsidRPr="005060E0">
        <w:t>eview concluded that there was sufficient evidence to support the review of the standards</w:t>
      </w:r>
      <w:r w:rsidR="00C77667" w:rsidRPr="005060E0">
        <w:t xml:space="preserve"> </w:t>
      </w:r>
      <w:r w:rsidRPr="005060E0">
        <w:t xml:space="preserve">in the </w:t>
      </w:r>
      <w:r w:rsidR="00FE23DB" w:rsidRPr="005060E0">
        <w:t>AAQ NEPM</w:t>
      </w:r>
      <w:r w:rsidRPr="005060E0">
        <w:t>.</w:t>
      </w:r>
    </w:p>
    <w:p w14:paraId="6527865E" w14:textId="53BCA516" w:rsidR="00E718D0" w:rsidRPr="005060E0" w:rsidRDefault="00E718D0" w:rsidP="00E718D0">
      <w:r w:rsidRPr="005060E0">
        <w:t xml:space="preserve">The current </w:t>
      </w:r>
      <w:r w:rsidR="00FE23DB" w:rsidRPr="005060E0">
        <w:t>AAQ NEPM</w:t>
      </w:r>
      <w:r w:rsidRPr="005060E0">
        <w:t xml:space="preserve"> standards were made in 1998 and were based on the understanding of the health effec</w:t>
      </w:r>
      <w:r w:rsidR="00111739" w:rsidRPr="005060E0">
        <w:t xml:space="preserve">ts of the air pollutants at the time. </w:t>
      </w:r>
      <w:r w:rsidRPr="005060E0">
        <w:t xml:space="preserve">Subsequent epidemiological studies worldwide, including in Australia, have led to a much better understanding of the health effects of </w:t>
      </w:r>
      <w:r w:rsidR="006B3C35" w:rsidRPr="005060E0">
        <w:t>SO</w:t>
      </w:r>
      <w:r w:rsidR="006B3C35" w:rsidRPr="005060E0">
        <w:rPr>
          <w:vertAlign w:val="subscript"/>
        </w:rPr>
        <w:t>2</w:t>
      </w:r>
      <w:r w:rsidR="006B3C35" w:rsidRPr="005060E0">
        <w:t>, NO</w:t>
      </w:r>
      <w:r w:rsidR="006B3C35" w:rsidRPr="005060E0">
        <w:rPr>
          <w:vertAlign w:val="subscript"/>
        </w:rPr>
        <w:t>2</w:t>
      </w:r>
      <w:r w:rsidR="006B3C35" w:rsidRPr="005060E0">
        <w:t xml:space="preserve"> and O</w:t>
      </w:r>
      <w:r w:rsidR="006B3C35" w:rsidRPr="005060E0">
        <w:rPr>
          <w:vertAlign w:val="subscript"/>
        </w:rPr>
        <w:t>3</w:t>
      </w:r>
      <w:r w:rsidR="005A7373" w:rsidRPr="005060E0">
        <w:t xml:space="preserve"> </w:t>
      </w:r>
      <w:r w:rsidRPr="005060E0">
        <w:t>and have led to international agencies strengthening their standards for these pollutants</w:t>
      </w:r>
      <w:r w:rsidR="00BC5589" w:rsidRPr="005060E0">
        <w:t xml:space="preserve">. </w:t>
      </w:r>
      <w:r w:rsidRPr="005060E0">
        <w:t xml:space="preserve">The current </w:t>
      </w:r>
      <w:r w:rsidR="00FE23DB" w:rsidRPr="005060E0">
        <w:t>AAQ NEPM</w:t>
      </w:r>
      <w:r w:rsidRPr="005060E0">
        <w:t xml:space="preserve"> standards </w:t>
      </w:r>
      <w:r w:rsidR="00111739" w:rsidRPr="005060E0">
        <w:t xml:space="preserve">for these pollutants </w:t>
      </w:r>
      <w:r w:rsidRPr="005060E0">
        <w:t xml:space="preserve">are </w:t>
      </w:r>
      <w:r w:rsidR="00111739" w:rsidRPr="005060E0">
        <w:t>therefore in</w:t>
      </w:r>
      <w:r w:rsidRPr="005060E0">
        <w:t>consistent with international benchmarks.</w:t>
      </w:r>
    </w:p>
    <w:p w14:paraId="229FCEF5" w14:textId="0E2C60F1" w:rsidR="00985047" w:rsidRPr="005060E0" w:rsidRDefault="00985047" w:rsidP="000B3B3D">
      <w:pPr>
        <w:pStyle w:val="Heading3"/>
      </w:pPr>
      <w:r w:rsidRPr="005060E0">
        <w:t>Growth in population</w:t>
      </w:r>
      <w:r w:rsidR="00F93082" w:rsidRPr="005060E0">
        <w:t xml:space="preserve"> and changing demographics</w:t>
      </w:r>
    </w:p>
    <w:p w14:paraId="323EDF34" w14:textId="00B25D18" w:rsidR="00E25B6D" w:rsidRPr="005060E0" w:rsidRDefault="00985047" w:rsidP="00E25B6D">
      <w:r w:rsidRPr="005060E0">
        <w:t xml:space="preserve">The Australian Bureau of Statistics (ABS) has developed </w:t>
      </w:r>
      <w:bookmarkStart w:id="45" w:name="_Hlk3053466"/>
      <w:r w:rsidRPr="005060E0">
        <w:t>projections for population growth in Australian cities from</w:t>
      </w:r>
      <w:bookmarkEnd w:id="45"/>
      <w:r w:rsidRPr="005060E0">
        <w:t xml:space="preserve"> </w:t>
      </w:r>
      <w:r w:rsidR="00C91604">
        <w:t>2012 to 2101 (ABS 2013)</w:t>
      </w:r>
      <w:r w:rsidR="00E50ABF" w:rsidRPr="005060E0">
        <w:t xml:space="preserve">. </w:t>
      </w:r>
      <w:r w:rsidRPr="005060E0">
        <w:t xml:space="preserve">The ABS </w:t>
      </w:r>
      <w:r w:rsidR="00C90BA6" w:rsidRPr="005060E0">
        <w:t xml:space="preserve">population </w:t>
      </w:r>
      <w:r w:rsidRPr="005060E0">
        <w:t xml:space="preserve">predictions for </w:t>
      </w:r>
      <w:r w:rsidR="00E25B6D" w:rsidRPr="005060E0">
        <w:t>2012 and the years</w:t>
      </w:r>
      <w:r w:rsidRPr="005060E0">
        <w:t xml:space="preserve"> modelled </w:t>
      </w:r>
      <w:r w:rsidR="005F44A6" w:rsidRPr="005060E0">
        <w:t xml:space="preserve">for this </w:t>
      </w:r>
      <w:r w:rsidR="00DF05A9" w:rsidRPr="005060E0">
        <w:t>Impact Statement</w:t>
      </w:r>
      <w:r w:rsidR="00E25B6D" w:rsidRPr="005060E0">
        <w:t xml:space="preserve"> (2016</w:t>
      </w:r>
      <w:r w:rsidR="00B718BD" w:rsidRPr="005060E0">
        <w:rPr>
          <w:rFonts w:cs="Arial"/>
        </w:rPr>
        <w:t>–</w:t>
      </w:r>
      <w:r w:rsidR="00E25B6D" w:rsidRPr="005060E0">
        <w:t>2040</w:t>
      </w:r>
      <w:r w:rsidR="00B018C7" w:rsidRPr="005060E0">
        <w:t>)</w:t>
      </w:r>
      <w:r w:rsidRPr="005060E0">
        <w:t xml:space="preserve"> </w:t>
      </w:r>
      <w:r w:rsidR="00E50ABF" w:rsidRPr="005060E0">
        <w:t xml:space="preserve">are shown in </w:t>
      </w:r>
      <w:r w:rsidR="00E50ABF" w:rsidRPr="005060E0">
        <w:fldChar w:fldCharType="begin"/>
      </w:r>
      <w:r w:rsidR="00E50ABF" w:rsidRPr="005060E0">
        <w:instrText xml:space="preserve"> REF _Ref504050149 \h </w:instrText>
      </w:r>
      <w:r w:rsidR="00E50ABF" w:rsidRPr="005060E0">
        <w:fldChar w:fldCharType="separate"/>
      </w:r>
      <w:r w:rsidR="00F2067C" w:rsidRPr="005060E0">
        <w:t xml:space="preserve">Table </w:t>
      </w:r>
      <w:r w:rsidR="00F2067C">
        <w:rPr>
          <w:noProof/>
        </w:rPr>
        <w:t>3</w:t>
      </w:r>
      <w:r w:rsidR="00F2067C" w:rsidRPr="005060E0">
        <w:noBreakHyphen/>
      </w:r>
      <w:r w:rsidR="00F2067C">
        <w:rPr>
          <w:noProof/>
        </w:rPr>
        <w:t>1</w:t>
      </w:r>
      <w:r w:rsidR="00E50ABF" w:rsidRPr="005060E0">
        <w:fldChar w:fldCharType="end"/>
      </w:r>
      <w:r w:rsidRPr="005060E0">
        <w:t>.</w:t>
      </w:r>
      <w:r w:rsidR="00E25B6D" w:rsidRPr="005060E0">
        <w:t xml:space="preserve"> Over the per</w:t>
      </w:r>
      <w:r w:rsidR="00D474D2" w:rsidRPr="005060E0">
        <w:t>iod of the analysis, substantial</w:t>
      </w:r>
      <w:r w:rsidR="00E25B6D" w:rsidRPr="005060E0">
        <w:t xml:space="preserve"> population growth is predicted.</w:t>
      </w:r>
      <w:r w:rsidR="00C30402" w:rsidRPr="005060E0">
        <w:t xml:space="preserve"> </w:t>
      </w:r>
      <w:r w:rsidR="00E25B6D" w:rsidRPr="005060E0">
        <w:t>The projected growth in population will tend to be associated with, for example, increased motor vehicle ownership and vehicle-kilometres travelled (VKT</w:t>
      </w:r>
      <w:r w:rsidR="00D97E94" w:rsidRPr="005060E0">
        <w:t>) or</w:t>
      </w:r>
      <w:r w:rsidR="00E25B6D" w:rsidRPr="005060E0">
        <w:t xml:space="preserve"> increased domestic emissions. In spite of actions to reduce emissions, such as emission standards and new technologies, this growth could make it more difficult to achieve sustained improvements in air quality. This, in turn, can lead to additional overall population exposure and pressure on health services and the economy. Future changes in climate are likely to contribute to the challenge. </w:t>
      </w:r>
    </w:p>
    <w:p w14:paraId="4F29B85D" w14:textId="18976B8B" w:rsidR="00E25B6D" w:rsidRPr="005060E0" w:rsidRDefault="00E25B6D" w:rsidP="00AD7FCF">
      <w:pPr>
        <w:spacing w:after="0" w:line="240" w:lineRule="auto"/>
        <w:rPr>
          <w:sz w:val="22"/>
        </w:rPr>
      </w:pPr>
    </w:p>
    <w:p w14:paraId="18E6798E" w14:textId="5A6711FF" w:rsidR="00985047" w:rsidRPr="005060E0" w:rsidRDefault="00985047" w:rsidP="00213B7D">
      <w:pPr>
        <w:pStyle w:val="Caption"/>
        <w:spacing w:after="120" w:line="240" w:lineRule="auto"/>
        <w:jc w:val="center"/>
      </w:pPr>
      <w:bookmarkStart w:id="46" w:name="_Ref504050149"/>
      <w:bookmarkStart w:id="47" w:name="_Toc479201748"/>
      <w:bookmarkStart w:id="48" w:name="_Toc508305338"/>
      <w:r w:rsidRPr="005060E0">
        <w:t xml:space="preserve">Table </w:t>
      </w:r>
      <w:r w:rsidR="009863AA" w:rsidRPr="005060E0">
        <w:rPr>
          <w:noProof/>
        </w:rPr>
        <w:fldChar w:fldCharType="begin"/>
      </w:r>
      <w:r w:rsidR="009863AA" w:rsidRPr="005060E0">
        <w:rPr>
          <w:noProof/>
        </w:rPr>
        <w:instrText xml:space="preserve"> STYLEREF 1 \s </w:instrText>
      </w:r>
      <w:r w:rsidR="009863AA" w:rsidRPr="005060E0">
        <w:rPr>
          <w:noProof/>
        </w:rPr>
        <w:fldChar w:fldCharType="separate"/>
      </w:r>
      <w:r w:rsidR="00F2067C">
        <w:rPr>
          <w:noProof/>
        </w:rPr>
        <w:t>3</w:t>
      </w:r>
      <w:r w:rsidR="009863AA" w:rsidRPr="005060E0">
        <w:rPr>
          <w:noProof/>
        </w:rPr>
        <w:fldChar w:fldCharType="end"/>
      </w:r>
      <w:r w:rsidRPr="005060E0">
        <w:noBreakHyphen/>
      </w:r>
      <w:r w:rsidR="009863AA" w:rsidRPr="005060E0">
        <w:rPr>
          <w:noProof/>
        </w:rPr>
        <w:fldChar w:fldCharType="begin"/>
      </w:r>
      <w:r w:rsidR="009863AA" w:rsidRPr="005060E0">
        <w:rPr>
          <w:noProof/>
        </w:rPr>
        <w:instrText xml:space="preserve"> SEQ Table \* ARABIC \s 1 </w:instrText>
      </w:r>
      <w:r w:rsidR="009863AA" w:rsidRPr="005060E0">
        <w:rPr>
          <w:noProof/>
        </w:rPr>
        <w:fldChar w:fldCharType="separate"/>
      </w:r>
      <w:r w:rsidR="00F2067C">
        <w:rPr>
          <w:noProof/>
        </w:rPr>
        <w:t>1</w:t>
      </w:r>
      <w:r w:rsidR="009863AA" w:rsidRPr="005060E0">
        <w:rPr>
          <w:noProof/>
        </w:rPr>
        <w:fldChar w:fldCharType="end"/>
      </w:r>
      <w:bookmarkEnd w:id="46"/>
      <w:r w:rsidRPr="005060E0">
        <w:t xml:space="preserve">: Population </w:t>
      </w:r>
      <w:r w:rsidR="00E50ABF" w:rsidRPr="005060E0">
        <w:t xml:space="preserve">growth </w:t>
      </w:r>
      <w:r w:rsidRPr="005060E0">
        <w:t>predictions</w:t>
      </w:r>
      <w:r w:rsidR="00E50ABF" w:rsidRPr="005060E0">
        <w:t xml:space="preserve"> for state/territory capital cities</w:t>
      </w:r>
      <w:bookmarkEnd w:id="47"/>
      <w:bookmarkEnd w:id="48"/>
    </w:p>
    <w:tbl>
      <w:tblPr>
        <w:tblStyle w:val="ListTable3-Accent11"/>
        <w:tblW w:w="5000" w:type="pct"/>
        <w:jc w:val="center"/>
        <w:tblBorders>
          <w:top w:val="single" w:sz="4" w:space="0" w:color="606372" w:themeColor="text2"/>
          <w:left w:val="single" w:sz="4" w:space="0" w:color="606372" w:themeColor="text2"/>
          <w:bottom w:val="single" w:sz="4" w:space="0" w:color="606372" w:themeColor="text2"/>
          <w:right w:val="single" w:sz="4" w:space="0" w:color="606372" w:themeColor="text2"/>
          <w:insideH w:val="single" w:sz="4" w:space="0" w:color="606372" w:themeColor="text2"/>
          <w:insideV w:val="single" w:sz="4" w:space="0" w:color="606372" w:themeColor="text2"/>
        </w:tblBorders>
        <w:tblLook w:val="04A0" w:firstRow="1" w:lastRow="0" w:firstColumn="1" w:lastColumn="0" w:noHBand="0" w:noVBand="1"/>
      </w:tblPr>
      <w:tblGrid>
        <w:gridCol w:w="1683"/>
        <w:gridCol w:w="1527"/>
        <w:gridCol w:w="1604"/>
        <w:gridCol w:w="1606"/>
        <w:gridCol w:w="1604"/>
        <w:gridCol w:w="1604"/>
      </w:tblGrid>
      <w:tr w:rsidR="00E50ABF" w:rsidRPr="005060E0" w14:paraId="0EBEEC02" w14:textId="77777777" w:rsidTr="00C17AB5">
        <w:trPr>
          <w:cnfStyle w:val="100000000000" w:firstRow="1" w:lastRow="0" w:firstColumn="0" w:lastColumn="0" w:oddVBand="0" w:evenVBand="0" w:oddHBand="0" w:evenHBand="0" w:firstRowFirstColumn="0" w:firstRowLastColumn="0" w:lastRowFirstColumn="0" w:lastRowLastColumn="0"/>
          <w:trHeight w:hRule="exact" w:val="340"/>
          <w:tblHeader/>
          <w:jc w:val="center"/>
        </w:trPr>
        <w:tc>
          <w:tcPr>
            <w:cnfStyle w:val="001000000100" w:firstRow="0" w:lastRow="0" w:firstColumn="1" w:lastColumn="0" w:oddVBand="0" w:evenVBand="0" w:oddHBand="0" w:evenHBand="0" w:firstRowFirstColumn="1" w:firstRowLastColumn="0" w:lastRowFirstColumn="0" w:lastRowLastColumn="0"/>
            <w:tcW w:w="874" w:type="pct"/>
            <w:vMerge w:val="restart"/>
            <w:tcBorders>
              <w:right w:val="none" w:sz="0" w:space="0" w:color="auto"/>
            </w:tcBorders>
            <w:shd w:val="clear" w:color="auto" w:fill="606372" w:themeFill="text2"/>
            <w:vAlign w:val="center"/>
          </w:tcPr>
          <w:p w14:paraId="5CD1FEBF" w14:textId="784CED83" w:rsidR="00E50ABF" w:rsidRPr="005060E0" w:rsidRDefault="00E50ABF" w:rsidP="0071544B">
            <w:pPr>
              <w:spacing w:before="40" w:after="40" w:line="240" w:lineRule="auto"/>
              <w:jc w:val="center"/>
              <w:rPr>
                <w:rFonts w:asciiTheme="minorHAnsi" w:hAnsiTheme="minorHAnsi"/>
                <w:b w:val="0"/>
                <w:color w:val="FFFFFF" w:themeColor="background1"/>
                <w:sz w:val="16"/>
                <w:szCs w:val="16"/>
              </w:rPr>
            </w:pPr>
            <w:r w:rsidRPr="005060E0">
              <w:rPr>
                <w:rFonts w:asciiTheme="minorHAnsi" w:hAnsiTheme="minorHAnsi"/>
                <w:b w:val="0"/>
                <w:color w:val="FFFFFF" w:themeColor="background1"/>
                <w:sz w:val="16"/>
                <w:szCs w:val="16"/>
              </w:rPr>
              <w:t>City</w:t>
            </w:r>
          </w:p>
        </w:tc>
        <w:tc>
          <w:tcPr>
            <w:tcW w:w="4126" w:type="pct"/>
            <w:gridSpan w:val="5"/>
            <w:shd w:val="clear" w:color="auto" w:fill="606372" w:themeFill="text2"/>
            <w:vAlign w:val="center"/>
          </w:tcPr>
          <w:p w14:paraId="7F26CE22" w14:textId="2C48C0A5" w:rsidR="00E50ABF" w:rsidRPr="005060E0" w:rsidRDefault="00E50ABF" w:rsidP="007154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FFFFFF" w:themeColor="background1"/>
                <w:sz w:val="16"/>
                <w:szCs w:val="16"/>
              </w:rPr>
            </w:pPr>
            <w:r w:rsidRPr="005060E0">
              <w:rPr>
                <w:rFonts w:asciiTheme="minorHAnsi" w:hAnsiTheme="minorHAnsi"/>
                <w:b w:val="0"/>
                <w:color w:val="FFFFFF" w:themeColor="background1"/>
                <w:sz w:val="16"/>
                <w:szCs w:val="16"/>
              </w:rPr>
              <w:t>Total population (million)</w:t>
            </w:r>
          </w:p>
        </w:tc>
      </w:tr>
      <w:tr w:rsidR="00E50ABF" w:rsidRPr="005060E0" w14:paraId="0683AA08" w14:textId="77777777" w:rsidTr="00C17AB5">
        <w:trPr>
          <w:cnfStyle w:val="100000000000" w:firstRow="1" w:lastRow="0" w:firstColumn="0" w:lastColumn="0" w:oddVBand="0" w:evenVBand="0" w:oddHBand="0" w:evenHBand="0" w:firstRowFirstColumn="0" w:firstRowLastColumn="0" w:lastRowFirstColumn="0" w:lastRowLastColumn="0"/>
          <w:trHeight w:hRule="exact" w:val="340"/>
          <w:tblHeader/>
          <w:jc w:val="center"/>
        </w:trPr>
        <w:tc>
          <w:tcPr>
            <w:cnfStyle w:val="001000000100" w:firstRow="0" w:lastRow="0" w:firstColumn="1" w:lastColumn="0" w:oddVBand="0" w:evenVBand="0" w:oddHBand="0" w:evenHBand="0" w:firstRowFirstColumn="1" w:firstRowLastColumn="0" w:lastRowFirstColumn="0" w:lastRowLastColumn="0"/>
            <w:tcW w:w="874" w:type="pct"/>
            <w:vMerge/>
            <w:tcBorders>
              <w:bottom w:val="none" w:sz="0" w:space="0" w:color="auto"/>
              <w:right w:val="none" w:sz="0" w:space="0" w:color="auto"/>
            </w:tcBorders>
            <w:shd w:val="clear" w:color="auto" w:fill="606372" w:themeFill="text2"/>
            <w:vAlign w:val="center"/>
          </w:tcPr>
          <w:p w14:paraId="4D70D3BB" w14:textId="77777777" w:rsidR="00E50ABF" w:rsidRPr="005060E0" w:rsidRDefault="00E50ABF" w:rsidP="0071544B">
            <w:pPr>
              <w:spacing w:before="40" w:after="40" w:line="240" w:lineRule="auto"/>
              <w:jc w:val="center"/>
              <w:rPr>
                <w:rFonts w:asciiTheme="minorHAnsi" w:hAnsiTheme="minorHAnsi"/>
                <w:b w:val="0"/>
                <w:color w:val="FFFFFF" w:themeColor="background1"/>
                <w:sz w:val="16"/>
                <w:szCs w:val="16"/>
              </w:rPr>
            </w:pPr>
          </w:p>
        </w:tc>
        <w:tc>
          <w:tcPr>
            <w:tcW w:w="793" w:type="pct"/>
            <w:shd w:val="clear" w:color="auto" w:fill="606372" w:themeFill="text2"/>
            <w:vAlign w:val="center"/>
          </w:tcPr>
          <w:p w14:paraId="7C777FF3" w14:textId="77777777" w:rsidR="00E50ABF" w:rsidRPr="00C17AB5" w:rsidRDefault="00E50ABF" w:rsidP="007154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FFFFFF" w:themeColor="background1"/>
                <w:sz w:val="16"/>
                <w:szCs w:val="16"/>
              </w:rPr>
            </w:pPr>
            <w:r w:rsidRPr="00C17AB5">
              <w:rPr>
                <w:rFonts w:asciiTheme="minorHAnsi" w:hAnsiTheme="minorHAnsi"/>
                <w:b w:val="0"/>
                <w:color w:val="FFFFFF" w:themeColor="background1"/>
                <w:sz w:val="16"/>
                <w:szCs w:val="16"/>
              </w:rPr>
              <w:t>2012</w:t>
            </w:r>
          </w:p>
        </w:tc>
        <w:tc>
          <w:tcPr>
            <w:tcW w:w="833" w:type="pct"/>
            <w:shd w:val="clear" w:color="auto" w:fill="606372" w:themeFill="text2"/>
            <w:vAlign w:val="center"/>
          </w:tcPr>
          <w:p w14:paraId="0F749760" w14:textId="77777777" w:rsidR="00E50ABF" w:rsidRPr="00C17AB5" w:rsidRDefault="00E50ABF" w:rsidP="007154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FFFFFF" w:themeColor="background1"/>
                <w:sz w:val="16"/>
                <w:szCs w:val="16"/>
              </w:rPr>
            </w:pPr>
            <w:r w:rsidRPr="00C17AB5">
              <w:rPr>
                <w:rFonts w:asciiTheme="minorHAnsi" w:hAnsiTheme="minorHAnsi"/>
                <w:b w:val="0"/>
                <w:color w:val="FFFFFF" w:themeColor="background1"/>
                <w:sz w:val="16"/>
                <w:szCs w:val="16"/>
              </w:rPr>
              <w:t>2016</w:t>
            </w:r>
          </w:p>
        </w:tc>
        <w:tc>
          <w:tcPr>
            <w:tcW w:w="834" w:type="pct"/>
            <w:shd w:val="clear" w:color="auto" w:fill="606372" w:themeFill="text2"/>
            <w:vAlign w:val="center"/>
          </w:tcPr>
          <w:p w14:paraId="06DFE85D" w14:textId="77777777" w:rsidR="00E50ABF" w:rsidRPr="00C17AB5" w:rsidRDefault="00E50ABF" w:rsidP="007154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FFFFFF" w:themeColor="background1"/>
                <w:sz w:val="16"/>
                <w:szCs w:val="16"/>
              </w:rPr>
            </w:pPr>
            <w:r w:rsidRPr="00C17AB5">
              <w:rPr>
                <w:rFonts w:asciiTheme="minorHAnsi" w:hAnsiTheme="minorHAnsi"/>
                <w:b w:val="0"/>
                <w:color w:val="FFFFFF" w:themeColor="background1"/>
                <w:sz w:val="16"/>
                <w:szCs w:val="16"/>
              </w:rPr>
              <w:t>2021</w:t>
            </w:r>
          </w:p>
        </w:tc>
        <w:tc>
          <w:tcPr>
            <w:tcW w:w="833" w:type="pct"/>
            <w:shd w:val="clear" w:color="auto" w:fill="606372" w:themeFill="text2"/>
            <w:vAlign w:val="center"/>
          </w:tcPr>
          <w:p w14:paraId="56E1EAE3" w14:textId="77777777" w:rsidR="00E50ABF" w:rsidRPr="00C17AB5" w:rsidRDefault="00E50ABF" w:rsidP="007154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FFFFFF" w:themeColor="background1"/>
                <w:sz w:val="16"/>
                <w:szCs w:val="16"/>
              </w:rPr>
            </w:pPr>
            <w:r w:rsidRPr="00C17AB5">
              <w:rPr>
                <w:rFonts w:asciiTheme="minorHAnsi" w:hAnsiTheme="minorHAnsi"/>
                <w:b w:val="0"/>
                <w:color w:val="FFFFFF" w:themeColor="background1"/>
                <w:sz w:val="16"/>
                <w:szCs w:val="16"/>
              </w:rPr>
              <w:t>2031</w:t>
            </w:r>
          </w:p>
        </w:tc>
        <w:tc>
          <w:tcPr>
            <w:tcW w:w="833" w:type="pct"/>
            <w:shd w:val="clear" w:color="auto" w:fill="606372" w:themeFill="text2"/>
            <w:vAlign w:val="center"/>
          </w:tcPr>
          <w:p w14:paraId="33FCDBA9" w14:textId="77777777" w:rsidR="00E50ABF" w:rsidRPr="00C17AB5" w:rsidRDefault="00E50ABF" w:rsidP="007154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FFFFFF" w:themeColor="background1"/>
                <w:sz w:val="16"/>
                <w:szCs w:val="16"/>
              </w:rPr>
            </w:pPr>
            <w:r w:rsidRPr="00C17AB5">
              <w:rPr>
                <w:rFonts w:asciiTheme="minorHAnsi" w:hAnsiTheme="minorHAnsi"/>
                <w:b w:val="0"/>
                <w:color w:val="FFFFFF" w:themeColor="background1"/>
                <w:sz w:val="16"/>
                <w:szCs w:val="16"/>
              </w:rPr>
              <w:t>2040</w:t>
            </w:r>
          </w:p>
        </w:tc>
      </w:tr>
      <w:tr w:rsidR="00985047" w:rsidRPr="005060E0" w14:paraId="03F6DDE3" w14:textId="77777777" w:rsidTr="00E25B6D">
        <w:trPr>
          <w:cnfStyle w:val="000000100000" w:firstRow="0" w:lastRow="0" w:firstColumn="0" w:lastColumn="0" w:oddVBand="0" w:evenVBand="0" w:oddHBand="1" w:evenHBand="0" w:firstRowFirstColumn="0" w:firstRowLastColumn="0" w:lastRowFirstColumn="0" w:lastRowLastColumn="0"/>
          <w:trHeight w:hRule="exact" w:val="340"/>
          <w:jc w:val="center"/>
        </w:trPr>
        <w:tc>
          <w:tcPr>
            <w:cnfStyle w:val="001000000000" w:firstRow="0" w:lastRow="0" w:firstColumn="1" w:lastColumn="0" w:oddVBand="0" w:evenVBand="0" w:oddHBand="0" w:evenHBand="0" w:firstRowFirstColumn="0" w:firstRowLastColumn="0" w:lastRowFirstColumn="0" w:lastRowLastColumn="0"/>
            <w:tcW w:w="874" w:type="pct"/>
            <w:tcBorders>
              <w:right w:val="none" w:sz="0" w:space="0" w:color="auto"/>
            </w:tcBorders>
            <w:vAlign w:val="center"/>
          </w:tcPr>
          <w:p w14:paraId="041E9AE6" w14:textId="77777777" w:rsidR="00985047" w:rsidRPr="005060E0" w:rsidRDefault="00985047" w:rsidP="0071544B">
            <w:pPr>
              <w:spacing w:before="40" w:after="40" w:line="240" w:lineRule="auto"/>
              <w:rPr>
                <w:rFonts w:asciiTheme="minorHAnsi" w:hAnsiTheme="minorHAnsi"/>
                <w:b w:val="0"/>
                <w:sz w:val="16"/>
                <w:szCs w:val="16"/>
              </w:rPr>
            </w:pPr>
            <w:r w:rsidRPr="005060E0">
              <w:rPr>
                <w:rFonts w:asciiTheme="minorHAnsi" w:hAnsiTheme="minorHAnsi"/>
                <w:b w:val="0"/>
                <w:sz w:val="16"/>
                <w:szCs w:val="16"/>
              </w:rPr>
              <w:t>Sydney</w:t>
            </w:r>
          </w:p>
        </w:tc>
        <w:tc>
          <w:tcPr>
            <w:tcW w:w="793" w:type="pct"/>
            <w:vAlign w:val="center"/>
          </w:tcPr>
          <w:p w14:paraId="2529208E" w14:textId="77777777" w:rsidR="00985047" w:rsidRPr="005060E0" w:rsidRDefault="00985047" w:rsidP="0071544B">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4.7</w:t>
            </w:r>
          </w:p>
        </w:tc>
        <w:tc>
          <w:tcPr>
            <w:tcW w:w="833" w:type="pct"/>
            <w:vAlign w:val="center"/>
          </w:tcPr>
          <w:p w14:paraId="35D2A780" w14:textId="77777777" w:rsidR="00985047" w:rsidRPr="005060E0" w:rsidRDefault="00985047" w:rsidP="0071544B">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5</w:t>
            </w:r>
          </w:p>
        </w:tc>
        <w:tc>
          <w:tcPr>
            <w:tcW w:w="834" w:type="pct"/>
            <w:vAlign w:val="center"/>
          </w:tcPr>
          <w:p w14:paraId="6D70B104" w14:textId="77777777" w:rsidR="00985047" w:rsidRPr="005060E0" w:rsidRDefault="00985047" w:rsidP="0071544B">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5.3</w:t>
            </w:r>
          </w:p>
        </w:tc>
        <w:tc>
          <w:tcPr>
            <w:tcW w:w="833" w:type="pct"/>
            <w:vAlign w:val="center"/>
          </w:tcPr>
          <w:p w14:paraId="1743C64A" w14:textId="77777777" w:rsidR="00985047" w:rsidRPr="005060E0" w:rsidRDefault="00985047" w:rsidP="0071544B">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6.2</w:t>
            </w:r>
          </w:p>
        </w:tc>
        <w:tc>
          <w:tcPr>
            <w:tcW w:w="833" w:type="pct"/>
            <w:vAlign w:val="center"/>
          </w:tcPr>
          <w:p w14:paraId="1E1AC4A6" w14:textId="77777777" w:rsidR="00985047" w:rsidRPr="005060E0" w:rsidRDefault="00985047" w:rsidP="0071544B">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6.9</w:t>
            </w:r>
          </w:p>
        </w:tc>
      </w:tr>
      <w:tr w:rsidR="00985047" w:rsidRPr="005060E0" w14:paraId="3FE58D21" w14:textId="77777777" w:rsidTr="00E25B6D">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874" w:type="pct"/>
            <w:tcBorders>
              <w:right w:val="none" w:sz="0" w:space="0" w:color="auto"/>
            </w:tcBorders>
            <w:vAlign w:val="center"/>
          </w:tcPr>
          <w:p w14:paraId="30AB0F2E" w14:textId="77777777" w:rsidR="00985047" w:rsidRPr="005060E0" w:rsidRDefault="00985047" w:rsidP="0071544B">
            <w:pPr>
              <w:spacing w:before="40" w:after="40" w:line="240" w:lineRule="auto"/>
              <w:rPr>
                <w:rFonts w:asciiTheme="minorHAnsi" w:hAnsiTheme="minorHAnsi"/>
                <w:b w:val="0"/>
                <w:sz w:val="16"/>
                <w:szCs w:val="16"/>
              </w:rPr>
            </w:pPr>
            <w:r w:rsidRPr="005060E0">
              <w:rPr>
                <w:rFonts w:asciiTheme="minorHAnsi" w:hAnsiTheme="minorHAnsi"/>
                <w:b w:val="0"/>
                <w:sz w:val="16"/>
                <w:szCs w:val="16"/>
              </w:rPr>
              <w:t>Melbourne</w:t>
            </w:r>
          </w:p>
        </w:tc>
        <w:tc>
          <w:tcPr>
            <w:tcW w:w="793" w:type="pct"/>
            <w:vAlign w:val="center"/>
          </w:tcPr>
          <w:p w14:paraId="2D7216A7" w14:textId="77777777" w:rsidR="00985047" w:rsidRPr="005060E0" w:rsidRDefault="00985047" w:rsidP="0071544B">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4.2</w:t>
            </w:r>
          </w:p>
        </w:tc>
        <w:tc>
          <w:tcPr>
            <w:tcW w:w="833" w:type="pct"/>
            <w:vAlign w:val="center"/>
          </w:tcPr>
          <w:p w14:paraId="0CDBCE53" w14:textId="77777777" w:rsidR="00985047" w:rsidRPr="005060E0" w:rsidRDefault="00985047" w:rsidP="0071544B">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4.6</w:t>
            </w:r>
          </w:p>
        </w:tc>
        <w:tc>
          <w:tcPr>
            <w:tcW w:w="834" w:type="pct"/>
            <w:vAlign w:val="center"/>
          </w:tcPr>
          <w:p w14:paraId="67870ED5" w14:textId="77777777" w:rsidR="00985047" w:rsidRPr="005060E0" w:rsidRDefault="00985047" w:rsidP="0071544B">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5.1</w:t>
            </w:r>
          </w:p>
        </w:tc>
        <w:tc>
          <w:tcPr>
            <w:tcW w:w="833" w:type="pct"/>
            <w:vAlign w:val="center"/>
          </w:tcPr>
          <w:p w14:paraId="4350E290" w14:textId="77777777" w:rsidR="00985047" w:rsidRPr="005060E0" w:rsidRDefault="00985047" w:rsidP="0071544B">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6.2</w:t>
            </w:r>
          </w:p>
        </w:tc>
        <w:tc>
          <w:tcPr>
            <w:tcW w:w="833" w:type="pct"/>
            <w:vAlign w:val="center"/>
          </w:tcPr>
          <w:p w14:paraId="11107858" w14:textId="77777777" w:rsidR="00985047" w:rsidRPr="005060E0" w:rsidRDefault="00985047" w:rsidP="0071544B">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7.4</w:t>
            </w:r>
          </w:p>
        </w:tc>
      </w:tr>
      <w:tr w:rsidR="00985047" w:rsidRPr="005060E0" w14:paraId="04954F81" w14:textId="77777777" w:rsidTr="00E25B6D">
        <w:trPr>
          <w:cnfStyle w:val="000000100000" w:firstRow="0" w:lastRow="0" w:firstColumn="0" w:lastColumn="0" w:oddVBand="0" w:evenVBand="0" w:oddHBand="1" w:evenHBand="0" w:firstRowFirstColumn="0" w:firstRowLastColumn="0" w:lastRowFirstColumn="0" w:lastRowLastColumn="0"/>
          <w:trHeight w:hRule="exact" w:val="340"/>
          <w:jc w:val="center"/>
        </w:trPr>
        <w:tc>
          <w:tcPr>
            <w:cnfStyle w:val="001000000000" w:firstRow="0" w:lastRow="0" w:firstColumn="1" w:lastColumn="0" w:oddVBand="0" w:evenVBand="0" w:oddHBand="0" w:evenHBand="0" w:firstRowFirstColumn="0" w:firstRowLastColumn="0" w:lastRowFirstColumn="0" w:lastRowLastColumn="0"/>
            <w:tcW w:w="874" w:type="pct"/>
            <w:tcBorders>
              <w:right w:val="none" w:sz="0" w:space="0" w:color="auto"/>
            </w:tcBorders>
            <w:vAlign w:val="center"/>
          </w:tcPr>
          <w:p w14:paraId="6463F790" w14:textId="77777777" w:rsidR="00985047" w:rsidRPr="005060E0" w:rsidRDefault="00985047" w:rsidP="0071544B">
            <w:pPr>
              <w:spacing w:before="40" w:after="40" w:line="240" w:lineRule="auto"/>
              <w:rPr>
                <w:rFonts w:asciiTheme="minorHAnsi" w:hAnsiTheme="minorHAnsi"/>
                <w:b w:val="0"/>
                <w:sz w:val="16"/>
                <w:szCs w:val="16"/>
              </w:rPr>
            </w:pPr>
            <w:r w:rsidRPr="005060E0">
              <w:rPr>
                <w:rFonts w:asciiTheme="minorHAnsi" w:hAnsiTheme="minorHAnsi"/>
                <w:b w:val="0"/>
                <w:sz w:val="16"/>
                <w:szCs w:val="16"/>
              </w:rPr>
              <w:t>Brisbane</w:t>
            </w:r>
          </w:p>
        </w:tc>
        <w:tc>
          <w:tcPr>
            <w:tcW w:w="793" w:type="pct"/>
            <w:vAlign w:val="center"/>
          </w:tcPr>
          <w:p w14:paraId="6A1D4193" w14:textId="77777777" w:rsidR="00985047" w:rsidRPr="005060E0" w:rsidRDefault="00985047" w:rsidP="0071544B">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2.1</w:t>
            </w:r>
          </w:p>
        </w:tc>
        <w:tc>
          <w:tcPr>
            <w:tcW w:w="833" w:type="pct"/>
            <w:vAlign w:val="center"/>
          </w:tcPr>
          <w:p w14:paraId="7F69A4AD" w14:textId="77777777" w:rsidR="00985047" w:rsidRPr="005060E0" w:rsidRDefault="00985047" w:rsidP="0071544B">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2.4</w:t>
            </w:r>
          </w:p>
        </w:tc>
        <w:tc>
          <w:tcPr>
            <w:tcW w:w="834" w:type="pct"/>
            <w:vAlign w:val="center"/>
          </w:tcPr>
          <w:p w14:paraId="12DF7FDB" w14:textId="77777777" w:rsidR="00985047" w:rsidRPr="005060E0" w:rsidRDefault="00985047" w:rsidP="0071544B">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2.7</w:t>
            </w:r>
          </w:p>
        </w:tc>
        <w:tc>
          <w:tcPr>
            <w:tcW w:w="833" w:type="pct"/>
            <w:vAlign w:val="center"/>
          </w:tcPr>
          <w:p w14:paraId="2338A38A" w14:textId="77777777" w:rsidR="00985047" w:rsidRPr="005060E0" w:rsidRDefault="00985047" w:rsidP="0071544B">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3.4</w:t>
            </w:r>
          </w:p>
        </w:tc>
        <w:tc>
          <w:tcPr>
            <w:tcW w:w="833" w:type="pct"/>
            <w:vAlign w:val="center"/>
          </w:tcPr>
          <w:p w14:paraId="4EE6BAB3" w14:textId="77777777" w:rsidR="00985047" w:rsidRPr="005060E0" w:rsidRDefault="00985047" w:rsidP="0071544B">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4</w:t>
            </w:r>
          </w:p>
        </w:tc>
      </w:tr>
      <w:tr w:rsidR="00985047" w:rsidRPr="005060E0" w14:paraId="6719F41E" w14:textId="77777777" w:rsidTr="00E25B6D">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874" w:type="pct"/>
            <w:tcBorders>
              <w:right w:val="none" w:sz="0" w:space="0" w:color="auto"/>
            </w:tcBorders>
            <w:vAlign w:val="center"/>
          </w:tcPr>
          <w:p w14:paraId="6F17BF9B" w14:textId="77777777" w:rsidR="00985047" w:rsidRPr="005060E0" w:rsidRDefault="00985047" w:rsidP="0071544B">
            <w:pPr>
              <w:spacing w:before="40" w:after="40" w:line="240" w:lineRule="auto"/>
              <w:rPr>
                <w:rFonts w:asciiTheme="minorHAnsi" w:hAnsiTheme="minorHAnsi"/>
                <w:b w:val="0"/>
                <w:sz w:val="16"/>
                <w:szCs w:val="16"/>
              </w:rPr>
            </w:pPr>
            <w:r w:rsidRPr="005060E0">
              <w:rPr>
                <w:rFonts w:asciiTheme="minorHAnsi" w:hAnsiTheme="minorHAnsi"/>
                <w:b w:val="0"/>
                <w:sz w:val="16"/>
                <w:szCs w:val="16"/>
              </w:rPr>
              <w:t>Perth</w:t>
            </w:r>
          </w:p>
        </w:tc>
        <w:tc>
          <w:tcPr>
            <w:tcW w:w="793" w:type="pct"/>
            <w:vAlign w:val="center"/>
          </w:tcPr>
          <w:p w14:paraId="7D1EA2E7" w14:textId="77777777" w:rsidR="00985047" w:rsidRPr="005060E0" w:rsidRDefault="00985047" w:rsidP="0071544B">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2</w:t>
            </w:r>
          </w:p>
        </w:tc>
        <w:tc>
          <w:tcPr>
            <w:tcW w:w="833" w:type="pct"/>
            <w:vAlign w:val="center"/>
          </w:tcPr>
          <w:p w14:paraId="1B5C7307" w14:textId="77777777" w:rsidR="00985047" w:rsidRPr="005060E0" w:rsidRDefault="00985047" w:rsidP="0071544B">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2.2</w:t>
            </w:r>
          </w:p>
        </w:tc>
        <w:tc>
          <w:tcPr>
            <w:tcW w:w="834" w:type="pct"/>
            <w:vAlign w:val="center"/>
          </w:tcPr>
          <w:p w14:paraId="44B597CD" w14:textId="77777777" w:rsidR="00985047" w:rsidRPr="005060E0" w:rsidRDefault="00985047" w:rsidP="0071544B">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2.6</w:t>
            </w:r>
          </w:p>
        </w:tc>
        <w:tc>
          <w:tcPr>
            <w:tcW w:w="833" w:type="pct"/>
            <w:vAlign w:val="center"/>
          </w:tcPr>
          <w:p w14:paraId="058D7F86" w14:textId="77777777" w:rsidR="00985047" w:rsidRPr="005060E0" w:rsidRDefault="00985047" w:rsidP="0071544B">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3.5</w:t>
            </w:r>
          </w:p>
        </w:tc>
        <w:tc>
          <w:tcPr>
            <w:tcW w:w="833" w:type="pct"/>
            <w:vAlign w:val="center"/>
          </w:tcPr>
          <w:p w14:paraId="2061E84F" w14:textId="77777777" w:rsidR="00985047" w:rsidRPr="005060E0" w:rsidRDefault="00985047" w:rsidP="0071544B">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4.5</w:t>
            </w:r>
          </w:p>
        </w:tc>
      </w:tr>
      <w:tr w:rsidR="00985047" w:rsidRPr="005060E0" w14:paraId="652A2C22" w14:textId="77777777" w:rsidTr="00E25B6D">
        <w:trPr>
          <w:cnfStyle w:val="000000100000" w:firstRow="0" w:lastRow="0" w:firstColumn="0" w:lastColumn="0" w:oddVBand="0" w:evenVBand="0" w:oddHBand="1" w:evenHBand="0" w:firstRowFirstColumn="0" w:firstRowLastColumn="0" w:lastRowFirstColumn="0" w:lastRowLastColumn="0"/>
          <w:trHeight w:hRule="exact" w:val="340"/>
          <w:jc w:val="center"/>
        </w:trPr>
        <w:tc>
          <w:tcPr>
            <w:cnfStyle w:val="001000000000" w:firstRow="0" w:lastRow="0" w:firstColumn="1" w:lastColumn="0" w:oddVBand="0" w:evenVBand="0" w:oddHBand="0" w:evenHBand="0" w:firstRowFirstColumn="0" w:firstRowLastColumn="0" w:lastRowFirstColumn="0" w:lastRowLastColumn="0"/>
            <w:tcW w:w="874" w:type="pct"/>
            <w:tcBorders>
              <w:right w:val="none" w:sz="0" w:space="0" w:color="auto"/>
            </w:tcBorders>
            <w:vAlign w:val="center"/>
          </w:tcPr>
          <w:p w14:paraId="69B6FF6F" w14:textId="77777777" w:rsidR="00985047" w:rsidRPr="005060E0" w:rsidRDefault="00985047" w:rsidP="0071544B">
            <w:pPr>
              <w:spacing w:before="40" w:after="40" w:line="240" w:lineRule="auto"/>
              <w:rPr>
                <w:rFonts w:asciiTheme="minorHAnsi" w:hAnsiTheme="minorHAnsi"/>
                <w:b w:val="0"/>
                <w:sz w:val="16"/>
                <w:szCs w:val="16"/>
              </w:rPr>
            </w:pPr>
            <w:r w:rsidRPr="005060E0">
              <w:rPr>
                <w:rFonts w:asciiTheme="minorHAnsi" w:hAnsiTheme="minorHAnsi"/>
                <w:b w:val="0"/>
                <w:sz w:val="16"/>
                <w:szCs w:val="16"/>
              </w:rPr>
              <w:t>Adelaide</w:t>
            </w:r>
          </w:p>
        </w:tc>
        <w:tc>
          <w:tcPr>
            <w:tcW w:w="793" w:type="pct"/>
            <w:vAlign w:val="center"/>
          </w:tcPr>
          <w:p w14:paraId="2C722BAE" w14:textId="77777777" w:rsidR="00985047" w:rsidRPr="005060E0" w:rsidRDefault="00985047" w:rsidP="0071544B">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1.3</w:t>
            </w:r>
          </w:p>
        </w:tc>
        <w:tc>
          <w:tcPr>
            <w:tcW w:w="833" w:type="pct"/>
            <w:vAlign w:val="center"/>
          </w:tcPr>
          <w:p w14:paraId="33026A55" w14:textId="77777777" w:rsidR="00985047" w:rsidRPr="005060E0" w:rsidRDefault="00985047" w:rsidP="0071544B">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1.3</w:t>
            </w:r>
          </w:p>
        </w:tc>
        <w:tc>
          <w:tcPr>
            <w:tcW w:w="834" w:type="pct"/>
            <w:vAlign w:val="center"/>
          </w:tcPr>
          <w:p w14:paraId="7EB61A96" w14:textId="77777777" w:rsidR="00985047" w:rsidRPr="005060E0" w:rsidRDefault="00985047" w:rsidP="0071544B">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1.4</w:t>
            </w:r>
          </w:p>
        </w:tc>
        <w:tc>
          <w:tcPr>
            <w:tcW w:w="833" w:type="pct"/>
            <w:vAlign w:val="center"/>
          </w:tcPr>
          <w:p w14:paraId="2B26F949" w14:textId="77777777" w:rsidR="00985047" w:rsidRPr="005060E0" w:rsidRDefault="00985047" w:rsidP="0071544B">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1.6</w:t>
            </w:r>
          </w:p>
        </w:tc>
        <w:tc>
          <w:tcPr>
            <w:tcW w:w="833" w:type="pct"/>
            <w:vAlign w:val="center"/>
          </w:tcPr>
          <w:p w14:paraId="113624B0" w14:textId="77777777" w:rsidR="00985047" w:rsidRPr="005060E0" w:rsidRDefault="00985047" w:rsidP="0071544B">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1.8</w:t>
            </w:r>
          </w:p>
        </w:tc>
      </w:tr>
      <w:tr w:rsidR="00985047" w:rsidRPr="005060E0" w14:paraId="6C32232F" w14:textId="77777777" w:rsidTr="00E25B6D">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874" w:type="pct"/>
            <w:tcBorders>
              <w:right w:val="none" w:sz="0" w:space="0" w:color="auto"/>
            </w:tcBorders>
            <w:vAlign w:val="center"/>
          </w:tcPr>
          <w:p w14:paraId="1DEBF709" w14:textId="77777777" w:rsidR="00985047" w:rsidRPr="005060E0" w:rsidRDefault="00985047" w:rsidP="0071544B">
            <w:pPr>
              <w:spacing w:before="40" w:after="40" w:line="240" w:lineRule="auto"/>
              <w:rPr>
                <w:rFonts w:asciiTheme="minorHAnsi" w:hAnsiTheme="minorHAnsi"/>
                <w:b w:val="0"/>
                <w:sz w:val="16"/>
                <w:szCs w:val="16"/>
              </w:rPr>
            </w:pPr>
            <w:r w:rsidRPr="005060E0">
              <w:rPr>
                <w:rFonts w:asciiTheme="minorHAnsi" w:hAnsiTheme="minorHAnsi"/>
                <w:b w:val="0"/>
                <w:sz w:val="16"/>
                <w:szCs w:val="16"/>
              </w:rPr>
              <w:t>Hobart</w:t>
            </w:r>
          </w:p>
        </w:tc>
        <w:tc>
          <w:tcPr>
            <w:tcW w:w="793" w:type="pct"/>
            <w:vAlign w:val="center"/>
          </w:tcPr>
          <w:p w14:paraId="0070D037" w14:textId="77777777" w:rsidR="00985047" w:rsidRPr="005060E0" w:rsidRDefault="00985047" w:rsidP="0071544B">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0.22</w:t>
            </w:r>
          </w:p>
        </w:tc>
        <w:tc>
          <w:tcPr>
            <w:tcW w:w="833" w:type="pct"/>
            <w:vAlign w:val="center"/>
          </w:tcPr>
          <w:p w14:paraId="02F08D73" w14:textId="77777777" w:rsidR="00985047" w:rsidRPr="005060E0" w:rsidRDefault="00985047" w:rsidP="0071544B">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0.22</w:t>
            </w:r>
          </w:p>
        </w:tc>
        <w:tc>
          <w:tcPr>
            <w:tcW w:w="834" w:type="pct"/>
            <w:vAlign w:val="center"/>
          </w:tcPr>
          <w:p w14:paraId="616F227C" w14:textId="77777777" w:rsidR="00985047" w:rsidRPr="005060E0" w:rsidRDefault="00985047" w:rsidP="0071544B">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0.24</w:t>
            </w:r>
          </w:p>
        </w:tc>
        <w:tc>
          <w:tcPr>
            <w:tcW w:w="833" w:type="pct"/>
            <w:vAlign w:val="center"/>
          </w:tcPr>
          <w:p w14:paraId="7F8ACCBD" w14:textId="77777777" w:rsidR="00985047" w:rsidRPr="005060E0" w:rsidRDefault="00985047" w:rsidP="0071544B">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0.26</w:t>
            </w:r>
          </w:p>
        </w:tc>
        <w:tc>
          <w:tcPr>
            <w:tcW w:w="833" w:type="pct"/>
            <w:vAlign w:val="center"/>
          </w:tcPr>
          <w:p w14:paraId="0ADD7084" w14:textId="77777777" w:rsidR="00985047" w:rsidRPr="005060E0" w:rsidRDefault="00985047" w:rsidP="0071544B">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0.29</w:t>
            </w:r>
          </w:p>
        </w:tc>
      </w:tr>
      <w:tr w:rsidR="00985047" w:rsidRPr="005060E0" w14:paraId="5051024B" w14:textId="77777777" w:rsidTr="00E25B6D">
        <w:trPr>
          <w:cnfStyle w:val="000000100000" w:firstRow="0" w:lastRow="0" w:firstColumn="0" w:lastColumn="0" w:oddVBand="0" w:evenVBand="0" w:oddHBand="1" w:evenHBand="0" w:firstRowFirstColumn="0" w:firstRowLastColumn="0" w:lastRowFirstColumn="0" w:lastRowLastColumn="0"/>
          <w:trHeight w:hRule="exact" w:val="340"/>
          <w:jc w:val="center"/>
        </w:trPr>
        <w:tc>
          <w:tcPr>
            <w:cnfStyle w:val="001000000000" w:firstRow="0" w:lastRow="0" w:firstColumn="1" w:lastColumn="0" w:oddVBand="0" w:evenVBand="0" w:oddHBand="0" w:evenHBand="0" w:firstRowFirstColumn="0" w:firstRowLastColumn="0" w:lastRowFirstColumn="0" w:lastRowLastColumn="0"/>
            <w:tcW w:w="874" w:type="pct"/>
            <w:tcBorders>
              <w:right w:val="none" w:sz="0" w:space="0" w:color="auto"/>
            </w:tcBorders>
            <w:vAlign w:val="center"/>
          </w:tcPr>
          <w:p w14:paraId="5A7CBADB" w14:textId="77777777" w:rsidR="00985047" w:rsidRPr="005060E0" w:rsidRDefault="00985047" w:rsidP="0071544B">
            <w:pPr>
              <w:spacing w:before="40" w:after="40" w:line="240" w:lineRule="auto"/>
              <w:rPr>
                <w:rFonts w:asciiTheme="minorHAnsi" w:hAnsiTheme="minorHAnsi"/>
                <w:b w:val="0"/>
                <w:sz w:val="16"/>
                <w:szCs w:val="16"/>
              </w:rPr>
            </w:pPr>
            <w:r w:rsidRPr="005060E0">
              <w:rPr>
                <w:rFonts w:asciiTheme="minorHAnsi" w:hAnsiTheme="minorHAnsi"/>
                <w:b w:val="0"/>
                <w:sz w:val="16"/>
                <w:szCs w:val="16"/>
              </w:rPr>
              <w:t>Darwin</w:t>
            </w:r>
          </w:p>
        </w:tc>
        <w:tc>
          <w:tcPr>
            <w:tcW w:w="793" w:type="pct"/>
            <w:vAlign w:val="center"/>
          </w:tcPr>
          <w:p w14:paraId="7E195C44" w14:textId="77777777" w:rsidR="00985047" w:rsidRPr="005060E0" w:rsidRDefault="00985047" w:rsidP="0071544B">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0.13</w:t>
            </w:r>
          </w:p>
        </w:tc>
        <w:tc>
          <w:tcPr>
            <w:tcW w:w="833" w:type="pct"/>
            <w:vAlign w:val="center"/>
          </w:tcPr>
          <w:p w14:paraId="2DF58E72" w14:textId="77777777" w:rsidR="00985047" w:rsidRPr="005060E0" w:rsidRDefault="00985047" w:rsidP="0071544B">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0.14</w:t>
            </w:r>
          </w:p>
        </w:tc>
        <w:tc>
          <w:tcPr>
            <w:tcW w:w="834" w:type="pct"/>
            <w:vAlign w:val="center"/>
          </w:tcPr>
          <w:p w14:paraId="40667B10" w14:textId="77777777" w:rsidR="00985047" w:rsidRPr="005060E0" w:rsidRDefault="00985047" w:rsidP="0071544B">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0.14</w:t>
            </w:r>
          </w:p>
        </w:tc>
        <w:tc>
          <w:tcPr>
            <w:tcW w:w="833" w:type="pct"/>
            <w:vAlign w:val="center"/>
          </w:tcPr>
          <w:p w14:paraId="368BF1E0" w14:textId="77777777" w:rsidR="00985047" w:rsidRPr="005060E0" w:rsidRDefault="00985047" w:rsidP="0071544B">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0.15</w:t>
            </w:r>
          </w:p>
        </w:tc>
        <w:tc>
          <w:tcPr>
            <w:tcW w:w="833" w:type="pct"/>
            <w:vAlign w:val="center"/>
          </w:tcPr>
          <w:p w14:paraId="31CAE8C8" w14:textId="77777777" w:rsidR="00985047" w:rsidRPr="005060E0" w:rsidRDefault="00985047" w:rsidP="0071544B">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0.16</w:t>
            </w:r>
          </w:p>
        </w:tc>
      </w:tr>
      <w:tr w:rsidR="00985047" w:rsidRPr="005060E0" w14:paraId="59803C88" w14:textId="77777777" w:rsidTr="00E25B6D">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874" w:type="pct"/>
            <w:tcBorders>
              <w:right w:val="none" w:sz="0" w:space="0" w:color="auto"/>
            </w:tcBorders>
            <w:vAlign w:val="center"/>
          </w:tcPr>
          <w:p w14:paraId="4ED1D595" w14:textId="77777777" w:rsidR="00985047" w:rsidRPr="005060E0" w:rsidRDefault="00985047" w:rsidP="0071544B">
            <w:pPr>
              <w:spacing w:before="40" w:after="40" w:line="240" w:lineRule="auto"/>
              <w:rPr>
                <w:rFonts w:asciiTheme="minorHAnsi" w:hAnsiTheme="minorHAnsi"/>
                <w:b w:val="0"/>
                <w:sz w:val="16"/>
                <w:szCs w:val="16"/>
              </w:rPr>
            </w:pPr>
            <w:r w:rsidRPr="005060E0">
              <w:rPr>
                <w:rFonts w:asciiTheme="minorHAnsi" w:hAnsiTheme="minorHAnsi"/>
                <w:b w:val="0"/>
                <w:sz w:val="16"/>
                <w:szCs w:val="16"/>
              </w:rPr>
              <w:t>Canberra</w:t>
            </w:r>
          </w:p>
        </w:tc>
        <w:tc>
          <w:tcPr>
            <w:tcW w:w="793" w:type="pct"/>
            <w:vAlign w:val="center"/>
          </w:tcPr>
          <w:p w14:paraId="62FB82E7" w14:textId="77777777" w:rsidR="00985047" w:rsidRPr="005060E0" w:rsidRDefault="00985047" w:rsidP="0071544B">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0.38</w:t>
            </w:r>
          </w:p>
        </w:tc>
        <w:tc>
          <w:tcPr>
            <w:tcW w:w="833" w:type="pct"/>
            <w:vAlign w:val="center"/>
          </w:tcPr>
          <w:p w14:paraId="65D9C696" w14:textId="77777777" w:rsidR="00985047" w:rsidRPr="005060E0" w:rsidRDefault="00985047" w:rsidP="0071544B">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0.4</w:t>
            </w:r>
          </w:p>
        </w:tc>
        <w:tc>
          <w:tcPr>
            <w:tcW w:w="834" w:type="pct"/>
            <w:vAlign w:val="center"/>
          </w:tcPr>
          <w:p w14:paraId="6EA44D31" w14:textId="77777777" w:rsidR="00985047" w:rsidRPr="005060E0" w:rsidRDefault="00985047" w:rsidP="0071544B">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0.46</w:t>
            </w:r>
          </w:p>
        </w:tc>
        <w:tc>
          <w:tcPr>
            <w:tcW w:w="833" w:type="pct"/>
            <w:vAlign w:val="center"/>
          </w:tcPr>
          <w:p w14:paraId="303255CD" w14:textId="77777777" w:rsidR="00985047" w:rsidRPr="005060E0" w:rsidRDefault="00985047" w:rsidP="0071544B">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0.56</w:t>
            </w:r>
          </w:p>
        </w:tc>
        <w:tc>
          <w:tcPr>
            <w:tcW w:w="833" w:type="pct"/>
            <w:vAlign w:val="center"/>
          </w:tcPr>
          <w:p w14:paraId="16125CD6" w14:textId="77777777" w:rsidR="00985047" w:rsidRPr="005060E0" w:rsidRDefault="00985047" w:rsidP="0071544B">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060E0">
              <w:rPr>
                <w:rFonts w:asciiTheme="minorHAnsi" w:hAnsiTheme="minorHAnsi"/>
                <w:sz w:val="16"/>
                <w:szCs w:val="16"/>
              </w:rPr>
              <w:t>0.7</w:t>
            </w:r>
          </w:p>
        </w:tc>
      </w:tr>
    </w:tbl>
    <w:p w14:paraId="279F0F7D" w14:textId="77777777" w:rsidR="00985047" w:rsidRPr="005060E0" w:rsidRDefault="00985047" w:rsidP="00985047"/>
    <w:p w14:paraId="0DC42400" w14:textId="17A02C15" w:rsidR="00FC3729" w:rsidRPr="005060E0" w:rsidRDefault="00FC3729" w:rsidP="000B3B3D">
      <w:pPr>
        <w:pStyle w:val="Heading3"/>
      </w:pPr>
      <w:r w:rsidRPr="005060E0">
        <w:t>Vulnerable groups and changing demographics</w:t>
      </w:r>
    </w:p>
    <w:p w14:paraId="27655DBB" w14:textId="68C0FE25" w:rsidR="00645766" w:rsidRPr="005060E0" w:rsidRDefault="00985047" w:rsidP="00E718D0">
      <w:r w:rsidRPr="005060E0">
        <w:t>The groups within the population that are most vulnerable to the effects of air pollution are children, people over 65 years of age, and people with existing respiratory and cardiovascular disease (including people with asthma)</w:t>
      </w:r>
      <w:r w:rsidR="00645766" w:rsidRPr="005060E0">
        <w:t xml:space="preserve">. </w:t>
      </w:r>
      <w:r w:rsidRPr="005060E0">
        <w:t>Population statistics show that the Australian population is ageing, with increasing numbers of people in the ‘65 years</w:t>
      </w:r>
      <w:r w:rsidR="00B707A4" w:rsidRPr="005060E0">
        <w:t xml:space="preserve"> and over</w:t>
      </w:r>
      <w:r w:rsidRPr="005060E0">
        <w:t>’ age group. Australia also has one of the highest rates of asthma in the world, especially in children. In the Australian population as a whole</w:t>
      </w:r>
      <w:r w:rsidR="00B707A4" w:rsidRPr="005060E0">
        <w:t>,</w:t>
      </w:r>
      <w:r w:rsidRPr="005060E0">
        <w:t xml:space="preserve"> 11</w:t>
      </w:r>
      <w:r w:rsidR="00C75B58">
        <w:t xml:space="preserve"> per cent</w:t>
      </w:r>
      <w:r w:rsidRPr="005060E0">
        <w:t xml:space="preserve"> (or 2.5 million people) had doctor-diagnosed asthma in 2014</w:t>
      </w:r>
      <w:r w:rsidR="00AF2E07" w:rsidRPr="005060E0">
        <w:rPr>
          <w:rFonts w:cs="Arial"/>
        </w:rPr>
        <w:t>–</w:t>
      </w:r>
      <w:r w:rsidRPr="005060E0">
        <w:t>2015. In children &lt;15 years of age the rate</w:t>
      </w:r>
      <w:r w:rsidR="00C30402" w:rsidRPr="005060E0">
        <w:t xml:space="preserve"> increased to 18</w:t>
      </w:r>
      <w:r w:rsidR="00C75B58">
        <w:t xml:space="preserve"> per cent</w:t>
      </w:r>
      <w:r w:rsidR="00C30402" w:rsidRPr="005060E0">
        <w:t xml:space="preserve"> (AIHW 2011). </w:t>
      </w:r>
      <w:r w:rsidRPr="005060E0">
        <w:t xml:space="preserve">These figures show there is a large group of people within the population who are vulnerable to the effects of the pollutants under consideration in this </w:t>
      </w:r>
      <w:r w:rsidR="00DF05A9" w:rsidRPr="005060E0">
        <w:t>Impact Statement</w:t>
      </w:r>
      <w:r w:rsidR="00645766" w:rsidRPr="005060E0">
        <w:t>.</w:t>
      </w:r>
    </w:p>
    <w:p w14:paraId="4BD477AD" w14:textId="1E1338AD" w:rsidR="00645766" w:rsidRPr="005060E0" w:rsidRDefault="00645766" w:rsidP="0043533F">
      <w:pPr>
        <w:pStyle w:val="Heading2"/>
      </w:pPr>
      <w:bookmarkStart w:id="49" w:name="_Toc3278934"/>
      <w:r w:rsidRPr="005060E0">
        <w:t>Rationale and objectives of government intervention</w:t>
      </w:r>
      <w:bookmarkEnd w:id="49"/>
    </w:p>
    <w:p w14:paraId="3D7E1B35" w14:textId="5DB1D149" w:rsidR="00BC5589" w:rsidRPr="005060E0" w:rsidRDefault="00145064" w:rsidP="00136163">
      <w:pPr>
        <w:pStyle w:val="BodyText"/>
      </w:pPr>
      <w:r w:rsidRPr="005060E0">
        <w:t>The principal reason for government intervention is to protect the population from the wide-rang</w:t>
      </w:r>
      <w:r w:rsidR="00FC3729" w:rsidRPr="005060E0">
        <w:t xml:space="preserve">ing adverse health effects of </w:t>
      </w:r>
      <w:r w:rsidR="006B3C35" w:rsidRPr="005060E0">
        <w:t>SO</w:t>
      </w:r>
      <w:r w:rsidR="006B3C35" w:rsidRPr="005060E0">
        <w:rPr>
          <w:vertAlign w:val="subscript"/>
        </w:rPr>
        <w:t>2</w:t>
      </w:r>
      <w:r w:rsidR="006B3C35" w:rsidRPr="005060E0">
        <w:t>, NO</w:t>
      </w:r>
      <w:r w:rsidR="006B3C35" w:rsidRPr="005060E0">
        <w:rPr>
          <w:vertAlign w:val="subscript"/>
        </w:rPr>
        <w:t>2</w:t>
      </w:r>
      <w:r w:rsidR="006B3C35" w:rsidRPr="005060E0">
        <w:t xml:space="preserve"> and O</w:t>
      </w:r>
      <w:r w:rsidR="006B3C35" w:rsidRPr="005060E0">
        <w:rPr>
          <w:vertAlign w:val="subscript"/>
        </w:rPr>
        <w:t>3</w:t>
      </w:r>
      <w:r w:rsidRPr="005060E0">
        <w:t xml:space="preserve">. </w:t>
      </w:r>
      <w:r w:rsidR="00BC5589" w:rsidRPr="005060E0">
        <w:t>Air quality standards provide targets to</w:t>
      </w:r>
      <w:r w:rsidR="0006160F" w:rsidRPr="005060E0">
        <w:t xml:space="preserve"> maintain and</w:t>
      </w:r>
      <w:r w:rsidR="00BC5589" w:rsidRPr="005060E0">
        <w:t xml:space="preserve"> drive improvements in air quality</w:t>
      </w:r>
      <w:r w:rsidR="005F000A" w:rsidRPr="005060E0">
        <w:t>, and</w:t>
      </w:r>
      <w:r w:rsidR="00BC5589" w:rsidRPr="005060E0">
        <w:t xml:space="preserve"> to </w:t>
      </w:r>
      <w:r w:rsidR="0006160F" w:rsidRPr="005060E0">
        <w:t xml:space="preserve">avoid risk to public health from </w:t>
      </w:r>
      <w:r w:rsidR="005F000A" w:rsidRPr="005060E0">
        <w:t>air pollution</w:t>
      </w:r>
      <w:r w:rsidR="00CB0B9A" w:rsidRPr="005060E0">
        <w:t xml:space="preserve">. </w:t>
      </w:r>
      <w:r w:rsidR="005F000A" w:rsidRPr="005060E0">
        <w:t>S</w:t>
      </w:r>
      <w:r w:rsidR="00BC5589" w:rsidRPr="005060E0">
        <w:t xml:space="preserve">tandards </w:t>
      </w:r>
      <w:r w:rsidR="005F000A" w:rsidRPr="005060E0">
        <w:t>should be defined in a way that reflects the scientific understanding of pollutant sources, air quality, health impacts, and cost to society</w:t>
      </w:r>
      <w:r w:rsidR="00BC5589" w:rsidRPr="005060E0">
        <w:t>.</w:t>
      </w:r>
      <w:r w:rsidR="00101040" w:rsidRPr="005060E0">
        <w:t xml:space="preserve"> The extent to which government needs to intervene is informed by environmental and economic data.</w:t>
      </w:r>
    </w:p>
    <w:p w14:paraId="720292E5" w14:textId="09B6B4AA" w:rsidR="00136163" w:rsidRPr="005060E0" w:rsidRDefault="00145064" w:rsidP="00136163">
      <w:pPr>
        <w:pStyle w:val="BodyText"/>
      </w:pPr>
      <w:r w:rsidRPr="005060E0">
        <w:t>Government intervention should aim to red</w:t>
      </w:r>
      <w:r w:rsidR="00136163" w:rsidRPr="005060E0">
        <w:t xml:space="preserve">uce ambient concentrations of </w:t>
      </w:r>
      <w:r w:rsidR="00041EFF" w:rsidRPr="005060E0">
        <w:t>O</w:t>
      </w:r>
      <w:r w:rsidR="00041EFF" w:rsidRPr="005060E0">
        <w:rPr>
          <w:vertAlign w:val="subscript"/>
        </w:rPr>
        <w:t>3</w:t>
      </w:r>
      <w:r w:rsidR="00041EFF" w:rsidRPr="005060E0">
        <w:t>, NO</w:t>
      </w:r>
      <w:r w:rsidR="00041EFF" w:rsidRPr="005060E0">
        <w:rPr>
          <w:vertAlign w:val="subscript"/>
        </w:rPr>
        <w:t>2</w:t>
      </w:r>
      <w:r w:rsidR="00041EFF" w:rsidRPr="005060E0">
        <w:t xml:space="preserve"> and SO</w:t>
      </w:r>
      <w:r w:rsidR="00041EFF" w:rsidRPr="005060E0">
        <w:rPr>
          <w:vertAlign w:val="subscript"/>
        </w:rPr>
        <w:t>2</w:t>
      </w:r>
      <w:r w:rsidRPr="005060E0">
        <w:t>, especially in populated areas, taking into account the practical limitations on what can be achieved using traditional methods (</w:t>
      </w:r>
      <w:r w:rsidRPr="00CC2143">
        <w:t>i.e.</w:t>
      </w:r>
      <w:r w:rsidRPr="005060E0">
        <w:t xml:space="preserve"> reducing primary anthropogenic emissions). </w:t>
      </w:r>
    </w:p>
    <w:p w14:paraId="1C9AFD8B" w14:textId="4539FAE0" w:rsidR="00145064" w:rsidRPr="005060E0" w:rsidRDefault="00145064" w:rsidP="00136163">
      <w:pPr>
        <w:pStyle w:val="BodyText"/>
      </w:pPr>
      <w:r w:rsidRPr="005060E0">
        <w:t>There is a case for government intervention when market failures are present</w:t>
      </w:r>
      <w:r w:rsidRPr="005060E0">
        <w:rPr>
          <w:rStyle w:val="FootnoteReference"/>
        </w:rPr>
        <w:footnoteReference w:id="19"/>
      </w:r>
      <w:r w:rsidRPr="005060E0">
        <w:t>. With respect to air quality the primary market failure is a negative externality. Negative externalities exist where the actions of a party result in a cost to a third party not directly involved in that action. In the case of air pollution, the party responsible for causing the pollution does not bear all of the health costs associated with it. While negative externalities are the most prominent of market failures, some secondary market failures could be addressed through the implementation of abatement measures. For example, it has been argued that some households may not be aware that the way in which they operate wood heaters increases air pollution, preventing them from voluntarily adjusting their behaviour (BDA Group 2013). Air quality abatement measures all involve some form of intervention, either through regulation (emissions standards), disincentives to pollute (</w:t>
      </w:r>
      <w:r w:rsidRPr="00CC2143">
        <w:t>e.g.</w:t>
      </w:r>
      <w:r w:rsidRPr="005060E0">
        <w:t xml:space="preserve"> financial penalties) or incentives (grants or subsidies) to take actions that reduce emissions. In doing so, the measures are designed to increase societal welfare.</w:t>
      </w:r>
    </w:p>
    <w:p w14:paraId="00FD6C68" w14:textId="4E545937" w:rsidR="00145064" w:rsidRPr="005060E0" w:rsidRDefault="00145064" w:rsidP="00136163">
      <w:pPr>
        <w:pStyle w:val="BodyText"/>
      </w:pPr>
      <w:r w:rsidRPr="005060E0">
        <w:t xml:space="preserve">In the AAQ NEPM the primary objective of government is to attain ‘ambient air quality that allows for the adequate protection of human health and wellbeing’. The AAQ NEPM review concluded that this should be modified to ‘minimise the risk from adverse health impacts from exposure to air pollution for all people wherever they may live’. The absence of a threshold for the </w:t>
      </w:r>
      <w:r w:rsidR="00136163" w:rsidRPr="005060E0">
        <w:t>health effects of air pollutants</w:t>
      </w:r>
      <w:r w:rsidRPr="005060E0">
        <w:t xml:space="preserve"> has prompted support for more stringent air quality standards and for the adoption of an exposure-reduction approach which seeks to gradually reduce ge</w:t>
      </w:r>
      <w:r w:rsidR="00136163" w:rsidRPr="005060E0">
        <w:t>neral exposures to pollutant</w:t>
      </w:r>
      <w:r w:rsidRPr="005060E0">
        <w:t xml:space="preserve"> concentrations</w:t>
      </w:r>
      <w:r w:rsidRPr="005060E0">
        <w:rPr>
          <w:noProof/>
          <w:snapToGrid w:val="0"/>
        </w:rPr>
        <w:t>.</w:t>
      </w:r>
      <w:r w:rsidRPr="005060E0">
        <w:t xml:space="preserve"> </w:t>
      </w:r>
    </w:p>
    <w:p w14:paraId="15347A05" w14:textId="4EE2C967" w:rsidR="00145064" w:rsidRPr="005060E0" w:rsidRDefault="00145064" w:rsidP="00136163">
      <w:pPr>
        <w:pStyle w:val="BodyText"/>
      </w:pPr>
      <w:r w:rsidRPr="005060E0">
        <w:t xml:space="preserve">This </w:t>
      </w:r>
      <w:r w:rsidR="00B707A4" w:rsidRPr="005060E0">
        <w:t>r</w:t>
      </w:r>
      <w:r w:rsidRPr="005060E0">
        <w:t>eport indicates that current policy interventions are not limiting emissions and concentrations in line with policy objectives. Government intervention is considered necessary to prompt and accelerate policies and measures to reduce population expos</w:t>
      </w:r>
      <w:r w:rsidR="00BC5589" w:rsidRPr="005060E0">
        <w:t>ure to SO</w:t>
      </w:r>
      <w:r w:rsidR="00BC5589" w:rsidRPr="005060E0">
        <w:rPr>
          <w:vertAlign w:val="subscript"/>
        </w:rPr>
        <w:t>2</w:t>
      </w:r>
      <w:r w:rsidR="00BC5589" w:rsidRPr="005060E0">
        <w:t>, NO</w:t>
      </w:r>
      <w:r w:rsidR="00BC5589" w:rsidRPr="005060E0">
        <w:rPr>
          <w:vertAlign w:val="subscript"/>
        </w:rPr>
        <w:t>2</w:t>
      </w:r>
      <w:r w:rsidR="00BC5589" w:rsidRPr="005060E0">
        <w:t xml:space="preserve"> and O</w:t>
      </w:r>
      <w:r w:rsidR="00BC5589" w:rsidRPr="005060E0">
        <w:rPr>
          <w:vertAlign w:val="subscript"/>
        </w:rPr>
        <w:t>3</w:t>
      </w:r>
      <w:r w:rsidRPr="005060E0">
        <w:t>.</w:t>
      </w:r>
    </w:p>
    <w:p w14:paraId="107ADF17" w14:textId="4F3C6789" w:rsidR="004315C8" w:rsidRPr="005060E0" w:rsidRDefault="004315C8" w:rsidP="0043533F">
      <w:pPr>
        <w:pStyle w:val="Heading2"/>
      </w:pPr>
      <w:bookmarkStart w:id="50" w:name="_Toc3278935"/>
      <w:r w:rsidRPr="005060E0">
        <w:t>Possible approaches and options</w:t>
      </w:r>
      <w:bookmarkEnd w:id="50"/>
    </w:p>
    <w:p w14:paraId="53A4D77F" w14:textId="6D5546D6" w:rsidR="00BB2C20" w:rsidRPr="005060E0" w:rsidRDefault="00003B07" w:rsidP="00003B07">
      <w:r w:rsidRPr="005060E0">
        <w:t xml:space="preserve">The desired environmental outcome in managing the gaseous pollutants is the achievement of air quality that allows for the adequate protection of human health and wellbeing. </w:t>
      </w:r>
      <w:r w:rsidR="00BB2C20" w:rsidRPr="005060E0">
        <w:t>Section 17(b) of the NEPC Act requires tha</w:t>
      </w:r>
      <w:r w:rsidRPr="005060E0">
        <w:t>t an impact statement include ‘</w:t>
      </w:r>
      <w:r w:rsidR="00BB2C20" w:rsidRPr="005060E0">
        <w:t>a statement of the alternative methods of achieving the desired environmental outcomes and the reasons why those alternatives have not b</w:t>
      </w:r>
      <w:r w:rsidRPr="005060E0">
        <w:t>een adopted’.</w:t>
      </w:r>
    </w:p>
    <w:p w14:paraId="7C1DB46A" w14:textId="6FE12EC2" w:rsidR="00BB2C20" w:rsidRPr="005060E0" w:rsidRDefault="00BB2C20" w:rsidP="00593DE8">
      <w:pPr>
        <w:spacing w:after="120"/>
      </w:pPr>
      <w:r w:rsidRPr="005060E0">
        <w:t>There are several approaches to deliver</w:t>
      </w:r>
      <w:r w:rsidR="00747BA6" w:rsidRPr="005060E0">
        <w:t>ing</w:t>
      </w:r>
      <w:r w:rsidRPr="005060E0">
        <w:t xml:space="preserve"> the desired environmental outcome</w:t>
      </w:r>
      <w:r w:rsidR="00747BA6" w:rsidRPr="005060E0">
        <w:t xml:space="preserve"> that may be considered</w:t>
      </w:r>
      <w:r w:rsidRPr="005060E0">
        <w:t xml:space="preserve">. These are: </w:t>
      </w:r>
    </w:p>
    <w:p w14:paraId="2BC9DB7F" w14:textId="2CCBC0D0" w:rsidR="00137FD0" w:rsidRPr="005060E0" w:rsidRDefault="00747BA6" w:rsidP="00593DE8">
      <w:pPr>
        <w:pStyle w:val="ListBullet"/>
        <w:spacing w:after="120"/>
      </w:pPr>
      <w:r w:rsidRPr="005060E0">
        <w:t>n</w:t>
      </w:r>
      <w:r w:rsidR="00137FD0" w:rsidRPr="005060E0">
        <w:t>o change to the current framework</w:t>
      </w:r>
    </w:p>
    <w:p w14:paraId="79F671DF" w14:textId="77777777" w:rsidR="00137FD0" w:rsidRPr="005060E0" w:rsidRDefault="00137FD0" w:rsidP="00593DE8">
      <w:pPr>
        <w:pStyle w:val="ListBullet"/>
        <w:spacing w:after="120"/>
      </w:pPr>
      <w:r w:rsidRPr="005060E0">
        <w:t>Commonwealth legislation</w:t>
      </w:r>
    </w:p>
    <w:p w14:paraId="7E7B76F0" w14:textId="1FB0BA9D" w:rsidR="00137FD0" w:rsidRPr="005060E0" w:rsidRDefault="00747BA6" w:rsidP="00593DE8">
      <w:pPr>
        <w:pStyle w:val="ListBullet"/>
        <w:spacing w:after="120"/>
      </w:pPr>
      <w:r w:rsidRPr="005060E0">
        <w:t>v</w:t>
      </w:r>
      <w:r w:rsidR="00137FD0" w:rsidRPr="005060E0">
        <w:t>oluntary guidelines</w:t>
      </w:r>
    </w:p>
    <w:p w14:paraId="618ECA00" w14:textId="59F3E4B6" w:rsidR="00137FD0" w:rsidRPr="005060E0" w:rsidRDefault="00747BA6" w:rsidP="00593DE8">
      <w:pPr>
        <w:pStyle w:val="ListBullet"/>
        <w:spacing w:after="120"/>
      </w:pPr>
      <w:bookmarkStart w:id="51" w:name="_Hlk1565226"/>
      <w:r w:rsidRPr="005060E0">
        <w:t>i</w:t>
      </w:r>
      <w:r w:rsidR="00137FD0" w:rsidRPr="005060E0">
        <w:t>nter-governmental agreement or memorandum of understanding</w:t>
      </w:r>
      <w:bookmarkEnd w:id="51"/>
    </w:p>
    <w:p w14:paraId="3DE842BC" w14:textId="7C9A057C" w:rsidR="00137FD0" w:rsidRPr="005060E0" w:rsidRDefault="00747BA6" w:rsidP="00137FD0">
      <w:pPr>
        <w:pStyle w:val="ListBullet"/>
      </w:pPr>
      <w:r w:rsidRPr="005060E0">
        <w:t>v</w:t>
      </w:r>
      <w:r w:rsidR="00137FD0" w:rsidRPr="005060E0">
        <w:t>ariation of the AAQ NEPM</w:t>
      </w:r>
      <w:r w:rsidR="00003B07" w:rsidRPr="005060E0">
        <w:t xml:space="preserve"> standards</w:t>
      </w:r>
      <w:r w:rsidRPr="005060E0">
        <w:t>.</w:t>
      </w:r>
    </w:p>
    <w:p w14:paraId="63A534DB" w14:textId="6CF8C3A6" w:rsidR="00AD108B" w:rsidRPr="005060E0" w:rsidRDefault="00AD108B" w:rsidP="00AD108B">
      <w:pPr>
        <w:spacing w:after="300"/>
      </w:pPr>
      <w:r w:rsidRPr="005060E0">
        <w:t>A variation of the existing AAQ NEPM is highly likely to be the most appropriate step</w:t>
      </w:r>
      <w:r w:rsidR="005220BC" w:rsidRPr="005060E0">
        <w:t>, and was recommended by the AAQ NEPM review (NEPC 2011a)</w:t>
      </w:r>
      <w:r w:rsidR="00747BA6" w:rsidRPr="005060E0">
        <w:t>;</w:t>
      </w:r>
      <w:r w:rsidRPr="005060E0">
        <w:t xml:space="preserve"> </w:t>
      </w:r>
      <w:r w:rsidR="00747BA6" w:rsidRPr="005060E0">
        <w:t>h</w:t>
      </w:r>
      <w:r w:rsidRPr="005060E0">
        <w:t>owever, for completeness each of these approaches is considered below.</w:t>
      </w:r>
    </w:p>
    <w:p w14:paraId="678552B5" w14:textId="77777777" w:rsidR="00AD108B" w:rsidRPr="005060E0" w:rsidRDefault="00AD108B" w:rsidP="000B3B3D">
      <w:pPr>
        <w:pStyle w:val="Heading3"/>
      </w:pPr>
      <w:bookmarkStart w:id="52" w:name="_Toc372107385"/>
      <w:r w:rsidRPr="005060E0">
        <w:t>No change to the current framework</w:t>
      </w:r>
      <w:bookmarkEnd w:id="52"/>
    </w:p>
    <w:p w14:paraId="1A8E29CE" w14:textId="2C6B8993" w:rsidR="00A26FF3" w:rsidRPr="005060E0" w:rsidRDefault="00A26FF3" w:rsidP="00A26FF3">
      <w:r w:rsidRPr="005060E0">
        <w:t>The AAQ NEPM represents a harmonised national framework for the management of ambient air quality. The air quality standards and goals in the AAQ NEPM are intended to achieve equity, in that they provide an equivalent minimum level of protection everywhere from the adverse he</w:t>
      </w:r>
      <w:r w:rsidR="00FC3844" w:rsidRPr="005060E0">
        <w:t>alth effects of air pollutants.</w:t>
      </w:r>
    </w:p>
    <w:p w14:paraId="6A5AFF0A" w14:textId="150FEB70" w:rsidR="00FC3844" w:rsidRPr="005060E0" w:rsidRDefault="00FC3844" w:rsidP="00593DE8">
      <w:pPr>
        <w:spacing w:after="120"/>
      </w:pPr>
      <w:r w:rsidRPr="005060E0">
        <w:t xml:space="preserve">The review </w:t>
      </w:r>
      <w:r w:rsidR="00E25B6D" w:rsidRPr="005060E0">
        <w:t xml:space="preserve">of the NEPM </w:t>
      </w:r>
      <w:r w:rsidRPr="005060E0">
        <w:t>considered the following:</w:t>
      </w:r>
    </w:p>
    <w:p w14:paraId="3FF7175F" w14:textId="7A0FA2AB" w:rsidR="00FC3844" w:rsidRPr="005060E0" w:rsidRDefault="00854333" w:rsidP="00593DE8">
      <w:pPr>
        <w:pStyle w:val="ListBullet"/>
        <w:spacing w:after="120"/>
      </w:pPr>
      <w:r w:rsidRPr="005060E0">
        <w:t>t</w:t>
      </w:r>
      <w:r w:rsidR="00FC3844" w:rsidRPr="005060E0">
        <w:t xml:space="preserve">he effectiveness of the </w:t>
      </w:r>
      <w:r w:rsidRPr="005060E0">
        <w:t>m</w:t>
      </w:r>
      <w:r w:rsidR="00FC3844" w:rsidRPr="005060E0">
        <w:t xml:space="preserve">easure in achieving its desired environmental outcome, which is ‘ambient air quality that allows for the adequate protection </w:t>
      </w:r>
      <w:r w:rsidR="0073647A" w:rsidRPr="005060E0">
        <w:t>of human health and wellbeing’</w:t>
      </w:r>
    </w:p>
    <w:p w14:paraId="05487134" w14:textId="7E0F84CE" w:rsidR="00FC3844" w:rsidRPr="005060E0" w:rsidRDefault="00854333" w:rsidP="00593DE8">
      <w:pPr>
        <w:pStyle w:val="ListBullet"/>
        <w:spacing w:after="120"/>
      </w:pPr>
      <w:r w:rsidRPr="005060E0">
        <w:t>t</w:t>
      </w:r>
      <w:r w:rsidR="00FC3844" w:rsidRPr="005060E0">
        <w:t xml:space="preserve">he effectiveness of the </w:t>
      </w:r>
      <w:r w:rsidRPr="005060E0">
        <w:t>m</w:t>
      </w:r>
      <w:r w:rsidR="00FC3844" w:rsidRPr="005060E0">
        <w:t xml:space="preserve">easure in generating comparable, reliable information </w:t>
      </w:r>
      <w:r w:rsidR="0073647A" w:rsidRPr="005060E0">
        <w:t>on the levels of air pollutants</w:t>
      </w:r>
    </w:p>
    <w:p w14:paraId="472B9BA0" w14:textId="65371559" w:rsidR="00FC3844" w:rsidRPr="005060E0" w:rsidRDefault="00854333" w:rsidP="00593DE8">
      <w:pPr>
        <w:pStyle w:val="ListBullet"/>
        <w:spacing w:after="120"/>
      </w:pPr>
      <w:r w:rsidRPr="005060E0">
        <w:t>t</w:t>
      </w:r>
      <w:r w:rsidR="00FC3844" w:rsidRPr="005060E0">
        <w:t>he environmental, economic and social impact of the measure, in</w:t>
      </w:r>
      <w:r w:rsidR="0073647A" w:rsidRPr="005060E0">
        <w:t>cluding unintended consequences</w:t>
      </w:r>
    </w:p>
    <w:p w14:paraId="6EFE2AC1" w14:textId="25CD6745" w:rsidR="00FC3844" w:rsidRPr="005060E0" w:rsidRDefault="00854333" w:rsidP="00593DE8">
      <w:pPr>
        <w:pStyle w:val="ListBullet"/>
        <w:spacing w:after="120"/>
      </w:pPr>
      <w:r w:rsidRPr="005060E0">
        <w:t>t</w:t>
      </w:r>
      <w:r w:rsidR="00FC3844" w:rsidRPr="005060E0">
        <w:t>he simplicity, efficiency and effectiveness of the administration of the measure, including the ade</w:t>
      </w:r>
      <w:r w:rsidR="0073647A" w:rsidRPr="005060E0">
        <w:t>quacy of its support mechanisms</w:t>
      </w:r>
    </w:p>
    <w:p w14:paraId="27BB21F4" w14:textId="4DDD049B" w:rsidR="00FC3844" w:rsidRPr="005060E0" w:rsidRDefault="00854333" w:rsidP="00593DE8">
      <w:pPr>
        <w:pStyle w:val="ListBullet"/>
        <w:spacing w:after="120"/>
      </w:pPr>
      <w:r w:rsidRPr="005060E0">
        <w:t>a</w:t>
      </w:r>
      <w:r w:rsidR="00FC3844" w:rsidRPr="005060E0">
        <w:t xml:space="preserve">ny regional environmental differences in Australia and the implications for the </w:t>
      </w:r>
      <w:r w:rsidRPr="005060E0">
        <w:t>m</w:t>
      </w:r>
      <w:r w:rsidR="00FC3844" w:rsidRPr="005060E0">
        <w:t xml:space="preserve">easure; the links between the AAQ NEPM and other </w:t>
      </w:r>
      <w:r w:rsidRPr="005060E0">
        <w:t>g</w:t>
      </w:r>
      <w:r w:rsidR="00FC3844" w:rsidRPr="005060E0">
        <w:t>overnment policies (including other NEPMs) and th</w:t>
      </w:r>
      <w:r w:rsidR="0073647A" w:rsidRPr="005060E0">
        <w:t>e potential for integration</w:t>
      </w:r>
    </w:p>
    <w:p w14:paraId="51126096" w14:textId="1C994BDE" w:rsidR="00FC3844" w:rsidRPr="005060E0" w:rsidRDefault="00854333" w:rsidP="00593DE8">
      <w:pPr>
        <w:pStyle w:val="ListBullet"/>
        <w:spacing w:after="120"/>
      </w:pPr>
      <w:r w:rsidRPr="005060E0">
        <w:t>t</w:t>
      </w:r>
      <w:r w:rsidR="00FC3844" w:rsidRPr="005060E0">
        <w:t xml:space="preserve">he need, if any, for varying the </w:t>
      </w:r>
      <w:r w:rsidRPr="005060E0">
        <w:t>m</w:t>
      </w:r>
      <w:r w:rsidR="00FC3844" w:rsidRPr="005060E0">
        <w:t>easure, (in accordance with the Act) including:</w:t>
      </w:r>
    </w:p>
    <w:p w14:paraId="49103741" w14:textId="6518A3BB" w:rsidR="00FC3844" w:rsidRPr="005060E0" w:rsidRDefault="00854333" w:rsidP="00593DE8">
      <w:pPr>
        <w:pStyle w:val="PBL2bullet"/>
        <w:spacing w:after="120"/>
      </w:pPr>
      <w:r w:rsidRPr="005060E0">
        <w:t>w</w:t>
      </w:r>
      <w:r w:rsidR="00FC3844" w:rsidRPr="005060E0">
        <w:t>hether any changes should be made to the Schedules</w:t>
      </w:r>
    </w:p>
    <w:p w14:paraId="0E248D83" w14:textId="0894F392" w:rsidR="00FC3844" w:rsidRPr="005060E0" w:rsidRDefault="00854333" w:rsidP="00593DE8">
      <w:pPr>
        <w:pStyle w:val="PBL2bullet"/>
        <w:spacing w:after="120"/>
      </w:pPr>
      <w:r w:rsidRPr="005060E0">
        <w:t>w</w:t>
      </w:r>
      <w:r w:rsidR="00FC3844" w:rsidRPr="005060E0">
        <w:t xml:space="preserve">hether any changes should be made to improve the effectiveness of the </w:t>
      </w:r>
      <w:r w:rsidRPr="005060E0">
        <w:t>m</w:t>
      </w:r>
      <w:r w:rsidR="00FC3844" w:rsidRPr="005060E0">
        <w:t>easure in achieving the desired environmental outcome set out within it</w:t>
      </w:r>
    </w:p>
    <w:p w14:paraId="2B558659" w14:textId="5550EBA0" w:rsidR="00FC3844" w:rsidRPr="005060E0" w:rsidRDefault="00854333" w:rsidP="00FC3844">
      <w:pPr>
        <w:pStyle w:val="PBL2bullet"/>
      </w:pPr>
      <w:r w:rsidRPr="005060E0">
        <w:t>t</w:t>
      </w:r>
      <w:r w:rsidR="00FC3844" w:rsidRPr="005060E0">
        <w:t>he potential costs and benefits of any proposed changes.</w:t>
      </w:r>
    </w:p>
    <w:p w14:paraId="0B0FE12C" w14:textId="7D004A01" w:rsidR="00FC3844" w:rsidRPr="005060E0" w:rsidRDefault="00FC3844" w:rsidP="00FC3844">
      <w:pPr>
        <w:rPr>
          <w:szCs w:val="20"/>
        </w:rPr>
      </w:pPr>
      <w:r w:rsidRPr="005060E0">
        <w:t xml:space="preserve">The review concluded that the </w:t>
      </w:r>
      <w:r w:rsidR="00FE23DB" w:rsidRPr="005060E0">
        <w:t>AAQ NEPM</w:t>
      </w:r>
      <w:r w:rsidRPr="005060E0">
        <w:t xml:space="preserve"> has been successful in developing a national approach to the monitoring and assessment of air quality in Australia (NEPC 2011a). The review also found that implementation of the </w:t>
      </w:r>
      <w:r w:rsidR="00FE23DB" w:rsidRPr="005060E0">
        <w:t>AAQ NEPM</w:t>
      </w:r>
      <w:r w:rsidRPr="005060E0">
        <w:t xml:space="preserve"> has led to a greater understanding of air quality in Australia which has, in turn, led to an improved understanding about the health </w:t>
      </w:r>
      <w:r w:rsidRPr="005060E0">
        <w:rPr>
          <w:szCs w:val="20"/>
        </w:rPr>
        <w:t xml:space="preserve">impacts of air pollution on the community. There has also been a marked reduction in emissions of some pollutants since the </w:t>
      </w:r>
      <w:r w:rsidR="00FE23DB" w:rsidRPr="005060E0">
        <w:rPr>
          <w:szCs w:val="20"/>
        </w:rPr>
        <w:t>AAQ NEPM</w:t>
      </w:r>
      <w:r w:rsidRPr="005060E0">
        <w:rPr>
          <w:szCs w:val="20"/>
        </w:rPr>
        <w:t xml:space="preserve"> was made. The review noted that governments now have the opportunity to act more strategically to manage and further improve air quality in Australia, moving beyond strict compliance with the standards to a focus on reducing population risk and recommended changes to the </w:t>
      </w:r>
      <w:r w:rsidR="00FE23DB" w:rsidRPr="005060E0">
        <w:rPr>
          <w:szCs w:val="20"/>
        </w:rPr>
        <w:t>AAQ NEPM</w:t>
      </w:r>
      <w:r w:rsidRPr="005060E0">
        <w:rPr>
          <w:szCs w:val="20"/>
        </w:rPr>
        <w:t xml:space="preserve"> framework that would enable this to occur. Some of these changes were adopted in the 2016 </w:t>
      </w:r>
      <w:r w:rsidR="00854333" w:rsidRPr="005060E0">
        <w:rPr>
          <w:szCs w:val="20"/>
        </w:rPr>
        <w:t>v</w:t>
      </w:r>
      <w:r w:rsidRPr="005060E0">
        <w:rPr>
          <w:szCs w:val="20"/>
        </w:rPr>
        <w:t xml:space="preserve">ariation to the </w:t>
      </w:r>
      <w:r w:rsidR="00FE23DB" w:rsidRPr="005060E0">
        <w:rPr>
          <w:szCs w:val="20"/>
        </w:rPr>
        <w:t>AAQ NEPM</w:t>
      </w:r>
      <w:r w:rsidRPr="005060E0">
        <w:rPr>
          <w:szCs w:val="20"/>
        </w:rPr>
        <w:t xml:space="preserve"> for the particle standards.</w:t>
      </w:r>
    </w:p>
    <w:p w14:paraId="2B746208" w14:textId="59F77DD5" w:rsidR="00137FD0" w:rsidRPr="005060E0" w:rsidRDefault="00A26FF3" w:rsidP="00137FD0">
      <w:r w:rsidRPr="005060E0">
        <w:t xml:space="preserve">Should the AAQ NEPM continue in its current form, this framework will continue. </w:t>
      </w:r>
      <w:r w:rsidR="00137FD0" w:rsidRPr="005060E0">
        <w:t xml:space="preserve">The arguments to maintain the status quo rely on the ability of </w:t>
      </w:r>
      <w:r w:rsidR="00003B07" w:rsidRPr="005060E0">
        <w:t xml:space="preserve">the current AAQ </w:t>
      </w:r>
      <w:r w:rsidR="00137FD0" w:rsidRPr="005060E0">
        <w:t>NEPM standards to achieve the</w:t>
      </w:r>
      <w:r w:rsidR="00003B07" w:rsidRPr="005060E0">
        <w:t xml:space="preserve"> desired environmental outcomes</w:t>
      </w:r>
      <w:r w:rsidRPr="005060E0">
        <w:t xml:space="preserve"> (historically and in the future)</w:t>
      </w:r>
      <w:r w:rsidR="00003B07" w:rsidRPr="005060E0">
        <w:t xml:space="preserve">, </w:t>
      </w:r>
      <w:r w:rsidR="00137FD0" w:rsidRPr="005060E0">
        <w:t>and that actions taken by jurisdictions to date are adequate to reduce levels of these pollutants.</w:t>
      </w:r>
    </w:p>
    <w:p w14:paraId="123863A3" w14:textId="2D5BF255" w:rsidR="00AD108B" w:rsidRPr="005060E0" w:rsidRDefault="00137FD0" w:rsidP="00A26FF3">
      <w:r w:rsidRPr="005060E0">
        <w:t>The status quo needs to account for the evolution of scientific information around the health and environmental impacts of SO</w:t>
      </w:r>
      <w:r w:rsidRPr="005060E0">
        <w:rPr>
          <w:vertAlign w:val="subscript"/>
        </w:rPr>
        <w:t>2</w:t>
      </w:r>
      <w:r w:rsidRPr="005060E0">
        <w:t>, NO</w:t>
      </w:r>
      <w:r w:rsidRPr="005060E0">
        <w:rPr>
          <w:vertAlign w:val="subscript"/>
        </w:rPr>
        <w:t>2</w:t>
      </w:r>
      <w:r w:rsidRPr="005060E0">
        <w:t xml:space="preserve"> and O</w:t>
      </w:r>
      <w:r w:rsidRPr="005060E0">
        <w:rPr>
          <w:vertAlign w:val="subscript"/>
        </w:rPr>
        <w:t>3</w:t>
      </w:r>
      <w:r w:rsidR="00003B07" w:rsidRPr="005060E0">
        <w:t xml:space="preserve"> over time. </w:t>
      </w:r>
      <w:r w:rsidR="00151EEC">
        <w:t xml:space="preserve">The </w:t>
      </w:r>
      <w:r w:rsidR="00003B07" w:rsidRPr="005060E0">
        <w:t>NEPC</w:t>
      </w:r>
      <w:r w:rsidRPr="005060E0">
        <w:t xml:space="preserve"> </w:t>
      </w:r>
      <w:r w:rsidR="00003B07" w:rsidRPr="005060E0">
        <w:t>(</w:t>
      </w:r>
      <w:r w:rsidRPr="005060E0">
        <w:t>2011</w:t>
      </w:r>
      <w:r w:rsidR="00003B07" w:rsidRPr="005060E0">
        <w:t>a</w:t>
      </w:r>
      <w:r w:rsidRPr="005060E0">
        <w:t>) concluded that there are health effects currently being experienced in the Australian population at leve</w:t>
      </w:r>
      <w:r w:rsidR="00003B07" w:rsidRPr="005060E0">
        <w:t xml:space="preserve">ls below the current standards. </w:t>
      </w:r>
      <w:r w:rsidRPr="005060E0">
        <w:t>This implies that the desired environmental outcome</w:t>
      </w:r>
      <w:r w:rsidR="00003B07" w:rsidRPr="005060E0">
        <w:t xml:space="preserve"> of the </w:t>
      </w:r>
      <w:r w:rsidR="00FE23DB" w:rsidRPr="005060E0">
        <w:t>AAQ NEPM</w:t>
      </w:r>
      <w:r w:rsidR="00003B07" w:rsidRPr="005060E0">
        <w:t xml:space="preserve"> is not being met. </w:t>
      </w:r>
      <w:r w:rsidRPr="005060E0">
        <w:t xml:space="preserve">If the </w:t>
      </w:r>
      <w:r w:rsidR="00FE23DB" w:rsidRPr="005060E0">
        <w:t>AAQ NEPM</w:t>
      </w:r>
      <w:r w:rsidRPr="005060E0">
        <w:t xml:space="preserve"> is not varied to reflect the current scientific knowledge about the health effects of these pollutants, individual jurisdictions may develop vastly different standards leading to potential inconsistencies in the management of</w:t>
      </w:r>
      <w:r w:rsidR="00A26FF3" w:rsidRPr="005060E0">
        <w:t xml:space="preserve"> air quality across Australia. </w:t>
      </w:r>
      <w:r w:rsidR="00AD108B" w:rsidRPr="005060E0">
        <w:t>It would therefore be advisable to consider approaches other than continuing with the AAQ NEPM framework in its current form.</w:t>
      </w:r>
    </w:p>
    <w:p w14:paraId="0B86C9CF" w14:textId="6220C83B" w:rsidR="00BB2C20" w:rsidRPr="005060E0" w:rsidRDefault="00137FD0" w:rsidP="00593DE8">
      <w:pPr>
        <w:pStyle w:val="Heading3"/>
        <w:spacing w:before="240" w:after="200"/>
      </w:pPr>
      <w:bookmarkStart w:id="53" w:name="_Toc479858843"/>
      <w:r w:rsidRPr="005060E0">
        <w:t>Commonwealth l</w:t>
      </w:r>
      <w:r w:rsidR="00BB2C20" w:rsidRPr="005060E0">
        <w:t>egislation</w:t>
      </w:r>
      <w:bookmarkEnd w:id="53"/>
      <w:r w:rsidR="00BB2C20" w:rsidRPr="005060E0">
        <w:t xml:space="preserve"> </w:t>
      </w:r>
    </w:p>
    <w:p w14:paraId="4710C10F" w14:textId="3B3381A8" w:rsidR="00AD108B" w:rsidRPr="005060E0" w:rsidRDefault="00555C16" w:rsidP="00A26FF3">
      <w:r w:rsidRPr="005060E0">
        <w:t xml:space="preserve">It is unlikely that </w:t>
      </w:r>
      <w:r w:rsidR="00BB2C20" w:rsidRPr="005060E0">
        <w:t>the Commonwealth</w:t>
      </w:r>
      <w:r w:rsidRPr="005060E0">
        <w:t xml:space="preserve"> Government</w:t>
      </w:r>
      <w:r w:rsidR="00BB2C20" w:rsidRPr="005060E0">
        <w:t>, given its p</w:t>
      </w:r>
      <w:r w:rsidRPr="005060E0">
        <w:t>owers under the Constitution, could</w:t>
      </w:r>
      <w:r w:rsidR="00BB2C20" w:rsidRPr="005060E0">
        <w:t xml:space="preserve"> introduce legislation that could deliver the desired environmental outcomes being pursued through the variation to the </w:t>
      </w:r>
      <w:r w:rsidR="00FE23DB" w:rsidRPr="005060E0">
        <w:t>AAQ NEPM</w:t>
      </w:r>
      <w:r w:rsidR="003B6CAB" w:rsidRPr="005060E0">
        <w:t>.</w:t>
      </w:r>
      <w:r w:rsidR="00BB2C20" w:rsidRPr="005060E0">
        <w:t xml:space="preserve"> Further</w:t>
      </w:r>
      <w:r w:rsidR="00A26FF3" w:rsidRPr="005060E0">
        <w:t>more</w:t>
      </w:r>
      <w:r w:rsidR="00BB2C20" w:rsidRPr="005060E0">
        <w:t>, the Commonwealth is unlikely to pursue unilateral action to set air quality standards given the cooperative national approach being taken at present in relation to environmental issues, particularly through the NEPC and the development of the National Clean Air Agreement</w:t>
      </w:r>
      <w:r w:rsidR="00854333" w:rsidRPr="005060E0">
        <w:t>,</w:t>
      </w:r>
      <w:r w:rsidR="00BB2C20" w:rsidRPr="005060E0">
        <w:t xml:space="preserve"> and th</w:t>
      </w:r>
      <w:r w:rsidR="00A26FF3" w:rsidRPr="005060E0">
        <w:t>e fact that the s</w:t>
      </w:r>
      <w:r w:rsidR="00BB2C20" w:rsidRPr="005060E0">
        <w:t>tates have responsibility for air quality management.</w:t>
      </w:r>
      <w:r w:rsidR="00A26FF3" w:rsidRPr="005060E0">
        <w:t xml:space="preserve"> In addition</w:t>
      </w:r>
      <w:r w:rsidR="003B6CAB" w:rsidRPr="005060E0">
        <w:t>, the Commonwealth i</w:t>
      </w:r>
      <w:r w:rsidR="00AD108B" w:rsidRPr="005060E0">
        <w:t xml:space="preserve">s not well placed to </w:t>
      </w:r>
      <w:r w:rsidR="000C22D8" w:rsidRPr="005060E0">
        <w:t>play</w:t>
      </w:r>
      <w:r w:rsidR="00AD108B" w:rsidRPr="005060E0">
        <w:t xml:space="preserve"> a hands-on role in data collection, analysis and reporting of air quality data, and woul</w:t>
      </w:r>
      <w:r w:rsidR="00704BAC" w:rsidRPr="005060E0">
        <w:t>d have to invest considerable</w:t>
      </w:r>
      <w:r w:rsidR="00AD108B" w:rsidRPr="005060E0">
        <w:t xml:space="preserve"> resources to duplicate systems that </w:t>
      </w:r>
      <w:r w:rsidR="00B00321" w:rsidRPr="005060E0">
        <w:t xml:space="preserve">are </w:t>
      </w:r>
      <w:r w:rsidR="00AD108B" w:rsidRPr="005060E0">
        <w:t xml:space="preserve">already in place at the </w:t>
      </w:r>
      <w:r w:rsidR="005A403B" w:rsidRPr="005060E0">
        <w:t>s</w:t>
      </w:r>
      <w:r w:rsidR="00AD108B" w:rsidRPr="005060E0">
        <w:t xml:space="preserve">tate and </w:t>
      </w:r>
      <w:r w:rsidR="005A403B" w:rsidRPr="005060E0">
        <w:t>t</w:t>
      </w:r>
      <w:r w:rsidR="00AD108B" w:rsidRPr="005060E0">
        <w:t>erritory level. The AAQ NEPM was developed to overcome the inherent difficulties of the Commonwealth legislation on air quality. This logic still applies, and therefore Commonwealth legislation is not considered to be a feasible approach and has not been included in the impact analysis.</w:t>
      </w:r>
    </w:p>
    <w:p w14:paraId="56A7A7C1" w14:textId="77777777" w:rsidR="00AD108B" w:rsidRPr="005060E0" w:rsidRDefault="00AD108B" w:rsidP="00593DE8">
      <w:pPr>
        <w:pStyle w:val="Heading3"/>
        <w:spacing w:before="240" w:after="200"/>
      </w:pPr>
      <w:bookmarkStart w:id="54" w:name="_Toc372107387"/>
      <w:r w:rsidRPr="005060E0">
        <w:t>Voluntary guidelines</w:t>
      </w:r>
      <w:bookmarkEnd w:id="54"/>
    </w:p>
    <w:p w14:paraId="78DB7405" w14:textId="6B539F93" w:rsidR="00AD108B" w:rsidRPr="005060E0" w:rsidRDefault="00CD26B9" w:rsidP="00C30402">
      <w:pPr>
        <w:widowControl w:val="0"/>
      </w:pPr>
      <w:r w:rsidRPr="005060E0">
        <w:t>The National Health and Medical Research Council (</w:t>
      </w:r>
      <w:r w:rsidR="00137FD0" w:rsidRPr="005060E0">
        <w:t>NHMRC</w:t>
      </w:r>
      <w:r w:rsidRPr="005060E0">
        <w:t>)</w:t>
      </w:r>
      <w:r w:rsidR="00137FD0" w:rsidRPr="005060E0">
        <w:t xml:space="preserve"> has previously determined a set of air quality guidelines for some of the major air pollutants</w:t>
      </w:r>
      <w:r w:rsidR="00B00321" w:rsidRPr="005060E0">
        <w:t>,</w:t>
      </w:r>
      <w:r w:rsidR="00137FD0" w:rsidRPr="005060E0">
        <w:t xml:space="preserve"> based on their human health effects. These guidelines have subsequently been revoked with the implementation of the </w:t>
      </w:r>
      <w:r w:rsidR="00FE23DB" w:rsidRPr="005060E0">
        <w:t>AAQ NEPM</w:t>
      </w:r>
      <w:r w:rsidR="004E5B8E" w:rsidRPr="005060E0">
        <w:t xml:space="preserve">. </w:t>
      </w:r>
      <w:r w:rsidR="00137FD0" w:rsidRPr="005060E0">
        <w:t>The NEPC was established with the ability to develop standards for ambient air quality</w:t>
      </w:r>
      <w:r w:rsidR="00B00321" w:rsidRPr="005060E0">
        <w:t xml:space="preserve">. </w:t>
      </w:r>
      <w:r w:rsidR="00137FD0" w:rsidRPr="005060E0">
        <w:t xml:space="preserve">The clear intention at the time of making the </w:t>
      </w:r>
      <w:r w:rsidR="00A26FF3" w:rsidRPr="005060E0">
        <w:t xml:space="preserve">AAQ NEPM </w:t>
      </w:r>
      <w:r w:rsidR="00137FD0" w:rsidRPr="005060E0">
        <w:t xml:space="preserve">was that the </w:t>
      </w:r>
      <w:r w:rsidR="00FE23DB" w:rsidRPr="005060E0">
        <w:t>AAQ NEPM</w:t>
      </w:r>
      <w:r w:rsidR="00137FD0" w:rsidRPr="005060E0">
        <w:t xml:space="preserve"> standards would replace NHMRC guidelines for air quality</w:t>
      </w:r>
      <w:r w:rsidR="00B00321" w:rsidRPr="005060E0">
        <w:t>,</w:t>
      </w:r>
      <w:r w:rsidR="00137FD0" w:rsidRPr="005060E0">
        <w:t xml:space="preserve"> which has occurred</w:t>
      </w:r>
      <w:r w:rsidR="00B00321" w:rsidRPr="005060E0">
        <w:t xml:space="preserve">. </w:t>
      </w:r>
      <w:r w:rsidR="00137FD0" w:rsidRPr="005060E0">
        <w:t>Therefore</w:t>
      </w:r>
      <w:r w:rsidR="00A26FF3" w:rsidRPr="005060E0">
        <w:t>,</w:t>
      </w:r>
      <w:r w:rsidR="00137FD0" w:rsidRPr="005060E0">
        <w:t xml:space="preserve"> there are no current guidelines in Australia that could be adopted.</w:t>
      </w:r>
      <w:r w:rsidR="00A26FF3" w:rsidRPr="005060E0">
        <w:t xml:space="preserve"> </w:t>
      </w:r>
      <w:r w:rsidR="00AD108B" w:rsidRPr="005060E0">
        <w:t xml:space="preserve">Indeed, the use of voluntary guidelines would represent a retrograde step in air quality management in Australia. Therefore, voluntary guidelines are not considered a feasible approach and have </w:t>
      </w:r>
      <w:r w:rsidR="00A26FF3" w:rsidRPr="005060E0">
        <w:t xml:space="preserve">not been included in the </w:t>
      </w:r>
      <w:r w:rsidR="00AD108B" w:rsidRPr="005060E0">
        <w:t>analysis.</w:t>
      </w:r>
    </w:p>
    <w:p w14:paraId="4A19C4FB" w14:textId="77777777" w:rsidR="006542C4" w:rsidRDefault="006542C4" w:rsidP="006542C4">
      <w:pPr>
        <w:pStyle w:val="Heading3"/>
      </w:pPr>
      <w:bookmarkStart w:id="55" w:name="_Toc443035825"/>
      <w:bookmarkStart w:id="56" w:name="_Toc479858846"/>
      <w:r>
        <w:t>Inter-governmental agreement or memorandum of understanding</w:t>
      </w:r>
    </w:p>
    <w:p w14:paraId="47F6A7BD" w14:textId="7C8D0704" w:rsidR="006542C4" w:rsidRDefault="006542C4" w:rsidP="006542C4">
      <w:r>
        <w:t>Inter-governmental agreements were also considered as part of the impact assessment for the variation to include PM</w:t>
      </w:r>
      <w:r w:rsidRPr="006542C4">
        <w:rPr>
          <w:vertAlign w:val="subscript"/>
        </w:rPr>
        <w:t>2.5</w:t>
      </w:r>
      <w:r>
        <w:t xml:space="preserve"> in the AAQ NEPM (NEPC 2002); however, it was concluded that this approach would not necessarily provide a sufficient degree of uniformity in the standard-setting process, or in the monitoring and reporting requirements necessary to make the standards meaningful. This approach offers no obvious advantage over the AAQ NEPM variation approach; a similar process would be required, but without the likelihood of achieving uniformity in practice. Therefore, this approach is not considered feasible and has not been included in the impact analysis.</w:t>
      </w:r>
    </w:p>
    <w:p w14:paraId="6BCD6D22" w14:textId="04262F71" w:rsidR="00BB2C20" w:rsidRPr="005060E0" w:rsidRDefault="00BB2C20" w:rsidP="006542C4">
      <w:pPr>
        <w:pStyle w:val="Heading3"/>
      </w:pPr>
      <w:r w:rsidRPr="005060E0">
        <w:t>Vari</w:t>
      </w:r>
      <w:r w:rsidR="004315C8" w:rsidRPr="005060E0">
        <w:t xml:space="preserve">ation of the </w:t>
      </w:r>
      <w:bookmarkEnd w:id="55"/>
      <w:bookmarkEnd w:id="56"/>
      <w:r w:rsidR="00003B07" w:rsidRPr="005060E0">
        <w:t>standards</w:t>
      </w:r>
      <w:r w:rsidRPr="005060E0">
        <w:t xml:space="preserve"> </w:t>
      </w:r>
      <w:r w:rsidR="00205B41" w:rsidRPr="005060E0">
        <w:t>in the National Environment Protection (Ambient Air Quality) Measure</w:t>
      </w:r>
    </w:p>
    <w:p w14:paraId="42E0A99D" w14:textId="6CA6A306" w:rsidR="00BB2C20" w:rsidRPr="005060E0" w:rsidRDefault="00BB2C20" w:rsidP="004315C8">
      <w:r w:rsidRPr="005060E0">
        <w:t xml:space="preserve">A variation to the </w:t>
      </w:r>
      <w:r w:rsidR="00A26FF3" w:rsidRPr="005060E0">
        <w:t xml:space="preserve">AAQ NEPM standards </w:t>
      </w:r>
      <w:r w:rsidRPr="005060E0">
        <w:t>will continue to facilitate a harmonised national framework for monitoring and reporting of SO</w:t>
      </w:r>
      <w:r w:rsidRPr="005060E0">
        <w:rPr>
          <w:vertAlign w:val="subscript"/>
        </w:rPr>
        <w:t>2</w:t>
      </w:r>
      <w:r w:rsidRPr="005060E0">
        <w:t>, NO</w:t>
      </w:r>
      <w:r w:rsidRPr="005060E0">
        <w:rPr>
          <w:vertAlign w:val="subscript"/>
        </w:rPr>
        <w:t>2</w:t>
      </w:r>
      <w:r w:rsidRPr="005060E0">
        <w:t xml:space="preserve"> and O</w:t>
      </w:r>
      <w:r w:rsidRPr="005060E0">
        <w:rPr>
          <w:vertAlign w:val="subscript"/>
        </w:rPr>
        <w:t>3</w:t>
      </w:r>
      <w:r w:rsidRPr="005060E0">
        <w:t xml:space="preserve"> in conjunction with the framework already established under the </w:t>
      </w:r>
      <w:r w:rsidR="00FE23DB" w:rsidRPr="005060E0">
        <w:t>AAQ NEPM</w:t>
      </w:r>
      <w:r w:rsidRPr="005060E0">
        <w:t>.</w:t>
      </w:r>
    </w:p>
    <w:p w14:paraId="3FD7B40B" w14:textId="6D4BBA75" w:rsidR="00BB2C20" w:rsidRPr="005060E0" w:rsidRDefault="00BB2C20" w:rsidP="00BB2C20">
      <w:r w:rsidRPr="005060E0">
        <w:t xml:space="preserve">National air quality standards are intended to achieve the NEPC objective of providing equivalent protection, in this case from the adverse health effects associated with air pollution. </w:t>
      </w:r>
      <w:r w:rsidR="00FE23DB" w:rsidRPr="005060E0">
        <w:t>AAQ NEPM</w:t>
      </w:r>
      <w:r w:rsidRPr="005060E0">
        <w:t xml:space="preserve"> standards provide a well-defined objective for management of air quality, enhancing national certainty in environmental protection.</w:t>
      </w:r>
    </w:p>
    <w:p w14:paraId="2C125FD2" w14:textId="4201CF31" w:rsidR="00BB2C20" w:rsidRPr="005060E0" w:rsidRDefault="00BB2C20" w:rsidP="00BB2C20">
      <w:pPr>
        <w:rPr>
          <w:szCs w:val="20"/>
        </w:rPr>
      </w:pPr>
      <w:r w:rsidRPr="005060E0">
        <w:rPr>
          <w:szCs w:val="20"/>
        </w:rPr>
        <w:t xml:space="preserve">As indicated above, other means of approaching the issue, apart from varying the </w:t>
      </w:r>
      <w:r w:rsidR="00FE23DB" w:rsidRPr="005060E0">
        <w:rPr>
          <w:szCs w:val="20"/>
        </w:rPr>
        <w:t>AAQ NEPM</w:t>
      </w:r>
      <w:r w:rsidRPr="005060E0">
        <w:rPr>
          <w:szCs w:val="20"/>
        </w:rPr>
        <w:t>, would not provide a sufficient degree of uniformity or compatibility in the standards setting process or the monitoring and reporting requirements necessary to make the standards meaningful</w:t>
      </w:r>
      <w:r w:rsidR="00B00321" w:rsidRPr="005060E0">
        <w:rPr>
          <w:szCs w:val="20"/>
        </w:rPr>
        <w:t xml:space="preserve">. </w:t>
      </w:r>
      <w:r w:rsidRPr="005060E0">
        <w:rPr>
          <w:szCs w:val="20"/>
        </w:rPr>
        <w:t xml:space="preserve">The </w:t>
      </w:r>
      <w:r w:rsidR="00B00321" w:rsidRPr="005060E0">
        <w:rPr>
          <w:szCs w:val="20"/>
        </w:rPr>
        <w:t>r</w:t>
      </w:r>
      <w:r w:rsidRPr="005060E0">
        <w:rPr>
          <w:szCs w:val="20"/>
        </w:rPr>
        <w:t xml:space="preserve">eview of the </w:t>
      </w:r>
      <w:r w:rsidR="00FE23DB" w:rsidRPr="005060E0">
        <w:rPr>
          <w:szCs w:val="20"/>
        </w:rPr>
        <w:t>AAQ NEPM</w:t>
      </w:r>
      <w:r w:rsidRPr="005060E0">
        <w:rPr>
          <w:szCs w:val="20"/>
        </w:rPr>
        <w:t xml:space="preserve"> found that it has been effective in driving greater understanding of air quality in Australia and in providing a nationally consistent approach to the monitoring and reporting of air quality.</w:t>
      </w:r>
    </w:p>
    <w:p w14:paraId="19DE850D" w14:textId="5CEC0B0E" w:rsidR="00BB2C20" w:rsidRPr="005060E0" w:rsidRDefault="000A67B6" w:rsidP="00593DE8">
      <w:pPr>
        <w:pStyle w:val="Heading2"/>
        <w:spacing w:before="240" w:after="200"/>
        <w:ind w:left="709" w:hanging="709"/>
      </w:pPr>
      <w:bookmarkStart w:id="57" w:name="_Toc443035826"/>
      <w:bookmarkStart w:id="58" w:name="_Toc479858847"/>
      <w:bookmarkStart w:id="59" w:name="_Toc3278936"/>
      <w:r w:rsidRPr="005060E0">
        <w:t>Consequences of not v</w:t>
      </w:r>
      <w:r w:rsidR="00BB2C20" w:rsidRPr="005060E0">
        <w:t>ar</w:t>
      </w:r>
      <w:bookmarkEnd w:id="57"/>
      <w:bookmarkEnd w:id="58"/>
      <w:r w:rsidRPr="005060E0">
        <w:t xml:space="preserve">ying the </w:t>
      </w:r>
      <w:r w:rsidR="00205B41" w:rsidRPr="005060E0">
        <w:t>National Environment Protection (Ambient Air Quality) Measure</w:t>
      </w:r>
      <w:bookmarkEnd w:id="59"/>
    </w:p>
    <w:p w14:paraId="2968D55C" w14:textId="5A765760" w:rsidR="00555C16" w:rsidRPr="005060E0" w:rsidRDefault="00BB2C20" w:rsidP="00BB2C20">
      <w:pPr>
        <w:rPr>
          <w:szCs w:val="20"/>
        </w:rPr>
      </w:pPr>
      <w:r w:rsidRPr="005060E0">
        <w:rPr>
          <w:szCs w:val="20"/>
        </w:rPr>
        <w:t xml:space="preserve">If the variation to the </w:t>
      </w:r>
      <w:r w:rsidR="00A26FF3" w:rsidRPr="005060E0">
        <w:rPr>
          <w:szCs w:val="20"/>
        </w:rPr>
        <w:t xml:space="preserve">AAQ NEPM </w:t>
      </w:r>
      <w:r w:rsidRPr="005060E0">
        <w:rPr>
          <w:szCs w:val="20"/>
        </w:rPr>
        <w:t>is not made, the existing standards for SO</w:t>
      </w:r>
      <w:r w:rsidRPr="005060E0">
        <w:rPr>
          <w:szCs w:val="20"/>
          <w:vertAlign w:val="subscript"/>
        </w:rPr>
        <w:t>2</w:t>
      </w:r>
      <w:r w:rsidRPr="005060E0">
        <w:rPr>
          <w:szCs w:val="20"/>
        </w:rPr>
        <w:t>, NO</w:t>
      </w:r>
      <w:r w:rsidRPr="005060E0">
        <w:rPr>
          <w:szCs w:val="20"/>
          <w:vertAlign w:val="subscript"/>
        </w:rPr>
        <w:t>2</w:t>
      </w:r>
      <w:r w:rsidRPr="005060E0">
        <w:rPr>
          <w:szCs w:val="20"/>
        </w:rPr>
        <w:t xml:space="preserve"> and O</w:t>
      </w:r>
      <w:r w:rsidRPr="005060E0">
        <w:rPr>
          <w:szCs w:val="20"/>
          <w:vertAlign w:val="subscript"/>
        </w:rPr>
        <w:t>3</w:t>
      </w:r>
      <w:r w:rsidRPr="005060E0">
        <w:rPr>
          <w:szCs w:val="20"/>
        </w:rPr>
        <w:t xml:space="preserve"> may not protect the health of the Australian population </w:t>
      </w:r>
      <w:r w:rsidR="00555C16" w:rsidRPr="005060E0">
        <w:t xml:space="preserve">to a level that is based on contemporary science and evidence, </w:t>
      </w:r>
      <w:r w:rsidRPr="005060E0">
        <w:rPr>
          <w:szCs w:val="20"/>
        </w:rPr>
        <w:t xml:space="preserve">meaning the desired environmental outcomes of the </w:t>
      </w:r>
      <w:r w:rsidR="00FE23DB" w:rsidRPr="005060E0">
        <w:rPr>
          <w:szCs w:val="20"/>
        </w:rPr>
        <w:t>AAQ NEPM</w:t>
      </w:r>
      <w:r w:rsidRPr="005060E0">
        <w:rPr>
          <w:szCs w:val="20"/>
        </w:rPr>
        <w:t xml:space="preserve"> are not met. </w:t>
      </w:r>
      <w:r w:rsidR="00555C16" w:rsidRPr="005060E0">
        <w:t>The risks of not updating the AAQ NEPM standards can be effectively stated in terms of the health impacts and associated costs to society under the BAU scenario.</w:t>
      </w:r>
    </w:p>
    <w:p w14:paraId="08A3031E" w14:textId="50C36EFE" w:rsidR="00BB2C20" w:rsidRPr="005060E0" w:rsidRDefault="00BB2C20" w:rsidP="00BB2C20">
      <w:pPr>
        <w:rPr>
          <w:szCs w:val="20"/>
        </w:rPr>
      </w:pPr>
      <w:r w:rsidRPr="005060E0">
        <w:rPr>
          <w:szCs w:val="20"/>
        </w:rPr>
        <w:t>Without national consistency, some jurisdictions may adopt standards that reflect the most recent health evidence, but these m</w:t>
      </w:r>
      <w:r w:rsidR="00555C16" w:rsidRPr="005060E0">
        <w:rPr>
          <w:szCs w:val="20"/>
        </w:rPr>
        <w:t xml:space="preserve">ay vary between jurisdictions. </w:t>
      </w:r>
      <w:r w:rsidRPr="005060E0">
        <w:rPr>
          <w:szCs w:val="20"/>
        </w:rPr>
        <w:t>This could result in differing environmental performance requirements between jurisdictions</w:t>
      </w:r>
      <w:r w:rsidR="002F6DCC" w:rsidRPr="005060E0">
        <w:rPr>
          <w:szCs w:val="20"/>
        </w:rPr>
        <w:t>,</w:t>
      </w:r>
      <w:r w:rsidRPr="005060E0">
        <w:rPr>
          <w:szCs w:val="20"/>
        </w:rPr>
        <w:t xml:space="preserve"> which would fail to deliver the objectives of the Inter-Governmental Agreement on the Environment, in particular the goal of the National Competition Policy, the </w:t>
      </w:r>
      <w:r w:rsidR="002F6DCC" w:rsidRPr="005060E0">
        <w:rPr>
          <w:szCs w:val="20"/>
        </w:rPr>
        <w:t>‘</w:t>
      </w:r>
      <w:r w:rsidRPr="005060E0">
        <w:rPr>
          <w:szCs w:val="20"/>
        </w:rPr>
        <w:t>level playing field</w:t>
      </w:r>
      <w:r w:rsidR="002F6DCC" w:rsidRPr="005060E0">
        <w:rPr>
          <w:szCs w:val="20"/>
        </w:rPr>
        <w:t>’</w:t>
      </w:r>
      <w:r w:rsidRPr="005060E0">
        <w:rPr>
          <w:szCs w:val="20"/>
        </w:rPr>
        <w:t xml:space="preserve"> and certainty for busine</w:t>
      </w:r>
      <w:r w:rsidR="00555C16" w:rsidRPr="005060E0">
        <w:rPr>
          <w:szCs w:val="20"/>
        </w:rPr>
        <w:t xml:space="preserve">ss decision-making objectives. </w:t>
      </w:r>
      <w:r w:rsidRPr="005060E0">
        <w:rPr>
          <w:szCs w:val="20"/>
        </w:rPr>
        <w:t>Voluntary attempts to achieve harmonisation between jurisdi</w:t>
      </w:r>
      <w:r w:rsidR="00555C16" w:rsidRPr="005060E0">
        <w:rPr>
          <w:szCs w:val="20"/>
        </w:rPr>
        <w:t xml:space="preserve">ctions have had mixed success. </w:t>
      </w:r>
      <w:r w:rsidRPr="005060E0">
        <w:rPr>
          <w:szCs w:val="20"/>
        </w:rPr>
        <w:t>The NEPC was specifically established to overcome the problems associated with those voluntary attempts in a manner consistent with the nature of Australian governance.</w:t>
      </w:r>
    </w:p>
    <w:p w14:paraId="70BB3CA2" w14:textId="6EBD618D" w:rsidR="00BB2C20" w:rsidRPr="005060E0" w:rsidRDefault="00C87CDD" w:rsidP="00593DE8">
      <w:pPr>
        <w:pStyle w:val="Heading2"/>
        <w:spacing w:before="240" w:after="200"/>
      </w:pPr>
      <w:bookmarkStart w:id="60" w:name="_Toc3278937"/>
      <w:r w:rsidRPr="005060E0">
        <w:t>Issues to be addressed in the variation</w:t>
      </w:r>
      <w:bookmarkEnd w:id="60"/>
    </w:p>
    <w:p w14:paraId="296083C6" w14:textId="0FD417C0" w:rsidR="00E718D0" w:rsidRPr="005060E0" w:rsidRDefault="00BB2C20" w:rsidP="00FC3844">
      <w:pPr>
        <w:rPr>
          <w:szCs w:val="20"/>
        </w:rPr>
      </w:pPr>
      <w:r w:rsidRPr="005060E0">
        <w:rPr>
          <w:szCs w:val="20"/>
        </w:rPr>
        <w:t xml:space="preserve">Consideration of the alternatives demonstrates a variation of the </w:t>
      </w:r>
      <w:r w:rsidR="00A26FF3" w:rsidRPr="005060E0">
        <w:rPr>
          <w:szCs w:val="20"/>
        </w:rPr>
        <w:t xml:space="preserve">AAQ NEPM </w:t>
      </w:r>
      <w:r w:rsidRPr="005060E0">
        <w:rPr>
          <w:szCs w:val="20"/>
        </w:rPr>
        <w:t xml:space="preserve">as the preferred option </w:t>
      </w:r>
      <w:r w:rsidR="00FC3844" w:rsidRPr="005060E0">
        <w:rPr>
          <w:szCs w:val="20"/>
        </w:rPr>
        <w:t>for SO</w:t>
      </w:r>
      <w:r w:rsidR="00FC3844" w:rsidRPr="005060E0">
        <w:rPr>
          <w:szCs w:val="20"/>
          <w:vertAlign w:val="subscript"/>
        </w:rPr>
        <w:t>2</w:t>
      </w:r>
      <w:r w:rsidR="00FC3844" w:rsidRPr="005060E0">
        <w:rPr>
          <w:szCs w:val="20"/>
        </w:rPr>
        <w:t>, NO</w:t>
      </w:r>
      <w:r w:rsidR="00FC3844" w:rsidRPr="005060E0">
        <w:rPr>
          <w:szCs w:val="20"/>
          <w:vertAlign w:val="subscript"/>
        </w:rPr>
        <w:t>2</w:t>
      </w:r>
      <w:r w:rsidR="00FC3844" w:rsidRPr="005060E0">
        <w:rPr>
          <w:szCs w:val="20"/>
        </w:rPr>
        <w:t xml:space="preserve"> and O</w:t>
      </w:r>
      <w:r w:rsidR="00FC3844" w:rsidRPr="005060E0">
        <w:rPr>
          <w:szCs w:val="20"/>
          <w:vertAlign w:val="subscript"/>
        </w:rPr>
        <w:t>3</w:t>
      </w:r>
      <w:r w:rsidR="00FC3844" w:rsidRPr="005060E0">
        <w:rPr>
          <w:szCs w:val="20"/>
        </w:rPr>
        <w:t xml:space="preserve">, as </w:t>
      </w:r>
      <w:r w:rsidRPr="005060E0">
        <w:rPr>
          <w:szCs w:val="20"/>
        </w:rPr>
        <w:t>it is considered to be the most effective way to achieve national consistency in the standards adopted for the protection of human health an</w:t>
      </w:r>
      <w:r w:rsidR="00FC3844" w:rsidRPr="005060E0">
        <w:rPr>
          <w:szCs w:val="20"/>
        </w:rPr>
        <w:t>d the environment in Australia.</w:t>
      </w:r>
    </w:p>
    <w:p w14:paraId="22AAC061" w14:textId="7485DEE9" w:rsidR="00912EAF" w:rsidRPr="005060E0" w:rsidRDefault="00912EAF" w:rsidP="00593DE8">
      <w:pPr>
        <w:spacing w:after="120"/>
        <w:rPr>
          <w:szCs w:val="20"/>
        </w:rPr>
      </w:pPr>
      <w:r w:rsidRPr="005060E0">
        <w:rPr>
          <w:szCs w:val="20"/>
        </w:rPr>
        <w:t>Given there is no threshold for the effects of the pollutants under consideration in this review, consideration needs to be given to address</w:t>
      </w:r>
      <w:r w:rsidR="002F6DCC" w:rsidRPr="005060E0">
        <w:rPr>
          <w:szCs w:val="20"/>
        </w:rPr>
        <w:t>ing</w:t>
      </w:r>
      <w:r w:rsidRPr="005060E0">
        <w:rPr>
          <w:szCs w:val="20"/>
        </w:rPr>
        <w:t xml:space="preserve"> the risks posed to the health of the Australian population by exposure to these pollut</w:t>
      </w:r>
      <w:r w:rsidR="00BC4062" w:rsidRPr="005060E0">
        <w:rPr>
          <w:szCs w:val="20"/>
        </w:rPr>
        <w:t>ants. The issues that affect</w:t>
      </w:r>
      <w:r w:rsidRPr="005060E0">
        <w:rPr>
          <w:szCs w:val="20"/>
        </w:rPr>
        <w:t xml:space="preserve"> the level of protection offered by the standards and associated frameworks are:</w:t>
      </w:r>
    </w:p>
    <w:p w14:paraId="0BA31598" w14:textId="4EC58C47" w:rsidR="00912EAF" w:rsidRPr="005060E0" w:rsidRDefault="002F6DCC" w:rsidP="00593DE8">
      <w:pPr>
        <w:pStyle w:val="ListBullet"/>
        <w:spacing w:after="120"/>
      </w:pPr>
      <w:r w:rsidRPr="005060E0">
        <w:t>t</w:t>
      </w:r>
      <w:r w:rsidR="00912EAF" w:rsidRPr="005060E0">
        <w:t>he numerical values of the standards</w:t>
      </w:r>
    </w:p>
    <w:p w14:paraId="0A801F38" w14:textId="0BA34E8C" w:rsidR="00912EAF" w:rsidRPr="005060E0" w:rsidRDefault="002F6DCC" w:rsidP="00593DE8">
      <w:pPr>
        <w:pStyle w:val="ListBullet"/>
        <w:spacing w:after="120"/>
      </w:pPr>
      <w:r w:rsidRPr="005060E0">
        <w:t>t</w:t>
      </w:r>
      <w:r w:rsidR="00912EAF" w:rsidRPr="005060E0">
        <w:t>he form of the standards, and the need for exceptional event rules</w:t>
      </w:r>
    </w:p>
    <w:p w14:paraId="703A6741" w14:textId="130900AB" w:rsidR="00912EAF" w:rsidRPr="005060E0" w:rsidRDefault="002F6DCC" w:rsidP="00912EAF">
      <w:pPr>
        <w:pStyle w:val="ListBullet"/>
      </w:pPr>
      <w:r w:rsidRPr="005060E0">
        <w:t>t</w:t>
      </w:r>
      <w:r w:rsidR="00912EAF" w:rsidRPr="005060E0">
        <w:t>he need</w:t>
      </w:r>
      <w:r w:rsidR="00930E42" w:rsidRPr="005060E0">
        <w:t xml:space="preserve"> and feasibility of</w:t>
      </w:r>
      <w:r w:rsidR="009B7316" w:rsidRPr="005060E0">
        <w:t xml:space="preserve"> exposure-reduction frameworks</w:t>
      </w:r>
      <w:r w:rsidRPr="005060E0">
        <w:t>.</w:t>
      </w:r>
    </w:p>
    <w:p w14:paraId="0B98267F" w14:textId="56BF64EB" w:rsidR="00912EAF" w:rsidRPr="005060E0" w:rsidRDefault="00912EAF" w:rsidP="00762C3C">
      <w:pPr>
        <w:spacing w:after="480"/>
        <w:rPr>
          <w:szCs w:val="20"/>
        </w:rPr>
      </w:pPr>
      <w:r w:rsidRPr="005060E0">
        <w:rPr>
          <w:szCs w:val="20"/>
        </w:rPr>
        <w:t>The AAQ NEPM review (NEPC 2011a) recommended that allowable exceedances be removed f</w:t>
      </w:r>
      <w:r w:rsidR="00D852AA" w:rsidRPr="005060E0">
        <w:rPr>
          <w:szCs w:val="20"/>
        </w:rPr>
        <w:t>rom the AAQ NEPM and an exceptional</w:t>
      </w:r>
      <w:r w:rsidRPr="005060E0">
        <w:rPr>
          <w:szCs w:val="20"/>
        </w:rPr>
        <w:t xml:space="preserve"> events rule be introduced to account for major natural events. Together with the introduction </w:t>
      </w:r>
      <w:r w:rsidR="00890723" w:rsidRPr="005060E0">
        <w:rPr>
          <w:szCs w:val="20"/>
        </w:rPr>
        <w:t>of an exposure-reduction framework</w:t>
      </w:r>
      <w:r w:rsidRPr="005060E0">
        <w:rPr>
          <w:szCs w:val="20"/>
        </w:rPr>
        <w:t>, the AAQ NEPM review concluded that this will provide a stronger framework for the protection of population health.</w:t>
      </w:r>
    </w:p>
    <w:p w14:paraId="0EC49302" w14:textId="6B012018" w:rsidR="005E455E" w:rsidRPr="005060E0" w:rsidRDefault="005E455E" w:rsidP="00762C3C">
      <w:pPr>
        <w:pStyle w:val="BodyText"/>
        <w:spacing w:after="240"/>
      </w:pPr>
      <w:r w:rsidRPr="005060E0">
        <w:rPr>
          <w:noProof/>
          <w:lang w:eastAsia="en-AU"/>
        </w:rPr>
        <mc:AlternateContent>
          <mc:Choice Requires="wps">
            <w:drawing>
              <wp:inline distT="0" distB="0" distL="0" distR="0" wp14:anchorId="1A0217C7" wp14:editId="4BD89AE3">
                <wp:extent cx="6080166" cy="1092529"/>
                <wp:effectExtent l="0" t="0" r="15875" b="12700"/>
                <wp:docPr id="21" name="Text Box 21"/>
                <wp:cNvGraphicFramePr/>
                <a:graphic xmlns:a="http://schemas.openxmlformats.org/drawingml/2006/main">
                  <a:graphicData uri="http://schemas.microsoft.com/office/word/2010/wordprocessingShape">
                    <wps:wsp>
                      <wps:cNvSpPr txBox="1"/>
                      <wps:spPr>
                        <a:xfrm>
                          <a:off x="0" y="0"/>
                          <a:ext cx="6080166" cy="1092529"/>
                        </a:xfrm>
                        <a:prstGeom prst="rect">
                          <a:avLst/>
                        </a:prstGeom>
                        <a:ln>
                          <a:solidFill>
                            <a:schemeClr val="accent1">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1799EC71" w14:textId="3ECC2DC1" w:rsidR="00B246FA" w:rsidRDefault="00B246FA" w:rsidP="005E455E">
                            <w:pPr>
                              <w:rPr>
                                <w:b/>
                                <w:sz w:val="24"/>
                              </w:rPr>
                            </w:pPr>
                            <w:r w:rsidRPr="00964CD3">
                              <w:rPr>
                                <w:b/>
                                <w:sz w:val="24"/>
                              </w:rPr>
                              <w:t xml:space="preserve">Chapter </w:t>
                            </w:r>
                            <w:r>
                              <w:rPr>
                                <w:b/>
                                <w:sz w:val="24"/>
                              </w:rPr>
                              <w:t>3</w:t>
                            </w:r>
                            <w:r w:rsidRPr="00964CD3">
                              <w:rPr>
                                <w:b/>
                                <w:sz w:val="24"/>
                              </w:rPr>
                              <w:t xml:space="preserve"> – Key </w:t>
                            </w:r>
                            <w:r>
                              <w:rPr>
                                <w:b/>
                                <w:sz w:val="24"/>
                              </w:rPr>
                              <w:t>p</w:t>
                            </w:r>
                            <w:r w:rsidRPr="00964CD3">
                              <w:rPr>
                                <w:b/>
                                <w:sz w:val="24"/>
                              </w:rPr>
                              <w:t>oints</w:t>
                            </w:r>
                          </w:p>
                          <w:p w14:paraId="1070D37D" w14:textId="13C657B6" w:rsidR="00B246FA" w:rsidRPr="00964CD3" w:rsidRDefault="00B246FA" w:rsidP="008C15D4">
                            <w:pPr>
                              <w:pStyle w:val="ListParagraph"/>
                              <w:numPr>
                                <w:ilvl w:val="0"/>
                                <w:numId w:val="76"/>
                              </w:numPr>
                            </w:pPr>
                            <w:r w:rsidRPr="005E455E">
                              <w:t>The most effective way to ensure future consistency in national air quality management and data collection will be a variation to the existing AAQ NEPM, with states and territories using the AAQ NEPM provisions in their own jurisdiction, as is currently done.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0217C7" id="Text Box 21" o:spid="_x0000_s1028" type="#_x0000_t202" style="width:478.75pt;height:8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rjppAIAAK0FAAAOAAAAZHJzL2Uyb0RvYy54bWysVFtr2zAUfh/sPwi9r76QZk2oU7KWjkHX&#10;lrWjz4osNWayjiYpsbNfvyPJdkNXGIzlwZHO/Tv6zjm/6FtF9sK6BnRFi5OcEqE51I1+ruj3x+sP&#10;Z5Q4z3TNFGhR0YNw9GL1/t15Z5aihC2oWliCQbRbdqaiW+/NMssc34qWuRMwQqNSgm2Zx6t9zmrL&#10;OozeqqzM83nWga2NBS6cQ+lVUtJVjC+l4P5OSic8URXF2nz82vjdhG+2OmfLZ8vMtuFDGewfqmhZ&#10;ozHpFOqKeUZ2tvkjVNtwCw6kP+HQZiBlw0XEgGiK/BWahy0zImLB5jgztcn9v7D8dn9vSVNXtCwo&#10;0azFN3oUvSefoCcowv50xi3R7MGgoe9Rju88yh0KA+xe2jb8IyCCeuz0YepuiMZROM/P8mI+p4Sj&#10;rsgX5Wm5CHGyF3djnf8soCXhUFGLzxe7yvY3zifT0SRkUzp8Haimvm6UipdAHHGpLNkzfHLGudC+&#10;iEHUrv0KdZLPc/ylx0cxUiSJZ6MYa4oUDJFihUdJUBcSZ6EvCX88+YMSqahvQmJHEXEZ806Bjkua&#10;D8iVRuvgJhHA5JgKfuWoEEfqwWAb3ETk+OSY/z3j5BGzgvaTc9tosG8FqH9MmZP9iD5hDvB9v+kT&#10;jUKNQbKB+oCMsZBmzhl+3eCr3jDn75nFIUOS4OLwd/iRCrqKwnCiZAv211vyYI/cRy0lHQ5tRd3P&#10;HbOCEvVF41QsitksTHm8zE4/lnixx5rNsUbv2ktAkiDxsbp4DPZejUdpoX3C/bIOWVHFNMfcFfXj&#10;8dKnVYL7iYv1OhrhXBvmb/SD4SF06HLg7GP/xKwZiO1xJm5hHG+2fMXvZBs8Nax3HmQTyf/S1aH/&#10;uBMiOYf9FZbO8T1avWzZ1W8AAAD//wMAUEsDBBQABgAIAAAAIQB7hCfl3AAAAAUBAAAPAAAAZHJz&#10;L2Rvd25yZXYueG1sTI9PSwMxEMXvgt8hjODNZluotetmS/EPCGKhtd7TzXQ3mEyWJG23397RS70M&#10;DO/x3u9Vi8E7ccSYbCAF41EBAqkJxlKrYPv5evcAImVNRrtAqOCMCRb19VWlSxNOtMbjJreCQyiV&#10;WkGXc19KmZoOvU6j0COxtg/R68xvbKWJ+sTh3slJUdxLry1xQ6d7fOqw+d4cPJecm/flfP/lPvR2&#10;He2bXT2Hl5VStzfD8hFExiFfzPCLz+hQM9MuHMgk4RTwkPx3WZtPZ1MQOzbNJmOQdSX/09c/AAAA&#10;//8DAFBLAQItABQABgAIAAAAIQC2gziS/gAAAOEBAAATAAAAAAAAAAAAAAAAAAAAAABbQ29udGVu&#10;dF9UeXBlc10ueG1sUEsBAi0AFAAGAAgAAAAhADj9If/WAAAAlAEAAAsAAAAAAAAAAAAAAAAALwEA&#10;AF9yZWxzLy5yZWxzUEsBAi0AFAAGAAgAAAAhAOEOuOmkAgAArQUAAA4AAAAAAAAAAAAAAAAALgIA&#10;AGRycy9lMm9Eb2MueG1sUEsBAi0AFAAGAAgAAAAhAHuEJ+XcAAAABQEAAA8AAAAAAAAAAAAAAAAA&#10;/gQAAGRycy9kb3ducmV2LnhtbFBLBQYAAAAABAAEAPMAAAAHBgAAAAA=&#10;" fillcolor="white [3201]" strokecolor="#40b4ff [1940]" strokeweight="2pt">
                <v:textbox>
                  <w:txbxContent>
                    <w:p w14:paraId="1799EC71" w14:textId="3ECC2DC1" w:rsidR="00B246FA" w:rsidRDefault="00B246FA" w:rsidP="005E455E">
                      <w:pPr>
                        <w:rPr>
                          <w:b/>
                          <w:sz w:val="24"/>
                        </w:rPr>
                      </w:pPr>
                      <w:r w:rsidRPr="00964CD3">
                        <w:rPr>
                          <w:b/>
                          <w:sz w:val="24"/>
                        </w:rPr>
                        <w:t xml:space="preserve">Chapter </w:t>
                      </w:r>
                      <w:r>
                        <w:rPr>
                          <w:b/>
                          <w:sz w:val="24"/>
                        </w:rPr>
                        <w:t>3</w:t>
                      </w:r>
                      <w:r w:rsidRPr="00964CD3">
                        <w:rPr>
                          <w:b/>
                          <w:sz w:val="24"/>
                        </w:rPr>
                        <w:t xml:space="preserve"> – Key </w:t>
                      </w:r>
                      <w:r>
                        <w:rPr>
                          <w:b/>
                          <w:sz w:val="24"/>
                        </w:rPr>
                        <w:t>p</w:t>
                      </w:r>
                      <w:r w:rsidRPr="00964CD3">
                        <w:rPr>
                          <w:b/>
                          <w:sz w:val="24"/>
                        </w:rPr>
                        <w:t>oints</w:t>
                      </w:r>
                    </w:p>
                    <w:p w14:paraId="1070D37D" w14:textId="13C657B6" w:rsidR="00B246FA" w:rsidRPr="00964CD3" w:rsidRDefault="00B246FA" w:rsidP="008C15D4">
                      <w:pPr>
                        <w:pStyle w:val="ListParagraph"/>
                        <w:numPr>
                          <w:ilvl w:val="0"/>
                          <w:numId w:val="76"/>
                        </w:numPr>
                      </w:pPr>
                      <w:r w:rsidRPr="005E455E">
                        <w:t>The most effective way to ensure future consistency in national air quality management and data collection will be a variation to the existing AAQ NEPM, with states and territories using the AAQ NEPM provisions in their own jurisdiction, as is currently done.</w:t>
                      </w:r>
                    </w:p>
                  </w:txbxContent>
                </v:textbox>
                <w10:anchorlock/>
              </v:shape>
            </w:pict>
          </mc:Fallback>
        </mc:AlternateContent>
      </w:r>
    </w:p>
    <w:p w14:paraId="4F39C8EF" w14:textId="20118EAF" w:rsidR="005E455E" w:rsidRPr="005060E0" w:rsidRDefault="00344CBB" w:rsidP="00525EFD">
      <w:pPr>
        <w:pStyle w:val="BodyText"/>
      </w:pPr>
      <w:r w:rsidRPr="005060E0">
        <w:rPr>
          <w:noProof/>
          <w:lang w:eastAsia="en-AU"/>
        </w:rPr>
        <mc:AlternateContent>
          <mc:Choice Requires="wps">
            <w:drawing>
              <wp:inline distT="0" distB="0" distL="0" distR="0" wp14:anchorId="3385E739" wp14:editId="10A8274D">
                <wp:extent cx="6080166" cy="1365663"/>
                <wp:effectExtent l="0" t="0" r="15875" b="25400"/>
                <wp:docPr id="22" name="Text Box 22"/>
                <wp:cNvGraphicFramePr/>
                <a:graphic xmlns:a="http://schemas.openxmlformats.org/drawingml/2006/main">
                  <a:graphicData uri="http://schemas.microsoft.com/office/word/2010/wordprocessingShape">
                    <wps:wsp>
                      <wps:cNvSpPr txBox="1"/>
                      <wps:spPr>
                        <a:xfrm>
                          <a:off x="0" y="0"/>
                          <a:ext cx="6080166" cy="1365663"/>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4237D59" w14:textId="3A042758" w:rsidR="00B246FA" w:rsidRDefault="00B246FA" w:rsidP="005E455E">
                            <w:pPr>
                              <w:rPr>
                                <w:b/>
                                <w:sz w:val="24"/>
                              </w:rPr>
                            </w:pPr>
                            <w:r w:rsidRPr="00964CD3">
                              <w:rPr>
                                <w:b/>
                                <w:sz w:val="24"/>
                              </w:rPr>
                              <w:t xml:space="preserve">Chapter </w:t>
                            </w:r>
                            <w:r>
                              <w:rPr>
                                <w:b/>
                                <w:sz w:val="24"/>
                              </w:rPr>
                              <w:t>3</w:t>
                            </w:r>
                            <w:r w:rsidRPr="00964CD3">
                              <w:rPr>
                                <w:b/>
                                <w:sz w:val="24"/>
                              </w:rPr>
                              <w:t xml:space="preserve"> – Consultation </w:t>
                            </w:r>
                            <w:r>
                              <w:rPr>
                                <w:b/>
                                <w:sz w:val="24"/>
                              </w:rPr>
                              <w:t>q</w:t>
                            </w:r>
                            <w:r w:rsidRPr="00964CD3">
                              <w:rPr>
                                <w:b/>
                                <w:sz w:val="24"/>
                              </w:rPr>
                              <w:t>uestions</w:t>
                            </w:r>
                          </w:p>
                          <w:p w14:paraId="2C9EBCCF" w14:textId="77777777" w:rsidR="00B246FA" w:rsidRPr="005E455E" w:rsidRDefault="00B246FA" w:rsidP="008C15D4">
                            <w:pPr>
                              <w:pStyle w:val="ListParagraph"/>
                              <w:numPr>
                                <w:ilvl w:val="0"/>
                                <w:numId w:val="77"/>
                              </w:numPr>
                              <w:ind w:left="714" w:hanging="357"/>
                              <w:contextualSpacing w:val="0"/>
                            </w:pPr>
                            <w:r w:rsidRPr="005E455E">
                              <w:t>Do you agree with the assessment of options in this report? Have any options been missed?</w:t>
                            </w:r>
                          </w:p>
                          <w:p w14:paraId="7E6F6C9F" w14:textId="74B15057" w:rsidR="00B246FA" w:rsidRPr="00964CD3" w:rsidRDefault="00B246FA" w:rsidP="008C15D4">
                            <w:pPr>
                              <w:pStyle w:val="ListParagraph"/>
                              <w:numPr>
                                <w:ilvl w:val="0"/>
                                <w:numId w:val="77"/>
                              </w:numPr>
                              <w:ind w:left="714" w:hanging="357"/>
                              <w:contextualSpacing w:val="0"/>
                            </w:pPr>
                            <w:r w:rsidRPr="005E455E">
                              <w:t>Do you agree with the preferred option to vary the AAQ NEPM? In particular, do you agree that continued government involvement is required to address the current and potential future health impacts and costs of SO</w:t>
                            </w:r>
                            <w:r w:rsidRPr="00964CD3">
                              <w:rPr>
                                <w:vertAlign w:val="subscript"/>
                              </w:rPr>
                              <w:t>2</w:t>
                            </w:r>
                            <w:r w:rsidRPr="005E455E">
                              <w:t>, NO</w:t>
                            </w:r>
                            <w:r w:rsidRPr="00964CD3">
                              <w:rPr>
                                <w:vertAlign w:val="subscript"/>
                              </w:rPr>
                              <w:t>2</w:t>
                            </w:r>
                            <w:r w:rsidRPr="005E455E">
                              <w:t xml:space="preserve"> and O</w:t>
                            </w:r>
                            <w:r w:rsidRPr="00964CD3">
                              <w:rPr>
                                <w:vertAlign w:val="subscript"/>
                              </w:rPr>
                              <w:t>3</w:t>
                            </w:r>
                            <w:r w:rsidRPr="005E455E">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85E739" id="Text Box 22" o:spid="_x0000_s1029" type="#_x0000_t202" style="width:478.7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apSdAIAADUFAAAOAAAAZHJzL2Uyb0RvYy54bWysVN9v2yAQfp+0/wHxvthOU6+L6lRZqk6T&#10;orZaO/WZYGisAceAxM7++h04drsuT9NebLj77vd3XF51WpG9cL4BU9FiklMiDIe6Mc8V/f548+GC&#10;Eh+YqZkCIyp6EJ5eLd6/u2ztXExhC6oWjqAT4+etreg2BDvPMs+3QjM/ASsMKiU4zQJe3XNWO9ai&#10;d62yaZ6XWQuutg648B6l172SLpJ/KQUPd1J6EYiqKOYW0tel7yZ+s8Ulmz87ZrcNP6bB/iELzRqD&#10;QUdX1ywwsnPNX650wx14kGHCQWcgZcNFqgGrKfI31TxsmRWpFmyOt2Ob/P9zy2/39440dUWnU0oM&#10;0zijR9EF8hk6giLsT2v9HGEPFoGhQznOeZB7FMayO+l0/GNBBPXY6cPY3eiNo7DML/KiLCnhqCvO&#10;yvOyPIt+shdz63z4IkCTeKiow/GlrrL92oceOkBiNGWiLObX55FO4aBEr/wmJFaGkafJSeKUWClH&#10;9gzZwDgXJqRKMANlEB3NZKPUaFicMlSj0REbzUTi2miYnzL8M+JokaKCCaOxbgy4Uw7qH0O6sscP&#10;1fc1x/JDt+nSOFNro2QD9QEn56Dnvrf8psHurpkP98wh2XFYuMDhDj9SQVtROJ4o2YL7dUoe8chB&#10;1FLS4vJU1P/cMScoUV8NsvNTMZvFbUuX2fnHKV7ca83mtcbs9ApwIgU+FZanY8QHNRylA/2Ee76M&#10;UVHFDMfYFQ3DcRX6lcZ3govlMoFwvywLa/NgeXQduxy589g9MWePBAvIzVsY1ozN3/Csx0ZLA8td&#10;ANkkEr509dh/3M1E4+M7Epf/9T2hXl67xW8AAAD//wMAUEsDBBQABgAIAAAAIQB3j4yX2wAAAAUB&#10;AAAPAAAAZHJzL2Rvd25yZXYueG1sTI9Ba8JAEIXvBf/DMkJvdRMh1qaZiISKt0JVPG+yYxLMzobs&#10;GuO/77aX9jLweI/3vsk2k+nESINrLSPEiwgEcWV1yzXC6bh7WYNwXrFWnWVCeJCDTT57ylSq7Z2/&#10;aDz4WoQSdqlCaLzvUyld1ZBRbmF74uBd7GCUD3KopR7UPZSbTi6jaCWNajksNKqnoqHqergZhCIq&#10;dm7cx+XqYdvref3Bn321R3yeT9t3EJ4m/xeGH/yADnlgKu2NtRMdQnjE/97gvSWvCYgSYRknMcg8&#10;k//p828AAAD//wMAUEsBAi0AFAAGAAgAAAAhALaDOJL+AAAA4QEAABMAAAAAAAAAAAAAAAAAAAAA&#10;AFtDb250ZW50X1R5cGVzXS54bWxQSwECLQAUAAYACAAAACEAOP0h/9YAAACUAQAACwAAAAAAAAAA&#10;AAAAAAAvAQAAX3JlbHMvLnJlbHNQSwECLQAUAAYACAAAACEAUoGqUnQCAAA1BQAADgAAAAAAAAAA&#10;AAAAAAAuAgAAZHJzL2Uyb0RvYy54bWxQSwECLQAUAAYACAAAACEAd4+Ml9sAAAAFAQAADwAAAAAA&#10;AAAAAAAAAADOBAAAZHJzL2Rvd25yZXYueG1sUEsFBgAAAAAEAAQA8wAAANYFAAAAAA==&#10;" fillcolor="white [3201]" strokecolor="#0076c0 [3204]" strokeweight="2pt">
                <v:textbox>
                  <w:txbxContent>
                    <w:p w14:paraId="74237D59" w14:textId="3A042758" w:rsidR="00B246FA" w:rsidRDefault="00B246FA" w:rsidP="005E455E">
                      <w:pPr>
                        <w:rPr>
                          <w:b/>
                          <w:sz w:val="24"/>
                        </w:rPr>
                      </w:pPr>
                      <w:r w:rsidRPr="00964CD3">
                        <w:rPr>
                          <w:b/>
                          <w:sz w:val="24"/>
                        </w:rPr>
                        <w:t xml:space="preserve">Chapter </w:t>
                      </w:r>
                      <w:r>
                        <w:rPr>
                          <w:b/>
                          <w:sz w:val="24"/>
                        </w:rPr>
                        <w:t>3</w:t>
                      </w:r>
                      <w:r w:rsidRPr="00964CD3">
                        <w:rPr>
                          <w:b/>
                          <w:sz w:val="24"/>
                        </w:rPr>
                        <w:t xml:space="preserve"> – Consultation </w:t>
                      </w:r>
                      <w:r>
                        <w:rPr>
                          <w:b/>
                          <w:sz w:val="24"/>
                        </w:rPr>
                        <w:t>q</w:t>
                      </w:r>
                      <w:r w:rsidRPr="00964CD3">
                        <w:rPr>
                          <w:b/>
                          <w:sz w:val="24"/>
                        </w:rPr>
                        <w:t>uestions</w:t>
                      </w:r>
                    </w:p>
                    <w:p w14:paraId="2C9EBCCF" w14:textId="77777777" w:rsidR="00B246FA" w:rsidRPr="005E455E" w:rsidRDefault="00B246FA" w:rsidP="008C15D4">
                      <w:pPr>
                        <w:pStyle w:val="ListParagraph"/>
                        <w:numPr>
                          <w:ilvl w:val="0"/>
                          <w:numId w:val="77"/>
                        </w:numPr>
                        <w:ind w:left="714" w:hanging="357"/>
                        <w:contextualSpacing w:val="0"/>
                      </w:pPr>
                      <w:r w:rsidRPr="005E455E">
                        <w:t>Do you agree with the assessment of options in this report? Have any options been missed?</w:t>
                      </w:r>
                    </w:p>
                    <w:p w14:paraId="7E6F6C9F" w14:textId="74B15057" w:rsidR="00B246FA" w:rsidRPr="00964CD3" w:rsidRDefault="00B246FA" w:rsidP="008C15D4">
                      <w:pPr>
                        <w:pStyle w:val="ListParagraph"/>
                        <w:numPr>
                          <w:ilvl w:val="0"/>
                          <w:numId w:val="77"/>
                        </w:numPr>
                        <w:ind w:left="714" w:hanging="357"/>
                        <w:contextualSpacing w:val="0"/>
                      </w:pPr>
                      <w:r w:rsidRPr="005E455E">
                        <w:t>Do you agree with the preferred option to vary the AAQ NEPM? In particular, do you agree that continued government involvement is required to address the current and potential future health impacts and costs of SO</w:t>
                      </w:r>
                      <w:r w:rsidRPr="00964CD3">
                        <w:rPr>
                          <w:vertAlign w:val="subscript"/>
                        </w:rPr>
                        <w:t>2</w:t>
                      </w:r>
                      <w:r w:rsidRPr="005E455E">
                        <w:t>, NO</w:t>
                      </w:r>
                      <w:r w:rsidRPr="00964CD3">
                        <w:rPr>
                          <w:vertAlign w:val="subscript"/>
                        </w:rPr>
                        <w:t>2</w:t>
                      </w:r>
                      <w:r w:rsidRPr="005E455E">
                        <w:t xml:space="preserve"> and O</w:t>
                      </w:r>
                      <w:r w:rsidRPr="00964CD3">
                        <w:rPr>
                          <w:vertAlign w:val="subscript"/>
                        </w:rPr>
                        <w:t>3</w:t>
                      </w:r>
                      <w:r w:rsidRPr="005E455E">
                        <w:t>?</w:t>
                      </w:r>
                    </w:p>
                  </w:txbxContent>
                </v:textbox>
                <w10:anchorlock/>
              </v:shape>
            </w:pict>
          </mc:Fallback>
        </mc:AlternateContent>
      </w:r>
    </w:p>
    <w:p w14:paraId="418BC9AD" w14:textId="37220406" w:rsidR="00525EFD" w:rsidRPr="005060E0" w:rsidRDefault="00525EFD" w:rsidP="00525EFD">
      <w:pPr>
        <w:pStyle w:val="BodyText"/>
      </w:pPr>
    </w:p>
    <w:p w14:paraId="6B35C7C5" w14:textId="133B5272" w:rsidR="0094208B" w:rsidRPr="005060E0" w:rsidRDefault="0094208B" w:rsidP="00BD5E7D">
      <w:pPr>
        <w:pStyle w:val="BodyText"/>
        <w:sectPr w:rsidR="0094208B" w:rsidRPr="005060E0" w:rsidSect="00240B1D">
          <w:headerReference w:type="default" r:id="rId17"/>
          <w:pgSz w:w="11906" w:h="16838" w:code="9"/>
          <w:pgMar w:top="1440" w:right="1134" w:bottom="1701" w:left="1134" w:header="709" w:footer="130" w:gutter="0"/>
          <w:cols w:space="255"/>
          <w:docGrid w:linePitch="360"/>
        </w:sectPr>
      </w:pPr>
    </w:p>
    <w:p w14:paraId="081789A0" w14:textId="505D0430" w:rsidR="00BD5E7D" w:rsidRPr="005060E0" w:rsidRDefault="00163A48" w:rsidP="0043533F">
      <w:pPr>
        <w:pStyle w:val="Heading1"/>
      </w:pPr>
      <w:bookmarkStart w:id="61" w:name="_Toc3278938"/>
      <w:r w:rsidRPr="005060E0">
        <w:t>M</w:t>
      </w:r>
      <w:r w:rsidR="00E718D0" w:rsidRPr="005060E0">
        <w:t>ethodology</w:t>
      </w:r>
      <w:bookmarkEnd w:id="61"/>
    </w:p>
    <w:p w14:paraId="3D512235" w14:textId="6D8099AA" w:rsidR="003E2A3B" w:rsidRPr="005060E0" w:rsidRDefault="00523416" w:rsidP="00930F22">
      <w:pPr>
        <w:pStyle w:val="Heading2"/>
        <w:spacing w:before="240" w:after="200"/>
      </w:pPr>
      <w:bookmarkStart w:id="62" w:name="_Toc3278939"/>
      <w:r w:rsidRPr="005060E0">
        <w:t>Standard-setting methodology</w:t>
      </w:r>
      <w:bookmarkEnd w:id="62"/>
    </w:p>
    <w:p w14:paraId="32E82695" w14:textId="02E7902D" w:rsidR="003E2A3B" w:rsidRPr="005060E0" w:rsidRDefault="000A36A2" w:rsidP="00535D38">
      <w:pPr>
        <w:pStyle w:val="BodyText"/>
      </w:pPr>
      <w:r w:rsidRPr="005060E0">
        <w:t xml:space="preserve">In 2011, </w:t>
      </w:r>
      <w:r w:rsidR="00151EEC">
        <w:t xml:space="preserve">the </w:t>
      </w:r>
      <w:r w:rsidR="003E2A3B" w:rsidRPr="005060E0">
        <w:t xml:space="preserve">NEPC released the </w:t>
      </w:r>
      <w:r w:rsidR="003E2A3B" w:rsidRPr="005060E0">
        <w:rPr>
          <w:i/>
          <w:bdr w:val="none" w:sz="0" w:space="0" w:color="auto" w:frame="1"/>
        </w:rPr>
        <w:t>Methodology for Setting Air Quality Standards in Australia</w:t>
      </w:r>
      <w:r w:rsidR="003E2A3B" w:rsidRPr="005060E0">
        <w:rPr>
          <w:bdr w:val="none" w:sz="0" w:space="0" w:color="auto" w:frame="1"/>
        </w:rPr>
        <w:t xml:space="preserve"> </w:t>
      </w:r>
      <w:r w:rsidR="00CB16C9" w:rsidRPr="005060E0">
        <w:rPr>
          <w:bdr w:val="none" w:sz="0" w:space="0" w:color="auto" w:frame="1"/>
        </w:rPr>
        <w:t xml:space="preserve">(‘standard-setting methodology’) </w:t>
      </w:r>
      <w:r w:rsidR="003E2A3B" w:rsidRPr="005060E0">
        <w:t xml:space="preserve">together with the </w:t>
      </w:r>
      <w:r w:rsidR="003E2A3B" w:rsidRPr="005060E0">
        <w:rPr>
          <w:i/>
          <w:bdr w:val="none" w:sz="0" w:space="0" w:color="auto" w:frame="1"/>
        </w:rPr>
        <w:t>National Environment Protection (Ambient Air Quality) Measure Review Report</w:t>
      </w:r>
      <w:r w:rsidRPr="005060E0">
        <w:rPr>
          <w:bdr w:val="none" w:sz="0" w:space="0" w:color="auto" w:frame="1"/>
        </w:rPr>
        <w:t xml:space="preserve"> (NEPC 2011a, </w:t>
      </w:r>
      <w:r w:rsidR="00A8785E" w:rsidRPr="005060E0">
        <w:rPr>
          <w:bdr w:val="none" w:sz="0" w:space="0" w:color="auto" w:frame="1"/>
        </w:rPr>
        <w:t>2011</w:t>
      </w:r>
      <w:r w:rsidRPr="005060E0">
        <w:rPr>
          <w:bdr w:val="none" w:sz="0" w:space="0" w:color="auto" w:frame="1"/>
        </w:rPr>
        <w:t>b)</w:t>
      </w:r>
      <w:r w:rsidR="003E2A3B" w:rsidRPr="005060E0">
        <w:t>.</w:t>
      </w:r>
      <w:r w:rsidR="0039105F" w:rsidRPr="005060E0">
        <w:t xml:space="preserve"> </w:t>
      </w:r>
      <w:r w:rsidR="003E2A3B" w:rsidRPr="005060E0">
        <w:t xml:space="preserve">The </w:t>
      </w:r>
      <w:r w:rsidR="0039105F" w:rsidRPr="005060E0">
        <w:t>standard-setting methodology establishes</w:t>
      </w:r>
      <w:r w:rsidR="003E2A3B" w:rsidRPr="005060E0">
        <w:t xml:space="preserve"> the framework to guide the development of air quality standards in </w:t>
      </w:r>
      <w:r w:rsidR="00D97E94" w:rsidRPr="005060E0">
        <w:t>Australia and</w:t>
      </w:r>
      <w:r w:rsidR="003E2A3B" w:rsidRPr="005060E0">
        <w:t xml:space="preserve"> provides detailed guidance on the app</w:t>
      </w:r>
      <w:r w:rsidR="0039105F" w:rsidRPr="005060E0">
        <w:t xml:space="preserve">roach to be used for </w:t>
      </w:r>
      <w:r w:rsidR="003E2A3B" w:rsidRPr="005060E0">
        <w:t>exposure assessm</w:t>
      </w:r>
      <w:r w:rsidR="0039105F" w:rsidRPr="005060E0">
        <w:t>ent and risk characterisation</w:t>
      </w:r>
      <w:r w:rsidR="003E2A3B" w:rsidRPr="005060E0">
        <w:t>.</w:t>
      </w:r>
    </w:p>
    <w:p w14:paraId="30AD9D6D" w14:textId="28C59684" w:rsidR="00523416" w:rsidRPr="005060E0" w:rsidRDefault="00523416" w:rsidP="00523416">
      <w:pPr>
        <w:rPr>
          <w:szCs w:val="20"/>
        </w:rPr>
      </w:pPr>
      <w:r w:rsidRPr="005060E0">
        <w:rPr>
          <w:szCs w:val="20"/>
        </w:rPr>
        <w:t>The NEPC Act requires consideration of the precautionary principle in the making of a variation of a</w:t>
      </w:r>
      <w:r w:rsidR="00AD5E63" w:rsidRPr="005060E0">
        <w:rPr>
          <w:szCs w:val="20"/>
        </w:rPr>
        <w:t>n</w:t>
      </w:r>
      <w:r w:rsidRPr="005060E0">
        <w:rPr>
          <w:szCs w:val="20"/>
        </w:rPr>
        <w:t xml:space="preserve"> NEPM</w:t>
      </w:r>
      <w:r w:rsidR="00B00321" w:rsidRPr="005060E0">
        <w:rPr>
          <w:szCs w:val="20"/>
        </w:rPr>
        <w:t xml:space="preserve">. </w:t>
      </w:r>
      <w:r w:rsidR="00AD5E63" w:rsidRPr="005060E0">
        <w:rPr>
          <w:szCs w:val="20"/>
        </w:rPr>
        <w:t xml:space="preserve">The </w:t>
      </w:r>
      <w:r w:rsidRPr="005060E0">
        <w:rPr>
          <w:szCs w:val="20"/>
        </w:rPr>
        <w:t>WHO (2004) notes that, in the application of the precautionary principle, there is no single universal approach. What is considered an ‘acceptable risk’ or sufficient evidence to act is a function not only of the level of risk and the strength of evidence and uncertainty, but also:</w:t>
      </w:r>
    </w:p>
    <w:p w14:paraId="0F7D3C09" w14:textId="3084ACAE" w:rsidR="00523416" w:rsidRPr="005060E0" w:rsidRDefault="00AD5E63" w:rsidP="00523416">
      <w:pPr>
        <w:pStyle w:val="ListBullet"/>
      </w:pPr>
      <w:r w:rsidRPr="005060E0">
        <w:t>t</w:t>
      </w:r>
      <w:r w:rsidR="00523416" w:rsidRPr="005060E0">
        <w:t>he magnitude, reversibility and distribution of the risk</w:t>
      </w:r>
    </w:p>
    <w:p w14:paraId="5274EC27" w14:textId="1C490EC3" w:rsidR="00523416" w:rsidRPr="005060E0" w:rsidRDefault="00AD5E63" w:rsidP="00523416">
      <w:pPr>
        <w:pStyle w:val="ListBullet"/>
      </w:pPr>
      <w:r w:rsidRPr="005060E0">
        <w:t>t</w:t>
      </w:r>
      <w:r w:rsidR="00523416" w:rsidRPr="005060E0">
        <w:t>he availability of opportunities to prevent risk</w:t>
      </w:r>
    </w:p>
    <w:p w14:paraId="6A946790" w14:textId="597C5795" w:rsidR="00523416" w:rsidRPr="005060E0" w:rsidRDefault="00AD5E63" w:rsidP="00523416">
      <w:pPr>
        <w:pStyle w:val="ListBullet"/>
      </w:pPr>
      <w:r w:rsidRPr="005060E0">
        <w:t>t</w:t>
      </w:r>
      <w:r w:rsidR="00523416" w:rsidRPr="005060E0">
        <w:t>he public</w:t>
      </w:r>
      <w:r w:rsidRPr="005060E0">
        <w:t>’</w:t>
      </w:r>
      <w:r w:rsidR="00523416" w:rsidRPr="005060E0">
        <w:t>s risk aversion</w:t>
      </w:r>
    </w:p>
    <w:p w14:paraId="5A55DF85" w14:textId="275D4573" w:rsidR="00523416" w:rsidRPr="005060E0" w:rsidRDefault="00AD5E63" w:rsidP="00523416">
      <w:pPr>
        <w:pStyle w:val="ListBullet"/>
      </w:pPr>
      <w:r w:rsidRPr="005060E0">
        <w:t>s</w:t>
      </w:r>
      <w:r w:rsidR="00523416" w:rsidRPr="005060E0">
        <w:t>ociety</w:t>
      </w:r>
      <w:r w:rsidRPr="005060E0">
        <w:t>’</w:t>
      </w:r>
      <w:r w:rsidR="00523416" w:rsidRPr="005060E0">
        <w:t xml:space="preserve">s culture and values. </w:t>
      </w:r>
    </w:p>
    <w:p w14:paraId="2B6CD3D9" w14:textId="5F726674" w:rsidR="00523416" w:rsidRPr="005060E0" w:rsidRDefault="00523416" w:rsidP="00523416">
      <w:pPr>
        <w:rPr>
          <w:szCs w:val="20"/>
        </w:rPr>
      </w:pPr>
      <w:r w:rsidRPr="005060E0">
        <w:rPr>
          <w:szCs w:val="20"/>
        </w:rPr>
        <w:t xml:space="preserve">In setting air quality standards, the level of health protection afforded by a given standard is balanced against the costs and benefits associated with meeting that standard. The final standard is set at the level that encompasses the best overall outcome. </w:t>
      </w:r>
      <w:r w:rsidR="00AD5E63" w:rsidRPr="005060E0">
        <w:rPr>
          <w:szCs w:val="20"/>
        </w:rPr>
        <w:t>The a</w:t>
      </w:r>
      <w:r w:rsidRPr="005060E0">
        <w:rPr>
          <w:szCs w:val="20"/>
        </w:rPr>
        <w:t>chievability of a standard must also be taken into account. For example, if background pollutant levels (e.g. of O</w:t>
      </w:r>
      <w:r w:rsidRPr="005060E0">
        <w:rPr>
          <w:szCs w:val="20"/>
          <w:vertAlign w:val="subscript"/>
        </w:rPr>
        <w:t>3</w:t>
      </w:r>
      <w:r w:rsidRPr="005060E0">
        <w:rPr>
          <w:szCs w:val="20"/>
        </w:rPr>
        <w:t xml:space="preserve"> and PM</w:t>
      </w:r>
      <w:r w:rsidRPr="005060E0">
        <w:rPr>
          <w:szCs w:val="20"/>
          <w:vertAlign w:val="subscript"/>
        </w:rPr>
        <w:t>10</w:t>
      </w:r>
      <w:r w:rsidRPr="005060E0">
        <w:rPr>
          <w:szCs w:val="20"/>
        </w:rPr>
        <w:t>) from natural sources are high, then in setting a standard for these pollutants, the assessment of risk and associated costs and benefits must include the anthropogenic component. The aim in setting the standard is to minimise the risk while balancing the costs, benefits and achievability of the standard. The costs of not changing the standards also need to be considered as well as an assessment as to whether or not changing the standards is consistent with the requirement</w:t>
      </w:r>
      <w:r w:rsidR="00AD5E63" w:rsidRPr="005060E0">
        <w:rPr>
          <w:szCs w:val="20"/>
        </w:rPr>
        <w:t>s</w:t>
      </w:r>
      <w:r w:rsidRPr="005060E0">
        <w:rPr>
          <w:szCs w:val="20"/>
        </w:rPr>
        <w:t xml:space="preserve"> of the NEPC Act and the desired environmental outcome of the AAQ NEPM.</w:t>
      </w:r>
    </w:p>
    <w:p w14:paraId="09080034" w14:textId="42D169C0" w:rsidR="00523416" w:rsidRPr="005060E0" w:rsidRDefault="00523416" w:rsidP="00930F22">
      <w:pPr>
        <w:spacing w:after="140"/>
        <w:rPr>
          <w:szCs w:val="20"/>
        </w:rPr>
      </w:pPr>
      <w:r w:rsidRPr="005060E0">
        <w:rPr>
          <w:szCs w:val="20"/>
        </w:rPr>
        <w:t xml:space="preserve">In assessing the </w:t>
      </w:r>
      <w:r w:rsidR="00AD5E63" w:rsidRPr="005060E0">
        <w:rPr>
          <w:szCs w:val="20"/>
        </w:rPr>
        <w:t xml:space="preserve">alternative </w:t>
      </w:r>
      <w:r w:rsidRPr="005060E0">
        <w:rPr>
          <w:szCs w:val="20"/>
        </w:rPr>
        <w:t>standards for adoption into the AAQ NEPM and their effectiveness in reducing health impacts if they were met, and therefore the minimising the risk to the population, the following factors have been considered:</w:t>
      </w:r>
    </w:p>
    <w:p w14:paraId="12FC929A" w14:textId="0DAA5398" w:rsidR="00523416" w:rsidRPr="005060E0" w:rsidRDefault="00AD5E63" w:rsidP="00930F22">
      <w:pPr>
        <w:pStyle w:val="ListBullet"/>
        <w:spacing w:after="140"/>
      </w:pPr>
      <w:r w:rsidRPr="005060E0">
        <w:t>a</w:t>
      </w:r>
      <w:r w:rsidR="00523416" w:rsidRPr="005060E0">
        <w:t>pplication of the precautionary principle</w:t>
      </w:r>
    </w:p>
    <w:p w14:paraId="7E90CAE6" w14:textId="213D45F1" w:rsidR="00523416" w:rsidRPr="005060E0" w:rsidRDefault="00AD5E63" w:rsidP="00930F22">
      <w:pPr>
        <w:pStyle w:val="ListBullet"/>
        <w:spacing w:after="140"/>
      </w:pPr>
      <w:r w:rsidRPr="005060E0">
        <w:t>c</w:t>
      </w:r>
      <w:r w:rsidR="00523416" w:rsidRPr="005060E0">
        <w:t>urrent health burden attributable to the pollutants under consideration</w:t>
      </w:r>
    </w:p>
    <w:p w14:paraId="13C4D929" w14:textId="499BF077" w:rsidR="00523416" w:rsidRPr="005060E0" w:rsidRDefault="00523416" w:rsidP="00930F22">
      <w:pPr>
        <w:pStyle w:val="ListBullet"/>
        <w:spacing w:after="140"/>
      </w:pPr>
      <w:r w:rsidRPr="005060E0">
        <w:t xml:space="preserve">health effects avoided if the </w:t>
      </w:r>
      <w:r w:rsidR="00AD5E63" w:rsidRPr="005060E0">
        <w:t xml:space="preserve">alternative </w:t>
      </w:r>
      <w:r w:rsidRPr="005060E0">
        <w:t>standards could be met</w:t>
      </w:r>
    </w:p>
    <w:p w14:paraId="01CBBA43" w14:textId="7FB4396B" w:rsidR="00523416" w:rsidRPr="005060E0" w:rsidRDefault="00523416" w:rsidP="00930F22">
      <w:pPr>
        <w:pStyle w:val="ListBullet"/>
        <w:spacing w:after="140"/>
      </w:pPr>
      <w:r w:rsidRPr="005060E0">
        <w:t>achievability of the standards within a 10-year timeframe</w:t>
      </w:r>
    </w:p>
    <w:p w14:paraId="7FB550F0" w14:textId="1E6DA64E" w:rsidR="00523416" w:rsidRPr="005060E0" w:rsidRDefault="00AD5E63" w:rsidP="00930F22">
      <w:pPr>
        <w:pStyle w:val="ListBullet"/>
        <w:spacing w:after="140"/>
      </w:pPr>
      <w:r w:rsidRPr="005060E0">
        <w:t>i</w:t>
      </w:r>
      <w:r w:rsidR="00523416" w:rsidRPr="005060E0">
        <w:t>mpact of population growth and the demographics of the population over time – for example, the predicted ageing population which will increase a sensitive population group</w:t>
      </w:r>
    </w:p>
    <w:p w14:paraId="69EEF4A8" w14:textId="46AF4415" w:rsidR="00523416" w:rsidRPr="005060E0" w:rsidRDefault="00AD5E63" w:rsidP="00930F22">
      <w:pPr>
        <w:pStyle w:val="ListBullet"/>
        <w:spacing w:after="140"/>
      </w:pPr>
      <w:r w:rsidRPr="005060E0">
        <w:t>m</w:t>
      </w:r>
      <w:r w:rsidR="00523416" w:rsidRPr="005060E0">
        <w:t>inimising risk to the health of the population, which includes consideration of an exposure-reduction framework and the form of the standard</w:t>
      </w:r>
    </w:p>
    <w:p w14:paraId="0F2CD056" w14:textId="72538059" w:rsidR="00523416" w:rsidRPr="005060E0" w:rsidRDefault="00AD5E63" w:rsidP="00930F22">
      <w:pPr>
        <w:pStyle w:val="ListBullet"/>
        <w:spacing w:after="140"/>
      </w:pPr>
      <w:r w:rsidRPr="005060E0">
        <w:t>f</w:t>
      </w:r>
      <w:r w:rsidR="00523416" w:rsidRPr="005060E0">
        <w:t>easibility of implementation of actions that could lead to improvements in air quality over time</w:t>
      </w:r>
    </w:p>
    <w:p w14:paraId="45413E05" w14:textId="6E238A5C" w:rsidR="00523416" w:rsidRPr="005060E0" w:rsidRDefault="00AD5E63" w:rsidP="00930F22">
      <w:pPr>
        <w:pStyle w:val="ListBullet"/>
        <w:spacing w:after="140"/>
      </w:pPr>
      <w:r w:rsidRPr="005060E0">
        <w:t>whether</w:t>
      </w:r>
      <w:r w:rsidR="00523416" w:rsidRPr="005060E0">
        <w:t xml:space="preserve"> </w:t>
      </w:r>
      <w:r w:rsidRPr="005060E0">
        <w:t xml:space="preserve">such </w:t>
      </w:r>
      <w:r w:rsidR="00523416" w:rsidRPr="005060E0">
        <w:t xml:space="preserve">actions </w:t>
      </w:r>
      <w:r w:rsidRPr="005060E0">
        <w:t xml:space="preserve">would </w:t>
      </w:r>
      <w:r w:rsidR="00523416" w:rsidRPr="005060E0">
        <w:t>lead to improvements in air quality across whole populations or within local areas that are impacted by significant sources</w:t>
      </w:r>
    </w:p>
    <w:p w14:paraId="72F52A4B" w14:textId="647FE494" w:rsidR="00523416" w:rsidRPr="005060E0" w:rsidRDefault="00AD5E63" w:rsidP="00523416">
      <w:pPr>
        <w:pStyle w:val="ListBullet"/>
      </w:pPr>
      <w:r w:rsidRPr="005060E0">
        <w:t>c</w:t>
      </w:r>
      <w:r w:rsidR="00523416" w:rsidRPr="005060E0">
        <w:t>osts and benefits associated with improvements in air quality and the implementation of the management actions.</w:t>
      </w:r>
    </w:p>
    <w:p w14:paraId="4A0B78C5" w14:textId="1970F708" w:rsidR="0039105F" w:rsidRPr="005060E0" w:rsidRDefault="003E2A3B" w:rsidP="00C30402">
      <w:pPr>
        <w:pStyle w:val="BodyText"/>
        <w:spacing w:after="140"/>
      </w:pPr>
      <w:r w:rsidRPr="005060E0">
        <w:t>The approach take</w:t>
      </w:r>
      <w:r w:rsidR="005F44A6" w:rsidRPr="005060E0">
        <w:t xml:space="preserve">n in this </w:t>
      </w:r>
      <w:r w:rsidR="00DF05A9" w:rsidRPr="005060E0">
        <w:t>Impact Statement</w:t>
      </w:r>
      <w:r w:rsidRPr="005060E0">
        <w:t xml:space="preserve"> for </w:t>
      </w:r>
      <w:r w:rsidR="006B3C35" w:rsidRPr="005060E0">
        <w:t>SO</w:t>
      </w:r>
      <w:r w:rsidR="006B3C35" w:rsidRPr="005060E0">
        <w:rPr>
          <w:vertAlign w:val="subscript"/>
        </w:rPr>
        <w:t>2</w:t>
      </w:r>
      <w:r w:rsidR="006B3C35" w:rsidRPr="005060E0">
        <w:t>, NO</w:t>
      </w:r>
      <w:r w:rsidR="006B3C35" w:rsidRPr="005060E0">
        <w:rPr>
          <w:vertAlign w:val="subscript"/>
        </w:rPr>
        <w:t>2</w:t>
      </w:r>
      <w:r w:rsidR="006B3C35" w:rsidRPr="005060E0">
        <w:t xml:space="preserve"> and O</w:t>
      </w:r>
      <w:r w:rsidR="006B3C35" w:rsidRPr="005060E0">
        <w:rPr>
          <w:vertAlign w:val="subscript"/>
        </w:rPr>
        <w:t>3</w:t>
      </w:r>
      <w:r w:rsidR="005A7373" w:rsidRPr="005060E0">
        <w:t xml:space="preserve"> </w:t>
      </w:r>
      <w:r w:rsidR="00535D38" w:rsidRPr="005060E0">
        <w:t>wa</w:t>
      </w:r>
      <w:r w:rsidRPr="005060E0">
        <w:t xml:space="preserve">s consistent with the </w:t>
      </w:r>
      <w:r w:rsidR="003172C0" w:rsidRPr="005060E0">
        <w:t>standard-setting methodology</w:t>
      </w:r>
      <w:r w:rsidRPr="005060E0">
        <w:t>.</w:t>
      </w:r>
      <w:r w:rsidR="003172C0" w:rsidRPr="005060E0">
        <w:t xml:space="preserve"> Each pollutant was addressed separately, and the steps</w:t>
      </w:r>
      <w:r w:rsidR="00E819E8" w:rsidRPr="005060E0">
        <w:t xml:space="preserve"> in the assessment are summarised</w:t>
      </w:r>
      <w:r w:rsidR="003172C0" w:rsidRPr="005060E0">
        <w:t xml:space="preserve"> in the following sections</w:t>
      </w:r>
      <w:r w:rsidR="00E819E8" w:rsidRPr="005060E0">
        <w:t>. More detailed descriptions of the specific elements can be found in Appendices A (air quality study), B (health risk assessment) and C (cost</w:t>
      </w:r>
      <w:r w:rsidR="00875B93" w:rsidRPr="005060E0">
        <w:rPr>
          <w:rFonts w:cs="Arial"/>
        </w:rPr>
        <w:t>–</w:t>
      </w:r>
      <w:r w:rsidR="00E819E8" w:rsidRPr="005060E0">
        <w:t>benefit analysis)</w:t>
      </w:r>
      <w:r w:rsidR="003172C0" w:rsidRPr="005060E0">
        <w:t>.</w:t>
      </w:r>
      <w:r w:rsidR="0039105F" w:rsidRPr="005060E0">
        <w:t xml:space="preserve"> </w:t>
      </w:r>
      <w:r w:rsidR="0039105F" w:rsidRPr="005060E0">
        <w:rPr>
          <w:rFonts w:cs="Arial"/>
        </w:rPr>
        <w:t>Th</w:t>
      </w:r>
      <w:r w:rsidR="0052730A" w:rsidRPr="005060E0">
        <w:rPr>
          <w:rFonts w:cs="Arial"/>
        </w:rPr>
        <w:t>e main</w:t>
      </w:r>
      <w:r w:rsidR="00750FB0" w:rsidRPr="005060E0">
        <w:rPr>
          <w:rFonts w:cs="Arial"/>
        </w:rPr>
        <w:t xml:space="preserve"> steps</w:t>
      </w:r>
      <w:r w:rsidR="0039105F" w:rsidRPr="005060E0">
        <w:rPr>
          <w:rFonts w:cs="Arial"/>
        </w:rPr>
        <w:t xml:space="preserve"> were:</w:t>
      </w:r>
    </w:p>
    <w:p w14:paraId="785DC4CA" w14:textId="486C8D1F" w:rsidR="00750FB0" w:rsidRPr="005060E0" w:rsidRDefault="00B33E34" w:rsidP="006A48A4">
      <w:pPr>
        <w:pStyle w:val="ListBullet"/>
        <w:tabs>
          <w:tab w:val="left" w:pos="709"/>
        </w:tabs>
        <w:spacing w:after="140"/>
        <w:ind w:left="1554" w:hanging="1197"/>
      </w:pPr>
      <w:r w:rsidRPr="005060E0">
        <w:t>Step 1:</w:t>
      </w:r>
      <w:r w:rsidRPr="005060E0">
        <w:tab/>
      </w:r>
      <w:r w:rsidR="00750FB0" w:rsidRPr="005060E0">
        <w:t>Health effects update</w:t>
      </w:r>
    </w:p>
    <w:p w14:paraId="40537CA8" w14:textId="118A31A4" w:rsidR="00750FB0" w:rsidRPr="005060E0" w:rsidRDefault="00B33E34" w:rsidP="006A48A4">
      <w:pPr>
        <w:pStyle w:val="ListBullet"/>
        <w:tabs>
          <w:tab w:val="left" w:pos="709"/>
        </w:tabs>
        <w:spacing w:after="140"/>
        <w:ind w:left="1554" w:hanging="1197"/>
      </w:pPr>
      <w:r w:rsidRPr="005060E0">
        <w:t>Step 2:</w:t>
      </w:r>
      <w:r w:rsidRPr="005060E0">
        <w:tab/>
      </w:r>
      <w:r w:rsidR="00750FB0" w:rsidRPr="005060E0">
        <w:t>Review of international air quality standards</w:t>
      </w:r>
    </w:p>
    <w:p w14:paraId="5DE21BDC" w14:textId="48D33CA0" w:rsidR="00750FB0" w:rsidRPr="005060E0" w:rsidRDefault="00B33E34" w:rsidP="006A48A4">
      <w:pPr>
        <w:pStyle w:val="ListBullet"/>
        <w:tabs>
          <w:tab w:val="left" w:pos="709"/>
        </w:tabs>
        <w:spacing w:after="140"/>
        <w:ind w:left="1554" w:hanging="1197"/>
      </w:pPr>
      <w:r w:rsidRPr="005060E0">
        <w:t>Step 3:</w:t>
      </w:r>
      <w:r w:rsidRPr="005060E0">
        <w:tab/>
      </w:r>
      <w:r w:rsidR="00750FB0" w:rsidRPr="005060E0">
        <w:t>Proposed air quality standards</w:t>
      </w:r>
    </w:p>
    <w:p w14:paraId="4653B72A" w14:textId="08328907" w:rsidR="00750FB0" w:rsidRPr="005060E0" w:rsidRDefault="00B33E34" w:rsidP="006A48A4">
      <w:pPr>
        <w:pStyle w:val="ListBullet"/>
        <w:tabs>
          <w:tab w:val="left" w:pos="709"/>
        </w:tabs>
        <w:spacing w:after="140"/>
        <w:ind w:left="1554" w:hanging="1197"/>
      </w:pPr>
      <w:r w:rsidRPr="005060E0">
        <w:t>Step 4:</w:t>
      </w:r>
      <w:r w:rsidRPr="005060E0">
        <w:tab/>
      </w:r>
      <w:r w:rsidR="00750FB0" w:rsidRPr="005060E0">
        <w:t>Analysis of historical air quality</w:t>
      </w:r>
    </w:p>
    <w:p w14:paraId="406748A1" w14:textId="1DC1ABA6" w:rsidR="00750FB0" w:rsidRPr="005060E0" w:rsidRDefault="00B33E34" w:rsidP="006A48A4">
      <w:pPr>
        <w:pStyle w:val="ListBullet"/>
        <w:tabs>
          <w:tab w:val="left" w:pos="709"/>
        </w:tabs>
        <w:spacing w:after="140"/>
        <w:ind w:left="1554" w:hanging="1197"/>
      </w:pPr>
      <w:r w:rsidRPr="005060E0">
        <w:t>Step 5:</w:t>
      </w:r>
      <w:r w:rsidRPr="005060E0">
        <w:tab/>
      </w:r>
      <w:r w:rsidR="00750FB0" w:rsidRPr="005060E0">
        <w:t>Projections of future air quality</w:t>
      </w:r>
      <w:r w:rsidRPr="005060E0">
        <w:t>. This involved t</w:t>
      </w:r>
      <w:r w:rsidR="00750FB0" w:rsidRPr="005060E0">
        <w:t xml:space="preserve">he development of </w:t>
      </w:r>
      <w:r w:rsidRPr="005060E0">
        <w:t>emissions projections</w:t>
      </w:r>
      <w:r w:rsidR="00750FB0" w:rsidRPr="005060E0">
        <w:t xml:space="preserve"> (based on ambient monitoring trends, inventories</w:t>
      </w:r>
      <w:r w:rsidRPr="005060E0">
        <w:t xml:space="preserve">, and population projections), and </w:t>
      </w:r>
      <w:r w:rsidR="00750FB0" w:rsidRPr="005060E0">
        <w:t>atmospheric dispers</w:t>
      </w:r>
      <w:r w:rsidRPr="005060E0">
        <w:t xml:space="preserve">ion modelling of the BAU </w:t>
      </w:r>
      <w:r w:rsidR="00750FB0" w:rsidRPr="005060E0">
        <w:t>and</w:t>
      </w:r>
      <w:r w:rsidRPr="005060E0">
        <w:t xml:space="preserve"> </w:t>
      </w:r>
      <w:r w:rsidR="00750FB0" w:rsidRPr="005060E0">
        <w:t>Abatement Package scenario</w:t>
      </w:r>
      <w:r w:rsidRPr="005060E0">
        <w:t>s</w:t>
      </w:r>
    </w:p>
    <w:p w14:paraId="62DEAF63" w14:textId="7CCE47D6" w:rsidR="00750FB0" w:rsidRPr="005060E0" w:rsidRDefault="00750FB0" w:rsidP="006A48A4">
      <w:pPr>
        <w:pStyle w:val="ListBullet"/>
        <w:tabs>
          <w:tab w:val="left" w:pos="709"/>
        </w:tabs>
        <w:ind w:left="1554" w:hanging="1197"/>
      </w:pPr>
      <w:r w:rsidRPr="005060E0">
        <w:t>Step 6:</w:t>
      </w:r>
      <w:r w:rsidR="00B11C4E">
        <w:tab/>
      </w:r>
      <w:r w:rsidRPr="005060E0">
        <w:t>Health risk assessment</w:t>
      </w:r>
      <w:r w:rsidR="00EA4D44" w:rsidRPr="005060E0">
        <w:t xml:space="preserve"> (HRA)</w:t>
      </w:r>
      <w:r w:rsidR="00B33E34" w:rsidRPr="005060E0">
        <w:t xml:space="preserve">. This involved conversion of the predicted </w:t>
      </w:r>
      <w:r w:rsidRPr="005060E0">
        <w:t xml:space="preserve">concentrations </w:t>
      </w:r>
      <w:r w:rsidR="00B33E34" w:rsidRPr="005060E0">
        <w:t xml:space="preserve">into health outcomes which were used as </w:t>
      </w:r>
      <w:r w:rsidRPr="005060E0">
        <w:t>input</w:t>
      </w:r>
      <w:r w:rsidR="00B33E34" w:rsidRPr="005060E0">
        <w:t>s to the cost</w:t>
      </w:r>
      <w:r w:rsidR="00875B93" w:rsidRPr="005060E0">
        <w:rPr>
          <w:rFonts w:cs="Arial"/>
        </w:rPr>
        <w:t>–</w:t>
      </w:r>
      <w:r w:rsidRPr="005060E0">
        <w:t>benefit analysis.</w:t>
      </w:r>
    </w:p>
    <w:p w14:paraId="3CD5DEE7" w14:textId="10A6DE4C" w:rsidR="00E54015" w:rsidRPr="005060E0" w:rsidRDefault="006E36F1" w:rsidP="006E36F1">
      <w:pPr>
        <w:pStyle w:val="ListBullet"/>
        <w:numPr>
          <w:ilvl w:val="0"/>
          <w:numId w:val="0"/>
        </w:numPr>
        <w:tabs>
          <w:tab w:val="left" w:pos="709"/>
          <w:tab w:val="left" w:pos="1418"/>
        </w:tabs>
      </w:pPr>
      <w:r w:rsidRPr="005060E0">
        <w:t>An overall c</w:t>
      </w:r>
      <w:r w:rsidR="00A3543F" w:rsidRPr="005060E0">
        <w:t>ost</w:t>
      </w:r>
      <w:r w:rsidR="00875B93" w:rsidRPr="005060E0">
        <w:rPr>
          <w:rFonts w:cs="Arial"/>
        </w:rPr>
        <w:t>–</w:t>
      </w:r>
      <w:r w:rsidR="00A3543F" w:rsidRPr="005060E0">
        <w:t>benefit analysis</w:t>
      </w:r>
      <w:r w:rsidRPr="005060E0">
        <w:t xml:space="preserve"> was also conducted. In this, the three pollutants were considered together rather than individually.</w:t>
      </w:r>
    </w:p>
    <w:p w14:paraId="3028ECB8" w14:textId="54539F0D" w:rsidR="009B19CD" w:rsidRPr="005060E0" w:rsidRDefault="005D111F" w:rsidP="00930F22">
      <w:pPr>
        <w:pStyle w:val="Heading2"/>
        <w:spacing w:before="240" w:after="200"/>
      </w:pPr>
      <w:bookmarkStart w:id="63" w:name="_Toc3278940"/>
      <w:bookmarkStart w:id="64" w:name="_Toc479201562"/>
      <w:r w:rsidRPr="005060E0">
        <w:t>Step 1: H</w:t>
      </w:r>
      <w:r w:rsidR="009B19CD" w:rsidRPr="005060E0">
        <w:t xml:space="preserve">ealth effects </w:t>
      </w:r>
      <w:r w:rsidR="00B234E7" w:rsidRPr="005060E0">
        <w:t>update</w:t>
      </w:r>
      <w:bookmarkEnd w:id="63"/>
    </w:p>
    <w:p w14:paraId="0EBAE71C" w14:textId="44ACDA26" w:rsidR="009B19CD" w:rsidRPr="005060E0" w:rsidRDefault="009B19CD" w:rsidP="009B19CD">
      <w:r w:rsidRPr="005060E0">
        <w:t xml:space="preserve">The review of the AAQ NEPM found that, in the time since the </w:t>
      </w:r>
      <w:r w:rsidR="00FE23DB" w:rsidRPr="005060E0">
        <w:t>AAQ NEPM</w:t>
      </w:r>
      <w:r w:rsidRPr="005060E0">
        <w:t xml:space="preserve"> was adopted in 1998, </w:t>
      </w:r>
      <w:r w:rsidR="003B6CAB" w:rsidRPr="005060E0">
        <w:t>there wa</w:t>
      </w:r>
      <w:r w:rsidRPr="005060E0">
        <w:t xml:space="preserve">s significant new evidence on the health effects of air pollution both in Australia and internationally (NEPC 2011a). This was discussed in detail in the </w:t>
      </w:r>
      <w:r w:rsidRPr="005060E0">
        <w:rPr>
          <w:i/>
        </w:rPr>
        <w:t>Discussion Paper</w:t>
      </w:r>
      <w:r w:rsidR="00352188" w:rsidRPr="005060E0">
        <w:rPr>
          <w:i/>
        </w:rPr>
        <w:t>:</w:t>
      </w:r>
      <w:r w:rsidRPr="005060E0">
        <w:rPr>
          <w:i/>
        </w:rPr>
        <w:t xml:space="preserve"> Air Quality Standards</w:t>
      </w:r>
      <w:r w:rsidR="0029044E" w:rsidRPr="005060E0">
        <w:t xml:space="preserve"> (NEPC 2010). </w:t>
      </w:r>
      <w:r w:rsidR="005F44A6" w:rsidRPr="005060E0">
        <w:t xml:space="preserve">As part of this </w:t>
      </w:r>
      <w:r w:rsidR="00DF05A9" w:rsidRPr="005060E0">
        <w:t>Impact Statement</w:t>
      </w:r>
      <w:r w:rsidRPr="005060E0">
        <w:t xml:space="preserve"> a detailed literature review was conducted to identify any international work that had been undertaken since the </w:t>
      </w:r>
      <w:r w:rsidR="00FE23DB" w:rsidRPr="005060E0">
        <w:t>AAQ NEPM</w:t>
      </w:r>
      <w:r w:rsidRPr="005060E0">
        <w:t xml:space="preserve"> review report was released, as well as any new epidemiological or toxicological studies that would provide any new evidence to inform the review of the standards for SO</w:t>
      </w:r>
      <w:r w:rsidRPr="005060E0">
        <w:rPr>
          <w:vertAlign w:val="subscript"/>
        </w:rPr>
        <w:t>2</w:t>
      </w:r>
      <w:r w:rsidRPr="005060E0">
        <w:t>, NO</w:t>
      </w:r>
      <w:r w:rsidRPr="005060E0">
        <w:rPr>
          <w:vertAlign w:val="subscript"/>
        </w:rPr>
        <w:t>2</w:t>
      </w:r>
      <w:r w:rsidRPr="005060E0">
        <w:t xml:space="preserve"> and O</w:t>
      </w:r>
      <w:r w:rsidRPr="005060E0">
        <w:rPr>
          <w:vertAlign w:val="subscript"/>
        </w:rPr>
        <w:t>3</w:t>
      </w:r>
      <w:r w:rsidRPr="005060E0">
        <w:t>. This approach was consistent with the standard-setting methodology. The full literature review can be found in Appendix B (HRA)</w:t>
      </w:r>
      <w:r w:rsidR="003172C0" w:rsidRPr="005060E0">
        <w:t>, and for each pollutant a summary is provided in the relevant chapter.</w:t>
      </w:r>
    </w:p>
    <w:p w14:paraId="3340D31F" w14:textId="7ECDEF1A" w:rsidR="009B19CD" w:rsidRPr="005060E0" w:rsidRDefault="009B19CD" w:rsidP="009B19CD">
      <w:pPr>
        <w:rPr>
          <w:szCs w:val="20"/>
        </w:rPr>
      </w:pPr>
      <w:r w:rsidRPr="005060E0">
        <w:t xml:space="preserve">The literature </w:t>
      </w:r>
      <w:r w:rsidR="003B6CAB" w:rsidRPr="005060E0">
        <w:t xml:space="preserve">review found there have been more recent assessments </w:t>
      </w:r>
      <w:r w:rsidRPr="005060E0">
        <w:t xml:space="preserve">by </w:t>
      </w:r>
      <w:r w:rsidR="000B5ED7" w:rsidRPr="005060E0">
        <w:t xml:space="preserve">the </w:t>
      </w:r>
      <w:r w:rsidRPr="005060E0">
        <w:t xml:space="preserve">WHO and </w:t>
      </w:r>
      <w:r w:rsidR="00683225">
        <w:t xml:space="preserve">the </w:t>
      </w:r>
      <w:r w:rsidRPr="005060E0">
        <w:t>USEPA</w:t>
      </w:r>
      <w:r w:rsidR="003B6CAB" w:rsidRPr="005060E0">
        <w:t xml:space="preserve"> since 2011</w:t>
      </w:r>
      <w:r w:rsidRPr="005060E0">
        <w:t>. The information in these reports was summarised, and any new or emerging information on the potential health effects identified</w:t>
      </w:r>
      <w:r w:rsidR="00B00321" w:rsidRPr="005060E0">
        <w:t xml:space="preserve">. </w:t>
      </w:r>
      <w:r w:rsidRPr="005060E0">
        <w:t xml:space="preserve">The review of the primary literature found that, even since the international reviews had been completed, </w:t>
      </w:r>
      <w:r w:rsidRPr="005060E0">
        <w:rPr>
          <w:szCs w:val="20"/>
        </w:rPr>
        <w:t>new studies had been published that added to the understanding of the health effects under</w:t>
      </w:r>
      <w:r w:rsidR="005F44A6" w:rsidRPr="005060E0">
        <w:rPr>
          <w:szCs w:val="20"/>
        </w:rPr>
        <w:t xml:space="preserve"> consideration in this </w:t>
      </w:r>
      <w:r w:rsidR="00DF05A9" w:rsidRPr="005060E0">
        <w:rPr>
          <w:szCs w:val="20"/>
        </w:rPr>
        <w:t>Impact Statement</w:t>
      </w:r>
      <w:r w:rsidR="00B00321" w:rsidRPr="005060E0">
        <w:rPr>
          <w:szCs w:val="20"/>
        </w:rPr>
        <w:t xml:space="preserve">. </w:t>
      </w:r>
      <w:r w:rsidRPr="005060E0">
        <w:rPr>
          <w:szCs w:val="20"/>
        </w:rPr>
        <w:t>In particular, the evidence for the long-term effects of O</w:t>
      </w:r>
      <w:r w:rsidRPr="005060E0">
        <w:rPr>
          <w:szCs w:val="20"/>
          <w:vertAlign w:val="subscript"/>
        </w:rPr>
        <w:t>3</w:t>
      </w:r>
      <w:r w:rsidRPr="005060E0">
        <w:rPr>
          <w:szCs w:val="20"/>
        </w:rPr>
        <w:t xml:space="preserve"> and NO</w:t>
      </w:r>
      <w:r w:rsidRPr="005060E0">
        <w:rPr>
          <w:szCs w:val="20"/>
          <w:vertAlign w:val="subscript"/>
        </w:rPr>
        <w:t>2</w:t>
      </w:r>
      <w:r w:rsidRPr="005060E0">
        <w:rPr>
          <w:szCs w:val="20"/>
        </w:rPr>
        <w:t xml:space="preserve"> has increased. This new information was used</w:t>
      </w:r>
      <w:r w:rsidR="003172C0" w:rsidRPr="005060E0">
        <w:rPr>
          <w:szCs w:val="20"/>
        </w:rPr>
        <w:t xml:space="preserve"> in the HRA</w:t>
      </w:r>
      <w:r w:rsidRPr="005060E0">
        <w:rPr>
          <w:szCs w:val="20"/>
        </w:rPr>
        <w:t>.</w:t>
      </w:r>
    </w:p>
    <w:p w14:paraId="720B0785" w14:textId="361A2A5F" w:rsidR="0077300B" w:rsidRPr="005060E0" w:rsidRDefault="00FE680D" w:rsidP="00930F22">
      <w:pPr>
        <w:pStyle w:val="Heading2"/>
        <w:spacing w:before="240" w:after="200"/>
      </w:pPr>
      <w:bookmarkStart w:id="65" w:name="_Toc3278941"/>
      <w:r w:rsidRPr="005060E0">
        <w:t>Step 2: R</w:t>
      </w:r>
      <w:r w:rsidR="003172C0" w:rsidRPr="005060E0">
        <w:t>eview of i</w:t>
      </w:r>
      <w:r w:rsidR="0077300B" w:rsidRPr="005060E0">
        <w:t>nternational air quality standards</w:t>
      </w:r>
      <w:bookmarkEnd w:id="65"/>
    </w:p>
    <w:p w14:paraId="2C2C6284" w14:textId="6D7B02C8" w:rsidR="0077300B" w:rsidRPr="005060E0" w:rsidRDefault="0077300B" w:rsidP="00930F22">
      <w:pPr>
        <w:widowControl w:val="0"/>
      </w:pPr>
      <w:r w:rsidRPr="005060E0">
        <w:t>Since the AAQ NEPM standards for SO</w:t>
      </w:r>
      <w:r w:rsidRPr="005060E0">
        <w:rPr>
          <w:vertAlign w:val="subscript"/>
        </w:rPr>
        <w:t>2</w:t>
      </w:r>
      <w:r w:rsidRPr="005060E0">
        <w:t>, NO</w:t>
      </w:r>
      <w:r w:rsidRPr="005060E0">
        <w:rPr>
          <w:vertAlign w:val="subscript"/>
        </w:rPr>
        <w:t>2</w:t>
      </w:r>
      <w:r w:rsidRPr="005060E0">
        <w:t xml:space="preserve"> and O</w:t>
      </w:r>
      <w:r w:rsidRPr="005060E0">
        <w:rPr>
          <w:vertAlign w:val="subscript"/>
        </w:rPr>
        <w:t>3</w:t>
      </w:r>
      <w:r w:rsidRPr="005060E0">
        <w:t xml:space="preserve"> were adopted in 1998 several countries and agencies have conducted reviews of their air quality standards to reflect the current understanding of health effects. The standards in some jurisdictions have been derived to protect vegetation as well as human health.</w:t>
      </w:r>
      <w:r w:rsidR="003172C0" w:rsidRPr="005060E0">
        <w:t xml:space="preserve"> A review of the standards currently in force or recommended internationally for SO</w:t>
      </w:r>
      <w:r w:rsidR="003172C0" w:rsidRPr="005060E0">
        <w:rPr>
          <w:vertAlign w:val="subscript"/>
        </w:rPr>
        <w:t>2</w:t>
      </w:r>
      <w:r w:rsidR="003172C0" w:rsidRPr="005060E0">
        <w:t>, NO</w:t>
      </w:r>
      <w:r w:rsidR="003172C0" w:rsidRPr="005060E0">
        <w:rPr>
          <w:vertAlign w:val="subscript"/>
        </w:rPr>
        <w:t>2</w:t>
      </w:r>
      <w:r w:rsidR="003172C0" w:rsidRPr="005060E0">
        <w:t xml:space="preserve"> and O</w:t>
      </w:r>
      <w:r w:rsidR="003172C0" w:rsidRPr="005060E0">
        <w:rPr>
          <w:vertAlign w:val="subscript"/>
        </w:rPr>
        <w:t>3</w:t>
      </w:r>
      <w:r w:rsidR="003172C0" w:rsidRPr="005060E0">
        <w:t xml:space="preserve"> was conducted, and the findings are presented </w:t>
      </w:r>
      <w:r w:rsidR="00841B48" w:rsidRPr="005060E0">
        <w:t xml:space="preserve">in </w:t>
      </w:r>
      <w:r w:rsidR="003172C0" w:rsidRPr="005060E0">
        <w:t>th</w:t>
      </w:r>
      <w:r w:rsidR="00F138CE" w:rsidRPr="005060E0">
        <w:t>e corresponding assessment</w:t>
      </w:r>
      <w:r w:rsidR="003172C0" w:rsidRPr="005060E0">
        <w:t xml:space="preserve"> chapters.</w:t>
      </w:r>
    </w:p>
    <w:p w14:paraId="65281A6F" w14:textId="19E4F054" w:rsidR="0077300B" w:rsidRPr="005060E0" w:rsidRDefault="00FE680D" w:rsidP="00762AAA">
      <w:pPr>
        <w:pStyle w:val="Heading2"/>
        <w:spacing w:before="320" w:after="200"/>
      </w:pPr>
      <w:bookmarkStart w:id="66" w:name="_Toc3278942"/>
      <w:r w:rsidRPr="005060E0">
        <w:t>Step 3: P</w:t>
      </w:r>
      <w:r w:rsidR="0077300B" w:rsidRPr="005060E0">
        <w:t>roposed air quality standards</w:t>
      </w:r>
      <w:bookmarkEnd w:id="66"/>
    </w:p>
    <w:p w14:paraId="4693CC93" w14:textId="0F9B888F" w:rsidR="006132E7" w:rsidRPr="005060E0" w:rsidRDefault="005F44A6" w:rsidP="00762AAA">
      <w:pPr>
        <w:spacing w:after="160"/>
      </w:pPr>
      <w:r w:rsidRPr="005060E0">
        <w:t>For</w:t>
      </w:r>
      <w:r w:rsidR="0077300B" w:rsidRPr="005060E0">
        <w:t xml:space="preserve"> t</w:t>
      </w:r>
      <w:r w:rsidRPr="005060E0">
        <w:t xml:space="preserve">his </w:t>
      </w:r>
      <w:r w:rsidR="00DF05A9" w:rsidRPr="005060E0">
        <w:t>Impact Statement</w:t>
      </w:r>
      <w:r w:rsidR="0077300B" w:rsidRPr="005060E0">
        <w:t xml:space="preserve">, </w:t>
      </w:r>
      <w:r w:rsidR="006132E7" w:rsidRPr="005060E0">
        <w:t xml:space="preserve">various </w:t>
      </w:r>
      <w:r w:rsidR="0077300B" w:rsidRPr="005060E0">
        <w:t xml:space="preserve">proposed standards were developed for each pollutant and averaging period as </w:t>
      </w:r>
      <w:r w:rsidR="006132E7" w:rsidRPr="005060E0">
        <w:t xml:space="preserve">(more stringent) </w:t>
      </w:r>
      <w:r w:rsidR="0077300B" w:rsidRPr="005060E0">
        <w:t xml:space="preserve">alternatives to the current </w:t>
      </w:r>
      <w:r w:rsidR="006132E7" w:rsidRPr="005060E0">
        <w:t xml:space="preserve">AAQ </w:t>
      </w:r>
      <w:r w:rsidR="0077300B" w:rsidRPr="005060E0">
        <w:t xml:space="preserve">NEPM standards. </w:t>
      </w:r>
      <w:r w:rsidR="006132E7" w:rsidRPr="005060E0">
        <w:t>The proposed standards for each pollutant are provided in the corresponding assessment chapters.</w:t>
      </w:r>
    </w:p>
    <w:p w14:paraId="0C458C28" w14:textId="5F7F6B74" w:rsidR="006132E7" w:rsidRPr="005060E0" w:rsidRDefault="006132E7" w:rsidP="00762AAA">
      <w:pPr>
        <w:spacing w:after="160"/>
        <w:rPr>
          <w:rFonts w:cs="Arial"/>
          <w:szCs w:val="20"/>
        </w:rPr>
      </w:pPr>
      <w:r w:rsidRPr="005060E0">
        <w:rPr>
          <w:rFonts w:cs="Arial"/>
          <w:szCs w:val="20"/>
        </w:rPr>
        <w:t xml:space="preserve">The proposed standards were identified through a review of international literature and regulations, including the WHO Air Quality Guidelines, the USEPA National Ambient Air Quality Standards (NAAQS), and the standards that have been adopted in </w:t>
      </w:r>
      <w:r w:rsidR="007116E3" w:rsidRPr="005060E0">
        <w:rPr>
          <w:rFonts w:cs="Arial"/>
          <w:szCs w:val="20"/>
        </w:rPr>
        <w:t>other leading countries</w:t>
      </w:r>
      <w:r w:rsidRPr="005060E0">
        <w:rPr>
          <w:rFonts w:cs="Arial"/>
          <w:szCs w:val="20"/>
        </w:rPr>
        <w:t>. The proposed standards were then endorsed for assessment by the then Air Thematic Oversight Group (A</w:t>
      </w:r>
      <w:r w:rsidR="003B6CAB" w:rsidRPr="005060E0">
        <w:rPr>
          <w:rFonts w:cs="Arial"/>
          <w:szCs w:val="20"/>
        </w:rPr>
        <w:t xml:space="preserve">ir </w:t>
      </w:r>
      <w:r w:rsidRPr="005060E0">
        <w:rPr>
          <w:rFonts w:cs="Arial"/>
          <w:szCs w:val="20"/>
        </w:rPr>
        <w:t xml:space="preserve">TOG, comprising members from all jurisdictions). </w:t>
      </w:r>
      <w:r w:rsidRPr="005060E0">
        <w:t>The A</w:t>
      </w:r>
      <w:r w:rsidR="003B6CAB" w:rsidRPr="005060E0">
        <w:t xml:space="preserve">ir </w:t>
      </w:r>
      <w:r w:rsidRPr="005060E0">
        <w:t>TOG has since been reformed as the Air Project Management Group (APMG).</w:t>
      </w:r>
    </w:p>
    <w:p w14:paraId="2653C5B0" w14:textId="589E323E" w:rsidR="006132E7" w:rsidRPr="005060E0" w:rsidRDefault="006132E7" w:rsidP="00762AAA">
      <w:pPr>
        <w:spacing w:after="160"/>
      </w:pPr>
      <w:r w:rsidRPr="005060E0">
        <w:rPr>
          <w:rFonts w:cs="Arial"/>
          <w:szCs w:val="20"/>
        </w:rPr>
        <w:t>Some specific considerations of this review included the ongoing need for a standard for annual mean SO</w:t>
      </w:r>
      <w:r w:rsidRPr="005060E0">
        <w:rPr>
          <w:rFonts w:cs="Arial"/>
          <w:szCs w:val="20"/>
          <w:vertAlign w:val="subscript"/>
        </w:rPr>
        <w:t>2</w:t>
      </w:r>
      <w:r w:rsidRPr="005060E0">
        <w:rPr>
          <w:rFonts w:cs="Arial"/>
          <w:szCs w:val="20"/>
        </w:rPr>
        <w:t xml:space="preserve"> (which is included in the AAQ NEPM but is not widely used internationally), and the need for a rolling-average 8-hour standard for O</w:t>
      </w:r>
      <w:r w:rsidRPr="005060E0">
        <w:rPr>
          <w:rFonts w:cs="Arial"/>
          <w:szCs w:val="20"/>
          <w:vertAlign w:val="subscript"/>
        </w:rPr>
        <w:t>3</w:t>
      </w:r>
      <w:r w:rsidRPr="005060E0">
        <w:rPr>
          <w:rFonts w:cs="Arial"/>
          <w:szCs w:val="20"/>
        </w:rPr>
        <w:t xml:space="preserve"> (which is used intern</w:t>
      </w:r>
      <w:r w:rsidR="00FE23DB" w:rsidRPr="005060E0">
        <w:rPr>
          <w:rFonts w:cs="Arial"/>
          <w:szCs w:val="20"/>
        </w:rPr>
        <w:t xml:space="preserve">ationally but is not in the AAQ </w:t>
      </w:r>
      <w:r w:rsidRPr="005060E0">
        <w:rPr>
          <w:rFonts w:cs="Arial"/>
          <w:szCs w:val="20"/>
        </w:rPr>
        <w:t>NEPM).</w:t>
      </w:r>
    </w:p>
    <w:p w14:paraId="32FCA454" w14:textId="1FA725BF" w:rsidR="00E41E8C" w:rsidRPr="005060E0" w:rsidRDefault="00374C71" w:rsidP="00762AAA">
      <w:pPr>
        <w:pStyle w:val="Heading2"/>
        <w:spacing w:before="320" w:after="200"/>
      </w:pPr>
      <w:bookmarkStart w:id="67" w:name="_Toc479858826"/>
      <w:bookmarkStart w:id="68" w:name="_Toc3278943"/>
      <w:r w:rsidRPr="005060E0">
        <w:t>Step 4</w:t>
      </w:r>
      <w:r w:rsidR="00FE680D" w:rsidRPr="005060E0">
        <w:t>: A</w:t>
      </w:r>
      <w:r w:rsidR="00F138CE" w:rsidRPr="005060E0">
        <w:t xml:space="preserve">nalysis of </w:t>
      </w:r>
      <w:bookmarkEnd w:id="67"/>
      <w:r w:rsidR="00CE770C" w:rsidRPr="005060E0">
        <w:t>historical air quality</w:t>
      </w:r>
      <w:bookmarkEnd w:id="68"/>
    </w:p>
    <w:p w14:paraId="505AE030" w14:textId="364A343B" w:rsidR="00F138CE" w:rsidRPr="005060E0" w:rsidRDefault="00E41E8C" w:rsidP="00762AAA">
      <w:pPr>
        <w:spacing w:after="160"/>
      </w:pPr>
      <w:r w:rsidRPr="005060E0">
        <w:t>An anal</w:t>
      </w:r>
      <w:r w:rsidR="00374C71" w:rsidRPr="005060E0">
        <w:t xml:space="preserve">ysis of ambient air quality </w:t>
      </w:r>
      <w:r w:rsidRPr="005060E0">
        <w:t xml:space="preserve">monitoring data </w:t>
      </w:r>
      <w:r w:rsidR="00374C71" w:rsidRPr="005060E0">
        <w:t>for the period 2002</w:t>
      </w:r>
      <w:r w:rsidR="00841B48" w:rsidRPr="005060E0">
        <w:rPr>
          <w:rFonts w:cs="Arial"/>
        </w:rPr>
        <w:t>–</w:t>
      </w:r>
      <w:r w:rsidR="00374C71" w:rsidRPr="005060E0">
        <w:t>2016 was conducted to provide historical context with respect to concentrations of</w:t>
      </w:r>
      <w:r w:rsidRPr="005060E0">
        <w:t xml:space="preserve"> </w:t>
      </w:r>
      <w:r w:rsidR="00374C71" w:rsidRPr="005060E0">
        <w:t>SO</w:t>
      </w:r>
      <w:r w:rsidR="00374C71" w:rsidRPr="005060E0">
        <w:rPr>
          <w:vertAlign w:val="subscript"/>
        </w:rPr>
        <w:t>2</w:t>
      </w:r>
      <w:r w:rsidR="00374C71" w:rsidRPr="005060E0">
        <w:t>, NO</w:t>
      </w:r>
      <w:r w:rsidR="00374C71" w:rsidRPr="005060E0">
        <w:rPr>
          <w:vertAlign w:val="subscript"/>
        </w:rPr>
        <w:t>2</w:t>
      </w:r>
      <w:r w:rsidR="00374C71" w:rsidRPr="005060E0">
        <w:t xml:space="preserve"> and O</w:t>
      </w:r>
      <w:r w:rsidR="00374C71" w:rsidRPr="005060E0">
        <w:rPr>
          <w:vertAlign w:val="subscript"/>
        </w:rPr>
        <w:t>3</w:t>
      </w:r>
      <w:r w:rsidR="00374C71" w:rsidRPr="005060E0">
        <w:t xml:space="preserve"> in Australian airsheds</w:t>
      </w:r>
      <w:r w:rsidR="00AB3A41" w:rsidRPr="005060E0">
        <w:t>, and to</w:t>
      </w:r>
      <w:r w:rsidRPr="005060E0">
        <w:t xml:space="preserve"> </w:t>
      </w:r>
      <w:r w:rsidR="00AB3A41" w:rsidRPr="005060E0">
        <w:t>contribute to the assessment of achievability of the proposed</w:t>
      </w:r>
      <w:r w:rsidR="00374C71" w:rsidRPr="005060E0">
        <w:t xml:space="preserve"> standards</w:t>
      </w:r>
      <w:r w:rsidR="00AB3A41" w:rsidRPr="005060E0">
        <w:t>.</w:t>
      </w:r>
      <w:r w:rsidR="00374C71" w:rsidRPr="005060E0">
        <w:t xml:space="preserve"> </w:t>
      </w:r>
      <w:r w:rsidR="00374C71" w:rsidRPr="005060E0">
        <w:rPr>
          <w:rFonts w:cs="Arial"/>
        </w:rPr>
        <w:t xml:space="preserve">The analysis covered all the airsheds (‘major cities’ and other significant ‘regional centres’) that were considered in the HRA and for which adequate monitoring data were available. The analysis identified historical trends in </w:t>
      </w:r>
      <w:r w:rsidR="00F95255" w:rsidRPr="005060E0">
        <w:rPr>
          <w:rFonts w:cs="Arial"/>
        </w:rPr>
        <w:t>concentrations and</w:t>
      </w:r>
      <w:r w:rsidR="00210476" w:rsidRPr="005060E0">
        <w:rPr>
          <w:rFonts w:cs="Arial"/>
        </w:rPr>
        <w:t xml:space="preserve"> </w:t>
      </w:r>
      <w:r w:rsidR="00374C71" w:rsidRPr="005060E0">
        <w:rPr>
          <w:rFonts w:cs="Arial"/>
        </w:rPr>
        <w:t>established the level of compliance with the current and proposed AAQ NEPM standards in each airshed</w:t>
      </w:r>
      <w:r w:rsidR="00210476" w:rsidRPr="005060E0">
        <w:rPr>
          <w:rFonts w:cs="Arial"/>
        </w:rPr>
        <w:t>.</w:t>
      </w:r>
      <w:r w:rsidR="00210476" w:rsidRPr="005060E0">
        <w:t xml:space="preserve"> </w:t>
      </w:r>
      <w:r w:rsidRPr="005060E0">
        <w:t xml:space="preserve">The </w:t>
      </w:r>
      <w:r w:rsidR="00F138CE" w:rsidRPr="005060E0">
        <w:t xml:space="preserve">full </w:t>
      </w:r>
      <w:r w:rsidRPr="005060E0">
        <w:t>results of the assessment are shown in detail in Appendix A</w:t>
      </w:r>
      <w:r w:rsidR="00210476" w:rsidRPr="005060E0">
        <w:t>,</w:t>
      </w:r>
      <w:r w:rsidRPr="005060E0">
        <w:t xml:space="preserve"> and summaries </w:t>
      </w:r>
      <w:r w:rsidR="00F138CE" w:rsidRPr="005060E0">
        <w:t xml:space="preserve">for each pollutant are </w:t>
      </w:r>
      <w:r w:rsidRPr="005060E0">
        <w:t xml:space="preserve">provided in </w:t>
      </w:r>
      <w:r w:rsidR="00F138CE" w:rsidRPr="005060E0">
        <w:t>the corresponding assessment chapters</w:t>
      </w:r>
      <w:r w:rsidR="00210476" w:rsidRPr="005060E0">
        <w:t xml:space="preserve"> of this </w:t>
      </w:r>
      <w:r w:rsidR="00DF05A9" w:rsidRPr="005060E0">
        <w:t>Impact Statement</w:t>
      </w:r>
      <w:r w:rsidR="00F138CE" w:rsidRPr="005060E0">
        <w:t>.</w:t>
      </w:r>
    </w:p>
    <w:p w14:paraId="0B9FAB2E" w14:textId="7AF49865" w:rsidR="00CE770C" w:rsidRPr="005060E0" w:rsidRDefault="00210476" w:rsidP="00762AAA">
      <w:pPr>
        <w:pStyle w:val="Heading2"/>
        <w:spacing w:before="320" w:after="120"/>
      </w:pPr>
      <w:bookmarkStart w:id="69" w:name="_Toc3278944"/>
      <w:r w:rsidRPr="005060E0">
        <w:t>Step 5</w:t>
      </w:r>
      <w:r w:rsidR="00235EAB" w:rsidRPr="005060E0">
        <w:t xml:space="preserve">: </w:t>
      </w:r>
      <w:r w:rsidR="00CE770C" w:rsidRPr="005060E0">
        <w:t>Projections of future air quality</w:t>
      </w:r>
      <w:bookmarkEnd w:id="69"/>
    </w:p>
    <w:p w14:paraId="061499C0" w14:textId="5B7A2CB2" w:rsidR="00210476" w:rsidRPr="005060E0" w:rsidRDefault="00210476" w:rsidP="00762AAA">
      <w:pPr>
        <w:pStyle w:val="Heading3"/>
        <w:spacing w:before="240" w:after="200"/>
      </w:pPr>
      <w:r w:rsidRPr="005060E0">
        <w:t>General approach</w:t>
      </w:r>
    </w:p>
    <w:p w14:paraId="4C407119" w14:textId="77777777" w:rsidR="0029044E" w:rsidRPr="005060E0" w:rsidRDefault="00CE770C" w:rsidP="00762AAA">
      <w:pPr>
        <w:pStyle w:val="ListBullet"/>
        <w:numPr>
          <w:ilvl w:val="0"/>
          <w:numId w:val="0"/>
        </w:numPr>
        <w:spacing w:after="160"/>
        <w:rPr>
          <w:rFonts w:cs="Arial"/>
        </w:rPr>
      </w:pPr>
      <w:r w:rsidRPr="005060E0">
        <w:rPr>
          <w:rFonts w:cs="Arial"/>
        </w:rPr>
        <w:t xml:space="preserve">Future projections of air quality were determined for specific years (2016, 2021, 2031 and 2040). </w:t>
      </w:r>
      <w:r w:rsidR="00210476" w:rsidRPr="005060E0">
        <w:rPr>
          <w:rFonts w:cs="Arial"/>
        </w:rPr>
        <w:t xml:space="preserve">The </w:t>
      </w:r>
      <w:r w:rsidR="005128BC" w:rsidRPr="005060E0">
        <w:rPr>
          <w:rFonts w:cs="Arial"/>
        </w:rPr>
        <w:t>future projections included a ‘Business-as-U</w:t>
      </w:r>
      <w:r w:rsidR="00210476" w:rsidRPr="005060E0">
        <w:rPr>
          <w:rFonts w:cs="Arial"/>
        </w:rPr>
        <w:t>sual’ (BAU) scenario and an ‘Abatement Package’ scenario, involving the implementation of a single package of emission-reduction measures.</w:t>
      </w:r>
    </w:p>
    <w:p w14:paraId="11CB63D2" w14:textId="455440A2" w:rsidR="001B7198" w:rsidRPr="005060E0" w:rsidRDefault="001B7198" w:rsidP="00762AAA">
      <w:pPr>
        <w:pStyle w:val="ListBullet"/>
        <w:numPr>
          <w:ilvl w:val="0"/>
          <w:numId w:val="0"/>
        </w:numPr>
        <w:spacing w:after="160"/>
        <w:rPr>
          <w:rFonts w:cs="Arial"/>
        </w:rPr>
      </w:pPr>
      <w:r w:rsidRPr="005060E0">
        <w:rPr>
          <w:rFonts w:cs="Arial"/>
        </w:rPr>
        <w:t>The approach used for each jurisdiction was tailored according to the available information, with the most detailed treatment being possible for NSW and Victoria.</w:t>
      </w:r>
    </w:p>
    <w:p w14:paraId="371665F0" w14:textId="7874D1D5" w:rsidR="00CE770C" w:rsidRPr="005060E0" w:rsidRDefault="00CE770C" w:rsidP="00C10AD6">
      <w:pPr>
        <w:spacing w:after="120"/>
        <w:rPr>
          <w:rFonts w:cs="Arial"/>
        </w:rPr>
      </w:pPr>
      <w:r w:rsidRPr="005060E0">
        <w:rPr>
          <w:rFonts w:cs="Arial"/>
        </w:rPr>
        <w:t>Detailed air quality modelling was conducted for the following regions:</w:t>
      </w:r>
    </w:p>
    <w:p w14:paraId="71517A02" w14:textId="230A6ED6" w:rsidR="00CE770C" w:rsidRPr="005060E0" w:rsidRDefault="00CE770C" w:rsidP="00762AAA">
      <w:pPr>
        <w:pStyle w:val="ListBullet"/>
        <w:spacing w:after="100"/>
        <w:ind w:left="714" w:hanging="357"/>
        <w:rPr>
          <w:rFonts w:cs="Arial"/>
        </w:rPr>
      </w:pPr>
      <w:r w:rsidRPr="005060E0">
        <w:rPr>
          <w:rFonts w:cs="Arial"/>
        </w:rPr>
        <w:t>NSW</w:t>
      </w:r>
      <w:r w:rsidR="006A48A4" w:rsidRPr="005060E0">
        <w:rPr>
          <w:rFonts w:cs="Arial"/>
        </w:rPr>
        <w:t xml:space="preserve"> –</w:t>
      </w:r>
      <w:r w:rsidRPr="005060E0">
        <w:rPr>
          <w:rFonts w:cs="Arial"/>
        </w:rPr>
        <w:t xml:space="preserve"> </w:t>
      </w:r>
      <w:r w:rsidR="006A48A4" w:rsidRPr="005060E0">
        <w:rPr>
          <w:rFonts w:cs="Arial"/>
        </w:rPr>
        <w:t>t</w:t>
      </w:r>
      <w:r w:rsidRPr="005060E0">
        <w:rPr>
          <w:rFonts w:cs="Arial"/>
        </w:rPr>
        <w:t>he Greater Metropolitan Region (GMR), which included Sydney, Newcastle and Wollongong</w:t>
      </w:r>
    </w:p>
    <w:p w14:paraId="5DC2860D" w14:textId="6BFF56D8" w:rsidR="00CE770C" w:rsidRPr="005060E0" w:rsidRDefault="00CE770C" w:rsidP="00CE770C">
      <w:pPr>
        <w:pStyle w:val="ListBullet"/>
        <w:rPr>
          <w:rFonts w:cs="Arial"/>
        </w:rPr>
      </w:pPr>
      <w:r w:rsidRPr="005060E0">
        <w:rPr>
          <w:rFonts w:cs="Arial"/>
        </w:rPr>
        <w:t>Victoria</w:t>
      </w:r>
      <w:r w:rsidR="006A48A4" w:rsidRPr="005060E0">
        <w:rPr>
          <w:rFonts w:cs="Arial"/>
        </w:rPr>
        <w:t xml:space="preserve"> –</w:t>
      </w:r>
      <w:r w:rsidRPr="005060E0">
        <w:rPr>
          <w:rFonts w:cs="Arial"/>
        </w:rPr>
        <w:t xml:space="preserve"> </w:t>
      </w:r>
      <w:r w:rsidR="006A48A4" w:rsidRPr="005060E0">
        <w:rPr>
          <w:rFonts w:cs="Arial"/>
        </w:rPr>
        <w:t>t</w:t>
      </w:r>
      <w:r w:rsidRPr="005060E0">
        <w:rPr>
          <w:rFonts w:cs="Arial"/>
        </w:rPr>
        <w:t>he Port Phillip Region and the Latrobe Valley, which included Melbourne, Geelong and the Latrobe Valley.</w:t>
      </w:r>
    </w:p>
    <w:p w14:paraId="0A9D8D26" w14:textId="77777777" w:rsidR="00CE770C" w:rsidRPr="005060E0" w:rsidRDefault="00CE770C" w:rsidP="00C10AD6">
      <w:pPr>
        <w:spacing w:after="120"/>
        <w:rPr>
          <w:rFonts w:cs="Arial"/>
        </w:rPr>
      </w:pPr>
      <w:r w:rsidRPr="005060E0">
        <w:rPr>
          <w:rFonts w:cs="Arial"/>
        </w:rPr>
        <w:t>These regions of NSW and Victoria were selected for the following reasons:</w:t>
      </w:r>
    </w:p>
    <w:p w14:paraId="593C97E9" w14:textId="6416572F" w:rsidR="00CE770C" w:rsidRPr="005060E0" w:rsidRDefault="00CE770C" w:rsidP="00762AAA">
      <w:pPr>
        <w:pStyle w:val="ListBullet"/>
        <w:spacing w:after="100"/>
        <w:ind w:left="714" w:hanging="357"/>
        <w:rPr>
          <w:rFonts w:cs="Arial"/>
        </w:rPr>
      </w:pPr>
      <w:r w:rsidRPr="005060E0">
        <w:rPr>
          <w:rFonts w:cs="Arial"/>
        </w:rPr>
        <w:t>They had the most up-to-date</w:t>
      </w:r>
      <w:r w:rsidR="001B7198" w:rsidRPr="005060E0">
        <w:rPr>
          <w:rFonts w:cs="Arial"/>
        </w:rPr>
        <w:t>, model-ready</w:t>
      </w:r>
      <w:r w:rsidRPr="005060E0">
        <w:rPr>
          <w:rFonts w:cs="Arial"/>
        </w:rPr>
        <w:t xml:space="preserve"> atmospheric emission inventories.</w:t>
      </w:r>
    </w:p>
    <w:p w14:paraId="049CACD3" w14:textId="1B591FA7" w:rsidR="00CE770C" w:rsidRPr="005060E0" w:rsidRDefault="00CE770C" w:rsidP="00762AAA">
      <w:pPr>
        <w:pStyle w:val="ListBullet"/>
        <w:spacing w:after="100"/>
        <w:ind w:left="714" w:hanging="357"/>
        <w:rPr>
          <w:rFonts w:cs="Arial"/>
        </w:rPr>
      </w:pPr>
      <w:r w:rsidRPr="005060E0">
        <w:rPr>
          <w:rFonts w:cs="Arial"/>
        </w:rPr>
        <w:t xml:space="preserve">They had previously used </w:t>
      </w:r>
      <w:r w:rsidR="001B7198" w:rsidRPr="005060E0">
        <w:rPr>
          <w:rFonts w:cs="Arial"/>
        </w:rPr>
        <w:t xml:space="preserve">dispersion and </w:t>
      </w:r>
      <w:r w:rsidRPr="005060E0">
        <w:rPr>
          <w:rFonts w:cs="Arial"/>
        </w:rPr>
        <w:t>photochemical modelling to understand air pollution.</w:t>
      </w:r>
    </w:p>
    <w:p w14:paraId="099ED2B4" w14:textId="77777777" w:rsidR="00CE770C" w:rsidRPr="005060E0" w:rsidRDefault="00CE770C" w:rsidP="00762AAA">
      <w:pPr>
        <w:pStyle w:val="ListBullet"/>
        <w:spacing w:after="100"/>
        <w:ind w:left="714" w:hanging="357"/>
        <w:rPr>
          <w:rFonts w:cs="Arial"/>
        </w:rPr>
      </w:pPr>
      <w:r w:rsidRPr="005060E0">
        <w:rPr>
          <w:rFonts w:cs="Arial"/>
        </w:rPr>
        <w:t xml:space="preserve">They represented a cross-section of locations affected by the emission sources relevant to the pollutants being considered in the review (i.e. urban, rural, agricultural, mining, industry). </w:t>
      </w:r>
    </w:p>
    <w:p w14:paraId="2D05F1C6" w14:textId="77777777" w:rsidR="00CE770C" w:rsidRPr="005060E0" w:rsidRDefault="00CE770C" w:rsidP="00762AAA">
      <w:pPr>
        <w:pStyle w:val="ListBullet"/>
        <w:spacing w:after="100"/>
        <w:ind w:left="714" w:hanging="357"/>
        <w:rPr>
          <w:rFonts w:cs="Arial"/>
        </w:rPr>
      </w:pPr>
      <w:r w:rsidRPr="005060E0">
        <w:rPr>
          <w:rFonts w:cs="Arial"/>
        </w:rPr>
        <w:t xml:space="preserve">They included the range of atmospheric behaviour across Australian cities and states. </w:t>
      </w:r>
    </w:p>
    <w:p w14:paraId="69484B53" w14:textId="418099A7" w:rsidR="007A2BE0" w:rsidRPr="005060E0" w:rsidRDefault="00CE770C" w:rsidP="00CE770C">
      <w:pPr>
        <w:rPr>
          <w:rFonts w:cs="Arial"/>
        </w:rPr>
      </w:pPr>
      <w:r w:rsidRPr="005060E0">
        <w:rPr>
          <w:rFonts w:cs="Arial"/>
        </w:rPr>
        <w:t>For the other airsheds, where modelling was not undertaken, the emission reductions estimated for the Abatement Package were projected into the future. Attainment of the current and proposed standards was estimated using a comparative method (for NO</w:t>
      </w:r>
      <w:r w:rsidRPr="005060E0">
        <w:rPr>
          <w:rFonts w:cs="Arial"/>
          <w:vertAlign w:val="subscript"/>
        </w:rPr>
        <w:t>2</w:t>
      </w:r>
      <w:r w:rsidRPr="005060E0">
        <w:rPr>
          <w:rFonts w:cs="Arial"/>
        </w:rPr>
        <w:t xml:space="preserve"> and SO</w:t>
      </w:r>
      <w:r w:rsidRPr="005060E0">
        <w:rPr>
          <w:rFonts w:cs="Arial"/>
          <w:vertAlign w:val="subscript"/>
        </w:rPr>
        <w:t>2</w:t>
      </w:r>
      <w:r w:rsidR="005E4128" w:rsidRPr="005060E0">
        <w:rPr>
          <w:rFonts w:cs="Arial"/>
        </w:rPr>
        <w:t xml:space="preserve"> only)</w:t>
      </w:r>
      <w:r w:rsidRPr="005060E0">
        <w:rPr>
          <w:rFonts w:cs="Arial"/>
        </w:rPr>
        <w:t>.</w:t>
      </w:r>
      <w:r w:rsidR="00FE2AF4" w:rsidRPr="005060E0">
        <w:rPr>
          <w:rFonts w:cs="Arial"/>
        </w:rPr>
        <w:t xml:space="preserve"> Given the complex photochemistry involved in O</w:t>
      </w:r>
      <w:r w:rsidR="00FE2AF4" w:rsidRPr="00447ACD">
        <w:rPr>
          <w:rFonts w:cs="Arial"/>
          <w:vertAlign w:val="subscript"/>
        </w:rPr>
        <w:t>3</w:t>
      </w:r>
      <w:r w:rsidR="00FE2AF4" w:rsidRPr="005060E0">
        <w:rPr>
          <w:rFonts w:cs="Arial"/>
        </w:rPr>
        <w:t xml:space="preserve"> formation and removal, this method could not be applied to O</w:t>
      </w:r>
      <w:r w:rsidR="00FE2AF4" w:rsidRPr="005060E0">
        <w:rPr>
          <w:rFonts w:cs="Arial"/>
          <w:vertAlign w:val="subscript"/>
        </w:rPr>
        <w:t>3</w:t>
      </w:r>
      <w:r w:rsidR="007A2BE0" w:rsidRPr="005060E0">
        <w:rPr>
          <w:rFonts w:cs="Arial"/>
          <w:color w:val="7030A0"/>
        </w:rPr>
        <w:t>.</w:t>
      </w:r>
    </w:p>
    <w:p w14:paraId="342591D7" w14:textId="76CD1FED" w:rsidR="002A5B8E" w:rsidRPr="005060E0" w:rsidRDefault="002A5B8E" w:rsidP="002A5B8E">
      <w:pPr>
        <w:pStyle w:val="ListBullet"/>
        <w:numPr>
          <w:ilvl w:val="0"/>
          <w:numId w:val="0"/>
        </w:numPr>
        <w:rPr>
          <w:rFonts w:cs="Arial"/>
        </w:rPr>
      </w:pPr>
      <w:r w:rsidRPr="005060E0">
        <w:rPr>
          <w:rFonts w:cs="Arial"/>
        </w:rPr>
        <w:t xml:space="preserve">Pollutant concentrations and exceedances of air quality standards were determined for the projection years in the modelled airsheds. </w:t>
      </w:r>
    </w:p>
    <w:p w14:paraId="7B536201" w14:textId="6ABBE5D2" w:rsidR="00BA6488" w:rsidRPr="005060E0" w:rsidRDefault="00BA6488" w:rsidP="000B3B3D">
      <w:pPr>
        <w:pStyle w:val="Heading3"/>
      </w:pPr>
      <w:r w:rsidRPr="005060E0">
        <w:t>Scenario definition</w:t>
      </w:r>
    </w:p>
    <w:p w14:paraId="22C5F5CF" w14:textId="5C2DAD90" w:rsidR="00FD5FF0" w:rsidRPr="005060E0" w:rsidRDefault="005128BC" w:rsidP="0029044E">
      <w:pPr>
        <w:pStyle w:val="Heading4"/>
        <w:spacing w:after="200"/>
      </w:pPr>
      <w:r w:rsidRPr="005060E0">
        <w:t>‘Business-as-U</w:t>
      </w:r>
      <w:r w:rsidR="00205B41" w:rsidRPr="005060E0">
        <w:t>sual</w:t>
      </w:r>
      <w:r w:rsidRPr="005060E0">
        <w:t>’</w:t>
      </w:r>
      <w:r w:rsidR="00B234E7" w:rsidRPr="005060E0">
        <w:t xml:space="preserve"> </w:t>
      </w:r>
      <w:r w:rsidR="00FD5FF0" w:rsidRPr="005060E0">
        <w:t>scenario</w:t>
      </w:r>
    </w:p>
    <w:p w14:paraId="00603BD1" w14:textId="2C7A7C3C" w:rsidR="00320AF9" w:rsidRPr="005060E0" w:rsidRDefault="00B561C0" w:rsidP="009B2B4D">
      <w:pPr>
        <w:rPr>
          <w:rFonts w:cs="Arial"/>
        </w:rPr>
      </w:pPr>
      <w:r w:rsidRPr="005060E0">
        <w:rPr>
          <w:rFonts w:cs="Arial"/>
        </w:rPr>
        <w:t>To construct the BAU scenario</w:t>
      </w:r>
      <w:r w:rsidR="00946589" w:rsidRPr="005060E0">
        <w:rPr>
          <w:rFonts w:cs="Arial"/>
        </w:rPr>
        <w:t>, the underlying future changes in population and activity were built into the jurisdictional emission projections. I</w:t>
      </w:r>
      <w:r w:rsidR="009B2B4D" w:rsidRPr="005060E0">
        <w:rPr>
          <w:rFonts w:cs="Arial"/>
        </w:rPr>
        <w:t xml:space="preserve">t </w:t>
      </w:r>
      <w:r w:rsidR="0072560D" w:rsidRPr="005060E0">
        <w:rPr>
          <w:rFonts w:cs="Arial"/>
        </w:rPr>
        <w:t xml:space="preserve">was assumed </w:t>
      </w:r>
      <w:r w:rsidR="00320AF9" w:rsidRPr="005060E0">
        <w:rPr>
          <w:rFonts w:cs="Arial"/>
        </w:rPr>
        <w:t xml:space="preserve">that </w:t>
      </w:r>
      <w:r w:rsidR="00FD3241" w:rsidRPr="005060E0">
        <w:rPr>
          <w:rFonts w:cs="Arial"/>
        </w:rPr>
        <w:t>there</w:t>
      </w:r>
      <w:r w:rsidR="0072560D" w:rsidRPr="005060E0">
        <w:rPr>
          <w:rFonts w:cs="Arial"/>
        </w:rPr>
        <w:t xml:space="preserve"> would be no </w:t>
      </w:r>
      <w:r w:rsidR="00320AF9" w:rsidRPr="005060E0">
        <w:rPr>
          <w:rFonts w:cs="Arial"/>
        </w:rPr>
        <w:t>changes in legislation</w:t>
      </w:r>
      <w:r w:rsidR="00CF538B" w:rsidRPr="005060E0">
        <w:rPr>
          <w:rFonts w:cs="Arial"/>
        </w:rPr>
        <w:t>;</w:t>
      </w:r>
      <w:r w:rsidR="00320AF9" w:rsidRPr="005060E0">
        <w:rPr>
          <w:rFonts w:cs="Arial"/>
        </w:rPr>
        <w:t xml:space="preserve"> </w:t>
      </w:r>
      <w:r w:rsidR="00CF538B" w:rsidRPr="005060E0">
        <w:rPr>
          <w:rFonts w:cs="Arial"/>
        </w:rPr>
        <w:t>h</w:t>
      </w:r>
      <w:r w:rsidR="00320AF9" w:rsidRPr="005060E0">
        <w:rPr>
          <w:rFonts w:cs="Arial"/>
        </w:rPr>
        <w:t>owever, adjustments were made to the following sources in the BAU scenario:</w:t>
      </w:r>
    </w:p>
    <w:p w14:paraId="06E3681E" w14:textId="1EB115AD" w:rsidR="00320AF9" w:rsidRPr="005060E0" w:rsidRDefault="00320AF9" w:rsidP="00447ACD">
      <w:pPr>
        <w:pStyle w:val="ListBullet"/>
        <w:spacing w:after="120"/>
        <w:rPr>
          <w:rFonts w:cs="Arial"/>
        </w:rPr>
      </w:pPr>
      <w:r w:rsidRPr="005060E0">
        <w:rPr>
          <w:rFonts w:cs="Arial"/>
          <w:i/>
        </w:rPr>
        <w:t>Motor vehicles</w:t>
      </w:r>
      <w:r w:rsidRPr="005060E0">
        <w:rPr>
          <w:rFonts w:cs="Arial"/>
        </w:rPr>
        <w:t xml:space="preserve">. It was assumed that Australia would continue on the path of alignment with international legislation, with the adoption of the Euro 6 fuel specifications in 2019. The Australian fleet was assumed to continue to grow in size, with proportional increases in all fleet categories. The sulfur content of </w:t>
      </w:r>
      <w:r w:rsidR="00DF3F80" w:rsidRPr="005060E0">
        <w:rPr>
          <w:rFonts w:cs="Arial"/>
        </w:rPr>
        <w:t xml:space="preserve">both </w:t>
      </w:r>
      <w:r w:rsidRPr="005060E0">
        <w:rPr>
          <w:rFonts w:cs="Arial"/>
        </w:rPr>
        <w:t>petrol and diesel was assumed to be 10 ppm</w:t>
      </w:r>
      <w:r w:rsidR="00DF3F80" w:rsidRPr="005060E0">
        <w:rPr>
          <w:rFonts w:cs="Arial"/>
        </w:rPr>
        <w:t xml:space="preserve"> (this assumes that fuel sulfur content would be harmonised with the EU</w:t>
      </w:r>
      <w:r w:rsidR="003460CB" w:rsidRPr="005060E0">
        <w:rPr>
          <w:rFonts w:cs="Arial"/>
        </w:rPr>
        <w:t xml:space="preserve"> (Euro 6)</w:t>
      </w:r>
      <w:r w:rsidR="00DF3F80" w:rsidRPr="005060E0">
        <w:rPr>
          <w:rFonts w:cs="Arial"/>
        </w:rPr>
        <w:t>, with the sulfur content of petrol being reduced from 50 ppm)</w:t>
      </w:r>
      <w:r w:rsidR="003460CB" w:rsidRPr="001B1338">
        <w:rPr>
          <w:rStyle w:val="FootnoteReference"/>
        </w:rPr>
        <w:footnoteReference w:id="20"/>
      </w:r>
      <w:r w:rsidRPr="005060E0">
        <w:rPr>
          <w:rFonts w:cs="Arial"/>
        </w:rPr>
        <w:t>.</w:t>
      </w:r>
    </w:p>
    <w:p w14:paraId="5D1DFA4D" w14:textId="2F4B6F49" w:rsidR="00320AF9" w:rsidRPr="005060E0" w:rsidRDefault="00320AF9" w:rsidP="00447ACD">
      <w:pPr>
        <w:pStyle w:val="ListBullet"/>
        <w:spacing w:after="120"/>
        <w:rPr>
          <w:rFonts w:cs="Arial"/>
        </w:rPr>
      </w:pPr>
      <w:r w:rsidRPr="005060E0">
        <w:rPr>
          <w:rFonts w:cs="Arial"/>
          <w:i/>
        </w:rPr>
        <w:t>Wood heaters</w:t>
      </w:r>
      <w:r w:rsidR="00B33E34" w:rsidRPr="005060E0">
        <w:rPr>
          <w:rFonts w:cs="Arial"/>
        </w:rPr>
        <w:t xml:space="preserve">. It was assumed that </w:t>
      </w:r>
      <w:r w:rsidRPr="005060E0">
        <w:rPr>
          <w:rFonts w:cs="Arial"/>
        </w:rPr>
        <w:t>the Australian Government’s December 2015 decision on the fut</w:t>
      </w:r>
      <w:r w:rsidR="00B33E34" w:rsidRPr="005060E0">
        <w:rPr>
          <w:rFonts w:cs="Arial"/>
        </w:rPr>
        <w:t xml:space="preserve">ure management of this </w:t>
      </w:r>
      <w:r w:rsidRPr="005060E0">
        <w:rPr>
          <w:rFonts w:cs="Arial"/>
        </w:rPr>
        <w:t>source</w:t>
      </w:r>
      <w:r w:rsidR="00B33E34" w:rsidRPr="005060E0">
        <w:rPr>
          <w:rFonts w:cs="Arial"/>
        </w:rPr>
        <w:t xml:space="preserve"> would take effect</w:t>
      </w:r>
      <w:r w:rsidR="0055113C" w:rsidRPr="001B1338">
        <w:rPr>
          <w:rStyle w:val="FootnoteReference"/>
        </w:rPr>
        <w:footnoteReference w:id="21"/>
      </w:r>
      <w:r w:rsidRPr="005060E0">
        <w:rPr>
          <w:rFonts w:cs="Arial"/>
        </w:rPr>
        <w:t xml:space="preserve">. </w:t>
      </w:r>
    </w:p>
    <w:p w14:paraId="64CDD28D" w14:textId="77777777" w:rsidR="00C543C5" w:rsidRPr="005060E0" w:rsidRDefault="00320AF9" w:rsidP="00447ACD">
      <w:pPr>
        <w:pStyle w:val="ListBullet"/>
        <w:spacing w:after="120"/>
        <w:rPr>
          <w:rFonts w:cs="Arial"/>
        </w:rPr>
      </w:pPr>
      <w:r w:rsidRPr="005060E0">
        <w:rPr>
          <w:rFonts w:cs="Arial"/>
          <w:i/>
        </w:rPr>
        <w:t>Non-road spark-ignition engines and equipment</w:t>
      </w:r>
      <w:r w:rsidR="00B33E34" w:rsidRPr="005060E0">
        <w:rPr>
          <w:rFonts w:cs="Arial"/>
        </w:rPr>
        <w:t xml:space="preserve">. For these sources </w:t>
      </w:r>
      <w:r w:rsidRPr="005060E0">
        <w:rPr>
          <w:rFonts w:cs="Arial"/>
        </w:rPr>
        <w:t>the Australian Government’s Decem</w:t>
      </w:r>
      <w:r w:rsidR="00B33E34" w:rsidRPr="005060E0">
        <w:rPr>
          <w:rFonts w:cs="Arial"/>
        </w:rPr>
        <w:t xml:space="preserve">ber 2015 policy decision on </w:t>
      </w:r>
      <w:r w:rsidRPr="005060E0">
        <w:rPr>
          <w:rFonts w:cs="Arial"/>
        </w:rPr>
        <w:t>future ma</w:t>
      </w:r>
      <w:r w:rsidR="00B33E34" w:rsidRPr="005060E0">
        <w:rPr>
          <w:rFonts w:cs="Arial"/>
        </w:rPr>
        <w:t>nagement would take effect</w:t>
      </w:r>
      <w:r w:rsidR="003460CB" w:rsidRPr="001B1338">
        <w:rPr>
          <w:rStyle w:val="FootnoteReference"/>
        </w:rPr>
        <w:footnoteReference w:id="22"/>
      </w:r>
      <w:r w:rsidRPr="005060E0">
        <w:rPr>
          <w:rFonts w:cs="Arial"/>
        </w:rPr>
        <w:t>.</w:t>
      </w:r>
    </w:p>
    <w:p w14:paraId="273B9C81" w14:textId="4CDB9BD5" w:rsidR="00C543C5" w:rsidRPr="005060E0" w:rsidRDefault="00C543C5" w:rsidP="00447ACD">
      <w:pPr>
        <w:pStyle w:val="ListBullet"/>
        <w:spacing w:after="120"/>
        <w:rPr>
          <w:rFonts w:cs="Arial"/>
        </w:rPr>
      </w:pPr>
      <w:r w:rsidRPr="005060E0">
        <w:rPr>
          <w:rFonts w:cs="Arial"/>
          <w:i/>
        </w:rPr>
        <w:t>Shipping</w:t>
      </w:r>
      <w:r w:rsidRPr="005060E0">
        <w:rPr>
          <w:rFonts w:cs="Arial"/>
        </w:rPr>
        <w:t>. The effects of the reduced sulfur content of marine fuel to a maximum of 0.5</w:t>
      </w:r>
      <w:r w:rsidR="00C75B58">
        <w:rPr>
          <w:rFonts w:cs="Arial"/>
        </w:rPr>
        <w:t xml:space="preserve"> per cent</w:t>
      </w:r>
      <w:r w:rsidRPr="005060E0">
        <w:rPr>
          <w:rFonts w:cs="Arial"/>
        </w:rPr>
        <w:t xml:space="preserve"> (MARPOL) was implemented</w:t>
      </w:r>
      <w:r w:rsidR="00CF538B" w:rsidRPr="005060E0">
        <w:rPr>
          <w:rFonts w:cs="Arial"/>
        </w:rPr>
        <w:t>;</w:t>
      </w:r>
      <w:r w:rsidRPr="005060E0">
        <w:rPr>
          <w:rFonts w:cs="Arial"/>
        </w:rPr>
        <w:t xml:space="preserve"> </w:t>
      </w:r>
      <w:r w:rsidR="00CF538B" w:rsidRPr="005060E0">
        <w:rPr>
          <w:rFonts w:cs="Arial"/>
        </w:rPr>
        <w:t>h</w:t>
      </w:r>
      <w:r w:rsidRPr="005060E0">
        <w:rPr>
          <w:rFonts w:cs="Arial"/>
        </w:rPr>
        <w:t xml:space="preserve">owever, this </w:t>
      </w:r>
      <w:r w:rsidRPr="001B1338">
        <w:rPr>
          <w:rFonts w:cs="Arial"/>
        </w:rPr>
        <w:t>had very little influence on the modelled concentrations.</w:t>
      </w:r>
    </w:p>
    <w:p w14:paraId="6580D6FC" w14:textId="14AF839C" w:rsidR="00C64103" w:rsidRPr="005060E0" w:rsidRDefault="00691F17" w:rsidP="00691F17">
      <w:r w:rsidRPr="005060E0">
        <w:t>It is important to note</w:t>
      </w:r>
      <w:r w:rsidR="00C543C5" w:rsidRPr="005060E0">
        <w:t xml:space="preserve"> that s</w:t>
      </w:r>
      <w:r w:rsidRPr="005060E0">
        <w:t>everal industrial sources are scheduled to close prior to 2040, including old, coal-fired power stations</w:t>
      </w:r>
      <w:r w:rsidR="004E2AD2" w:rsidRPr="005060E0">
        <w:t xml:space="preserve"> in NSW</w:t>
      </w:r>
      <w:r w:rsidRPr="005060E0">
        <w:t xml:space="preserve"> and Victoria</w:t>
      </w:r>
      <w:r w:rsidR="00C543C5" w:rsidRPr="005060E0">
        <w:t>. These</w:t>
      </w:r>
      <w:r w:rsidRPr="005060E0">
        <w:t xml:space="preserve"> closures were not</w:t>
      </w:r>
      <w:r w:rsidR="00C543C5" w:rsidRPr="005060E0">
        <w:t xml:space="preserve"> all</w:t>
      </w:r>
      <w:r w:rsidRPr="005060E0">
        <w:t xml:space="preserve"> included in the projections. </w:t>
      </w:r>
      <w:r w:rsidR="00C64103" w:rsidRPr="005060E0">
        <w:t>T</w:t>
      </w:r>
      <w:r w:rsidR="00C543C5" w:rsidRPr="005060E0">
        <w:t>he main effect of this</w:t>
      </w:r>
      <w:r w:rsidR="00C64103" w:rsidRPr="005060E0">
        <w:t xml:space="preserve"> will be that SO</w:t>
      </w:r>
      <w:r w:rsidR="00C64103" w:rsidRPr="005060E0">
        <w:rPr>
          <w:vertAlign w:val="subscript"/>
        </w:rPr>
        <w:t>2</w:t>
      </w:r>
      <w:r w:rsidR="00C64103" w:rsidRPr="005060E0">
        <w:t xml:space="preserve"> emissions and concentrations from industry in the BAU scenario, and the effects of any associated abatement measures, are overestimated in the </w:t>
      </w:r>
      <w:r w:rsidR="00DF05A9" w:rsidRPr="005060E0">
        <w:t>Impact Statement</w:t>
      </w:r>
      <w:r w:rsidR="00C64103" w:rsidRPr="005060E0">
        <w:t>.</w:t>
      </w:r>
    </w:p>
    <w:p w14:paraId="3BA823CC" w14:textId="6D4547F6" w:rsidR="00E002EA" w:rsidRPr="005060E0" w:rsidRDefault="00691F17" w:rsidP="0029044E">
      <w:pPr>
        <w:pStyle w:val="Heading4"/>
        <w:spacing w:after="200"/>
      </w:pPr>
      <w:bookmarkStart w:id="70" w:name="_Toc479201564"/>
      <w:bookmarkEnd w:id="64"/>
      <w:r w:rsidRPr="005060E0">
        <w:t xml:space="preserve"> </w:t>
      </w:r>
      <w:r w:rsidR="005128BC" w:rsidRPr="005060E0">
        <w:t>‘</w:t>
      </w:r>
      <w:r w:rsidR="00B234E7" w:rsidRPr="005060E0">
        <w:t>A</w:t>
      </w:r>
      <w:r w:rsidR="00E002EA" w:rsidRPr="005060E0">
        <w:t>batement Package</w:t>
      </w:r>
      <w:r w:rsidR="005128BC" w:rsidRPr="005060E0">
        <w:t>’</w:t>
      </w:r>
      <w:r w:rsidR="00E002EA" w:rsidRPr="005060E0">
        <w:t xml:space="preserve"> scenario</w:t>
      </w:r>
    </w:p>
    <w:bookmarkEnd w:id="70"/>
    <w:p w14:paraId="38E845A9" w14:textId="2C58A322" w:rsidR="00711A38" w:rsidRPr="005060E0" w:rsidRDefault="001E3774" w:rsidP="00711A38">
      <w:r w:rsidRPr="005060E0">
        <w:t>In addition to</w:t>
      </w:r>
      <w:r w:rsidR="006C16BE" w:rsidRPr="005060E0">
        <w:t xml:space="preserve"> the abatement measures alr</w:t>
      </w:r>
      <w:r w:rsidRPr="005060E0">
        <w:t>eady included in</w:t>
      </w:r>
      <w:r w:rsidR="00DE3E24" w:rsidRPr="005060E0">
        <w:t xml:space="preserve"> the BAU</w:t>
      </w:r>
      <w:r w:rsidR="006C16BE" w:rsidRPr="005060E0">
        <w:t xml:space="preserve"> scenario, achieving a further reduction in the concentrations of </w:t>
      </w:r>
      <w:r w:rsidR="006B3C35" w:rsidRPr="005060E0">
        <w:t>SO</w:t>
      </w:r>
      <w:r w:rsidR="006B3C35" w:rsidRPr="005060E0">
        <w:rPr>
          <w:vertAlign w:val="subscript"/>
        </w:rPr>
        <w:t>2</w:t>
      </w:r>
      <w:r w:rsidR="006B3C35" w:rsidRPr="005060E0">
        <w:t>, NO</w:t>
      </w:r>
      <w:r w:rsidR="006B3C35" w:rsidRPr="005060E0">
        <w:rPr>
          <w:vertAlign w:val="subscript"/>
        </w:rPr>
        <w:t>2</w:t>
      </w:r>
      <w:r w:rsidR="006B3C35" w:rsidRPr="005060E0">
        <w:t xml:space="preserve"> and O</w:t>
      </w:r>
      <w:r w:rsidR="006B3C35" w:rsidRPr="005060E0">
        <w:rPr>
          <w:vertAlign w:val="subscript"/>
        </w:rPr>
        <w:t>3</w:t>
      </w:r>
      <w:r w:rsidR="005A7373" w:rsidRPr="005060E0">
        <w:t xml:space="preserve"> </w:t>
      </w:r>
      <w:r w:rsidRPr="005060E0">
        <w:t>would req</w:t>
      </w:r>
      <w:r w:rsidR="00711A38" w:rsidRPr="005060E0">
        <w:t>uire the implementation of additional measures</w:t>
      </w:r>
      <w:r w:rsidR="006C16BE" w:rsidRPr="005060E0">
        <w:t>.</w:t>
      </w:r>
      <w:r w:rsidR="005F44A6" w:rsidRPr="005060E0">
        <w:t xml:space="preserve"> For this </w:t>
      </w:r>
      <w:r w:rsidR="00DF05A9" w:rsidRPr="005060E0">
        <w:t>Impact Statement</w:t>
      </w:r>
      <w:r w:rsidR="00711A38" w:rsidRPr="005060E0">
        <w:t>, a selection of additional measures were modelled as a single ‘Abatement Package’ scenario, the development of which is described in Appendix A and Appendix C.</w:t>
      </w:r>
      <w:r w:rsidR="009C768B" w:rsidRPr="005060E0">
        <w:t xml:space="preserve"> The ‘package’ approach is particularly important when considering pollutants that are chemically reactive and influenced by the presence of other pollutants, such as those under consideration in this review.</w:t>
      </w:r>
    </w:p>
    <w:p w14:paraId="16AC6CAE" w14:textId="0D16147E" w:rsidR="00FE680D" w:rsidRPr="005060E0" w:rsidRDefault="006C16BE" w:rsidP="00F0433B">
      <w:r w:rsidRPr="005060E0">
        <w:t>An initial list</w:t>
      </w:r>
      <w:r w:rsidR="00711A38" w:rsidRPr="005060E0">
        <w:t xml:space="preserve"> of 18 additional</w:t>
      </w:r>
      <w:r w:rsidRPr="005060E0">
        <w:t xml:space="preserve"> measures was developed through a</w:t>
      </w:r>
      <w:r w:rsidR="00711A38" w:rsidRPr="005060E0">
        <w:t xml:space="preserve"> literature review and a jurisdictional working group. </w:t>
      </w:r>
      <w:r w:rsidR="00E41E8C" w:rsidRPr="005060E0">
        <w:t>T</w:t>
      </w:r>
      <w:r w:rsidR="00711A38" w:rsidRPr="005060E0">
        <w:t xml:space="preserve">hese 18 measures were then subjected to a multi-criteria analysis (MCA) to </w:t>
      </w:r>
      <w:r w:rsidR="00E41E8C" w:rsidRPr="005060E0">
        <w:t xml:space="preserve">identify </w:t>
      </w:r>
      <w:r w:rsidR="00DC4829" w:rsidRPr="005060E0">
        <w:t>a preferred combination of measures</w:t>
      </w:r>
      <w:r w:rsidR="00711A38" w:rsidRPr="005060E0">
        <w:t>.</w:t>
      </w:r>
      <w:r w:rsidR="0052730A" w:rsidRPr="005060E0">
        <w:t xml:space="preserve"> The MCA considered, with weightings, aspects such as </w:t>
      </w:r>
      <w:r w:rsidR="00101B67" w:rsidRPr="005060E0">
        <w:t>the quantum of emissions abatement (30</w:t>
      </w:r>
      <w:r w:rsidR="00C75B58">
        <w:t xml:space="preserve"> per cent</w:t>
      </w:r>
      <w:r w:rsidR="00101B67" w:rsidRPr="005060E0">
        <w:t xml:space="preserve"> weighting), cost (30</w:t>
      </w:r>
      <w:r w:rsidR="00C75B58">
        <w:t xml:space="preserve"> per cent</w:t>
      </w:r>
      <w:r w:rsidR="00101B67" w:rsidRPr="005060E0">
        <w:t xml:space="preserve"> weighting), potential health benefits (10</w:t>
      </w:r>
      <w:r w:rsidR="00C75B58">
        <w:t xml:space="preserve"> per cent</w:t>
      </w:r>
      <w:r w:rsidR="00101B67" w:rsidRPr="005060E0">
        <w:t xml:space="preserve"> weighting). Other factors considered included reliability, targeting of costs to the source, timeframe for implementation, technological status, co-benefits, and disbenefits (5 </w:t>
      </w:r>
      <w:r w:rsidR="00C75B58">
        <w:t>per cent</w:t>
      </w:r>
      <w:r w:rsidR="00C75B58" w:rsidRPr="005060E0">
        <w:t xml:space="preserve"> </w:t>
      </w:r>
      <w:r w:rsidR="00101B67" w:rsidRPr="005060E0">
        <w:t xml:space="preserve">weighting for each). </w:t>
      </w:r>
      <w:r w:rsidR="00102CBE" w:rsidRPr="005060E0">
        <w:t>T</w:t>
      </w:r>
      <w:r w:rsidR="002A23E1" w:rsidRPr="005060E0">
        <w:t>he outcomes</w:t>
      </w:r>
      <w:r w:rsidR="00101B67" w:rsidRPr="005060E0">
        <w:t xml:space="preserve"> of the MCA</w:t>
      </w:r>
      <w:r w:rsidR="0050524B" w:rsidRPr="005060E0">
        <w:t>, and</w:t>
      </w:r>
      <w:r w:rsidR="00711A38" w:rsidRPr="005060E0">
        <w:t xml:space="preserve"> </w:t>
      </w:r>
      <w:r w:rsidR="00CD0B52" w:rsidRPr="005060E0">
        <w:t>the top th</w:t>
      </w:r>
      <w:r w:rsidR="00711A38" w:rsidRPr="005060E0">
        <w:t>ree measures for each pollutant</w:t>
      </w:r>
      <w:r w:rsidR="0050524B" w:rsidRPr="005060E0">
        <w:t xml:space="preserve"> </w:t>
      </w:r>
      <w:r w:rsidR="00CF538B" w:rsidRPr="005060E0">
        <w:t>–</w:t>
      </w:r>
      <w:r w:rsidR="0050524B" w:rsidRPr="005060E0">
        <w:t xml:space="preserve"> oxides of sulfur (SO</w:t>
      </w:r>
      <w:r w:rsidR="0050524B" w:rsidRPr="005060E0">
        <w:rPr>
          <w:vertAlign w:val="subscript"/>
        </w:rPr>
        <w:t>X</w:t>
      </w:r>
      <w:r w:rsidR="0050524B" w:rsidRPr="005060E0">
        <w:t>), oxides of nitrogen (NO</w:t>
      </w:r>
      <w:r w:rsidR="0050524B" w:rsidRPr="005060E0">
        <w:rPr>
          <w:vertAlign w:val="subscript"/>
        </w:rPr>
        <w:t>X</w:t>
      </w:r>
      <w:r w:rsidR="0050524B" w:rsidRPr="005060E0">
        <w:t>) and VOCs (as a precursor to O</w:t>
      </w:r>
      <w:r w:rsidR="0050524B" w:rsidRPr="005060E0">
        <w:rPr>
          <w:vertAlign w:val="subscript"/>
        </w:rPr>
        <w:t>3</w:t>
      </w:r>
      <w:r w:rsidR="0050524B" w:rsidRPr="005060E0">
        <w:t>)</w:t>
      </w:r>
      <w:r w:rsidR="00711A38" w:rsidRPr="005060E0">
        <w:t xml:space="preserve"> </w:t>
      </w:r>
      <w:r w:rsidR="0062453C" w:rsidRPr="005060E0">
        <w:t>–</w:t>
      </w:r>
      <w:r w:rsidR="00CD0B52" w:rsidRPr="005060E0">
        <w:t xml:space="preserve"> </w:t>
      </w:r>
      <w:r w:rsidR="002A23E1" w:rsidRPr="005060E0">
        <w:t xml:space="preserve">are summarised </w:t>
      </w:r>
      <w:r w:rsidR="00102CBE" w:rsidRPr="005060E0">
        <w:t xml:space="preserve">in </w:t>
      </w:r>
      <w:r w:rsidR="00102CBE" w:rsidRPr="005060E0">
        <w:fldChar w:fldCharType="begin"/>
      </w:r>
      <w:r w:rsidR="00102CBE" w:rsidRPr="005060E0">
        <w:instrText xml:space="preserve"> REF _Ref479079664 \h  \* MERGEFORMAT </w:instrText>
      </w:r>
      <w:r w:rsidR="00102CBE" w:rsidRPr="005060E0">
        <w:fldChar w:fldCharType="separate"/>
      </w:r>
      <w:r w:rsidR="00F2067C" w:rsidRPr="005060E0">
        <w:t xml:space="preserve">Table </w:t>
      </w:r>
      <w:r w:rsidR="00F2067C">
        <w:rPr>
          <w:noProof/>
        </w:rPr>
        <w:t>4</w:t>
      </w:r>
      <w:r w:rsidR="00F2067C" w:rsidRPr="005060E0">
        <w:rPr>
          <w:noProof/>
        </w:rPr>
        <w:noBreakHyphen/>
      </w:r>
      <w:r w:rsidR="00F2067C">
        <w:rPr>
          <w:noProof/>
        </w:rPr>
        <w:t>1</w:t>
      </w:r>
      <w:r w:rsidR="00102CBE" w:rsidRPr="005060E0">
        <w:fldChar w:fldCharType="end"/>
      </w:r>
      <w:r w:rsidR="002A23E1" w:rsidRPr="005060E0">
        <w:t>.</w:t>
      </w:r>
    </w:p>
    <w:p w14:paraId="0A2A7C72" w14:textId="77777777" w:rsidR="00F0433B" w:rsidRPr="005060E0" w:rsidRDefault="00F0433B" w:rsidP="00F0433B">
      <w:pPr>
        <w:spacing w:after="0"/>
      </w:pPr>
    </w:p>
    <w:p w14:paraId="365254DF" w14:textId="22AAC23B" w:rsidR="00102CBE" w:rsidRPr="005060E0" w:rsidRDefault="00102CBE" w:rsidP="00F0433B">
      <w:pPr>
        <w:pStyle w:val="PBTablecaption"/>
      </w:pPr>
      <w:bookmarkStart w:id="71" w:name="_Ref479079664"/>
      <w:bookmarkStart w:id="72" w:name="_Toc479201750"/>
      <w:bookmarkStart w:id="73" w:name="_Toc508305339"/>
      <w:r w:rsidRPr="005060E0">
        <w:t xml:space="preserve">Table </w:t>
      </w:r>
      <w:r w:rsidR="009863AA" w:rsidRPr="005060E0">
        <w:rPr>
          <w:noProof/>
        </w:rPr>
        <w:fldChar w:fldCharType="begin"/>
      </w:r>
      <w:r w:rsidR="009863AA" w:rsidRPr="005060E0">
        <w:rPr>
          <w:noProof/>
        </w:rPr>
        <w:instrText xml:space="preserve"> STYLEREF 1 \s </w:instrText>
      </w:r>
      <w:r w:rsidR="009863AA" w:rsidRPr="005060E0">
        <w:rPr>
          <w:noProof/>
        </w:rPr>
        <w:fldChar w:fldCharType="separate"/>
      </w:r>
      <w:r w:rsidR="00F2067C">
        <w:rPr>
          <w:noProof/>
        </w:rPr>
        <w:t>4</w:t>
      </w:r>
      <w:r w:rsidR="009863AA" w:rsidRPr="005060E0">
        <w:rPr>
          <w:noProof/>
        </w:rPr>
        <w:fldChar w:fldCharType="end"/>
      </w:r>
      <w:r w:rsidRPr="005060E0">
        <w:noBreakHyphen/>
      </w:r>
      <w:r w:rsidR="009863AA" w:rsidRPr="005060E0">
        <w:rPr>
          <w:noProof/>
        </w:rPr>
        <w:fldChar w:fldCharType="begin"/>
      </w:r>
      <w:r w:rsidR="009863AA" w:rsidRPr="005060E0">
        <w:rPr>
          <w:noProof/>
        </w:rPr>
        <w:instrText xml:space="preserve"> SEQ Table \* ARABIC \s 1 </w:instrText>
      </w:r>
      <w:r w:rsidR="009863AA" w:rsidRPr="005060E0">
        <w:rPr>
          <w:noProof/>
        </w:rPr>
        <w:fldChar w:fldCharType="separate"/>
      </w:r>
      <w:r w:rsidR="00F2067C">
        <w:rPr>
          <w:noProof/>
        </w:rPr>
        <w:t>1</w:t>
      </w:r>
      <w:r w:rsidR="009863AA" w:rsidRPr="005060E0">
        <w:rPr>
          <w:noProof/>
        </w:rPr>
        <w:fldChar w:fldCharType="end"/>
      </w:r>
      <w:bookmarkEnd w:id="71"/>
      <w:r w:rsidRPr="005060E0">
        <w:t xml:space="preserve">: Abatement measures selected for inclusion in </w:t>
      </w:r>
      <w:r w:rsidR="003147E2" w:rsidRPr="005060E0">
        <w:t>the Abatement P</w:t>
      </w:r>
      <w:r w:rsidRPr="005060E0">
        <w:t>ackage</w:t>
      </w:r>
      <w:bookmarkEnd w:id="72"/>
      <w:r w:rsidR="003147E2" w:rsidRPr="005060E0">
        <w:t xml:space="preserve"> scenario</w:t>
      </w:r>
      <w:r w:rsidR="00216D6A" w:rsidRPr="005060E0">
        <w:t xml:space="preserve"> (measure reference number in brackets)</w:t>
      </w:r>
      <w:bookmarkEnd w:id="73"/>
    </w:p>
    <w:tbl>
      <w:tblPr>
        <w:tblStyle w:val="ListTable3-Accent11"/>
        <w:tblW w:w="5000" w:type="pct"/>
        <w:tblInd w:w="-5" w:type="dxa"/>
        <w:tblBorders>
          <w:top w:val="single" w:sz="4" w:space="0" w:color="606075"/>
          <w:left w:val="single" w:sz="4" w:space="0" w:color="606075"/>
          <w:bottom w:val="single" w:sz="4" w:space="0" w:color="606075"/>
          <w:right w:val="single" w:sz="4" w:space="0" w:color="606075"/>
          <w:insideH w:val="single" w:sz="4" w:space="0" w:color="606075"/>
          <w:insideV w:val="single" w:sz="4" w:space="0" w:color="606075"/>
        </w:tblBorders>
        <w:tblLook w:val="04A0" w:firstRow="1" w:lastRow="0" w:firstColumn="1" w:lastColumn="0" w:noHBand="0" w:noVBand="1"/>
      </w:tblPr>
      <w:tblGrid>
        <w:gridCol w:w="3217"/>
        <w:gridCol w:w="3370"/>
        <w:gridCol w:w="3041"/>
      </w:tblGrid>
      <w:tr w:rsidR="005A7373" w:rsidRPr="005060E0" w14:paraId="7DCB1BF8" w14:textId="5E688CC3" w:rsidTr="00D35C2D">
        <w:trPr>
          <w:cnfStyle w:val="100000000000" w:firstRow="1" w:lastRow="0" w:firstColumn="0" w:lastColumn="0" w:oddVBand="0" w:evenVBand="0" w:oddHBand="0" w:evenHBand="0" w:firstRowFirstColumn="0" w:firstRowLastColumn="0" w:lastRowFirstColumn="0" w:lastRowLastColumn="0"/>
          <w:trHeight w:hRule="exact" w:val="397"/>
          <w:tblHeader/>
        </w:trPr>
        <w:tc>
          <w:tcPr>
            <w:cnfStyle w:val="001000000100" w:firstRow="0" w:lastRow="0" w:firstColumn="1" w:lastColumn="0" w:oddVBand="0" w:evenVBand="0" w:oddHBand="0" w:evenHBand="0" w:firstRowFirstColumn="1" w:firstRowLastColumn="0" w:lastRowFirstColumn="0" w:lastRowLastColumn="0"/>
            <w:tcW w:w="1671" w:type="pct"/>
            <w:tcBorders>
              <w:top w:val="single" w:sz="4" w:space="0" w:color="606372" w:themeColor="text2"/>
              <w:left w:val="single" w:sz="4" w:space="0" w:color="606372" w:themeColor="text2"/>
              <w:bottom w:val="none" w:sz="0" w:space="0" w:color="auto"/>
              <w:right w:val="none" w:sz="0" w:space="0" w:color="auto"/>
            </w:tcBorders>
            <w:shd w:val="clear" w:color="auto" w:fill="606075"/>
            <w:vAlign w:val="center"/>
          </w:tcPr>
          <w:p w14:paraId="71AB4820" w14:textId="1C623419" w:rsidR="005A7373" w:rsidRPr="005060E0" w:rsidRDefault="005A7373" w:rsidP="00216D6A">
            <w:pPr>
              <w:pStyle w:val="EYTableHeadingWhite"/>
              <w:jc w:val="center"/>
              <w:rPr>
                <w:rFonts w:asciiTheme="minorHAnsi" w:hAnsiTheme="minorHAnsi" w:cs="Arial"/>
                <w:b w:val="0"/>
                <w:color w:val="FFFFFF" w:themeColor="background1"/>
                <w:sz w:val="18"/>
                <w:szCs w:val="18"/>
                <w:lang w:val="en-AU"/>
              </w:rPr>
            </w:pPr>
            <w:r w:rsidRPr="005060E0">
              <w:rPr>
                <w:rFonts w:asciiTheme="minorHAnsi" w:hAnsiTheme="minorHAnsi" w:cs="Arial"/>
                <w:b w:val="0"/>
                <w:color w:val="FFFFFF" w:themeColor="background1"/>
                <w:sz w:val="18"/>
                <w:szCs w:val="18"/>
                <w:lang w:val="en-AU"/>
              </w:rPr>
              <w:t>SO</w:t>
            </w:r>
            <w:r w:rsidR="00216D6A" w:rsidRPr="005060E0">
              <w:rPr>
                <w:rFonts w:asciiTheme="minorHAnsi" w:hAnsiTheme="minorHAnsi" w:cs="Arial"/>
                <w:b w:val="0"/>
                <w:color w:val="FFFFFF" w:themeColor="background1"/>
                <w:sz w:val="18"/>
                <w:szCs w:val="18"/>
                <w:vertAlign w:val="subscript"/>
                <w:lang w:val="en-AU"/>
              </w:rPr>
              <w:t>X</w:t>
            </w:r>
          </w:p>
        </w:tc>
        <w:tc>
          <w:tcPr>
            <w:tcW w:w="1750" w:type="pct"/>
            <w:tcBorders>
              <w:top w:val="single" w:sz="4" w:space="0" w:color="606372" w:themeColor="text2"/>
            </w:tcBorders>
            <w:shd w:val="clear" w:color="auto" w:fill="606075"/>
            <w:vAlign w:val="center"/>
          </w:tcPr>
          <w:p w14:paraId="52FAE25E" w14:textId="26586F92" w:rsidR="005A7373" w:rsidRPr="005060E0" w:rsidRDefault="005A7373" w:rsidP="00216D6A">
            <w:pPr>
              <w:pStyle w:val="EYTableHeadingWhit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FFFFFF" w:themeColor="background1"/>
                <w:sz w:val="18"/>
                <w:szCs w:val="18"/>
                <w:lang w:val="en-AU"/>
              </w:rPr>
            </w:pPr>
            <w:r w:rsidRPr="005060E0">
              <w:rPr>
                <w:rFonts w:asciiTheme="minorHAnsi" w:hAnsiTheme="minorHAnsi" w:cs="Arial"/>
                <w:b w:val="0"/>
                <w:color w:val="FFFFFF" w:themeColor="background1"/>
                <w:sz w:val="18"/>
                <w:szCs w:val="18"/>
                <w:lang w:val="en-AU"/>
              </w:rPr>
              <w:t>NO</w:t>
            </w:r>
            <w:r w:rsidR="00216D6A" w:rsidRPr="005060E0">
              <w:rPr>
                <w:rFonts w:asciiTheme="minorHAnsi" w:hAnsiTheme="minorHAnsi" w:cs="Arial"/>
                <w:b w:val="0"/>
                <w:color w:val="FFFFFF" w:themeColor="background1"/>
                <w:sz w:val="18"/>
                <w:szCs w:val="18"/>
                <w:vertAlign w:val="subscript"/>
                <w:lang w:val="en-AU"/>
              </w:rPr>
              <w:t>X</w:t>
            </w:r>
          </w:p>
        </w:tc>
        <w:tc>
          <w:tcPr>
            <w:tcW w:w="1579" w:type="pct"/>
            <w:tcBorders>
              <w:top w:val="single" w:sz="4" w:space="0" w:color="606372" w:themeColor="text2"/>
              <w:right w:val="single" w:sz="4" w:space="0" w:color="606372" w:themeColor="text2"/>
            </w:tcBorders>
            <w:shd w:val="clear" w:color="auto" w:fill="606075"/>
            <w:vAlign w:val="center"/>
          </w:tcPr>
          <w:p w14:paraId="6BECFEDC" w14:textId="79610F09" w:rsidR="005A7373" w:rsidRPr="005060E0" w:rsidRDefault="005A7373" w:rsidP="00216D6A">
            <w:pPr>
              <w:pStyle w:val="EYTableHeadingWhit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FFFFFF" w:themeColor="background1"/>
                <w:sz w:val="18"/>
                <w:szCs w:val="18"/>
                <w:lang w:val="en-AU"/>
              </w:rPr>
            </w:pPr>
            <w:r w:rsidRPr="005060E0">
              <w:rPr>
                <w:rFonts w:asciiTheme="minorHAnsi" w:hAnsiTheme="minorHAnsi" w:cs="Arial"/>
                <w:b w:val="0"/>
                <w:color w:val="FFFFFF" w:themeColor="background1"/>
                <w:sz w:val="18"/>
                <w:szCs w:val="18"/>
                <w:lang w:val="en-AU"/>
              </w:rPr>
              <w:t>VOCs (O</w:t>
            </w:r>
            <w:r w:rsidRPr="005060E0">
              <w:rPr>
                <w:rFonts w:asciiTheme="minorHAnsi" w:hAnsiTheme="minorHAnsi" w:cs="Arial"/>
                <w:b w:val="0"/>
                <w:color w:val="FFFFFF" w:themeColor="background1"/>
                <w:sz w:val="18"/>
                <w:szCs w:val="18"/>
                <w:vertAlign w:val="subscript"/>
                <w:lang w:val="en-AU"/>
              </w:rPr>
              <w:t xml:space="preserve">3 </w:t>
            </w:r>
            <w:r w:rsidRPr="005060E0">
              <w:rPr>
                <w:rFonts w:asciiTheme="minorHAnsi" w:hAnsiTheme="minorHAnsi" w:cs="Arial"/>
                <w:b w:val="0"/>
                <w:color w:val="FFFFFF" w:themeColor="background1"/>
                <w:sz w:val="18"/>
                <w:szCs w:val="18"/>
                <w:lang w:val="en-AU"/>
              </w:rPr>
              <w:t>precursor)</w:t>
            </w:r>
          </w:p>
        </w:tc>
      </w:tr>
      <w:tr w:rsidR="005A7373" w:rsidRPr="005060E0" w14:paraId="348A749A" w14:textId="7DFA3EF2" w:rsidTr="009C7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pct"/>
            <w:tcBorders>
              <w:top w:val="nil"/>
              <w:left w:val="single" w:sz="4" w:space="0" w:color="606372" w:themeColor="text2"/>
              <w:bottom w:val="single" w:sz="4" w:space="0" w:color="606372" w:themeColor="text2"/>
              <w:right w:val="none" w:sz="0" w:space="0" w:color="auto"/>
            </w:tcBorders>
          </w:tcPr>
          <w:p w14:paraId="0D95DD77" w14:textId="0EDA580D" w:rsidR="005A7373" w:rsidRPr="005060E0" w:rsidRDefault="005A7373" w:rsidP="00D35C2D">
            <w:pPr>
              <w:pStyle w:val="ListBullet"/>
              <w:spacing w:before="120" w:line="240" w:lineRule="auto"/>
              <w:ind w:left="204" w:hanging="204"/>
              <w:rPr>
                <w:b w:val="0"/>
                <w:sz w:val="18"/>
                <w:szCs w:val="18"/>
              </w:rPr>
            </w:pPr>
            <w:r w:rsidRPr="005060E0">
              <w:rPr>
                <w:b w:val="0"/>
                <w:sz w:val="18"/>
                <w:szCs w:val="18"/>
              </w:rPr>
              <w:t>D</w:t>
            </w:r>
            <w:r w:rsidR="00775C5C" w:rsidRPr="005060E0">
              <w:rPr>
                <w:b w:val="0"/>
                <w:sz w:val="18"/>
                <w:szCs w:val="18"/>
              </w:rPr>
              <w:t>e-S</w:t>
            </w:r>
            <w:r w:rsidR="00216D6A" w:rsidRPr="005060E0">
              <w:rPr>
                <w:b w:val="0"/>
                <w:sz w:val="18"/>
                <w:szCs w:val="18"/>
              </w:rPr>
              <w:t>O</w:t>
            </w:r>
            <w:r w:rsidR="00216D6A" w:rsidRPr="005060E0">
              <w:rPr>
                <w:b w:val="0"/>
                <w:sz w:val="18"/>
                <w:szCs w:val="18"/>
                <w:vertAlign w:val="subscript"/>
              </w:rPr>
              <w:t>X</w:t>
            </w:r>
            <w:r w:rsidR="00216D6A" w:rsidRPr="005060E0">
              <w:rPr>
                <w:b w:val="0"/>
                <w:sz w:val="18"/>
                <w:szCs w:val="18"/>
              </w:rPr>
              <w:t>, de-NO</w:t>
            </w:r>
            <w:r w:rsidR="00216D6A" w:rsidRPr="005060E0">
              <w:rPr>
                <w:b w:val="0"/>
                <w:sz w:val="18"/>
                <w:szCs w:val="18"/>
                <w:vertAlign w:val="subscript"/>
              </w:rPr>
              <w:t>X</w:t>
            </w:r>
            <w:r w:rsidRPr="005060E0">
              <w:rPr>
                <w:b w:val="0"/>
                <w:sz w:val="18"/>
                <w:szCs w:val="18"/>
              </w:rPr>
              <w:t xml:space="preserve"> and gas capture storage standards for power stations</w:t>
            </w:r>
            <w:r w:rsidR="00216D6A" w:rsidRPr="005060E0">
              <w:rPr>
                <w:b w:val="0"/>
                <w:sz w:val="18"/>
                <w:szCs w:val="18"/>
              </w:rPr>
              <w:t xml:space="preserve"> (9)</w:t>
            </w:r>
            <w:r w:rsidR="00CD0B52" w:rsidRPr="005060E0">
              <w:rPr>
                <w:b w:val="0"/>
                <w:sz w:val="18"/>
                <w:szCs w:val="18"/>
                <w:vertAlign w:val="superscript"/>
              </w:rPr>
              <w:t>(a)</w:t>
            </w:r>
          </w:p>
          <w:p w14:paraId="495DC412" w14:textId="14E8FF5B" w:rsidR="005A7373" w:rsidRPr="005060E0" w:rsidRDefault="00216D6A" w:rsidP="00216D6A">
            <w:pPr>
              <w:pStyle w:val="ListBullet"/>
              <w:spacing w:line="240" w:lineRule="auto"/>
              <w:ind w:left="202" w:hanging="202"/>
              <w:rPr>
                <w:b w:val="0"/>
                <w:sz w:val="18"/>
                <w:szCs w:val="18"/>
              </w:rPr>
            </w:pPr>
            <w:r w:rsidRPr="005060E0">
              <w:rPr>
                <w:b w:val="0"/>
                <w:sz w:val="18"/>
                <w:szCs w:val="18"/>
              </w:rPr>
              <w:t>De-SO</w:t>
            </w:r>
            <w:r w:rsidRPr="005060E0">
              <w:rPr>
                <w:b w:val="0"/>
                <w:sz w:val="18"/>
                <w:szCs w:val="18"/>
                <w:vertAlign w:val="subscript"/>
              </w:rPr>
              <w:t>X</w:t>
            </w:r>
            <w:r w:rsidR="005A7373" w:rsidRPr="005060E0">
              <w:rPr>
                <w:b w:val="0"/>
                <w:sz w:val="18"/>
                <w:szCs w:val="18"/>
              </w:rPr>
              <w:t xml:space="preserve"> at petrol refineries</w:t>
            </w:r>
            <w:r w:rsidRPr="005060E0">
              <w:rPr>
                <w:b w:val="0"/>
                <w:sz w:val="18"/>
                <w:szCs w:val="18"/>
              </w:rPr>
              <w:t xml:space="preserve"> (14)</w:t>
            </w:r>
          </w:p>
          <w:p w14:paraId="2D37B5F7" w14:textId="0DA8E5E4" w:rsidR="005A7373" w:rsidRPr="005060E0" w:rsidRDefault="005A7373" w:rsidP="00216D6A">
            <w:pPr>
              <w:pStyle w:val="ListBullet"/>
              <w:spacing w:line="240" w:lineRule="auto"/>
              <w:ind w:left="202" w:hanging="202"/>
              <w:rPr>
                <w:color w:val="000000"/>
                <w:sz w:val="18"/>
                <w:szCs w:val="18"/>
              </w:rPr>
            </w:pPr>
            <w:r w:rsidRPr="005060E0">
              <w:rPr>
                <w:b w:val="0"/>
                <w:sz w:val="18"/>
                <w:szCs w:val="18"/>
              </w:rPr>
              <w:t>De-S</w:t>
            </w:r>
            <w:r w:rsidR="00216D6A" w:rsidRPr="005060E0">
              <w:rPr>
                <w:b w:val="0"/>
                <w:sz w:val="18"/>
                <w:szCs w:val="18"/>
              </w:rPr>
              <w:t>O</w:t>
            </w:r>
            <w:r w:rsidR="00216D6A" w:rsidRPr="005060E0">
              <w:rPr>
                <w:b w:val="0"/>
                <w:sz w:val="18"/>
                <w:szCs w:val="18"/>
                <w:vertAlign w:val="subscript"/>
              </w:rPr>
              <w:t>X</w:t>
            </w:r>
            <w:r w:rsidR="00216D6A" w:rsidRPr="005060E0">
              <w:rPr>
                <w:b w:val="0"/>
                <w:sz w:val="18"/>
                <w:szCs w:val="18"/>
              </w:rPr>
              <w:t xml:space="preserve"> at iron and steel production (15)</w:t>
            </w:r>
          </w:p>
        </w:tc>
        <w:tc>
          <w:tcPr>
            <w:tcW w:w="1750" w:type="pct"/>
            <w:tcBorders>
              <w:top w:val="nil"/>
              <w:bottom w:val="single" w:sz="4" w:space="0" w:color="606372" w:themeColor="text2"/>
            </w:tcBorders>
          </w:tcPr>
          <w:p w14:paraId="4D4C8CE3" w14:textId="317F2D48" w:rsidR="005A7373" w:rsidRPr="005060E0" w:rsidRDefault="005A7373" w:rsidP="00D35C2D">
            <w:pPr>
              <w:pStyle w:val="ListBullet"/>
              <w:spacing w:before="120" w:line="240" w:lineRule="auto"/>
              <w:ind w:left="204" w:hanging="204"/>
              <w:cnfStyle w:val="000000100000" w:firstRow="0" w:lastRow="0" w:firstColumn="0" w:lastColumn="0" w:oddVBand="0" w:evenVBand="0" w:oddHBand="1" w:evenHBand="0" w:firstRowFirstColumn="0" w:firstRowLastColumn="0" w:lastRowFirstColumn="0" w:lastRowLastColumn="0"/>
              <w:rPr>
                <w:sz w:val="18"/>
                <w:szCs w:val="18"/>
              </w:rPr>
            </w:pPr>
            <w:r w:rsidRPr="005060E0">
              <w:rPr>
                <w:sz w:val="18"/>
                <w:szCs w:val="18"/>
              </w:rPr>
              <w:t>D</w:t>
            </w:r>
            <w:r w:rsidR="00216D6A" w:rsidRPr="005060E0">
              <w:rPr>
                <w:sz w:val="18"/>
                <w:szCs w:val="18"/>
              </w:rPr>
              <w:t>e-SO</w:t>
            </w:r>
            <w:r w:rsidR="00216D6A" w:rsidRPr="005060E0">
              <w:rPr>
                <w:sz w:val="18"/>
                <w:szCs w:val="18"/>
                <w:vertAlign w:val="subscript"/>
              </w:rPr>
              <w:t>X</w:t>
            </w:r>
            <w:r w:rsidR="00216D6A" w:rsidRPr="005060E0">
              <w:rPr>
                <w:sz w:val="18"/>
                <w:szCs w:val="18"/>
              </w:rPr>
              <w:t xml:space="preserve">, </w:t>
            </w:r>
            <w:r w:rsidR="00775C5C" w:rsidRPr="005060E0">
              <w:rPr>
                <w:sz w:val="18"/>
                <w:szCs w:val="18"/>
              </w:rPr>
              <w:t>de-</w:t>
            </w:r>
            <w:r w:rsidR="00216D6A" w:rsidRPr="005060E0">
              <w:rPr>
                <w:sz w:val="18"/>
                <w:szCs w:val="18"/>
              </w:rPr>
              <w:t>NO</w:t>
            </w:r>
            <w:r w:rsidR="00216D6A" w:rsidRPr="005060E0">
              <w:rPr>
                <w:sz w:val="18"/>
                <w:szCs w:val="18"/>
                <w:vertAlign w:val="subscript"/>
              </w:rPr>
              <w:t>X</w:t>
            </w:r>
            <w:r w:rsidRPr="005060E0">
              <w:rPr>
                <w:sz w:val="18"/>
                <w:szCs w:val="18"/>
              </w:rPr>
              <w:t xml:space="preserve"> and gas capture storage standards for power stations</w:t>
            </w:r>
            <w:r w:rsidR="00216D6A" w:rsidRPr="005060E0">
              <w:rPr>
                <w:sz w:val="18"/>
                <w:szCs w:val="18"/>
              </w:rPr>
              <w:t xml:space="preserve"> (9)</w:t>
            </w:r>
            <w:r w:rsidR="00CD0B52" w:rsidRPr="005060E0">
              <w:rPr>
                <w:sz w:val="18"/>
                <w:szCs w:val="18"/>
                <w:vertAlign w:val="superscript"/>
              </w:rPr>
              <w:t>(a)</w:t>
            </w:r>
          </w:p>
          <w:p w14:paraId="0CC5B73C" w14:textId="58338D74" w:rsidR="005A7373" w:rsidRPr="005060E0" w:rsidRDefault="00775C5C" w:rsidP="00216D6A">
            <w:pPr>
              <w:pStyle w:val="ListBullet"/>
              <w:spacing w:line="240" w:lineRule="auto"/>
              <w:ind w:left="270" w:hanging="270"/>
              <w:cnfStyle w:val="000000100000" w:firstRow="0" w:lastRow="0" w:firstColumn="0" w:lastColumn="0" w:oddVBand="0" w:evenVBand="0" w:oddHBand="1" w:evenHBand="0" w:firstRowFirstColumn="0" w:firstRowLastColumn="0" w:lastRowFirstColumn="0" w:lastRowLastColumn="0"/>
              <w:rPr>
                <w:sz w:val="18"/>
                <w:szCs w:val="18"/>
              </w:rPr>
            </w:pPr>
            <w:r w:rsidRPr="005060E0">
              <w:rPr>
                <w:sz w:val="18"/>
                <w:szCs w:val="18"/>
              </w:rPr>
              <w:t>Emission standards for n</w:t>
            </w:r>
            <w:r w:rsidR="005A7373" w:rsidRPr="005060E0">
              <w:rPr>
                <w:sz w:val="18"/>
                <w:szCs w:val="18"/>
              </w:rPr>
              <w:t>on-road diesel engines</w:t>
            </w:r>
            <w:r w:rsidRPr="005060E0">
              <w:rPr>
                <w:sz w:val="18"/>
                <w:szCs w:val="18"/>
              </w:rPr>
              <w:t xml:space="preserve"> (6)</w:t>
            </w:r>
          </w:p>
          <w:p w14:paraId="18133950" w14:textId="45954C87" w:rsidR="005A7373" w:rsidRPr="005060E0" w:rsidRDefault="00216D6A" w:rsidP="00216D6A">
            <w:pPr>
              <w:pStyle w:val="ListBullet"/>
              <w:spacing w:line="240" w:lineRule="auto"/>
              <w:ind w:left="270" w:hanging="270"/>
              <w:cnfStyle w:val="000000100000" w:firstRow="0" w:lastRow="0" w:firstColumn="0" w:lastColumn="0" w:oddVBand="0" w:evenVBand="0" w:oddHBand="1" w:evenHBand="0" w:firstRowFirstColumn="0" w:firstRowLastColumn="0" w:lastRowFirstColumn="0" w:lastRowLastColumn="0"/>
              <w:rPr>
                <w:color w:val="000000"/>
                <w:sz w:val="18"/>
                <w:szCs w:val="18"/>
              </w:rPr>
            </w:pPr>
            <w:r w:rsidRPr="005060E0">
              <w:rPr>
                <w:sz w:val="18"/>
                <w:szCs w:val="18"/>
              </w:rPr>
              <w:t>Industry NO</w:t>
            </w:r>
            <w:r w:rsidRPr="005060E0">
              <w:rPr>
                <w:sz w:val="18"/>
                <w:szCs w:val="18"/>
                <w:vertAlign w:val="subscript"/>
              </w:rPr>
              <w:t>X</w:t>
            </w:r>
            <w:r w:rsidR="005A7373" w:rsidRPr="005060E0">
              <w:rPr>
                <w:sz w:val="18"/>
                <w:szCs w:val="18"/>
              </w:rPr>
              <w:t xml:space="preserve"> control technology – cement, iron and steel and aluminium industry</w:t>
            </w:r>
            <w:r w:rsidRPr="005060E0">
              <w:rPr>
                <w:sz w:val="18"/>
                <w:szCs w:val="18"/>
              </w:rPr>
              <w:t xml:space="preserve"> (13)</w:t>
            </w:r>
          </w:p>
        </w:tc>
        <w:tc>
          <w:tcPr>
            <w:tcW w:w="1579" w:type="pct"/>
            <w:tcBorders>
              <w:top w:val="nil"/>
              <w:bottom w:val="single" w:sz="4" w:space="0" w:color="606372" w:themeColor="text2"/>
              <w:right w:val="single" w:sz="4" w:space="0" w:color="606372" w:themeColor="text2"/>
            </w:tcBorders>
          </w:tcPr>
          <w:p w14:paraId="5415B6A5" w14:textId="77461726" w:rsidR="005A7373" w:rsidRPr="005060E0" w:rsidRDefault="005A7373" w:rsidP="00D35C2D">
            <w:pPr>
              <w:pStyle w:val="ListBullet"/>
              <w:spacing w:before="120" w:line="240" w:lineRule="auto"/>
              <w:ind w:left="204" w:hanging="204"/>
              <w:cnfStyle w:val="000000100000" w:firstRow="0" w:lastRow="0" w:firstColumn="0" w:lastColumn="0" w:oddVBand="0" w:evenVBand="0" w:oddHBand="1" w:evenHBand="0" w:firstRowFirstColumn="0" w:firstRowLastColumn="0" w:lastRowFirstColumn="0" w:lastRowLastColumn="0"/>
              <w:rPr>
                <w:b/>
                <w:sz w:val="18"/>
                <w:szCs w:val="18"/>
              </w:rPr>
            </w:pPr>
            <w:r w:rsidRPr="005060E0">
              <w:rPr>
                <w:sz w:val="18"/>
                <w:szCs w:val="18"/>
              </w:rPr>
              <w:t>VOC control for solvent aerosol use</w:t>
            </w:r>
            <w:r w:rsidR="00216D6A" w:rsidRPr="005060E0">
              <w:rPr>
                <w:sz w:val="18"/>
                <w:szCs w:val="18"/>
              </w:rPr>
              <w:t xml:space="preserve"> (16)</w:t>
            </w:r>
          </w:p>
          <w:p w14:paraId="600CBD65" w14:textId="1ACB5D90" w:rsidR="005A7373" w:rsidRPr="005060E0" w:rsidRDefault="005A7373" w:rsidP="00216D6A">
            <w:pPr>
              <w:pStyle w:val="ListBullet"/>
              <w:spacing w:line="240" w:lineRule="auto"/>
              <w:ind w:left="226" w:hanging="226"/>
              <w:cnfStyle w:val="000000100000" w:firstRow="0" w:lastRow="0" w:firstColumn="0" w:lastColumn="0" w:oddVBand="0" w:evenVBand="0" w:oddHBand="1" w:evenHBand="0" w:firstRowFirstColumn="0" w:firstRowLastColumn="0" w:lastRowFirstColumn="0" w:lastRowLastColumn="0"/>
              <w:rPr>
                <w:b/>
                <w:sz w:val="18"/>
                <w:szCs w:val="18"/>
              </w:rPr>
            </w:pPr>
            <w:r w:rsidRPr="005060E0">
              <w:rPr>
                <w:sz w:val="18"/>
                <w:szCs w:val="18"/>
              </w:rPr>
              <w:t>Surface coating standards</w:t>
            </w:r>
            <w:r w:rsidR="00216D6A" w:rsidRPr="005060E0">
              <w:rPr>
                <w:sz w:val="18"/>
                <w:szCs w:val="18"/>
              </w:rPr>
              <w:t xml:space="preserve"> (10)</w:t>
            </w:r>
          </w:p>
          <w:p w14:paraId="044DC207" w14:textId="3C982849" w:rsidR="005A7373" w:rsidRPr="005060E0" w:rsidRDefault="005A7373" w:rsidP="00216D6A">
            <w:pPr>
              <w:pStyle w:val="ListBullet"/>
              <w:spacing w:line="240" w:lineRule="auto"/>
              <w:ind w:left="226" w:hanging="226"/>
              <w:cnfStyle w:val="000000100000" w:firstRow="0" w:lastRow="0" w:firstColumn="0" w:lastColumn="0" w:oddVBand="0" w:evenVBand="0" w:oddHBand="1" w:evenHBand="0" w:firstRowFirstColumn="0" w:firstRowLastColumn="0" w:lastRowFirstColumn="0" w:lastRowLastColumn="0"/>
              <w:rPr>
                <w:sz w:val="18"/>
                <w:szCs w:val="18"/>
              </w:rPr>
            </w:pPr>
            <w:r w:rsidRPr="005060E0">
              <w:rPr>
                <w:sz w:val="18"/>
                <w:szCs w:val="18"/>
              </w:rPr>
              <w:t>On-board refuelling vapour recovery</w:t>
            </w:r>
            <w:r w:rsidR="00775C5C" w:rsidRPr="005060E0">
              <w:rPr>
                <w:sz w:val="18"/>
                <w:szCs w:val="18"/>
              </w:rPr>
              <w:t xml:space="preserve"> (1)</w:t>
            </w:r>
          </w:p>
        </w:tc>
      </w:tr>
    </w:tbl>
    <w:p w14:paraId="4CB44C40" w14:textId="3DD5356A" w:rsidR="00102CBE" w:rsidRPr="005060E0" w:rsidRDefault="009C7C52" w:rsidP="008452A2">
      <w:pPr>
        <w:pStyle w:val="ListParagraph"/>
        <w:numPr>
          <w:ilvl w:val="2"/>
          <w:numId w:val="33"/>
        </w:numPr>
        <w:spacing w:after="0"/>
        <w:ind w:left="426" w:hanging="284"/>
        <w:rPr>
          <w:sz w:val="16"/>
          <w:szCs w:val="16"/>
        </w:rPr>
      </w:pPr>
      <w:r w:rsidRPr="005060E0">
        <w:rPr>
          <w:sz w:val="16"/>
          <w:szCs w:val="16"/>
        </w:rPr>
        <w:t>T</w:t>
      </w:r>
      <w:r w:rsidR="00CD0B52" w:rsidRPr="005060E0">
        <w:rPr>
          <w:sz w:val="16"/>
          <w:szCs w:val="16"/>
        </w:rPr>
        <w:t xml:space="preserve">his measure </w:t>
      </w:r>
      <w:r w:rsidR="00102CBE" w:rsidRPr="005060E0">
        <w:rPr>
          <w:sz w:val="16"/>
          <w:szCs w:val="16"/>
        </w:rPr>
        <w:t xml:space="preserve">targeted </w:t>
      </w:r>
      <w:r w:rsidRPr="005060E0">
        <w:rPr>
          <w:sz w:val="16"/>
          <w:szCs w:val="16"/>
        </w:rPr>
        <w:t>both SO</w:t>
      </w:r>
      <w:r w:rsidRPr="005060E0">
        <w:rPr>
          <w:sz w:val="16"/>
          <w:szCs w:val="16"/>
          <w:vertAlign w:val="subscript"/>
        </w:rPr>
        <w:t>X</w:t>
      </w:r>
      <w:r w:rsidRPr="005060E0">
        <w:rPr>
          <w:sz w:val="16"/>
          <w:szCs w:val="16"/>
        </w:rPr>
        <w:t xml:space="preserve"> and NO</w:t>
      </w:r>
      <w:r w:rsidRPr="005060E0">
        <w:rPr>
          <w:sz w:val="16"/>
          <w:szCs w:val="16"/>
          <w:vertAlign w:val="subscript"/>
        </w:rPr>
        <w:t>X</w:t>
      </w:r>
      <w:r w:rsidR="00102CBE" w:rsidRPr="005060E0">
        <w:rPr>
          <w:sz w:val="16"/>
          <w:szCs w:val="16"/>
        </w:rPr>
        <w:t>.</w:t>
      </w:r>
    </w:p>
    <w:p w14:paraId="3C242FE8" w14:textId="410062AE" w:rsidR="00AB3A41" w:rsidRPr="005060E0" w:rsidRDefault="000D5F36" w:rsidP="00F51ED1">
      <w:pPr>
        <w:pStyle w:val="Heading3"/>
        <w:spacing w:after="200"/>
      </w:pPr>
      <w:r w:rsidRPr="005060E0">
        <w:t>Emission</w:t>
      </w:r>
      <w:r w:rsidR="00AB3A41" w:rsidRPr="005060E0">
        <w:t xml:space="preserve"> projections</w:t>
      </w:r>
    </w:p>
    <w:p w14:paraId="6C49D2E3" w14:textId="4F707FBF" w:rsidR="00BA6488" w:rsidRPr="005060E0" w:rsidRDefault="005128BC" w:rsidP="00F51ED1">
      <w:pPr>
        <w:pStyle w:val="Heading4"/>
        <w:spacing w:before="240" w:after="200"/>
      </w:pPr>
      <w:r w:rsidRPr="005060E0">
        <w:t>Business-as-Usual</w:t>
      </w:r>
      <w:r w:rsidR="00BA6488" w:rsidRPr="005060E0">
        <w:t xml:space="preserve"> scenario</w:t>
      </w:r>
    </w:p>
    <w:p w14:paraId="5992D282" w14:textId="58F74C44" w:rsidR="00F03936" w:rsidRPr="005060E0" w:rsidRDefault="00F03936" w:rsidP="00F03936">
      <w:pPr>
        <w:rPr>
          <w:rFonts w:cstheme="minorHAnsi"/>
        </w:rPr>
      </w:pPr>
      <w:r w:rsidRPr="005060E0">
        <w:rPr>
          <w:rFonts w:cstheme="minorHAnsi"/>
        </w:rPr>
        <w:t xml:space="preserve">Airshed emissions and air quality </w:t>
      </w:r>
      <w:r w:rsidR="00575B69" w:rsidRPr="005060E0">
        <w:rPr>
          <w:rFonts w:cstheme="minorHAnsi"/>
        </w:rPr>
        <w:t xml:space="preserve">under </w:t>
      </w:r>
      <w:r w:rsidRPr="005060E0">
        <w:rPr>
          <w:rFonts w:cstheme="minorHAnsi"/>
        </w:rPr>
        <w:t xml:space="preserve">the BAU </w:t>
      </w:r>
      <w:r w:rsidR="00356928" w:rsidRPr="005060E0">
        <w:rPr>
          <w:rFonts w:cstheme="minorHAnsi"/>
        </w:rPr>
        <w:t xml:space="preserve">scenario </w:t>
      </w:r>
      <w:r w:rsidRPr="005060E0">
        <w:rPr>
          <w:rFonts w:cstheme="minorHAnsi"/>
        </w:rPr>
        <w:t>were projected into the future. This enabled the calculation of attributable health risks and the costs and benefits of potential changes to the standards and the effects of the Abatement Package scenario.</w:t>
      </w:r>
    </w:p>
    <w:p w14:paraId="415F117E" w14:textId="4A51B936" w:rsidR="00B33E34" w:rsidRPr="005060E0" w:rsidRDefault="00BA6488" w:rsidP="00B33E34">
      <w:r w:rsidRPr="005060E0">
        <w:rPr>
          <w:rFonts w:cstheme="minorHAnsi"/>
        </w:rPr>
        <w:t>The projections also enabled an assessment of the achievability of the potential standards in the future.</w:t>
      </w:r>
      <w:r w:rsidRPr="005060E0">
        <w:t xml:space="preserve"> Emissions were projected over the period 2015 to 2040 for all airsheds, taking into account t</w:t>
      </w:r>
      <w:r w:rsidR="00946589" w:rsidRPr="005060E0">
        <w:t>he likely effects of changes in population and activity on</w:t>
      </w:r>
      <w:r w:rsidRPr="005060E0">
        <w:t xml:space="preserve"> the major emission sources in each airshed. </w:t>
      </w:r>
      <w:r w:rsidR="00B33E34" w:rsidRPr="005060E0">
        <w:t>The assumptions used to define the emission projections in the BAU scenario are described in Appendix A.</w:t>
      </w:r>
    </w:p>
    <w:p w14:paraId="103EAF7E" w14:textId="4D41984E" w:rsidR="00B33E34" w:rsidRPr="005060E0" w:rsidRDefault="00BA6488" w:rsidP="00B33E34">
      <w:r w:rsidRPr="005060E0">
        <w:rPr>
          <w:szCs w:val="20"/>
        </w:rPr>
        <w:t xml:space="preserve">Detailed emission inventories were available for </w:t>
      </w:r>
      <w:r w:rsidRPr="005060E0">
        <w:rPr>
          <w:rFonts w:cstheme="minorHAnsi"/>
          <w:szCs w:val="20"/>
        </w:rPr>
        <w:t xml:space="preserve">airsheds in NSW (Sydney, Newcastle and Wollongong) and Victoria (Melbourne and Latrobe Valley). </w:t>
      </w:r>
      <w:r w:rsidRPr="005060E0">
        <w:rPr>
          <w:rFonts w:cstheme="minorHAnsi"/>
          <w:iCs/>
          <w:szCs w:val="20"/>
        </w:rPr>
        <w:t xml:space="preserve">For these airsheds the emission inventories were provided by NSW EPA and EPA Victoria. </w:t>
      </w:r>
      <w:r w:rsidRPr="005060E0">
        <w:t>Where current emission inventory projections were available for the other jurisdictions, these were referenced, otherwise emission data were taken from the National Pollutant Inventory (NPI)</w:t>
      </w:r>
      <w:r w:rsidR="004B0E58" w:rsidRPr="005060E0">
        <w:t xml:space="preserve"> – noting that NPI data is based on estimates</w:t>
      </w:r>
      <w:r w:rsidRPr="005060E0">
        <w:t xml:space="preserve">. </w:t>
      </w:r>
      <w:r w:rsidR="00B33E34" w:rsidRPr="005060E0">
        <w:rPr>
          <w:rFonts w:cs="Arial"/>
        </w:rPr>
        <w:t>The projections took into account the likely changes in major emission sources within each airshed.</w:t>
      </w:r>
      <w:r w:rsidR="00B33E34" w:rsidRPr="005060E0">
        <w:t xml:space="preserve"> </w:t>
      </w:r>
      <w:r w:rsidR="00B33E34" w:rsidRPr="005060E0">
        <w:rPr>
          <w:szCs w:val="20"/>
        </w:rPr>
        <w:t xml:space="preserve">The detailed, spatially defined emission inventories provided by NSW EPA and EPA Victoria were used to define the emission inputs for all sources in the respective airsheds to allow the </w:t>
      </w:r>
      <w:r w:rsidR="00B33E34" w:rsidRPr="005060E0">
        <w:rPr>
          <w:rFonts w:cs="Arial"/>
        </w:rPr>
        <w:t xml:space="preserve">calculation of photochemistry and subsequent pollutant concentrations. </w:t>
      </w:r>
    </w:p>
    <w:p w14:paraId="30C3DD72" w14:textId="2235A3B2" w:rsidR="0072560D" w:rsidRPr="005060E0" w:rsidRDefault="0072560D" w:rsidP="0072560D">
      <w:pPr>
        <w:rPr>
          <w:rFonts w:cs="Arial"/>
        </w:rPr>
      </w:pPr>
      <w:r w:rsidRPr="005060E0">
        <w:rPr>
          <w:rFonts w:cs="Arial"/>
        </w:rPr>
        <w:t>The most recent official emission inventory for the NSW GMR was compiled for a 2008 base year</w:t>
      </w:r>
      <w:r w:rsidR="00575B69" w:rsidRPr="005060E0">
        <w:rPr>
          <w:rFonts w:cs="Arial"/>
        </w:rPr>
        <w:t xml:space="preserve"> </w:t>
      </w:r>
      <w:r w:rsidRPr="005060E0">
        <w:rPr>
          <w:rFonts w:cs="Arial"/>
        </w:rPr>
        <w:t xml:space="preserve">(NSW EPA 2012), and the inventory data were supplied </w:t>
      </w:r>
      <w:r w:rsidR="005F44A6" w:rsidRPr="005060E0">
        <w:rPr>
          <w:rFonts w:cs="Arial"/>
        </w:rPr>
        <w:t xml:space="preserve">by </w:t>
      </w:r>
      <w:r w:rsidR="00575B69" w:rsidRPr="005060E0">
        <w:rPr>
          <w:rFonts w:cs="Arial"/>
        </w:rPr>
        <w:t xml:space="preserve">the </w:t>
      </w:r>
      <w:r w:rsidR="005F44A6" w:rsidRPr="005060E0">
        <w:rPr>
          <w:rFonts w:cs="Arial"/>
        </w:rPr>
        <w:t xml:space="preserve">NSW </w:t>
      </w:r>
      <w:r w:rsidR="00575B69" w:rsidRPr="005060E0">
        <w:rPr>
          <w:rFonts w:cs="Arial"/>
        </w:rPr>
        <w:t xml:space="preserve">Office of Environment and Heritage </w:t>
      </w:r>
      <w:r w:rsidR="005F44A6" w:rsidRPr="005060E0">
        <w:rPr>
          <w:rFonts w:cs="Arial"/>
        </w:rPr>
        <w:t xml:space="preserve">for this </w:t>
      </w:r>
      <w:r w:rsidR="00DF05A9" w:rsidRPr="005060E0">
        <w:rPr>
          <w:rFonts w:cs="Arial"/>
        </w:rPr>
        <w:t>Impact Statement</w:t>
      </w:r>
      <w:r w:rsidRPr="005060E0">
        <w:rPr>
          <w:rFonts w:cs="Arial"/>
        </w:rPr>
        <w:t>. The inventory contained projections for the years 2011, 2016, 2021, 2026, 2031 and 2036.</w:t>
      </w:r>
    </w:p>
    <w:p w14:paraId="65133688" w14:textId="24F1A5A0" w:rsidR="0072560D" w:rsidRPr="005060E0" w:rsidRDefault="0072560D" w:rsidP="0072560D">
      <w:pPr>
        <w:rPr>
          <w:rFonts w:cs="Arial"/>
        </w:rPr>
      </w:pPr>
      <w:r w:rsidRPr="005060E0">
        <w:rPr>
          <w:rFonts w:cs="Arial"/>
        </w:rPr>
        <w:t xml:space="preserve">Victoria’s most recent official emission inventory was completed in 2006 (Delaney </w:t>
      </w:r>
      <w:r w:rsidR="00B83C20" w:rsidRPr="005060E0">
        <w:rPr>
          <w:rFonts w:cs="Arial"/>
        </w:rPr>
        <w:t>&amp;</w:t>
      </w:r>
      <w:r w:rsidRPr="005060E0">
        <w:rPr>
          <w:rFonts w:cs="Arial"/>
        </w:rPr>
        <w:t xml:space="preserve"> Marshall 2011). This inventory was used in the Future</w:t>
      </w:r>
      <w:r w:rsidR="00DE3D54" w:rsidRPr="005060E0">
        <w:rPr>
          <w:rFonts w:cs="Arial"/>
        </w:rPr>
        <w:t xml:space="preserve"> Air Quality</w:t>
      </w:r>
      <w:r w:rsidRPr="005060E0">
        <w:rPr>
          <w:rFonts w:cs="Arial"/>
        </w:rPr>
        <w:t xml:space="preserve"> in Victoria</w:t>
      </w:r>
      <w:r w:rsidR="00DE3D54" w:rsidRPr="005060E0">
        <w:rPr>
          <w:rFonts w:cs="Arial"/>
        </w:rPr>
        <w:t xml:space="preserve"> study</w:t>
      </w:r>
      <w:r w:rsidRPr="005060E0">
        <w:rPr>
          <w:rFonts w:cs="Arial"/>
        </w:rPr>
        <w:t xml:space="preserve"> to understand the potential air quality issues in the future and proposed methods to reduce air pollution (EPA Victoria 2013). The inventory contained emission estimates for the year 2006 and 2030. A linear interpolation was assumed for years between 2006 and 2030, and then extrapolated for years after 2030 using population data.</w:t>
      </w:r>
    </w:p>
    <w:p w14:paraId="61D301ED" w14:textId="06623CA7" w:rsidR="00DE3D54" w:rsidRPr="005060E0" w:rsidRDefault="00DE3D54" w:rsidP="0072560D">
      <w:pPr>
        <w:rPr>
          <w:rFonts w:cs="Arial"/>
        </w:rPr>
      </w:pPr>
      <w:r w:rsidRPr="005060E0">
        <w:rPr>
          <w:rFonts w:cs="Arial"/>
        </w:rPr>
        <w:t>The BAU emission inventories for the other jurisdictions were based on the published data sources outlined in Appendix A.</w:t>
      </w:r>
    </w:p>
    <w:p w14:paraId="36FE0DC9" w14:textId="6E033565" w:rsidR="00BA6488" w:rsidRPr="005060E0" w:rsidRDefault="00BA6488" w:rsidP="00F51ED1">
      <w:pPr>
        <w:pStyle w:val="Heading4"/>
        <w:spacing w:before="240" w:after="200"/>
      </w:pPr>
      <w:r w:rsidRPr="005060E0">
        <w:t xml:space="preserve">Abatement Package scenario </w:t>
      </w:r>
    </w:p>
    <w:p w14:paraId="24AB0129" w14:textId="7ED5B914" w:rsidR="00102CBE" w:rsidRPr="005060E0" w:rsidRDefault="00102CBE" w:rsidP="00102CBE">
      <w:r w:rsidRPr="005060E0">
        <w:t xml:space="preserve">The </w:t>
      </w:r>
      <w:r w:rsidR="00235EAB" w:rsidRPr="005060E0">
        <w:t xml:space="preserve">additional </w:t>
      </w:r>
      <w:r w:rsidRPr="005060E0">
        <w:t>abatement measures ide</w:t>
      </w:r>
      <w:r w:rsidR="00235EAB" w:rsidRPr="005060E0">
        <w:t xml:space="preserve">ntified through the MCA </w:t>
      </w:r>
      <w:r w:rsidRPr="005060E0">
        <w:t xml:space="preserve">were included in the air dispersion modelling for </w:t>
      </w:r>
      <w:r w:rsidR="00C274EC" w:rsidRPr="005060E0">
        <w:t>NSW (Sydney, Newcastle and Wollongong) and Victoria (Melbourne, Latrobe Valley)</w:t>
      </w:r>
      <w:r w:rsidRPr="005060E0">
        <w:t xml:space="preserve"> to predict the future air pollution levels if the abatements were implemented. </w:t>
      </w:r>
      <w:r w:rsidR="00235EAB" w:rsidRPr="005060E0">
        <w:t>It was assumed that the measures</w:t>
      </w:r>
      <w:r w:rsidRPr="005060E0">
        <w:t xml:space="preserve"> would be implemented from 2020,</w:t>
      </w:r>
      <w:r w:rsidR="00235EAB" w:rsidRPr="005060E0">
        <w:t xml:space="preserve"> with gradual uptake until</w:t>
      </w:r>
      <w:r w:rsidRPr="005060E0">
        <w:t xml:space="preserve"> 2040. This ti</w:t>
      </w:r>
      <w:r w:rsidR="00FA1506" w:rsidRPr="005060E0">
        <w:t xml:space="preserve">ming allowed for the </w:t>
      </w:r>
      <w:r w:rsidRPr="005060E0">
        <w:t>reg</w:t>
      </w:r>
      <w:r w:rsidR="00FA1506" w:rsidRPr="005060E0">
        <w:t xml:space="preserve">ulatory or enabling mechanisms, and/or </w:t>
      </w:r>
      <w:r w:rsidRPr="005060E0">
        <w:t>desi</w:t>
      </w:r>
      <w:r w:rsidR="00FA1506" w:rsidRPr="005060E0">
        <w:t xml:space="preserve">gn and approval processes that would be required for any </w:t>
      </w:r>
      <w:r w:rsidRPr="005060E0">
        <w:t>infras</w:t>
      </w:r>
      <w:r w:rsidR="00FA1506" w:rsidRPr="005060E0">
        <w:t>tructure changes</w:t>
      </w:r>
      <w:r w:rsidRPr="005060E0">
        <w:t>.</w:t>
      </w:r>
    </w:p>
    <w:p w14:paraId="39846F7D" w14:textId="3879AB2C" w:rsidR="00B234E7" w:rsidRPr="005060E0" w:rsidRDefault="00102CBE" w:rsidP="00102CBE">
      <w:r w:rsidRPr="005060E0">
        <w:t xml:space="preserve">The emission reductions </w:t>
      </w:r>
      <w:r w:rsidR="00235EAB" w:rsidRPr="005060E0">
        <w:t>associated with the A</w:t>
      </w:r>
      <w:r w:rsidR="00255903" w:rsidRPr="005060E0">
        <w:t>batement</w:t>
      </w:r>
      <w:r w:rsidR="00235EAB" w:rsidRPr="005060E0">
        <w:t xml:space="preserve"> Package </w:t>
      </w:r>
      <w:r w:rsidRPr="005060E0">
        <w:t>were estimated using a high-</w:t>
      </w:r>
      <w:r w:rsidR="00B75229" w:rsidRPr="005060E0">
        <w:t>level review approach. The</w:t>
      </w:r>
      <w:r w:rsidRPr="005060E0">
        <w:t xml:space="preserve"> reduction</w:t>
      </w:r>
      <w:r w:rsidR="00B75229" w:rsidRPr="005060E0">
        <w:t xml:space="preserve">s were indicative, and the measures </w:t>
      </w:r>
      <w:r w:rsidRPr="005060E0">
        <w:t>were not verified with specific industries to determine</w:t>
      </w:r>
      <w:r w:rsidR="00B75229" w:rsidRPr="005060E0">
        <w:t xml:space="preserve"> the feasibility of implementation, site-</w:t>
      </w:r>
      <w:r w:rsidRPr="005060E0">
        <w:t>specific cost considerations, and the extent to which industry may have already p</w:t>
      </w:r>
      <w:r w:rsidR="00B75229" w:rsidRPr="005060E0">
        <w:t>artially implemented them</w:t>
      </w:r>
      <w:r w:rsidRPr="005060E0">
        <w:t>. Similarly, the emission</w:t>
      </w:r>
      <w:r w:rsidR="00B75229" w:rsidRPr="005060E0">
        <w:t xml:space="preserve"> reductions </w:t>
      </w:r>
      <w:r w:rsidRPr="005060E0">
        <w:t xml:space="preserve">did not take into account any jurisdiction-specific management or enforcement tools that may be available. Jurisdictions may have suitable mechanisms in place to influence the </w:t>
      </w:r>
      <w:r w:rsidR="00B75229" w:rsidRPr="005060E0">
        <w:t xml:space="preserve">implementation of the measures, and to </w:t>
      </w:r>
      <w:r w:rsidRPr="005060E0">
        <w:t xml:space="preserve">expedite the delivery of </w:t>
      </w:r>
      <w:r w:rsidR="00B75229" w:rsidRPr="005060E0">
        <w:t xml:space="preserve">emission </w:t>
      </w:r>
      <w:r w:rsidRPr="005060E0">
        <w:t>reductions locally.</w:t>
      </w:r>
    </w:p>
    <w:p w14:paraId="621814E4" w14:textId="77777777" w:rsidR="00BA6488" w:rsidRPr="005060E0" w:rsidRDefault="00BA6488" w:rsidP="000B3B3D">
      <w:pPr>
        <w:pStyle w:val="Heading3"/>
      </w:pPr>
      <w:bookmarkStart w:id="74" w:name="_Ref479181540"/>
      <w:bookmarkStart w:id="75" w:name="_Toc479201563"/>
      <w:r w:rsidRPr="005060E0">
        <w:t>Air quality</w:t>
      </w:r>
      <w:bookmarkEnd w:id="74"/>
      <w:bookmarkEnd w:id="75"/>
      <w:r w:rsidRPr="005060E0">
        <w:t xml:space="preserve"> projections</w:t>
      </w:r>
    </w:p>
    <w:p w14:paraId="7883BB06" w14:textId="70AAC738" w:rsidR="00FD3241" w:rsidRPr="005060E0" w:rsidRDefault="00FD3241" w:rsidP="00F51ED1">
      <w:pPr>
        <w:pStyle w:val="Heading4"/>
        <w:spacing w:before="240" w:after="200"/>
      </w:pPr>
      <w:r w:rsidRPr="005060E0">
        <w:t>Model selection</w:t>
      </w:r>
    </w:p>
    <w:p w14:paraId="5FB1B6C3" w14:textId="49B9DC80" w:rsidR="00D40292" w:rsidRPr="005060E0" w:rsidRDefault="00BA6488" w:rsidP="00D40292">
      <w:pPr>
        <w:rPr>
          <w:szCs w:val="20"/>
        </w:rPr>
      </w:pPr>
      <w:r w:rsidRPr="005060E0">
        <w:rPr>
          <w:szCs w:val="20"/>
        </w:rPr>
        <w:t xml:space="preserve">A detailed discussion of the air dispersion modelling is provided in Appendix A. </w:t>
      </w:r>
      <w:r w:rsidR="00D40292" w:rsidRPr="005060E0">
        <w:rPr>
          <w:rFonts w:cs="Arial"/>
        </w:rPr>
        <w:t xml:space="preserve">Different </w:t>
      </w:r>
      <w:r w:rsidR="000614B2" w:rsidRPr="005060E0">
        <w:rPr>
          <w:rFonts w:cs="Arial"/>
        </w:rPr>
        <w:t>model systems</w:t>
      </w:r>
      <w:r w:rsidR="00D40292" w:rsidRPr="005060E0">
        <w:rPr>
          <w:rFonts w:cs="Arial"/>
        </w:rPr>
        <w:t xml:space="preserve"> were used to determine the fate and transport of emissions in NSW and Victoria.</w:t>
      </w:r>
      <w:r w:rsidR="000614B2" w:rsidRPr="005060E0">
        <w:rPr>
          <w:szCs w:val="20"/>
        </w:rPr>
        <w:t xml:space="preserve"> Each model</w:t>
      </w:r>
      <w:r w:rsidR="00D40292" w:rsidRPr="005060E0">
        <w:rPr>
          <w:szCs w:val="20"/>
        </w:rPr>
        <w:t xml:space="preserve"> system comprised a prognostic m</w:t>
      </w:r>
      <w:r w:rsidR="000614B2" w:rsidRPr="005060E0">
        <w:rPr>
          <w:szCs w:val="20"/>
        </w:rPr>
        <w:t>eteorological model</w:t>
      </w:r>
      <w:r w:rsidR="00D40292" w:rsidRPr="005060E0">
        <w:rPr>
          <w:szCs w:val="20"/>
        </w:rPr>
        <w:t xml:space="preserve">, </w:t>
      </w:r>
      <w:r w:rsidR="000614B2" w:rsidRPr="005060E0">
        <w:rPr>
          <w:szCs w:val="20"/>
        </w:rPr>
        <w:t>a chemical transport model</w:t>
      </w:r>
      <w:r w:rsidR="00D40292" w:rsidRPr="005060E0">
        <w:rPr>
          <w:szCs w:val="20"/>
        </w:rPr>
        <w:t>, and post-processing suitable for the estimation of both changes in air quality and associated population exposure.</w:t>
      </w:r>
      <w:r w:rsidR="00D40292" w:rsidRPr="005060E0">
        <w:rPr>
          <w:rFonts w:cs="Arial"/>
        </w:rPr>
        <w:t xml:space="preserve"> </w:t>
      </w:r>
    </w:p>
    <w:p w14:paraId="69E961BC" w14:textId="4CD245DE" w:rsidR="00D40292" w:rsidRPr="005060E0" w:rsidRDefault="00D40292" w:rsidP="00D40292">
      <w:pPr>
        <w:rPr>
          <w:rFonts w:cs="Arial"/>
        </w:rPr>
      </w:pPr>
      <w:r w:rsidRPr="005060E0">
        <w:rPr>
          <w:rFonts w:cs="Arial"/>
        </w:rPr>
        <w:t xml:space="preserve">The modelling for NSW was conducted using the CCAM-CTM dispersion model, whereas the modelling for Victoria was based on the TAPM-CTM dispersion model. </w:t>
      </w:r>
      <w:r w:rsidR="000614B2" w:rsidRPr="005060E0">
        <w:rPr>
          <w:szCs w:val="20"/>
        </w:rPr>
        <w:t>Both CCAM and TAPM use complex chemical mechanisms to predict the airshed chemistry under different emission scenarios, which is important when considering SO</w:t>
      </w:r>
      <w:r w:rsidR="000614B2" w:rsidRPr="005060E0">
        <w:rPr>
          <w:szCs w:val="20"/>
          <w:vertAlign w:val="subscript"/>
        </w:rPr>
        <w:t>2</w:t>
      </w:r>
      <w:r w:rsidR="000614B2" w:rsidRPr="005060E0">
        <w:rPr>
          <w:szCs w:val="20"/>
        </w:rPr>
        <w:t>, NO</w:t>
      </w:r>
      <w:r w:rsidR="000614B2" w:rsidRPr="005060E0">
        <w:rPr>
          <w:szCs w:val="20"/>
          <w:vertAlign w:val="subscript"/>
        </w:rPr>
        <w:t>2</w:t>
      </w:r>
      <w:r w:rsidR="000614B2" w:rsidRPr="005060E0">
        <w:rPr>
          <w:szCs w:val="20"/>
        </w:rPr>
        <w:t xml:space="preserve"> and O</w:t>
      </w:r>
      <w:r w:rsidR="000614B2" w:rsidRPr="005060E0">
        <w:rPr>
          <w:szCs w:val="20"/>
          <w:vertAlign w:val="subscript"/>
        </w:rPr>
        <w:t>3</w:t>
      </w:r>
      <w:r w:rsidR="000614B2" w:rsidRPr="005060E0">
        <w:rPr>
          <w:szCs w:val="20"/>
        </w:rPr>
        <w:t xml:space="preserve">. </w:t>
      </w:r>
      <w:r w:rsidRPr="005060E0">
        <w:rPr>
          <w:rFonts w:cs="Arial"/>
        </w:rPr>
        <w:t>These models were consistent with those used by the regulatory agencies in each state, and were considered the most suitable, sophisticated and representative models for those</w:t>
      </w:r>
      <w:r w:rsidR="005F44A6" w:rsidRPr="005060E0">
        <w:rPr>
          <w:rFonts w:cs="Arial"/>
        </w:rPr>
        <w:t xml:space="preserve"> states at the time of the work</w:t>
      </w:r>
      <w:r w:rsidRPr="005060E0">
        <w:rPr>
          <w:rFonts w:cs="Arial"/>
        </w:rPr>
        <w:t>. It w</w:t>
      </w:r>
      <w:r w:rsidR="005F44A6" w:rsidRPr="005060E0">
        <w:rPr>
          <w:rFonts w:cs="Arial"/>
        </w:rPr>
        <w:t>as beyond the scope of the work</w:t>
      </w:r>
      <w:r w:rsidRPr="005060E0">
        <w:rPr>
          <w:rFonts w:cs="Arial"/>
        </w:rPr>
        <w:t xml:space="preserve"> to develop new models.</w:t>
      </w:r>
    </w:p>
    <w:p w14:paraId="23DE80DA" w14:textId="0F361945" w:rsidR="00FD3241" w:rsidRPr="005060E0" w:rsidRDefault="00FD3241" w:rsidP="00F51ED1">
      <w:pPr>
        <w:pStyle w:val="Heading4"/>
        <w:spacing w:before="240" w:after="200"/>
      </w:pPr>
      <w:r w:rsidRPr="005060E0">
        <w:t>Non-modelled airsheds</w:t>
      </w:r>
    </w:p>
    <w:p w14:paraId="098EB036" w14:textId="56FD2538" w:rsidR="000614B2" w:rsidRPr="005060E0" w:rsidRDefault="00347CDF" w:rsidP="0029044E">
      <w:pPr>
        <w:widowControl w:val="0"/>
        <w:rPr>
          <w:szCs w:val="20"/>
        </w:rPr>
      </w:pPr>
      <w:r w:rsidRPr="005060E0">
        <w:rPr>
          <w:szCs w:val="20"/>
        </w:rPr>
        <w:t xml:space="preserve">For other (non-modelled) airsheds, the future air quality projections were based on a similarity analysis, whereby conditions in the airshed were compared with those in the NSW and Victoria airsheds, and a representative projection was allocated. </w:t>
      </w:r>
    </w:p>
    <w:p w14:paraId="4079C94F" w14:textId="29887FFD" w:rsidR="00474B0A" w:rsidRPr="005060E0" w:rsidRDefault="002F22B4" w:rsidP="0043533F">
      <w:pPr>
        <w:pStyle w:val="Heading2"/>
      </w:pPr>
      <w:bookmarkStart w:id="76" w:name="_Toc479201566"/>
      <w:bookmarkStart w:id="77" w:name="_Toc3278945"/>
      <w:r w:rsidRPr="005060E0">
        <w:t>Step 6</w:t>
      </w:r>
      <w:r w:rsidR="00FE680D" w:rsidRPr="005060E0">
        <w:t>: H</w:t>
      </w:r>
      <w:r w:rsidR="00F0433B" w:rsidRPr="005060E0">
        <w:t>ealth risk a</w:t>
      </w:r>
      <w:r w:rsidR="00102CBE" w:rsidRPr="005060E0">
        <w:t>ssessment</w:t>
      </w:r>
      <w:bookmarkEnd w:id="76"/>
      <w:bookmarkEnd w:id="77"/>
    </w:p>
    <w:p w14:paraId="131644FA" w14:textId="36932CB0" w:rsidR="00497A97" w:rsidRPr="005060E0" w:rsidRDefault="00102CBE" w:rsidP="0029044E">
      <w:pPr>
        <w:spacing w:after="120"/>
      </w:pPr>
      <w:r w:rsidRPr="005060E0">
        <w:t>T</w:t>
      </w:r>
      <w:r w:rsidR="00243C29" w:rsidRPr="005060E0">
        <w:t xml:space="preserve">he HRA </w:t>
      </w:r>
      <w:r w:rsidR="004C009F" w:rsidRPr="005060E0">
        <w:t xml:space="preserve">is described in </w:t>
      </w:r>
      <w:r w:rsidR="00AC341B" w:rsidRPr="005060E0">
        <w:t>A</w:t>
      </w:r>
      <w:r w:rsidR="004C009F" w:rsidRPr="005060E0">
        <w:t xml:space="preserve">ppendix B. It </w:t>
      </w:r>
      <w:r w:rsidR="00243C29" w:rsidRPr="005060E0">
        <w:t>w</w:t>
      </w:r>
      <w:r w:rsidR="00C274EC" w:rsidRPr="005060E0">
        <w:t>as</w:t>
      </w:r>
      <w:r w:rsidRPr="005060E0">
        <w:t xml:space="preserve"> conducted in accordance with</w:t>
      </w:r>
      <w:r w:rsidR="00C274EC" w:rsidRPr="005060E0">
        <w:t xml:space="preserve"> both</w:t>
      </w:r>
      <w:r w:rsidR="00DA68CD" w:rsidRPr="005060E0">
        <w:t xml:space="preserve"> the NEPC s</w:t>
      </w:r>
      <w:r w:rsidRPr="005060E0">
        <w:t>tanda</w:t>
      </w:r>
      <w:r w:rsidR="00C274EC" w:rsidRPr="005060E0">
        <w:t>rd</w:t>
      </w:r>
      <w:r w:rsidR="00DA68CD" w:rsidRPr="005060E0">
        <w:t>-setting m</w:t>
      </w:r>
      <w:r w:rsidR="00C274EC" w:rsidRPr="005060E0">
        <w:t xml:space="preserve">ethodology </w:t>
      </w:r>
      <w:r w:rsidR="00DA68CD" w:rsidRPr="005060E0">
        <w:t xml:space="preserve">(NEPC 2011b) </w:t>
      </w:r>
      <w:r w:rsidR="00C274EC" w:rsidRPr="005060E0">
        <w:t xml:space="preserve">and </w:t>
      </w:r>
      <w:r w:rsidRPr="005060E0">
        <w:t>the methodology use</w:t>
      </w:r>
      <w:r w:rsidR="00243C29" w:rsidRPr="005060E0">
        <w:t>d by Frangos and DiMarco (2013)</w:t>
      </w:r>
      <w:r w:rsidR="00FA1506" w:rsidRPr="005060E0">
        <w:t xml:space="preserve"> in an earlier HRA</w:t>
      </w:r>
      <w:r w:rsidR="00243C29" w:rsidRPr="005060E0">
        <w:t xml:space="preserve">. </w:t>
      </w:r>
      <w:r w:rsidRPr="005060E0">
        <w:t>The HRA</w:t>
      </w:r>
      <w:r w:rsidR="00FA1506" w:rsidRPr="005060E0">
        <w:t xml:space="preserve"> for this </w:t>
      </w:r>
      <w:r w:rsidR="00DF05A9" w:rsidRPr="005060E0">
        <w:t>Impact Statement</w:t>
      </w:r>
      <w:r w:rsidR="00243C29" w:rsidRPr="005060E0">
        <w:t xml:space="preserve"> </w:t>
      </w:r>
      <w:r w:rsidRPr="005060E0">
        <w:t xml:space="preserve">calculated the </w:t>
      </w:r>
      <w:r w:rsidR="00497A97" w:rsidRPr="005060E0">
        <w:t>following:</w:t>
      </w:r>
    </w:p>
    <w:p w14:paraId="66CE19E5" w14:textId="1BE7B323" w:rsidR="00497A97" w:rsidRPr="005060E0" w:rsidRDefault="0087433C" w:rsidP="0029044E">
      <w:pPr>
        <w:pStyle w:val="ListBullet"/>
        <w:spacing w:after="120"/>
      </w:pPr>
      <w:r w:rsidRPr="005060E0">
        <w:t>t</w:t>
      </w:r>
      <w:r w:rsidR="00497A97" w:rsidRPr="005060E0">
        <w:t xml:space="preserve">he </w:t>
      </w:r>
      <w:r w:rsidR="000D5F36" w:rsidRPr="005060E0">
        <w:t>health burden</w:t>
      </w:r>
      <w:r w:rsidR="00102CBE" w:rsidRPr="005060E0">
        <w:t xml:space="preserve"> attributable to each of the pollutants under co</w:t>
      </w:r>
      <w:r w:rsidR="00B85498" w:rsidRPr="005060E0">
        <w:t>nsideration arising from historical concentrations</w:t>
      </w:r>
    </w:p>
    <w:p w14:paraId="3B0EE28A" w14:textId="2188E81A" w:rsidR="00497A97" w:rsidRPr="005060E0" w:rsidRDefault="0087433C" w:rsidP="0029044E">
      <w:pPr>
        <w:pStyle w:val="ListBullet"/>
        <w:spacing w:after="120"/>
      </w:pPr>
      <w:r w:rsidRPr="005060E0">
        <w:t>t</w:t>
      </w:r>
      <w:r w:rsidR="00102CBE" w:rsidRPr="005060E0">
        <w:t>h</w:t>
      </w:r>
      <w:r w:rsidR="00B85498" w:rsidRPr="005060E0">
        <w:t>e future</w:t>
      </w:r>
      <w:r w:rsidR="00497A97" w:rsidRPr="005060E0">
        <w:t xml:space="preserve"> health burden</w:t>
      </w:r>
      <w:r w:rsidR="00102CBE" w:rsidRPr="005060E0">
        <w:t xml:space="preserve"> under both th</w:t>
      </w:r>
      <w:r w:rsidR="000D5F36" w:rsidRPr="005060E0">
        <w:t>e BAU and A</w:t>
      </w:r>
      <w:r w:rsidR="00243C29" w:rsidRPr="005060E0">
        <w:t xml:space="preserve">batement </w:t>
      </w:r>
      <w:r w:rsidR="000D5F36" w:rsidRPr="005060E0">
        <w:t xml:space="preserve">Package </w:t>
      </w:r>
      <w:r w:rsidR="00497A97" w:rsidRPr="005060E0">
        <w:t>scenarios</w:t>
      </w:r>
    </w:p>
    <w:p w14:paraId="1B15FDCA" w14:textId="1C3CF06F" w:rsidR="00102CBE" w:rsidRPr="005060E0" w:rsidRDefault="0087433C" w:rsidP="00497A97">
      <w:pPr>
        <w:pStyle w:val="ListBullet"/>
        <w:rPr>
          <w:u w:val="single"/>
        </w:rPr>
      </w:pPr>
      <w:r w:rsidRPr="005060E0">
        <w:t>t</w:t>
      </w:r>
      <w:r w:rsidR="00243C29" w:rsidRPr="005060E0">
        <w:t xml:space="preserve">he </w:t>
      </w:r>
      <w:r w:rsidR="00102CBE" w:rsidRPr="005060E0">
        <w:t>number of health outcomes that would be avoided if the potential standards could be met.</w:t>
      </w:r>
    </w:p>
    <w:p w14:paraId="40BF7CDF" w14:textId="68E094A2" w:rsidR="00C10AD6" w:rsidRPr="005060E0" w:rsidRDefault="00C10AD6" w:rsidP="00C10AD6">
      <w:r w:rsidRPr="005060E0">
        <w:t>Both long-term (chronic) and short-term (acute) effects on health were considered. It is worth noting that long-term effects are a result of exposure to pollutants over a long period of time (months or years), whereas acute effects are associated with short-term exposure to air pollutants (such as following a high pollution day). The acute impacts (e.g. mortality) are many times smaller than chronic impacts.</w:t>
      </w:r>
    </w:p>
    <w:p w14:paraId="0395B066" w14:textId="7F2C4012" w:rsidR="00D67E9A" w:rsidRPr="005060E0" w:rsidRDefault="00D67E9A" w:rsidP="000B3B3D">
      <w:pPr>
        <w:pStyle w:val="Heading3"/>
      </w:pPr>
      <w:r w:rsidRPr="005060E0">
        <w:t>Concentration-response functions</w:t>
      </w:r>
    </w:p>
    <w:p w14:paraId="405433E2" w14:textId="0DFD9920" w:rsidR="00B75972" w:rsidRPr="005060E0" w:rsidRDefault="00B75972" w:rsidP="0029044E">
      <w:pPr>
        <w:spacing w:after="120"/>
      </w:pPr>
      <w:r w:rsidRPr="005060E0">
        <w:t xml:space="preserve">A </w:t>
      </w:r>
      <w:r w:rsidR="005B2677" w:rsidRPr="005060E0">
        <w:t>concentration-response function (</w:t>
      </w:r>
      <w:r w:rsidRPr="005060E0">
        <w:t>CRF</w:t>
      </w:r>
      <w:r w:rsidR="005B2677" w:rsidRPr="005060E0">
        <w:t>)</w:t>
      </w:r>
      <w:r w:rsidRPr="005060E0">
        <w:t xml:space="preserve"> defines the increase in a health outcome per unit increase in pollutant concentration</w:t>
      </w:r>
      <w:r w:rsidR="00CA57E3" w:rsidRPr="005060E0">
        <w:t xml:space="preserve"> (see S</w:t>
      </w:r>
      <w:r w:rsidR="001C3B88" w:rsidRPr="005060E0">
        <w:t>ection 2.3 of Appendix B)</w:t>
      </w:r>
      <w:r w:rsidRPr="005060E0">
        <w:t xml:space="preserve">. Specific CRFs for Australian studies have been developed (e.g. Jalaludin </w:t>
      </w:r>
      <w:r w:rsidR="00AD238A" w:rsidRPr="005060E0">
        <w:t>&amp;</w:t>
      </w:r>
      <w:r w:rsidRPr="005060E0">
        <w:t xml:space="preserve"> Cowie 2012)</w:t>
      </w:r>
      <w:r w:rsidR="0087433C" w:rsidRPr="005060E0">
        <w:t>;</w:t>
      </w:r>
      <w:r w:rsidRPr="005060E0">
        <w:t xml:space="preserve"> </w:t>
      </w:r>
      <w:r w:rsidR="0087433C" w:rsidRPr="005060E0">
        <w:t>h</w:t>
      </w:r>
      <w:r w:rsidRPr="005060E0">
        <w:t>owever, two more recent international projects coordinated by the WHO Regional Office for Europe have significantly updated the health evidence and the basis for assessment:</w:t>
      </w:r>
    </w:p>
    <w:p w14:paraId="795735B9" w14:textId="24D12748" w:rsidR="00B75972" w:rsidRPr="005060E0" w:rsidRDefault="00B75972" w:rsidP="0029044E">
      <w:pPr>
        <w:pStyle w:val="BullettL1PB"/>
        <w:spacing w:after="120"/>
      </w:pPr>
      <w:r w:rsidRPr="005060E0">
        <w:rPr>
          <w:i/>
        </w:rPr>
        <w:t>Review of evidence on health aspects of air pollution</w:t>
      </w:r>
      <w:r w:rsidRPr="005060E0">
        <w:t xml:space="preserve"> (REVIHAAP) (WHO 2013a)</w:t>
      </w:r>
    </w:p>
    <w:p w14:paraId="21B4E522" w14:textId="3BE3512F" w:rsidR="00B75972" w:rsidRPr="005060E0" w:rsidRDefault="00B75972" w:rsidP="00B75972">
      <w:pPr>
        <w:pStyle w:val="BullettL1PB"/>
      </w:pPr>
      <w:r w:rsidRPr="005060E0">
        <w:rPr>
          <w:i/>
        </w:rPr>
        <w:t>Health risks of air pollution in Europe</w:t>
      </w:r>
      <w:r w:rsidR="00FD3241" w:rsidRPr="005060E0">
        <w:t xml:space="preserve"> (HRAPIE) </w:t>
      </w:r>
      <w:r w:rsidRPr="005060E0">
        <w:t>(WHO 2013b)</w:t>
      </w:r>
      <w:r w:rsidR="0087433C" w:rsidRPr="005060E0">
        <w:t>.</w:t>
      </w:r>
    </w:p>
    <w:p w14:paraId="196C621F" w14:textId="441A4E50" w:rsidR="00AD641A" w:rsidRPr="005060E0" w:rsidRDefault="00A12B78" w:rsidP="004C2595">
      <w:pPr>
        <w:spacing w:after="120"/>
      </w:pPr>
      <w:r w:rsidRPr="005060E0">
        <w:t xml:space="preserve">For </w:t>
      </w:r>
      <w:r w:rsidR="00B75972" w:rsidRPr="005060E0">
        <w:t>NO</w:t>
      </w:r>
      <w:r w:rsidR="00B75972" w:rsidRPr="005060E0">
        <w:rPr>
          <w:vertAlign w:val="subscript"/>
        </w:rPr>
        <w:t>2</w:t>
      </w:r>
      <w:r w:rsidR="00B75972" w:rsidRPr="005060E0">
        <w:t xml:space="preserve"> and O</w:t>
      </w:r>
      <w:r w:rsidR="00B75972" w:rsidRPr="005060E0">
        <w:rPr>
          <w:vertAlign w:val="subscript"/>
        </w:rPr>
        <w:t>3</w:t>
      </w:r>
      <w:r w:rsidR="00B75972" w:rsidRPr="005060E0">
        <w:t xml:space="preserve"> the HRAPIE CRFs were considered to be the most robust available in the </w:t>
      </w:r>
      <w:r w:rsidR="00D97E94" w:rsidRPr="005060E0">
        <w:t>literature and</w:t>
      </w:r>
      <w:r w:rsidR="00B75972" w:rsidRPr="005060E0">
        <w:t xml:space="preserve"> incorporated more extensive and more up-to-date information than the </w:t>
      </w:r>
      <w:r w:rsidR="00AD641A" w:rsidRPr="005060E0">
        <w:t>Australian CRFs. S</w:t>
      </w:r>
      <w:r w:rsidR="00B75972" w:rsidRPr="005060E0">
        <w:t>ome of the CRFs for NO</w:t>
      </w:r>
      <w:r w:rsidR="00B75972" w:rsidRPr="005060E0">
        <w:rPr>
          <w:vertAlign w:val="subscript"/>
        </w:rPr>
        <w:t>2</w:t>
      </w:r>
      <w:r w:rsidR="00B75972" w:rsidRPr="005060E0">
        <w:t xml:space="preserve"> and O</w:t>
      </w:r>
      <w:r w:rsidR="00B75972" w:rsidRPr="005060E0">
        <w:rPr>
          <w:vertAlign w:val="subscript"/>
        </w:rPr>
        <w:t>3</w:t>
      </w:r>
      <w:r w:rsidR="00B75972" w:rsidRPr="005060E0">
        <w:t xml:space="preserve"> from HR</w:t>
      </w:r>
      <w:r w:rsidR="005F44A6" w:rsidRPr="005060E0">
        <w:t xml:space="preserve">APIE were </w:t>
      </w:r>
      <w:r w:rsidR="00AD641A" w:rsidRPr="005060E0">
        <w:t xml:space="preserve">therefore </w:t>
      </w:r>
      <w:r w:rsidR="005F44A6" w:rsidRPr="005060E0">
        <w:t xml:space="preserve">adopted for this </w:t>
      </w:r>
      <w:r w:rsidR="00DF05A9" w:rsidRPr="005060E0">
        <w:t>Impact Statement</w:t>
      </w:r>
      <w:r w:rsidR="00B75972" w:rsidRPr="005060E0">
        <w:t xml:space="preserve"> in preference to the ones developed previously for Australia. For SO</w:t>
      </w:r>
      <w:r w:rsidR="00B75972" w:rsidRPr="005060E0">
        <w:rPr>
          <w:vertAlign w:val="subscript"/>
        </w:rPr>
        <w:t>2</w:t>
      </w:r>
      <w:r w:rsidRPr="005060E0">
        <w:t xml:space="preserve"> the CRFs were taken from various sources</w:t>
      </w:r>
      <w:r w:rsidR="00C10AD6" w:rsidRPr="005060E0">
        <w:t xml:space="preserve">. </w:t>
      </w:r>
    </w:p>
    <w:p w14:paraId="317CF5DD" w14:textId="0CC7CABA" w:rsidR="00E567AB" w:rsidRPr="005060E0" w:rsidRDefault="00E567AB" w:rsidP="00E567AB">
      <w:r w:rsidRPr="005060E0">
        <w:t>Three groups of CRFs were used in the work (further details are provided in the pollutant-specific chapters of Appendix B):</w:t>
      </w:r>
    </w:p>
    <w:p w14:paraId="21F0E08D" w14:textId="1BB79C51" w:rsidR="00E567AB" w:rsidRPr="005060E0" w:rsidRDefault="00E567AB" w:rsidP="0087433C">
      <w:pPr>
        <w:pStyle w:val="BullettL1PB"/>
        <w:spacing w:after="120"/>
        <w:ind w:left="709" w:hanging="352"/>
      </w:pPr>
      <w:r w:rsidRPr="005060E0">
        <w:rPr>
          <w:i/>
        </w:rPr>
        <w:t>Group 1 CRFs</w:t>
      </w:r>
      <w:r w:rsidRPr="005060E0">
        <w:t>. This group included the recommendations from the HRAPIE project for NO</w:t>
      </w:r>
      <w:r w:rsidRPr="005060E0">
        <w:rPr>
          <w:vertAlign w:val="subscript"/>
        </w:rPr>
        <w:t>2</w:t>
      </w:r>
      <w:r w:rsidRPr="005060E0">
        <w:t xml:space="preserve"> and </w:t>
      </w:r>
      <w:r w:rsidR="00D97E94" w:rsidRPr="005060E0">
        <w:t>O</w:t>
      </w:r>
      <w:r w:rsidR="00D97E94" w:rsidRPr="005060E0">
        <w:rPr>
          <w:vertAlign w:val="subscript"/>
        </w:rPr>
        <w:t>3</w:t>
      </w:r>
      <w:r w:rsidR="00D97E94" w:rsidRPr="005060E0">
        <w:t xml:space="preserve"> and</w:t>
      </w:r>
      <w:r w:rsidRPr="005060E0">
        <w:t xml:space="preserve"> drew upon various studies for SO</w:t>
      </w:r>
      <w:r w:rsidRPr="005060E0">
        <w:rPr>
          <w:vertAlign w:val="subscript"/>
        </w:rPr>
        <w:t>2</w:t>
      </w:r>
      <w:r w:rsidRPr="005060E0">
        <w:t>.</w:t>
      </w:r>
    </w:p>
    <w:p w14:paraId="30E33CB8" w14:textId="57510DF3" w:rsidR="00E567AB" w:rsidRPr="005060E0" w:rsidRDefault="00E567AB" w:rsidP="008452A2">
      <w:pPr>
        <w:pStyle w:val="BullettL1PB"/>
        <w:numPr>
          <w:ilvl w:val="1"/>
          <w:numId w:val="37"/>
        </w:numPr>
        <w:tabs>
          <w:tab w:val="left" w:pos="709"/>
        </w:tabs>
        <w:spacing w:after="120"/>
      </w:pPr>
      <w:r w:rsidRPr="005060E0">
        <w:t>For NO</w:t>
      </w:r>
      <w:r w:rsidRPr="005060E0">
        <w:rPr>
          <w:vertAlign w:val="subscript"/>
        </w:rPr>
        <w:t>2</w:t>
      </w:r>
      <w:r w:rsidRPr="005060E0">
        <w:t xml:space="preserve"> and O</w:t>
      </w:r>
      <w:r w:rsidRPr="005060E0">
        <w:rPr>
          <w:vertAlign w:val="subscript"/>
        </w:rPr>
        <w:t>3</w:t>
      </w:r>
      <w:r w:rsidRPr="005060E0">
        <w:t xml:space="preserve"> the CRFs from HRAPIE were used in preference to the ones developed previously for Australia. In line with the recommendation by </w:t>
      </w:r>
      <w:r w:rsidR="00C43D99" w:rsidRPr="005060E0">
        <w:t xml:space="preserve">the </w:t>
      </w:r>
      <w:r w:rsidRPr="005060E0">
        <w:t>WHO (2013b), the Group 1 CRFs applied the HRAPIE cut-off</w:t>
      </w:r>
      <w:r w:rsidRPr="005060E0">
        <w:rPr>
          <w:rStyle w:val="FootnoteReference"/>
        </w:rPr>
        <w:footnoteReference w:id="23"/>
      </w:r>
      <w:r w:rsidRPr="005060E0">
        <w:t xml:space="preserve"> for annual average NO</w:t>
      </w:r>
      <w:r w:rsidRPr="005060E0">
        <w:rPr>
          <w:vertAlign w:val="subscript"/>
        </w:rPr>
        <w:t>2</w:t>
      </w:r>
      <w:r w:rsidRPr="005060E0">
        <w:t xml:space="preserve"> of 20 </w:t>
      </w:r>
      <w:r w:rsidRPr="005060E0">
        <w:rPr>
          <w:rFonts w:cstheme="minorHAnsi"/>
        </w:rPr>
        <w:t>µ</w:t>
      </w:r>
      <w:r w:rsidRPr="005060E0">
        <w:t>g/m</w:t>
      </w:r>
      <w:r w:rsidRPr="005060E0">
        <w:rPr>
          <w:vertAlign w:val="superscript"/>
        </w:rPr>
        <w:t>3</w:t>
      </w:r>
      <w:r w:rsidRPr="005060E0">
        <w:t>, and the cut-off for daily maximum 8-hour O</w:t>
      </w:r>
      <w:r w:rsidRPr="005060E0">
        <w:rPr>
          <w:vertAlign w:val="subscript"/>
        </w:rPr>
        <w:t>3</w:t>
      </w:r>
      <w:r w:rsidRPr="005060E0">
        <w:t xml:space="preserve"> of 35 ppb. This is because the shape of the CRF curves below these cut-offs is highly uncertain.</w:t>
      </w:r>
    </w:p>
    <w:p w14:paraId="189D1ADD" w14:textId="77777777" w:rsidR="00E567AB" w:rsidRPr="005060E0" w:rsidRDefault="00E567AB" w:rsidP="008452A2">
      <w:pPr>
        <w:pStyle w:val="BullettL1PB"/>
        <w:numPr>
          <w:ilvl w:val="1"/>
          <w:numId w:val="37"/>
        </w:numPr>
        <w:tabs>
          <w:tab w:val="left" w:pos="709"/>
        </w:tabs>
        <w:spacing w:after="120"/>
      </w:pPr>
      <w:r w:rsidRPr="005060E0">
        <w:t>For SO</w:t>
      </w:r>
      <w:r w:rsidRPr="005060E0">
        <w:rPr>
          <w:vertAlign w:val="subscript"/>
        </w:rPr>
        <w:t>2</w:t>
      </w:r>
      <w:r w:rsidRPr="005060E0">
        <w:t xml:space="preserve"> the CRFs for 1-hour and 24-hour exposures were taken from various sources, as recommended by Jalaludin and Cowie (2012). No studies investigating the long-term effects of exposure to SO</w:t>
      </w:r>
      <w:r w:rsidRPr="005060E0">
        <w:rPr>
          <w:vertAlign w:val="subscript"/>
        </w:rPr>
        <w:t>2</w:t>
      </w:r>
      <w:r w:rsidRPr="005060E0">
        <w:t xml:space="preserve"> on health were identified.</w:t>
      </w:r>
    </w:p>
    <w:p w14:paraId="5E1C56B7" w14:textId="2DC087E8" w:rsidR="00E567AB" w:rsidRPr="005060E0" w:rsidRDefault="00E567AB" w:rsidP="0087433C">
      <w:pPr>
        <w:pStyle w:val="BullettL1PB"/>
        <w:tabs>
          <w:tab w:val="left" w:pos="709"/>
        </w:tabs>
        <w:spacing w:after="120"/>
        <w:ind w:left="709" w:hanging="352"/>
      </w:pPr>
      <w:r w:rsidRPr="005060E0">
        <w:rPr>
          <w:i/>
        </w:rPr>
        <w:t>Group 2 CRFs</w:t>
      </w:r>
      <w:r w:rsidRPr="005060E0">
        <w:t>. This group used the same CRFs as Group 1</w:t>
      </w:r>
      <w:r w:rsidR="00C43D99" w:rsidRPr="005060E0">
        <w:t>;</w:t>
      </w:r>
      <w:r w:rsidRPr="005060E0">
        <w:t xml:space="preserve"> </w:t>
      </w:r>
      <w:r w:rsidR="00C43D99" w:rsidRPr="005060E0">
        <w:t>h</w:t>
      </w:r>
      <w:r w:rsidRPr="005060E0">
        <w:t>owever</w:t>
      </w:r>
      <w:r w:rsidR="00D97E94" w:rsidRPr="005060E0">
        <w:t>,</w:t>
      </w:r>
      <w:r w:rsidRPr="005060E0">
        <w:t xml:space="preserve"> the 20 </w:t>
      </w:r>
      <w:r w:rsidRPr="005060E0">
        <w:rPr>
          <w:rFonts w:cstheme="minorHAnsi"/>
        </w:rPr>
        <w:t>µ</w:t>
      </w:r>
      <w:r w:rsidRPr="005060E0">
        <w:t>g/m</w:t>
      </w:r>
      <w:r w:rsidRPr="005060E0">
        <w:rPr>
          <w:vertAlign w:val="superscript"/>
        </w:rPr>
        <w:t>3</w:t>
      </w:r>
      <w:r w:rsidRPr="005060E0">
        <w:t xml:space="preserve"> and 35 ppb cut-offs for mortality from long-term NO</w:t>
      </w:r>
      <w:r w:rsidRPr="005060E0">
        <w:rPr>
          <w:vertAlign w:val="subscript"/>
        </w:rPr>
        <w:t>2</w:t>
      </w:r>
      <w:r w:rsidRPr="005060E0">
        <w:t xml:space="preserve"> and short-term O</w:t>
      </w:r>
      <w:r w:rsidRPr="005060E0">
        <w:rPr>
          <w:vertAlign w:val="subscript"/>
        </w:rPr>
        <w:t>3</w:t>
      </w:r>
      <w:r w:rsidRPr="005060E0">
        <w:t xml:space="preserve"> exposure were not applied. The rationale for </w:t>
      </w:r>
      <w:r w:rsidR="0006120E" w:rsidRPr="005060E0">
        <w:t>excluding</w:t>
      </w:r>
      <w:r w:rsidR="005572D2" w:rsidRPr="005060E0">
        <w:t xml:space="preserve"> </w:t>
      </w:r>
      <w:r w:rsidRPr="005060E0">
        <w:t xml:space="preserve">the cut-offs was that, while the shape of the CRFs below these levels is unclear, this does not necessarily mean no health outcomes can be assumed. The data used to derive the CRFs recommended by WHO (2013b) were from Europe, where concentrations in major airsheds </w:t>
      </w:r>
      <w:r w:rsidR="00640850" w:rsidRPr="005060E0">
        <w:t>often</w:t>
      </w:r>
      <w:r w:rsidRPr="005060E0">
        <w:t xml:space="preserve"> exceed these levels</w:t>
      </w:r>
      <w:r w:rsidR="00C43D99" w:rsidRPr="005060E0">
        <w:t>;</w:t>
      </w:r>
      <w:r w:rsidRPr="005060E0">
        <w:t xml:space="preserve"> </w:t>
      </w:r>
      <w:r w:rsidR="00C43D99" w:rsidRPr="005060E0">
        <w:t>h</w:t>
      </w:r>
      <w:r w:rsidRPr="005060E0">
        <w:t>owever, concentrations of these pollutants in major Australian airsheds are different to those in Europe. In particular, NO</w:t>
      </w:r>
      <w:r w:rsidRPr="005060E0">
        <w:rPr>
          <w:vertAlign w:val="subscript"/>
        </w:rPr>
        <w:t>2</w:t>
      </w:r>
      <w:r w:rsidRPr="005060E0">
        <w:t xml:space="preserve"> concentrations in Sydney and Melbourne are below those in many of the major European cities.</w:t>
      </w:r>
    </w:p>
    <w:p w14:paraId="0037A0CC" w14:textId="1ECCB38D" w:rsidR="00E567AB" w:rsidRPr="005060E0" w:rsidRDefault="00E567AB" w:rsidP="0087433C">
      <w:pPr>
        <w:pStyle w:val="BullettL1PB"/>
        <w:tabs>
          <w:tab w:val="left" w:pos="709"/>
        </w:tabs>
        <w:spacing w:after="240"/>
        <w:ind w:left="709" w:hanging="352"/>
      </w:pPr>
      <w:r w:rsidRPr="005060E0">
        <w:rPr>
          <w:i/>
        </w:rPr>
        <w:t>Group 3 CRFs</w:t>
      </w:r>
      <w:r w:rsidRPr="005060E0">
        <w:t>. This group include</w:t>
      </w:r>
      <w:r w:rsidR="00C43D99" w:rsidRPr="005060E0">
        <w:t>s</w:t>
      </w:r>
      <w:r w:rsidRPr="005060E0">
        <w:t xml:space="preserve"> only Australia-specific CRFs. The CRFs for NO</w:t>
      </w:r>
      <w:r w:rsidRPr="005060E0">
        <w:rPr>
          <w:vertAlign w:val="subscript"/>
        </w:rPr>
        <w:t>2</w:t>
      </w:r>
      <w:r w:rsidRPr="005060E0">
        <w:t xml:space="preserve"> and O</w:t>
      </w:r>
      <w:r w:rsidRPr="005060E0">
        <w:rPr>
          <w:vertAlign w:val="subscript"/>
        </w:rPr>
        <w:t>3</w:t>
      </w:r>
      <w:r w:rsidRPr="005060E0">
        <w:t xml:space="preserve"> were taken from a review by Australian epidemiologists prepared for EPA Victoria, entitled </w:t>
      </w:r>
      <w:r w:rsidRPr="005060E0">
        <w:rPr>
          <w:i/>
        </w:rPr>
        <w:t xml:space="preserve">Health Risk Assessment – Preliminary Work to Identify Concentration-Response Functions for Selected Ambient Air Pollutants </w:t>
      </w:r>
      <w:r w:rsidRPr="005060E0">
        <w:t xml:space="preserve">(Jalaludin </w:t>
      </w:r>
      <w:r w:rsidR="00AD238A" w:rsidRPr="005060E0">
        <w:t>&amp;</w:t>
      </w:r>
      <w:r w:rsidRPr="005060E0">
        <w:t xml:space="preserve"> Cowie 2012). The SO</w:t>
      </w:r>
      <w:r w:rsidRPr="005060E0">
        <w:rPr>
          <w:vertAlign w:val="subscript"/>
        </w:rPr>
        <w:t>2</w:t>
      </w:r>
      <w:r w:rsidRPr="005060E0">
        <w:t xml:space="preserve"> CRFs were the same as those in Group 1.</w:t>
      </w:r>
    </w:p>
    <w:p w14:paraId="23D5A2FA" w14:textId="42721CA4" w:rsidR="00B75972" w:rsidRPr="005060E0" w:rsidRDefault="00B75972" w:rsidP="008537CD">
      <w:r w:rsidRPr="005060E0">
        <w:rPr>
          <w:b/>
        </w:rPr>
        <w:t>NB</w:t>
      </w:r>
      <w:r w:rsidRPr="005060E0">
        <w:t xml:space="preserve">: The </w:t>
      </w:r>
      <w:r w:rsidR="004C009F" w:rsidRPr="005060E0">
        <w:t xml:space="preserve">HRA was </w:t>
      </w:r>
      <w:r w:rsidRPr="005060E0">
        <w:t xml:space="preserve">based </w:t>
      </w:r>
      <w:r w:rsidR="004C009F" w:rsidRPr="005060E0">
        <w:t xml:space="preserve">primarily </w:t>
      </w:r>
      <w:r w:rsidR="005F78CC" w:rsidRPr="005060E0">
        <w:t>on the Group 1</w:t>
      </w:r>
      <w:r w:rsidRPr="005060E0">
        <w:t xml:space="preserve"> CRFs</w:t>
      </w:r>
      <w:r w:rsidR="008537CD" w:rsidRPr="005060E0">
        <w:t>, and</w:t>
      </w:r>
      <w:r w:rsidR="005F78CC" w:rsidRPr="005060E0">
        <w:t xml:space="preserve"> </w:t>
      </w:r>
      <w:r w:rsidR="008537CD" w:rsidRPr="005060E0">
        <w:t xml:space="preserve">the health outcomes and CRFs for this </w:t>
      </w:r>
      <w:r w:rsidR="00C43D99" w:rsidRPr="005060E0">
        <w:t>g</w:t>
      </w:r>
      <w:r w:rsidR="008537CD" w:rsidRPr="005060E0">
        <w:t xml:space="preserve">roup are summarised in </w:t>
      </w:r>
      <w:r w:rsidR="008537CD" w:rsidRPr="005060E0">
        <w:fldChar w:fldCharType="begin"/>
      </w:r>
      <w:r w:rsidR="008537CD" w:rsidRPr="005060E0">
        <w:instrText xml:space="preserve"> REF _Ref508373160 \h  \* MERGEFORMAT </w:instrText>
      </w:r>
      <w:r w:rsidR="008537CD" w:rsidRPr="005060E0">
        <w:fldChar w:fldCharType="separate"/>
      </w:r>
      <w:r w:rsidR="00F2067C" w:rsidRPr="005060E0">
        <w:t xml:space="preserve">Table </w:t>
      </w:r>
      <w:r w:rsidR="00F2067C">
        <w:t>4</w:t>
      </w:r>
      <w:r w:rsidR="00F2067C" w:rsidRPr="005060E0">
        <w:noBreakHyphen/>
      </w:r>
      <w:r w:rsidR="00F2067C">
        <w:t>2</w:t>
      </w:r>
      <w:r w:rsidR="008537CD" w:rsidRPr="005060E0">
        <w:fldChar w:fldCharType="end"/>
      </w:r>
      <w:r w:rsidR="008537CD" w:rsidRPr="005060E0">
        <w:t xml:space="preserve">. </w:t>
      </w:r>
      <w:r w:rsidR="005F78CC" w:rsidRPr="005060E0">
        <w:t>The Group 2</w:t>
      </w:r>
      <w:r w:rsidRPr="005060E0">
        <w:t xml:space="preserve"> and Group 3</w:t>
      </w:r>
      <w:r w:rsidR="005F44A6" w:rsidRPr="005060E0">
        <w:t xml:space="preserve"> CRFs were included in the work</w:t>
      </w:r>
      <w:r w:rsidRPr="005060E0">
        <w:t xml:space="preserve"> to examine the sensitivity of the HRA (an</w:t>
      </w:r>
      <w:r w:rsidR="009F497A" w:rsidRPr="005060E0">
        <w:t>d cost</w:t>
      </w:r>
      <w:r w:rsidR="00875B93" w:rsidRPr="005060E0">
        <w:rPr>
          <w:rFonts w:cs="Arial"/>
        </w:rPr>
        <w:t>–</w:t>
      </w:r>
      <w:r w:rsidR="009F497A" w:rsidRPr="005060E0">
        <w:t>benefit analysis</w:t>
      </w:r>
      <w:r w:rsidR="004C009F" w:rsidRPr="005060E0">
        <w:t>) results to CRF selection</w:t>
      </w:r>
      <w:r w:rsidRPr="005060E0">
        <w:t>.</w:t>
      </w:r>
    </w:p>
    <w:p w14:paraId="3965D319" w14:textId="441D4BB3" w:rsidR="00E567AB" w:rsidRPr="005060E0" w:rsidRDefault="005E65A7" w:rsidP="008537CD">
      <w:r w:rsidRPr="005060E0">
        <w:t>The air quality data were combined with the</w:t>
      </w:r>
      <w:r w:rsidR="004C009F" w:rsidRPr="005060E0">
        <w:t>se</w:t>
      </w:r>
      <w:r w:rsidRPr="005060E0">
        <w:t xml:space="preserve"> </w:t>
      </w:r>
      <w:r w:rsidR="00BF6011" w:rsidRPr="005060E0">
        <w:t xml:space="preserve">CRFs </w:t>
      </w:r>
      <w:r w:rsidRPr="005060E0">
        <w:t>and baseline health statistics for each location</w:t>
      </w:r>
      <w:r w:rsidR="00C43D99" w:rsidRPr="005060E0">
        <w:t>,</w:t>
      </w:r>
      <w:r w:rsidRPr="005060E0">
        <w:t xml:space="preserve"> to calculate the number of attribu</w:t>
      </w:r>
      <w:r w:rsidR="00BF6011" w:rsidRPr="005060E0">
        <w:t>table health outcomes due to each pollutant</w:t>
      </w:r>
      <w:r w:rsidR="004C009F" w:rsidRPr="005060E0">
        <w:t>.</w:t>
      </w:r>
      <w:r w:rsidR="008537CD" w:rsidRPr="005060E0">
        <w:t xml:space="preserve"> </w:t>
      </w:r>
      <w:r w:rsidR="00E567AB" w:rsidRPr="005060E0">
        <w:t xml:space="preserve">The baseline mortality data (rate/100,000 population) were obtained from </w:t>
      </w:r>
      <w:r w:rsidR="00C43D99" w:rsidRPr="005060E0">
        <w:t xml:space="preserve">the </w:t>
      </w:r>
      <w:r w:rsidR="00E567AB" w:rsidRPr="005060E0">
        <w:t>ABS for 2010</w:t>
      </w:r>
      <w:r w:rsidR="00DF4D3A" w:rsidRPr="005060E0">
        <w:t>–20</w:t>
      </w:r>
      <w:r w:rsidR="00E567AB" w:rsidRPr="005060E0">
        <w:t xml:space="preserve">14, and for all airsheds assessed in the HRA. Hospital admissions data and emergency department data for each outcome and age group considered were obtained from the relevant </w:t>
      </w:r>
      <w:r w:rsidR="005A403B" w:rsidRPr="005060E0">
        <w:t>s</w:t>
      </w:r>
      <w:r w:rsidR="00E567AB" w:rsidRPr="005060E0">
        <w:t>tate/</w:t>
      </w:r>
      <w:r w:rsidR="005A403B" w:rsidRPr="005060E0">
        <w:t>t</w:t>
      </w:r>
      <w:r w:rsidR="00E567AB" w:rsidRPr="005060E0">
        <w:t xml:space="preserve">erritory </w:t>
      </w:r>
      <w:r w:rsidR="005A403B" w:rsidRPr="005060E0">
        <w:t>h</w:t>
      </w:r>
      <w:r w:rsidR="00E567AB" w:rsidRPr="005060E0">
        <w:t xml:space="preserve">ealth </w:t>
      </w:r>
      <w:r w:rsidR="005A403B" w:rsidRPr="005060E0">
        <w:t>d</w:t>
      </w:r>
      <w:r w:rsidR="00E567AB" w:rsidRPr="005060E0">
        <w:t>epartments. The population data used in the risk characterisation were obtained from the most recent ABS estimates for 2010</w:t>
      </w:r>
      <w:r w:rsidR="00DF4D3A" w:rsidRPr="005060E0">
        <w:t>–20</w:t>
      </w:r>
      <w:r w:rsidR="00E567AB" w:rsidRPr="005060E0">
        <w:t>14, as well as for the projections out to 2040.</w:t>
      </w:r>
    </w:p>
    <w:p w14:paraId="6153A15E" w14:textId="77777777" w:rsidR="00762AAA" w:rsidRPr="005060E0" w:rsidRDefault="00762AAA" w:rsidP="00762AAA">
      <w:pPr>
        <w:pStyle w:val="Heading3"/>
      </w:pPr>
      <w:r w:rsidRPr="005060E0">
        <w:t>Historical health burden</w:t>
      </w:r>
    </w:p>
    <w:p w14:paraId="60627E38" w14:textId="77777777" w:rsidR="00762AAA" w:rsidRPr="005060E0" w:rsidRDefault="00762AAA" w:rsidP="00762AAA">
      <w:r w:rsidRPr="005060E0">
        <w:t>For current air quality, the air monitoring data from all jurisdictions were used in the exposure assessment. The data were limited to the designated air monitoring stations under the AAQ NEPM. The monitoring data were averaged for the relevant averaging periods across all stations to provide a ‘network average’. This was consistent with the exposure data used in epidemiological studies that have identified adverse health effects in a population, and with the ‘standard-setting methodology’. For NO</w:t>
      </w:r>
      <w:r w:rsidRPr="005060E0">
        <w:rPr>
          <w:vertAlign w:val="subscript"/>
        </w:rPr>
        <w:t>2</w:t>
      </w:r>
      <w:r w:rsidRPr="005060E0">
        <w:t xml:space="preserve"> and O</w:t>
      </w:r>
      <w:r w:rsidRPr="005060E0">
        <w:rPr>
          <w:vertAlign w:val="subscript"/>
        </w:rPr>
        <w:t>3</w:t>
      </w:r>
      <w:r w:rsidRPr="005060E0">
        <w:t xml:space="preserve"> natural background levels were subtracted from the monitored levels, which means the calculated health risks related to anthropogenic sources only. The background levels used were those contained within the report by Frangos and DiMarco (2013) and were 8.7 ppb for O</w:t>
      </w:r>
      <w:r w:rsidRPr="005060E0">
        <w:rPr>
          <w:vertAlign w:val="subscript"/>
        </w:rPr>
        <w:t>3</w:t>
      </w:r>
      <w:r w:rsidRPr="005060E0">
        <w:t xml:space="preserve"> and 2.1 ppb for NO</w:t>
      </w:r>
      <w:r w:rsidRPr="005060E0">
        <w:rPr>
          <w:vertAlign w:val="subscript"/>
        </w:rPr>
        <w:t>2</w:t>
      </w:r>
      <w:r w:rsidRPr="005060E0">
        <w:t>. No natural background levels for SO</w:t>
      </w:r>
      <w:r w:rsidRPr="005060E0">
        <w:rPr>
          <w:vertAlign w:val="subscript"/>
        </w:rPr>
        <w:t>2</w:t>
      </w:r>
      <w:r w:rsidRPr="005060E0">
        <w:t xml:space="preserve"> were identified, as there are no significant natural sources in the Australian airsheds.</w:t>
      </w:r>
    </w:p>
    <w:p w14:paraId="3D9119D6" w14:textId="77777777" w:rsidR="00762AAA" w:rsidRPr="005060E0" w:rsidRDefault="00762AAA" w:rsidP="00762AAA">
      <w:pPr>
        <w:pStyle w:val="Heading3"/>
      </w:pPr>
      <w:r w:rsidRPr="005060E0">
        <w:t>Future health burden</w:t>
      </w:r>
    </w:p>
    <w:p w14:paraId="02990B60" w14:textId="77777777" w:rsidR="00762AAA" w:rsidRPr="005060E0" w:rsidRDefault="00762AAA" w:rsidP="00762AAA">
      <w:r w:rsidRPr="005060E0">
        <w:t>The results of the air dispersion modelling for the BAU and Abatement Package scenarios were used in the exposure assessment for projected air quality to 2040. As with the monitoring data, the values predicted for the locations where AAQ NEPM monitoring stations are currently located were averaged to give a network average. These values were adjusted for natural background levels. This assumed that background levels would not change during the period 2016</w:t>
      </w:r>
      <w:r w:rsidRPr="005060E0">
        <w:rPr>
          <w:rFonts w:cs="Arial"/>
        </w:rPr>
        <w:t>–</w:t>
      </w:r>
      <w:r w:rsidRPr="005060E0">
        <w:t>2040.</w:t>
      </w:r>
    </w:p>
    <w:p w14:paraId="71B547A4" w14:textId="77777777" w:rsidR="00817957" w:rsidRPr="005060E0" w:rsidRDefault="00817957" w:rsidP="004C009F"/>
    <w:p w14:paraId="208EA95A" w14:textId="77777777" w:rsidR="005B2677" w:rsidRPr="005060E0" w:rsidRDefault="005B2677" w:rsidP="00D67E9A">
      <w:pPr>
        <w:spacing w:after="480"/>
        <w:rPr>
          <w:color w:val="FF0000"/>
        </w:rPr>
        <w:sectPr w:rsidR="005B2677" w:rsidRPr="005060E0" w:rsidSect="00240B1D">
          <w:headerReference w:type="default" r:id="rId18"/>
          <w:pgSz w:w="11906" w:h="16838" w:code="9"/>
          <w:pgMar w:top="1440" w:right="1134" w:bottom="1701" w:left="1134" w:header="709" w:footer="130" w:gutter="0"/>
          <w:cols w:space="255"/>
          <w:docGrid w:linePitch="360"/>
        </w:sectPr>
      </w:pPr>
    </w:p>
    <w:p w14:paraId="177E1447" w14:textId="5A39EFAE" w:rsidR="00D67E9A" w:rsidRPr="005060E0" w:rsidRDefault="009370D9" w:rsidP="00E40950">
      <w:pPr>
        <w:pStyle w:val="PBTablecaption"/>
        <w:ind w:left="-426" w:right="513"/>
      </w:pPr>
      <w:r w:rsidRPr="005060E0">
        <w:rPr>
          <w:color w:val="FF0000"/>
        </w:rPr>
        <w:tab/>
      </w:r>
      <w:bookmarkStart w:id="78" w:name="_Ref508373160"/>
      <w:r w:rsidR="005E65A7" w:rsidRPr="005060E0">
        <w:t xml:space="preserve">Table </w:t>
      </w:r>
      <w:r w:rsidR="009863AA" w:rsidRPr="005060E0">
        <w:rPr>
          <w:noProof/>
        </w:rPr>
        <w:fldChar w:fldCharType="begin"/>
      </w:r>
      <w:r w:rsidR="009863AA" w:rsidRPr="005060E0">
        <w:rPr>
          <w:noProof/>
        </w:rPr>
        <w:instrText xml:space="preserve"> STYLEREF 1 \s </w:instrText>
      </w:r>
      <w:r w:rsidR="009863AA" w:rsidRPr="005060E0">
        <w:rPr>
          <w:noProof/>
        </w:rPr>
        <w:fldChar w:fldCharType="separate"/>
      </w:r>
      <w:r w:rsidR="00F2067C">
        <w:rPr>
          <w:noProof/>
        </w:rPr>
        <w:t>4</w:t>
      </w:r>
      <w:r w:rsidR="009863AA" w:rsidRPr="005060E0">
        <w:rPr>
          <w:noProof/>
        </w:rPr>
        <w:fldChar w:fldCharType="end"/>
      </w:r>
      <w:r w:rsidR="005E65A7" w:rsidRPr="005060E0">
        <w:noBreakHyphen/>
      </w:r>
      <w:r w:rsidR="009863AA" w:rsidRPr="005060E0">
        <w:rPr>
          <w:noProof/>
        </w:rPr>
        <w:fldChar w:fldCharType="begin"/>
      </w:r>
      <w:r w:rsidR="009863AA" w:rsidRPr="005060E0">
        <w:rPr>
          <w:noProof/>
        </w:rPr>
        <w:instrText xml:space="preserve"> SEQ Table \* ARABIC \s 1 </w:instrText>
      </w:r>
      <w:r w:rsidR="009863AA" w:rsidRPr="005060E0">
        <w:rPr>
          <w:noProof/>
        </w:rPr>
        <w:fldChar w:fldCharType="separate"/>
      </w:r>
      <w:r w:rsidR="00F2067C">
        <w:rPr>
          <w:noProof/>
        </w:rPr>
        <w:t>2</w:t>
      </w:r>
      <w:r w:rsidR="009863AA" w:rsidRPr="005060E0">
        <w:rPr>
          <w:noProof/>
        </w:rPr>
        <w:fldChar w:fldCharType="end"/>
      </w:r>
      <w:bookmarkEnd w:id="78"/>
      <w:r w:rsidR="005E65A7" w:rsidRPr="005060E0">
        <w:t>:</w:t>
      </w:r>
      <w:r w:rsidR="00D67E9A" w:rsidRPr="005060E0">
        <w:t xml:space="preserve"> Health outcomes and CRFs for </w:t>
      </w:r>
      <w:r w:rsidR="005B2677" w:rsidRPr="005060E0">
        <w:t>SO</w:t>
      </w:r>
      <w:r w:rsidR="005B2677" w:rsidRPr="005060E0">
        <w:rPr>
          <w:vertAlign w:val="subscript"/>
        </w:rPr>
        <w:t>2</w:t>
      </w:r>
      <w:r w:rsidR="005B2677" w:rsidRPr="005060E0">
        <w:t xml:space="preserve">, </w:t>
      </w:r>
      <w:r w:rsidR="00D67E9A" w:rsidRPr="005060E0">
        <w:t>NO</w:t>
      </w:r>
      <w:r w:rsidR="00D67E9A" w:rsidRPr="005060E0">
        <w:rPr>
          <w:vertAlign w:val="subscript"/>
        </w:rPr>
        <w:t>2</w:t>
      </w:r>
      <w:r w:rsidR="00D67E9A" w:rsidRPr="005060E0">
        <w:t xml:space="preserve"> </w:t>
      </w:r>
      <w:r w:rsidR="005B2677" w:rsidRPr="005060E0">
        <w:t>and O</w:t>
      </w:r>
      <w:r w:rsidR="005B2677" w:rsidRPr="005060E0">
        <w:rPr>
          <w:vertAlign w:val="subscript"/>
        </w:rPr>
        <w:t>3</w:t>
      </w:r>
      <w:r w:rsidR="005B2677" w:rsidRPr="005060E0">
        <w:t xml:space="preserve"> (</w:t>
      </w:r>
      <w:r w:rsidR="004C2595" w:rsidRPr="005060E0">
        <w:t>Group 1</w:t>
      </w:r>
      <w:r w:rsidR="00D67E9A" w:rsidRPr="005060E0">
        <w:t>)</w:t>
      </w:r>
    </w:p>
    <w:tbl>
      <w:tblPr>
        <w:tblW w:w="5000" w:type="pct"/>
        <w:tblBorders>
          <w:top w:val="single" w:sz="4" w:space="0" w:color="606072"/>
          <w:left w:val="single" w:sz="4" w:space="0" w:color="606072"/>
          <w:bottom w:val="single" w:sz="4" w:space="0" w:color="606072"/>
          <w:right w:val="single" w:sz="4" w:space="0" w:color="606072"/>
          <w:insideH w:val="single" w:sz="4" w:space="0" w:color="606072"/>
          <w:insideV w:val="single" w:sz="4" w:space="0" w:color="606072"/>
        </w:tblBorders>
        <w:tblLook w:val="04A0" w:firstRow="1" w:lastRow="0" w:firstColumn="1" w:lastColumn="0" w:noHBand="0" w:noVBand="1"/>
      </w:tblPr>
      <w:tblGrid>
        <w:gridCol w:w="1024"/>
        <w:gridCol w:w="4265"/>
        <w:gridCol w:w="1178"/>
        <w:gridCol w:w="1178"/>
        <w:gridCol w:w="1764"/>
        <w:gridCol w:w="1327"/>
        <w:gridCol w:w="1621"/>
        <w:gridCol w:w="1471"/>
      </w:tblGrid>
      <w:tr w:rsidR="002F7139" w:rsidRPr="005060E0" w14:paraId="6BD1FD69" w14:textId="4E00DA74" w:rsidTr="00D35C2D">
        <w:trPr>
          <w:trHeight w:val="404"/>
          <w:tblHeader/>
        </w:trPr>
        <w:tc>
          <w:tcPr>
            <w:tcW w:w="370" w:type="pct"/>
            <w:vMerge w:val="restart"/>
            <w:tcBorders>
              <w:top w:val="single" w:sz="4" w:space="0" w:color="606072"/>
              <w:left w:val="single" w:sz="4" w:space="0" w:color="606072"/>
              <w:bottom w:val="single" w:sz="4" w:space="0" w:color="606072"/>
              <w:right w:val="single" w:sz="4" w:space="0" w:color="606072"/>
            </w:tcBorders>
            <w:shd w:val="clear" w:color="auto" w:fill="606072"/>
            <w:tcMar>
              <w:left w:w="57" w:type="dxa"/>
              <w:right w:w="57" w:type="dxa"/>
            </w:tcMar>
            <w:vAlign w:val="center"/>
          </w:tcPr>
          <w:p w14:paraId="5ADC9679" w14:textId="5363C299" w:rsidR="005B2677" w:rsidRPr="005060E0" w:rsidRDefault="00F32E33" w:rsidP="00D35C2D">
            <w:pPr>
              <w:widowControl w:val="0"/>
              <w:spacing w:after="0" w:line="240" w:lineRule="auto"/>
              <w:jc w:val="center"/>
              <w:rPr>
                <w:color w:val="FFFFFF" w:themeColor="background1"/>
                <w:sz w:val="16"/>
                <w:szCs w:val="16"/>
              </w:rPr>
            </w:pPr>
            <w:r w:rsidRPr="005060E0">
              <w:rPr>
                <w:color w:val="FFFFFF" w:themeColor="background1"/>
                <w:sz w:val="16"/>
                <w:szCs w:val="16"/>
              </w:rPr>
              <w:t>Averaging period/</w:t>
            </w:r>
            <w:r w:rsidR="008537CD" w:rsidRPr="005060E0">
              <w:rPr>
                <w:color w:val="FFFFFF" w:themeColor="background1"/>
                <w:sz w:val="16"/>
                <w:szCs w:val="16"/>
              </w:rPr>
              <w:t xml:space="preserve"> </w:t>
            </w:r>
            <w:r w:rsidRPr="005060E0">
              <w:rPr>
                <w:color w:val="FFFFFF" w:themeColor="background1"/>
                <w:sz w:val="16"/>
                <w:szCs w:val="16"/>
              </w:rPr>
              <w:t>statistic</w:t>
            </w:r>
          </w:p>
        </w:tc>
        <w:tc>
          <w:tcPr>
            <w:tcW w:w="1542" w:type="pct"/>
            <w:vMerge w:val="restart"/>
            <w:tcBorders>
              <w:top w:val="single" w:sz="4" w:space="0" w:color="606072"/>
              <w:left w:val="single" w:sz="4" w:space="0" w:color="606072"/>
              <w:bottom w:val="single" w:sz="4" w:space="0" w:color="606072"/>
              <w:right w:val="single" w:sz="4" w:space="0" w:color="606072"/>
            </w:tcBorders>
            <w:shd w:val="clear" w:color="auto" w:fill="606072"/>
            <w:tcMar>
              <w:left w:w="57" w:type="dxa"/>
              <w:right w:w="57" w:type="dxa"/>
            </w:tcMar>
            <w:vAlign w:val="center"/>
          </w:tcPr>
          <w:p w14:paraId="5B858004" w14:textId="77777777" w:rsidR="005B2677" w:rsidRPr="005060E0" w:rsidRDefault="005B2677" w:rsidP="00D35C2D">
            <w:pPr>
              <w:widowControl w:val="0"/>
              <w:spacing w:after="0" w:line="240" w:lineRule="auto"/>
              <w:jc w:val="center"/>
              <w:rPr>
                <w:color w:val="FFFFFF" w:themeColor="background1"/>
                <w:sz w:val="16"/>
                <w:szCs w:val="16"/>
              </w:rPr>
            </w:pPr>
            <w:r w:rsidRPr="005060E0">
              <w:rPr>
                <w:color w:val="FFFFFF" w:themeColor="background1"/>
                <w:sz w:val="16"/>
                <w:szCs w:val="16"/>
              </w:rPr>
              <w:t>Health outcome (age group in years)</w:t>
            </w:r>
          </w:p>
        </w:tc>
        <w:tc>
          <w:tcPr>
            <w:tcW w:w="852" w:type="pct"/>
            <w:gridSpan w:val="2"/>
            <w:tcBorders>
              <w:top w:val="single" w:sz="4" w:space="0" w:color="606072"/>
              <w:left w:val="single" w:sz="4" w:space="0" w:color="606072"/>
              <w:bottom w:val="single" w:sz="4" w:space="0" w:color="606072"/>
              <w:right w:val="single" w:sz="4" w:space="0" w:color="606072"/>
            </w:tcBorders>
            <w:shd w:val="clear" w:color="auto" w:fill="606072"/>
            <w:vAlign w:val="center"/>
          </w:tcPr>
          <w:p w14:paraId="2B8CEE0C" w14:textId="237F971B" w:rsidR="005B2677" w:rsidRPr="005060E0" w:rsidRDefault="005B2677" w:rsidP="00D35C2D">
            <w:pPr>
              <w:widowControl w:val="0"/>
              <w:spacing w:after="0" w:line="240" w:lineRule="auto"/>
              <w:jc w:val="center"/>
              <w:rPr>
                <w:b/>
                <w:color w:val="FFFFFF" w:themeColor="background1"/>
                <w:sz w:val="16"/>
                <w:szCs w:val="16"/>
              </w:rPr>
            </w:pPr>
            <w:r w:rsidRPr="005060E0">
              <w:rPr>
                <w:b/>
                <w:color w:val="FFFFFF" w:themeColor="background1"/>
                <w:sz w:val="16"/>
                <w:szCs w:val="16"/>
              </w:rPr>
              <w:t>SO</w:t>
            </w:r>
            <w:r w:rsidRPr="005060E0">
              <w:rPr>
                <w:b/>
                <w:color w:val="FFFFFF" w:themeColor="background1"/>
                <w:sz w:val="16"/>
                <w:szCs w:val="16"/>
                <w:vertAlign w:val="subscript"/>
              </w:rPr>
              <w:t>2</w:t>
            </w:r>
          </w:p>
        </w:tc>
        <w:tc>
          <w:tcPr>
            <w:tcW w:w="1118" w:type="pct"/>
            <w:gridSpan w:val="2"/>
            <w:tcBorders>
              <w:top w:val="single" w:sz="4" w:space="0" w:color="606072"/>
              <w:left w:val="single" w:sz="4" w:space="0" w:color="606072"/>
              <w:bottom w:val="single" w:sz="4" w:space="0" w:color="606072"/>
              <w:right w:val="single" w:sz="4" w:space="0" w:color="606072"/>
            </w:tcBorders>
            <w:shd w:val="clear" w:color="auto" w:fill="606072"/>
            <w:vAlign w:val="center"/>
          </w:tcPr>
          <w:p w14:paraId="58951EF8" w14:textId="503508DD" w:rsidR="005B2677" w:rsidRPr="005060E0" w:rsidRDefault="005B2677" w:rsidP="00D35C2D">
            <w:pPr>
              <w:widowControl w:val="0"/>
              <w:spacing w:after="0" w:line="240" w:lineRule="auto"/>
              <w:jc w:val="center"/>
              <w:rPr>
                <w:b/>
                <w:color w:val="FFFFFF" w:themeColor="background1"/>
                <w:sz w:val="16"/>
                <w:szCs w:val="16"/>
              </w:rPr>
            </w:pPr>
            <w:r w:rsidRPr="005060E0">
              <w:rPr>
                <w:b/>
                <w:color w:val="FFFFFF" w:themeColor="background1"/>
                <w:sz w:val="16"/>
                <w:szCs w:val="16"/>
              </w:rPr>
              <w:t>NO</w:t>
            </w:r>
            <w:r w:rsidRPr="005060E0">
              <w:rPr>
                <w:b/>
                <w:color w:val="FFFFFF" w:themeColor="background1"/>
                <w:sz w:val="16"/>
                <w:szCs w:val="16"/>
                <w:vertAlign w:val="subscript"/>
              </w:rPr>
              <w:t>2</w:t>
            </w:r>
          </w:p>
        </w:tc>
        <w:tc>
          <w:tcPr>
            <w:tcW w:w="1118" w:type="pct"/>
            <w:gridSpan w:val="2"/>
            <w:tcBorders>
              <w:top w:val="single" w:sz="4" w:space="0" w:color="606072"/>
              <w:left w:val="single" w:sz="4" w:space="0" w:color="606072"/>
              <w:bottom w:val="single" w:sz="4" w:space="0" w:color="606072"/>
              <w:right w:val="single" w:sz="4" w:space="0" w:color="606072"/>
            </w:tcBorders>
            <w:shd w:val="clear" w:color="auto" w:fill="606072"/>
            <w:vAlign w:val="center"/>
          </w:tcPr>
          <w:p w14:paraId="11C96BCF" w14:textId="408C462B" w:rsidR="005B2677" w:rsidRPr="005060E0" w:rsidRDefault="005B2677" w:rsidP="00D35C2D">
            <w:pPr>
              <w:widowControl w:val="0"/>
              <w:spacing w:after="0" w:line="240" w:lineRule="auto"/>
              <w:jc w:val="center"/>
              <w:rPr>
                <w:b/>
                <w:color w:val="FFFFFF" w:themeColor="background1"/>
                <w:sz w:val="16"/>
                <w:szCs w:val="16"/>
              </w:rPr>
            </w:pPr>
            <w:r w:rsidRPr="005060E0">
              <w:rPr>
                <w:b/>
                <w:color w:val="FFFFFF" w:themeColor="background1"/>
                <w:sz w:val="16"/>
                <w:szCs w:val="16"/>
              </w:rPr>
              <w:t>O</w:t>
            </w:r>
            <w:r w:rsidRPr="005060E0">
              <w:rPr>
                <w:b/>
                <w:color w:val="FFFFFF" w:themeColor="background1"/>
                <w:sz w:val="16"/>
                <w:szCs w:val="16"/>
                <w:vertAlign w:val="subscript"/>
              </w:rPr>
              <w:t>3</w:t>
            </w:r>
          </w:p>
        </w:tc>
      </w:tr>
      <w:tr w:rsidR="002F7139" w:rsidRPr="005060E0" w14:paraId="0B321C35" w14:textId="7739AB9A" w:rsidTr="00D35C2D">
        <w:trPr>
          <w:trHeight w:val="287"/>
          <w:tblHeader/>
        </w:trPr>
        <w:tc>
          <w:tcPr>
            <w:tcW w:w="370" w:type="pct"/>
            <w:vMerge/>
            <w:tcBorders>
              <w:top w:val="single" w:sz="4" w:space="0" w:color="606072"/>
              <w:left w:val="single" w:sz="4" w:space="0" w:color="606072"/>
              <w:bottom w:val="single" w:sz="4" w:space="0" w:color="606072"/>
              <w:right w:val="single" w:sz="4" w:space="0" w:color="606072"/>
            </w:tcBorders>
            <w:shd w:val="clear" w:color="auto" w:fill="606072"/>
            <w:tcMar>
              <w:left w:w="57" w:type="dxa"/>
              <w:right w:w="57" w:type="dxa"/>
            </w:tcMar>
            <w:vAlign w:val="center"/>
          </w:tcPr>
          <w:p w14:paraId="71F3A5DE" w14:textId="77777777" w:rsidR="005B2677" w:rsidRPr="005060E0" w:rsidRDefault="005B2677" w:rsidP="00D35C2D">
            <w:pPr>
              <w:widowControl w:val="0"/>
              <w:spacing w:after="0" w:line="240" w:lineRule="auto"/>
              <w:jc w:val="center"/>
              <w:rPr>
                <w:color w:val="FFFFFF" w:themeColor="background1"/>
                <w:sz w:val="16"/>
                <w:szCs w:val="16"/>
              </w:rPr>
            </w:pPr>
          </w:p>
        </w:tc>
        <w:tc>
          <w:tcPr>
            <w:tcW w:w="1542" w:type="pct"/>
            <w:vMerge/>
            <w:tcBorders>
              <w:top w:val="single" w:sz="4" w:space="0" w:color="606072"/>
              <w:left w:val="single" w:sz="4" w:space="0" w:color="606072"/>
              <w:bottom w:val="single" w:sz="4" w:space="0" w:color="606072"/>
              <w:right w:val="single" w:sz="4" w:space="0" w:color="606072"/>
            </w:tcBorders>
            <w:shd w:val="clear" w:color="auto" w:fill="606072"/>
            <w:tcMar>
              <w:left w:w="57" w:type="dxa"/>
              <w:right w:w="57" w:type="dxa"/>
            </w:tcMar>
            <w:vAlign w:val="center"/>
          </w:tcPr>
          <w:p w14:paraId="2B2F3840" w14:textId="77777777" w:rsidR="005B2677" w:rsidRPr="005060E0" w:rsidRDefault="005B2677" w:rsidP="00D35C2D">
            <w:pPr>
              <w:widowControl w:val="0"/>
              <w:spacing w:after="0" w:line="240" w:lineRule="auto"/>
              <w:rPr>
                <w:color w:val="FFFFFF" w:themeColor="background1"/>
                <w:sz w:val="16"/>
                <w:szCs w:val="16"/>
              </w:rPr>
            </w:pPr>
          </w:p>
        </w:tc>
        <w:tc>
          <w:tcPr>
            <w:tcW w:w="426" w:type="pct"/>
            <w:tcBorders>
              <w:top w:val="single" w:sz="4" w:space="0" w:color="606072"/>
              <w:left w:val="single" w:sz="4" w:space="0" w:color="606072"/>
              <w:bottom w:val="single" w:sz="4" w:space="0" w:color="606072"/>
              <w:right w:val="single" w:sz="4" w:space="0" w:color="606072"/>
            </w:tcBorders>
            <w:shd w:val="clear" w:color="auto" w:fill="606072"/>
            <w:vAlign w:val="center"/>
          </w:tcPr>
          <w:p w14:paraId="4D8DB9CE" w14:textId="77777777" w:rsidR="005B2677" w:rsidRPr="005060E0" w:rsidRDefault="005B2677" w:rsidP="00D35C2D">
            <w:pPr>
              <w:widowControl w:val="0"/>
              <w:spacing w:after="0" w:line="240" w:lineRule="auto"/>
              <w:jc w:val="center"/>
              <w:rPr>
                <w:color w:val="FFFFFF" w:themeColor="background1"/>
                <w:sz w:val="16"/>
                <w:szCs w:val="16"/>
              </w:rPr>
            </w:pPr>
            <w:r w:rsidRPr="005060E0">
              <w:rPr>
                <w:color w:val="FFFFFF" w:themeColor="background1"/>
                <w:sz w:val="16"/>
                <w:szCs w:val="16"/>
              </w:rPr>
              <w:t>CRF</w:t>
            </w:r>
            <w:r w:rsidRPr="005060E0">
              <w:rPr>
                <w:color w:val="FFFFFF" w:themeColor="background1"/>
                <w:sz w:val="16"/>
                <w:szCs w:val="16"/>
                <w:vertAlign w:val="superscript"/>
              </w:rPr>
              <w:t xml:space="preserve"> (a, b)</w:t>
            </w:r>
          </w:p>
        </w:tc>
        <w:tc>
          <w:tcPr>
            <w:tcW w:w="426" w:type="pct"/>
            <w:tcBorders>
              <w:top w:val="single" w:sz="4" w:space="0" w:color="606072"/>
              <w:left w:val="single" w:sz="4" w:space="0" w:color="606072"/>
              <w:bottom w:val="single" w:sz="4" w:space="0" w:color="606072"/>
              <w:right w:val="single" w:sz="4" w:space="0" w:color="606072"/>
            </w:tcBorders>
            <w:shd w:val="clear" w:color="auto" w:fill="606072"/>
            <w:vAlign w:val="center"/>
          </w:tcPr>
          <w:p w14:paraId="511DE369" w14:textId="77777777" w:rsidR="005B2677" w:rsidRPr="005060E0" w:rsidRDefault="005B2677" w:rsidP="00D35C2D">
            <w:pPr>
              <w:widowControl w:val="0"/>
              <w:spacing w:after="0" w:line="240" w:lineRule="auto"/>
              <w:jc w:val="center"/>
              <w:rPr>
                <w:color w:val="FFFFFF" w:themeColor="background1"/>
                <w:sz w:val="16"/>
                <w:szCs w:val="16"/>
              </w:rPr>
            </w:pPr>
            <w:r w:rsidRPr="005060E0">
              <w:rPr>
                <w:color w:val="FFFFFF" w:themeColor="background1"/>
                <w:sz w:val="16"/>
                <w:szCs w:val="16"/>
              </w:rPr>
              <w:t>Source</w:t>
            </w:r>
          </w:p>
        </w:tc>
        <w:tc>
          <w:tcPr>
            <w:tcW w:w="638" w:type="pct"/>
            <w:tcBorders>
              <w:top w:val="single" w:sz="4" w:space="0" w:color="606072"/>
              <w:left w:val="single" w:sz="4" w:space="0" w:color="606072"/>
              <w:bottom w:val="single" w:sz="4" w:space="0" w:color="606072"/>
              <w:right w:val="single" w:sz="4" w:space="0" w:color="606072"/>
            </w:tcBorders>
            <w:shd w:val="clear" w:color="auto" w:fill="606072"/>
            <w:vAlign w:val="center"/>
          </w:tcPr>
          <w:p w14:paraId="02AA093E" w14:textId="77777777" w:rsidR="005B2677" w:rsidRPr="005060E0" w:rsidRDefault="005B2677" w:rsidP="00D35C2D">
            <w:pPr>
              <w:widowControl w:val="0"/>
              <w:spacing w:after="0" w:line="240" w:lineRule="auto"/>
              <w:jc w:val="center"/>
              <w:rPr>
                <w:i/>
                <w:color w:val="FFFFFF" w:themeColor="background1"/>
                <w:sz w:val="16"/>
                <w:szCs w:val="16"/>
              </w:rPr>
            </w:pPr>
            <w:r w:rsidRPr="005060E0">
              <w:rPr>
                <w:color w:val="FFFFFF" w:themeColor="background1"/>
                <w:sz w:val="16"/>
                <w:szCs w:val="16"/>
              </w:rPr>
              <w:t>CRF</w:t>
            </w:r>
            <w:r w:rsidRPr="005060E0">
              <w:rPr>
                <w:color w:val="FFFFFF" w:themeColor="background1"/>
                <w:sz w:val="16"/>
                <w:szCs w:val="16"/>
                <w:vertAlign w:val="superscript"/>
              </w:rPr>
              <w:t xml:space="preserve"> (a, b)</w:t>
            </w:r>
          </w:p>
        </w:tc>
        <w:tc>
          <w:tcPr>
            <w:tcW w:w="480" w:type="pct"/>
            <w:tcBorders>
              <w:top w:val="single" w:sz="4" w:space="0" w:color="606072"/>
              <w:left w:val="single" w:sz="4" w:space="0" w:color="606072"/>
              <w:bottom w:val="single" w:sz="4" w:space="0" w:color="606072"/>
              <w:right w:val="single" w:sz="4" w:space="0" w:color="606072"/>
            </w:tcBorders>
            <w:shd w:val="clear" w:color="auto" w:fill="606072"/>
            <w:vAlign w:val="center"/>
          </w:tcPr>
          <w:p w14:paraId="503137AF" w14:textId="77777777" w:rsidR="005B2677" w:rsidRPr="005060E0" w:rsidRDefault="005B2677" w:rsidP="00D35C2D">
            <w:pPr>
              <w:widowControl w:val="0"/>
              <w:spacing w:after="0" w:line="240" w:lineRule="auto"/>
              <w:jc w:val="center"/>
              <w:rPr>
                <w:color w:val="FFFFFF" w:themeColor="background1"/>
                <w:sz w:val="16"/>
                <w:szCs w:val="16"/>
              </w:rPr>
            </w:pPr>
            <w:r w:rsidRPr="005060E0">
              <w:rPr>
                <w:color w:val="FFFFFF" w:themeColor="background1"/>
                <w:sz w:val="16"/>
                <w:szCs w:val="16"/>
              </w:rPr>
              <w:t>Source</w:t>
            </w:r>
          </w:p>
        </w:tc>
        <w:tc>
          <w:tcPr>
            <w:tcW w:w="586" w:type="pct"/>
            <w:tcBorders>
              <w:top w:val="single" w:sz="4" w:space="0" w:color="606072"/>
              <w:left w:val="single" w:sz="4" w:space="0" w:color="606072"/>
              <w:bottom w:val="single" w:sz="4" w:space="0" w:color="606072"/>
              <w:right w:val="single" w:sz="4" w:space="0" w:color="606072"/>
            </w:tcBorders>
            <w:shd w:val="clear" w:color="auto" w:fill="606072"/>
            <w:vAlign w:val="center"/>
          </w:tcPr>
          <w:p w14:paraId="47ACC794" w14:textId="6CE3F9CC" w:rsidR="005B2677" w:rsidRPr="005060E0" w:rsidRDefault="005B2677" w:rsidP="00D35C2D">
            <w:pPr>
              <w:widowControl w:val="0"/>
              <w:spacing w:after="0" w:line="240" w:lineRule="auto"/>
              <w:jc w:val="center"/>
              <w:rPr>
                <w:color w:val="FFFFFF" w:themeColor="background1"/>
                <w:sz w:val="16"/>
                <w:szCs w:val="16"/>
              </w:rPr>
            </w:pPr>
            <w:r w:rsidRPr="005060E0">
              <w:rPr>
                <w:color w:val="FFFFFF" w:themeColor="background1"/>
                <w:sz w:val="16"/>
                <w:szCs w:val="16"/>
              </w:rPr>
              <w:t>CRF</w:t>
            </w:r>
            <w:r w:rsidRPr="005060E0">
              <w:rPr>
                <w:color w:val="FFFFFF" w:themeColor="background1"/>
                <w:sz w:val="16"/>
                <w:szCs w:val="16"/>
                <w:vertAlign w:val="superscript"/>
              </w:rPr>
              <w:t xml:space="preserve"> (a, b)</w:t>
            </w:r>
          </w:p>
        </w:tc>
        <w:tc>
          <w:tcPr>
            <w:tcW w:w="532" w:type="pct"/>
            <w:tcBorders>
              <w:top w:val="single" w:sz="4" w:space="0" w:color="606072"/>
              <w:left w:val="single" w:sz="4" w:space="0" w:color="606072"/>
              <w:bottom w:val="single" w:sz="4" w:space="0" w:color="606072"/>
              <w:right w:val="single" w:sz="4" w:space="0" w:color="606072"/>
            </w:tcBorders>
            <w:shd w:val="clear" w:color="auto" w:fill="606072"/>
            <w:vAlign w:val="center"/>
          </w:tcPr>
          <w:p w14:paraId="7A79371E" w14:textId="00F2F209" w:rsidR="005B2677" w:rsidRPr="005060E0" w:rsidRDefault="005B2677" w:rsidP="00D35C2D">
            <w:pPr>
              <w:widowControl w:val="0"/>
              <w:spacing w:after="0" w:line="240" w:lineRule="auto"/>
              <w:jc w:val="center"/>
              <w:rPr>
                <w:color w:val="FFFFFF" w:themeColor="background1"/>
                <w:sz w:val="16"/>
                <w:szCs w:val="16"/>
              </w:rPr>
            </w:pPr>
            <w:r w:rsidRPr="005060E0">
              <w:rPr>
                <w:color w:val="FFFFFF" w:themeColor="background1"/>
                <w:sz w:val="16"/>
                <w:szCs w:val="16"/>
              </w:rPr>
              <w:t>Source</w:t>
            </w:r>
          </w:p>
        </w:tc>
      </w:tr>
      <w:tr w:rsidR="002F7139" w:rsidRPr="005060E0" w14:paraId="638ED9FE" w14:textId="174463A0" w:rsidTr="00D35C2D">
        <w:trPr>
          <w:trHeight w:hRule="exact" w:val="680"/>
        </w:trPr>
        <w:tc>
          <w:tcPr>
            <w:tcW w:w="370" w:type="pct"/>
            <w:vMerge w:val="restart"/>
            <w:tcBorders>
              <w:top w:val="single" w:sz="4" w:space="0" w:color="606072"/>
            </w:tcBorders>
            <w:shd w:val="clear" w:color="auto" w:fill="auto"/>
            <w:tcMar>
              <w:left w:w="57" w:type="dxa"/>
              <w:right w:w="57" w:type="dxa"/>
            </w:tcMar>
            <w:vAlign w:val="center"/>
          </w:tcPr>
          <w:p w14:paraId="1C70C964" w14:textId="77777777" w:rsidR="009370D9" w:rsidRPr="005060E0" w:rsidRDefault="009370D9" w:rsidP="00D35C2D">
            <w:pPr>
              <w:widowControl w:val="0"/>
              <w:spacing w:after="0" w:line="240" w:lineRule="auto"/>
              <w:jc w:val="center"/>
              <w:rPr>
                <w:sz w:val="16"/>
                <w:szCs w:val="16"/>
              </w:rPr>
            </w:pPr>
            <w:r w:rsidRPr="005060E0">
              <w:rPr>
                <w:sz w:val="16"/>
                <w:szCs w:val="16"/>
              </w:rPr>
              <w:t>Annual average</w:t>
            </w:r>
          </w:p>
        </w:tc>
        <w:tc>
          <w:tcPr>
            <w:tcW w:w="1542" w:type="pct"/>
            <w:tcBorders>
              <w:top w:val="single" w:sz="4" w:space="0" w:color="606072"/>
              <w:bottom w:val="dotted" w:sz="4" w:space="0" w:color="606072"/>
            </w:tcBorders>
            <w:shd w:val="clear" w:color="auto" w:fill="auto"/>
            <w:tcMar>
              <w:left w:w="57" w:type="dxa"/>
              <w:right w:w="57" w:type="dxa"/>
            </w:tcMar>
            <w:vAlign w:val="center"/>
          </w:tcPr>
          <w:p w14:paraId="2DEAB448" w14:textId="61E24F7C" w:rsidR="009370D9" w:rsidRPr="005060E0" w:rsidRDefault="009370D9" w:rsidP="00D35C2D">
            <w:pPr>
              <w:widowControl w:val="0"/>
              <w:spacing w:after="0" w:line="240" w:lineRule="auto"/>
              <w:rPr>
                <w:sz w:val="16"/>
                <w:szCs w:val="16"/>
              </w:rPr>
            </w:pPr>
            <w:r w:rsidRPr="005060E0">
              <w:rPr>
                <w:sz w:val="16"/>
                <w:szCs w:val="16"/>
              </w:rPr>
              <w:t>Annual all-cause</w:t>
            </w:r>
            <w:r w:rsidR="00627461" w:rsidRPr="005060E0">
              <w:rPr>
                <w:sz w:val="16"/>
                <w:szCs w:val="16"/>
                <w:vertAlign w:val="superscript"/>
              </w:rPr>
              <w:t>(c)</w:t>
            </w:r>
            <w:r w:rsidRPr="005060E0">
              <w:rPr>
                <w:sz w:val="16"/>
                <w:szCs w:val="16"/>
              </w:rPr>
              <w:t xml:space="preserve"> mortality (30+)</w:t>
            </w:r>
          </w:p>
        </w:tc>
        <w:tc>
          <w:tcPr>
            <w:tcW w:w="426" w:type="pct"/>
            <w:tcBorders>
              <w:top w:val="single" w:sz="4" w:space="0" w:color="606072"/>
              <w:bottom w:val="dotted" w:sz="4" w:space="0" w:color="606072"/>
              <w:right w:val="dotted" w:sz="4" w:space="0" w:color="606072"/>
            </w:tcBorders>
            <w:vAlign w:val="center"/>
          </w:tcPr>
          <w:p w14:paraId="125DB362" w14:textId="39928658" w:rsidR="009370D9" w:rsidRPr="005060E0" w:rsidRDefault="00C43D99" w:rsidP="00D35C2D">
            <w:pPr>
              <w:widowControl w:val="0"/>
              <w:spacing w:after="0" w:line="240" w:lineRule="auto"/>
              <w:jc w:val="center"/>
              <w:rPr>
                <w:sz w:val="16"/>
                <w:szCs w:val="16"/>
              </w:rPr>
            </w:pPr>
            <w:r w:rsidRPr="005060E0">
              <w:rPr>
                <w:sz w:val="16"/>
                <w:szCs w:val="16"/>
              </w:rPr>
              <w:t>–</w:t>
            </w:r>
          </w:p>
        </w:tc>
        <w:tc>
          <w:tcPr>
            <w:tcW w:w="426" w:type="pct"/>
            <w:tcBorders>
              <w:top w:val="single" w:sz="4" w:space="0" w:color="606072"/>
              <w:left w:val="dotted" w:sz="4" w:space="0" w:color="606072"/>
              <w:bottom w:val="dotted" w:sz="4" w:space="0" w:color="606072"/>
            </w:tcBorders>
            <w:vAlign w:val="center"/>
          </w:tcPr>
          <w:p w14:paraId="2FB78235" w14:textId="2A55445E" w:rsidR="009370D9" w:rsidRPr="005060E0" w:rsidRDefault="00C43D99" w:rsidP="00D35C2D">
            <w:pPr>
              <w:widowControl w:val="0"/>
              <w:spacing w:after="0" w:line="240" w:lineRule="auto"/>
              <w:jc w:val="center"/>
              <w:rPr>
                <w:sz w:val="16"/>
                <w:szCs w:val="16"/>
              </w:rPr>
            </w:pPr>
            <w:r w:rsidRPr="005060E0">
              <w:rPr>
                <w:sz w:val="16"/>
                <w:szCs w:val="16"/>
              </w:rPr>
              <w:t>–</w:t>
            </w:r>
          </w:p>
        </w:tc>
        <w:tc>
          <w:tcPr>
            <w:tcW w:w="638" w:type="pct"/>
            <w:tcBorders>
              <w:top w:val="single" w:sz="4" w:space="0" w:color="606072"/>
              <w:bottom w:val="dotted" w:sz="4" w:space="0" w:color="606072"/>
              <w:right w:val="dotted" w:sz="4" w:space="0" w:color="606072"/>
            </w:tcBorders>
            <w:vAlign w:val="center"/>
          </w:tcPr>
          <w:p w14:paraId="2E0AE94C" w14:textId="77777777" w:rsidR="009370D9" w:rsidRPr="005060E0" w:rsidRDefault="009370D9" w:rsidP="00D35C2D">
            <w:pPr>
              <w:widowControl w:val="0"/>
              <w:spacing w:after="0" w:line="240" w:lineRule="auto"/>
              <w:jc w:val="center"/>
              <w:rPr>
                <w:sz w:val="16"/>
                <w:szCs w:val="16"/>
              </w:rPr>
            </w:pPr>
            <w:r w:rsidRPr="005060E0">
              <w:rPr>
                <w:sz w:val="16"/>
                <w:szCs w:val="16"/>
              </w:rPr>
              <w:t>0.94</w:t>
            </w:r>
          </w:p>
          <w:p w14:paraId="0580BD81" w14:textId="5BDEBDA5" w:rsidR="009370D9" w:rsidRPr="005060E0" w:rsidRDefault="009370D9" w:rsidP="00D35C2D">
            <w:pPr>
              <w:widowControl w:val="0"/>
              <w:spacing w:after="0" w:line="240" w:lineRule="auto"/>
              <w:jc w:val="center"/>
              <w:rPr>
                <w:sz w:val="16"/>
                <w:szCs w:val="16"/>
              </w:rPr>
            </w:pPr>
            <w:r w:rsidRPr="005060E0">
              <w:rPr>
                <w:sz w:val="16"/>
                <w:szCs w:val="16"/>
              </w:rPr>
              <w:t xml:space="preserve">(0.53 </w:t>
            </w:r>
            <w:r w:rsidR="00C43D99" w:rsidRPr="005060E0">
              <w:rPr>
                <w:sz w:val="16"/>
                <w:szCs w:val="16"/>
              </w:rPr>
              <w:t>–</w:t>
            </w:r>
            <w:r w:rsidRPr="005060E0">
              <w:rPr>
                <w:sz w:val="16"/>
                <w:szCs w:val="16"/>
              </w:rPr>
              <w:t xml:space="preserve"> 1.37)</w:t>
            </w:r>
          </w:p>
          <w:p w14:paraId="73A4CB5E" w14:textId="5B5EE21A" w:rsidR="008537CD" w:rsidRPr="005060E0" w:rsidRDefault="002F7139" w:rsidP="00D35C2D">
            <w:pPr>
              <w:widowControl w:val="0"/>
              <w:spacing w:after="0" w:line="240" w:lineRule="auto"/>
              <w:jc w:val="center"/>
              <w:rPr>
                <w:i/>
                <w:sz w:val="16"/>
                <w:szCs w:val="16"/>
              </w:rPr>
            </w:pPr>
            <w:r w:rsidRPr="005060E0">
              <w:rPr>
                <w:i/>
                <w:sz w:val="16"/>
                <w:szCs w:val="16"/>
              </w:rPr>
              <w:t>[c</w:t>
            </w:r>
            <w:r w:rsidR="008537CD" w:rsidRPr="005060E0">
              <w:rPr>
                <w:i/>
                <w:sz w:val="16"/>
                <w:szCs w:val="16"/>
              </w:rPr>
              <w:t>ut</w:t>
            </w:r>
            <w:r w:rsidR="00C43D99" w:rsidRPr="005060E0">
              <w:rPr>
                <w:i/>
                <w:sz w:val="16"/>
                <w:szCs w:val="16"/>
              </w:rPr>
              <w:t>-</w:t>
            </w:r>
            <w:r w:rsidR="008537CD" w:rsidRPr="005060E0">
              <w:rPr>
                <w:i/>
                <w:sz w:val="16"/>
                <w:szCs w:val="16"/>
              </w:rPr>
              <w:t>off at 20 </w:t>
            </w:r>
            <w:r w:rsidR="008537CD" w:rsidRPr="005060E0">
              <w:rPr>
                <w:rFonts w:ascii="Calibri" w:hAnsi="Calibri" w:cs="Calibri"/>
                <w:i/>
                <w:sz w:val="16"/>
                <w:szCs w:val="16"/>
              </w:rPr>
              <w:t>µ</w:t>
            </w:r>
            <w:r w:rsidR="008537CD" w:rsidRPr="005060E0">
              <w:rPr>
                <w:i/>
                <w:sz w:val="16"/>
                <w:szCs w:val="16"/>
              </w:rPr>
              <w:t>g/m</w:t>
            </w:r>
            <w:r w:rsidR="008537CD" w:rsidRPr="005060E0">
              <w:rPr>
                <w:i/>
                <w:sz w:val="16"/>
                <w:szCs w:val="16"/>
                <w:vertAlign w:val="superscript"/>
              </w:rPr>
              <w:t>3</w:t>
            </w:r>
            <w:r w:rsidR="008537CD" w:rsidRPr="005060E0">
              <w:rPr>
                <w:i/>
                <w:sz w:val="16"/>
                <w:szCs w:val="16"/>
              </w:rPr>
              <w:t>]</w:t>
            </w:r>
          </w:p>
        </w:tc>
        <w:tc>
          <w:tcPr>
            <w:tcW w:w="480" w:type="pct"/>
            <w:tcBorders>
              <w:top w:val="single" w:sz="4" w:space="0" w:color="606072"/>
              <w:left w:val="dotted" w:sz="4" w:space="0" w:color="606072"/>
              <w:bottom w:val="dotted" w:sz="4" w:space="0" w:color="606072"/>
            </w:tcBorders>
            <w:vAlign w:val="center"/>
          </w:tcPr>
          <w:p w14:paraId="141ACF49" w14:textId="77777777" w:rsidR="009370D9" w:rsidRPr="005060E0" w:rsidRDefault="009370D9" w:rsidP="00D35C2D">
            <w:pPr>
              <w:widowControl w:val="0"/>
              <w:spacing w:after="0" w:line="240" w:lineRule="auto"/>
              <w:jc w:val="center"/>
              <w:rPr>
                <w:i/>
                <w:sz w:val="16"/>
                <w:szCs w:val="16"/>
              </w:rPr>
            </w:pPr>
            <w:r w:rsidRPr="005060E0">
              <w:rPr>
                <w:rFonts w:eastAsia="Times New Roman"/>
                <w:sz w:val="16"/>
                <w:szCs w:val="16"/>
                <w:lang w:eastAsia="en-AU"/>
              </w:rPr>
              <w:t>WHO (2013b)</w:t>
            </w:r>
          </w:p>
        </w:tc>
        <w:tc>
          <w:tcPr>
            <w:tcW w:w="586" w:type="pct"/>
            <w:tcBorders>
              <w:top w:val="single" w:sz="4" w:space="0" w:color="606072"/>
              <w:left w:val="dotted" w:sz="4" w:space="0" w:color="606072"/>
              <w:bottom w:val="dotted" w:sz="4" w:space="0" w:color="606072"/>
              <w:right w:val="dotted" w:sz="4" w:space="0" w:color="606072"/>
            </w:tcBorders>
            <w:vAlign w:val="center"/>
          </w:tcPr>
          <w:p w14:paraId="7797C032" w14:textId="290E8A62" w:rsidR="009370D9" w:rsidRPr="005060E0" w:rsidRDefault="00C43D99" w:rsidP="00D35C2D">
            <w:pPr>
              <w:widowControl w:val="0"/>
              <w:spacing w:after="0" w:line="240" w:lineRule="auto"/>
              <w:jc w:val="center"/>
              <w:rPr>
                <w:rFonts w:eastAsia="Times New Roman"/>
                <w:sz w:val="16"/>
                <w:szCs w:val="16"/>
                <w:lang w:eastAsia="en-AU"/>
              </w:rPr>
            </w:pPr>
            <w:r w:rsidRPr="005060E0">
              <w:rPr>
                <w:sz w:val="16"/>
                <w:szCs w:val="16"/>
              </w:rPr>
              <w:t>–</w:t>
            </w:r>
          </w:p>
        </w:tc>
        <w:tc>
          <w:tcPr>
            <w:tcW w:w="532" w:type="pct"/>
            <w:tcBorders>
              <w:top w:val="single" w:sz="4" w:space="0" w:color="606072"/>
              <w:left w:val="dotted" w:sz="4" w:space="0" w:color="606072"/>
              <w:bottom w:val="dotted" w:sz="4" w:space="0" w:color="606072"/>
            </w:tcBorders>
            <w:vAlign w:val="center"/>
          </w:tcPr>
          <w:p w14:paraId="35AEAFFE" w14:textId="7850C4C3" w:rsidR="009370D9" w:rsidRPr="005060E0" w:rsidRDefault="00C43D99" w:rsidP="00D35C2D">
            <w:pPr>
              <w:widowControl w:val="0"/>
              <w:spacing w:after="0" w:line="240" w:lineRule="auto"/>
              <w:jc w:val="center"/>
              <w:rPr>
                <w:rFonts w:eastAsia="Times New Roman"/>
                <w:sz w:val="16"/>
                <w:szCs w:val="16"/>
                <w:lang w:eastAsia="en-AU"/>
              </w:rPr>
            </w:pPr>
            <w:r w:rsidRPr="005060E0">
              <w:rPr>
                <w:sz w:val="16"/>
                <w:szCs w:val="16"/>
              </w:rPr>
              <w:t>–</w:t>
            </w:r>
          </w:p>
        </w:tc>
      </w:tr>
      <w:tr w:rsidR="002F7139" w:rsidRPr="005060E0" w14:paraId="46D84D9D" w14:textId="09A265F7" w:rsidTr="00D35C2D">
        <w:trPr>
          <w:trHeight w:val="397"/>
        </w:trPr>
        <w:tc>
          <w:tcPr>
            <w:tcW w:w="370" w:type="pct"/>
            <w:vMerge/>
            <w:shd w:val="clear" w:color="auto" w:fill="auto"/>
            <w:tcMar>
              <w:left w:w="57" w:type="dxa"/>
              <w:right w:w="57" w:type="dxa"/>
            </w:tcMar>
            <w:vAlign w:val="center"/>
          </w:tcPr>
          <w:p w14:paraId="7A4DC122" w14:textId="77777777" w:rsidR="009370D9" w:rsidRPr="005060E0" w:rsidRDefault="009370D9" w:rsidP="00D35C2D">
            <w:pPr>
              <w:widowControl w:val="0"/>
              <w:spacing w:after="0" w:line="240" w:lineRule="auto"/>
              <w:jc w:val="center"/>
              <w:rPr>
                <w:sz w:val="16"/>
                <w:szCs w:val="16"/>
              </w:rPr>
            </w:pPr>
          </w:p>
        </w:tc>
        <w:tc>
          <w:tcPr>
            <w:tcW w:w="1542" w:type="pct"/>
            <w:tcBorders>
              <w:top w:val="dotted" w:sz="4" w:space="0" w:color="606072"/>
              <w:bottom w:val="dotted" w:sz="4" w:space="0" w:color="606072"/>
            </w:tcBorders>
            <w:shd w:val="clear" w:color="auto" w:fill="auto"/>
            <w:tcMar>
              <w:left w:w="57" w:type="dxa"/>
              <w:right w:w="57" w:type="dxa"/>
            </w:tcMar>
            <w:vAlign w:val="center"/>
          </w:tcPr>
          <w:p w14:paraId="13F729B8" w14:textId="77777777" w:rsidR="009370D9" w:rsidRPr="005060E0" w:rsidRDefault="009370D9" w:rsidP="00D35C2D">
            <w:pPr>
              <w:widowControl w:val="0"/>
              <w:spacing w:after="0" w:line="240" w:lineRule="auto"/>
              <w:rPr>
                <w:sz w:val="16"/>
                <w:szCs w:val="16"/>
              </w:rPr>
            </w:pPr>
            <w:r w:rsidRPr="005060E0">
              <w:rPr>
                <w:sz w:val="16"/>
                <w:szCs w:val="16"/>
              </w:rPr>
              <w:t>Annual cardiovascular mortality (30+)</w:t>
            </w:r>
          </w:p>
        </w:tc>
        <w:tc>
          <w:tcPr>
            <w:tcW w:w="426" w:type="pct"/>
            <w:tcBorders>
              <w:top w:val="dotted" w:sz="4" w:space="0" w:color="606072"/>
              <w:bottom w:val="dotted" w:sz="4" w:space="0" w:color="606072"/>
              <w:right w:val="dotted" w:sz="4" w:space="0" w:color="606072"/>
            </w:tcBorders>
            <w:vAlign w:val="center"/>
          </w:tcPr>
          <w:p w14:paraId="30F6F483" w14:textId="12FEA50D" w:rsidR="009370D9" w:rsidRPr="005060E0" w:rsidRDefault="00C43D99" w:rsidP="00D35C2D">
            <w:pPr>
              <w:widowControl w:val="0"/>
              <w:spacing w:after="0" w:line="240" w:lineRule="auto"/>
              <w:jc w:val="center"/>
              <w:rPr>
                <w:sz w:val="16"/>
                <w:szCs w:val="16"/>
              </w:rPr>
            </w:pPr>
            <w:r w:rsidRPr="005060E0">
              <w:rPr>
                <w:sz w:val="16"/>
                <w:szCs w:val="16"/>
              </w:rPr>
              <w:t>–</w:t>
            </w:r>
          </w:p>
        </w:tc>
        <w:tc>
          <w:tcPr>
            <w:tcW w:w="426" w:type="pct"/>
            <w:tcBorders>
              <w:top w:val="dotted" w:sz="4" w:space="0" w:color="606072"/>
              <w:left w:val="dotted" w:sz="4" w:space="0" w:color="606072"/>
              <w:bottom w:val="dotted" w:sz="4" w:space="0" w:color="606072"/>
            </w:tcBorders>
            <w:vAlign w:val="center"/>
          </w:tcPr>
          <w:p w14:paraId="0D0F213B" w14:textId="241B4B0D" w:rsidR="009370D9" w:rsidRPr="005060E0" w:rsidRDefault="00C43D99" w:rsidP="00D35C2D">
            <w:pPr>
              <w:widowControl w:val="0"/>
              <w:spacing w:after="0" w:line="240" w:lineRule="auto"/>
              <w:jc w:val="center"/>
              <w:rPr>
                <w:sz w:val="16"/>
                <w:szCs w:val="16"/>
              </w:rPr>
            </w:pPr>
            <w:r w:rsidRPr="005060E0">
              <w:rPr>
                <w:sz w:val="16"/>
                <w:szCs w:val="16"/>
              </w:rPr>
              <w:t>–</w:t>
            </w:r>
          </w:p>
        </w:tc>
        <w:tc>
          <w:tcPr>
            <w:tcW w:w="638" w:type="pct"/>
            <w:tcBorders>
              <w:top w:val="dotted" w:sz="4" w:space="0" w:color="606072"/>
              <w:bottom w:val="dotted" w:sz="4" w:space="0" w:color="606072"/>
              <w:right w:val="dotted" w:sz="4" w:space="0" w:color="606072"/>
            </w:tcBorders>
            <w:vAlign w:val="center"/>
          </w:tcPr>
          <w:p w14:paraId="187A8D88" w14:textId="128F736A" w:rsidR="009370D9" w:rsidRPr="005060E0" w:rsidRDefault="00C43D99" w:rsidP="00D35C2D">
            <w:pPr>
              <w:widowControl w:val="0"/>
              <w:spacing w:after="0" w:line="240" w:lineRule="auto"/>
              <w:jc w:val="center"/>
              <w:rPr>
                <w:i/>
                <w:sz w:val="16"/>
                <w:szCs w:val="16"/>
              </w:rPr>
            </w:pPr>
            <w:r w:rsidRPr="005060E0">
              <w:rPr>
                <w:sz w:val="16"/>
                <w:szCs w:val="16"/>
              </w:rPr>
              <w:t>–</w:t>
            </w:r>
          </w:p>
        </w:tc>
        <w:tc>
          <w:tcPr>
            <w:tcW w:w="480" w:type="pct"/>
            <w:tcBorders>
              <w:top w:val="dotted" w:sz="4" w:space="0" w:color="606072"/>
              <w:left w:val="dotted" w:sz="4" w:space="0" w:color="606072"/>
              <w:bottom w:val="dotted" w:sz="4" w:space="0" w:color="606072"/>
            </w:tcBorders>
            <w:vAlign w:val="center"/>
          </w:tcPr>
          <w:p w14:paraId="30945D9E" w14:textId="7D687C9E" w:rsidR="009370D9" w:rsidRPr="005060E0" w:rsidRDefault="00C43D99" w:rsidP="00D35C2D">
            <w:pPr>
              <w:widowControl w:val="0"/>
              <w:spacing w:after="0" w:line="240" w:lineRule="auto"/>
              <w:jc w:val="center"/>
              <w:rPr>
                <w:i/>
                <w:sz w:val="16"/>
                <w:szCs w:val="16"/>
              </w:rPr>
            </w:pPr>
            <w:r w:rsidRPr="005060E0">
              <w:rPr>
                <w:i/>
                <w:sz w:val="16"/>
                <w:szCs w:val="16"/>
              </w:rPr>
              <w:t>–</w:t>
            </w:r>
          </w:p>
        </w:tc>
        <w:tc>
          <w:tcPr>
            <w:tcW w:w="586" w:type="pct"/>
            <w:tcBorders>
              <w:top w:val="dotted" w:sz="4" w:space="0" w:color="606072"/>
              <w:left w:val="dotted" w:sz="4" w:space="0" w:color="606072"/>
              <w:bottom w:val="dotted" w:sz="4" w:space="0" w:color="606072"/>
              <w:right w:val="dotted" w:sz="4" w:space="0" w:color="606072"/>
            </w:tcBorders>
            <w:vAlign w:val="center"/>
          </w:tcPr>
          <w:p w14:paraId="282130C3" w14:textId="055B95E9" w:rsidR="009370D9" w:rsidRPr="005060E0" w:rsidRDefault="00C43D99" w:rsidP="00D35C2D">
            <w:pPr>
              <w:widowControl w:val="0"/>
              <w:spacing w:after="0" w:line="240" w:lineRule="auto"/>
              <w:jc w:val="center"/>
              <w:rPr>
                <w:i/>
                <w:sz w:val="16"/>
                <w:szCs w:val="16"/>
              </w:rPr>
            </w:pPr>
            <w:r w:rsidRPr="005060E0">
              <w:rPr>
                <w:sz w:val="16"/>
                <w:szCs w:val="16"/>
              </w:rPr>
              <w:t>–</w:t>
            </w:r>
          </w:p>
        </w:tc>
        <w:tc>
          <w:tcPr>
            <w:tcW w:w="532" w:type="pct"/>
            <w:tcBorders>
              <w:top w:val="dotted" w:sz="4" w:space="0" w:color="606072"/>
              <w:left w:val="dotted" w:sz="4" w:space="0" w:color="606072"/>
              <w:bottom w:val="dotted" w:sz="4" w:space="0" w:color="606072"/>
            </w:tcBorders>
            <w:vAlign w:val="center"/>
          </w:tcPr>
          <w:p w14:paraId="362E5B2B" w14:textId="07BE10D4" w:rsidR="009370D9" w:rsidRPr="005060E0" w:rsidRDefault="00C43D99" w:rsidP="00D35C2D">
            <w:pPr>
              <w:widowControl w:val="0"/>
              <w:spacing w:after="0" w:line="240" w:lineRule="auto"/>
              <w:jc w:val="center"/>
              <w:rPr>
                <w:i/>
                <w:sz w:val="16"/>
                <w:szCs w:val="16"/>
              </w:rPr>
            </w:pPr>
            <w:r w:rsidRPr="005060E0">
              <w:rPr>
                <w:sz w:val="16"/>
                <w:szCs w:val="16"/>
              </w:rPr>
              <w:t>–</w:t>
            </w:r>
          </w:p>
        </w:tc>
      </w:tr>
      <w:tr w:rsidR="002F7139" w:rsidRPr="005060E0" w14:paraId="725D3790" w14:textId="2B6C616E" w:rsidTr="00D35C2D">
        <w:trPr>
          <w:trHeight w:val="397"/>
        </w:trPr>
        <w:tc>
          <w:tcPr>
            <w:tcW w:w="370" w:type="pct"/>
            <w:vMerge/>
            <w:shd w:val="clear" w:color="auto" w:fill="auto"/>
            <w:tcMar>
              <w:left w:w="57" w:type="dxa"/>
              <w:right w:w="57" w:type="dxa"/>
            </w:tcMar>
            <w:vAlign w:val="center"/>
          </w:tcPr>
          <w:p w14:paraId="73266A5B" w14:textId="77777777" w:rsidR="00535C25" w:rsidRPr="005060E0" w:rsidRDefault="00535C25" w:rsidP="00D35C2D">
            <w:pPr>
              <w:widowControl w:val="0"/>
              <w:spacing w:after="0" w:line="240" w:lineRule="auto"/>
              <w:jc w:val="center"/>
              <w:rPr>
                <w:sz w:val="16"/>
                <w:szCs w:val="16"/>
              </w:rPr>
            </w:pPr>
          </w:p>
        </w:tc>
        <w:tc>
          <w:tcPr>
            <w:tcW w:w="1542" w:type="pct"/>
            <w:tcBorders>
              <w:top w:val="dotted" w:sz="4" w:space="0" w:color="606072"/>
            </w:tcBorders>
            <w:shd w:val="clear" w:color="auto" w:fill="auto"/>
            <w:tcMar>
              <w:left w:w="57" w:type="dxa"/>
              <w:right w:w="57" w:type="dxa"/>
            </w:tcMar>
            <w:vAlign w:val="center"/>
          </w:tcPr>
          <w:p w14:paraId="23CB1B99" w14:textId="77777777" w:rsidR="00535C25" w:rsidRPr="005060E0" w:rsidRDefault="00535C25" w:rsidP="00D35C2D">
            <w:pPr>
              <w:widowControl w:val="0"/>
              <w:spacing w:after="0" w:line="240" w:lineRule="auto"/>
              <w:rPr>
                <w:sz w:val="16"/>
                <w:szCs w:val="16"/>
              </w:rPr>
            </w:pPr>
            <w:r w:rsidRPr="005060E0">
              <w:rPr>
                <w:sz w:val="16"/>
                <w:szCs w:val="16"/>
              </w:rPr>
              <w:t>Annual respiratory mortality (30+)</w:t>
            </w:r>
          </w:p>
        </w:tc>
        <w:tc>
          <w:tcPr>
            <w:tcW w:w="426" w:type="pct"/>
            <w:tcBorders>
              <w:top w:val="dotted" w:sz="4" w:space="0" w:color="606072"/>
              <w:right w:val="dotted" w:sz="4" w:space="0" w:color="606072"/>
            </w:tcBorders>
            <w:vAlign w:val="center"/>
          </w:tcPr>
          <w:p w14:paraId="755EA952" w14:textId="6A24BB50" w:rsidR="00535C25" w:rsidRPr="005060E0" w:rsidRDefault="00C43D99" w:rsidP="00D35C2D">
            <w:pPr>
              <w:widowControl w:val="0"/>
              <w:spacing w:after="0" w:line="240" w:lineRule="auto"/>
              <w:jc w:val="center"/>
              <w:rPr>
                <w:sz w:val="16"/>
                <w:szCs w:val="16"/>
              </w:rPr>
            </w:pPr>
            <w:r w:rsidRPr="005060E0">
              <w:rPr>
                <w:sz w:val="16"/>
                <w:szCs w:val="16"/>
              </w:rPr>
              <w:t>–</w:t>
            </w:r>
          </w:p>
        </w:tc>
        <w:tc>
          <w:tcPr>
            <w:tcW w:w="426" w:type="pct"/>
            <w:tcBorders>
              <w:top w:val="dotted" w:sz="4" w:space="0" w:color="606072"/>
              <w:left w:val="dotted" w:sz="4" w:space="0" w:color="606072"/>
            </w:tcBorders>
            <w:vAlign w:val="center"/>
          </w:tcPr>
          <w:p w14:paraId="4B92B788" w14:textId="21EF6644" w:rsidR="00535C25" w:rsidRPr="005060E0" w:rsidRDefault="00C43D99" w:rsidP="00D35C2D">
            <w:pPr>
              <w:widowControl w:val="0"/>
              <w:spacing w:after="0" w:line="240" w:lineRule="auto"/>
              <w:jc w:val="center"/>
              <w:rPr>
                <w:sz w:val="16"/>
                <w:szCs w:val="16"/>
              </w:rPr>
            </w:pPr>
            <w:r w:rsidRPr="005060E0">
              <w:rPr>
                <w:sz w:val="16"/>
                <w:szCs w:val="16"/>
              </w:rPr>
              <w:t>–</w:t>
            </w:r>
          </w:p>
        </w:tc>
        <w:tc>
          <w:tcPr>
            <w:tcW w:w="638" w:type="pct"/>
            <w:tcBorders>
              <w:top w:val="dotted" w:sz="4" w:space="0" w:color="606072"/>
              <w:right w:val="dotted" w:sz="4" w:space="0" w:color="606072"/>
            </w:tcBorders>
            <w:vAlign w:val="center"/>
          </w:tcPr>
          <w:p w14:paraId="5697C947" w14:textId="589DDC8F" w:rsidR="00535C25" w:rsidRPr="005060E0" w:rsidRDefault="00C43D99" w:rsidP="00D35C2D">
            <w:pPr>
              <w:widowControl w:val="0"/>
              <w:spacing w:after="0" w:line="240" w:lineRule="auto"/>
              <w:jc w:val="center"/>
              <w:rPr>
                <w:i/>
                <w:sz w:val="16"/>
                <w:szCs w:val="16"/>
              </w:rPr>
            </w:pPr>
            <w:r w:rsidRPr="005060E0">
              <w:rPr>
                <w:sz w:val="16"/>
                <w:szCs w:val="16"/>
              </w:rPr>
              <w:t>–</w:t>
            </w:r>
          </w:p>
        </w:tc>
        <w:tc>
          <w:tcPr>
            <w:tcW w:w="480" w:type="pct"/>
            <w:tcBorders>
              <w:top w:val="dotted" w:sz="4" w:space="0" w:color="606072"/>
              <w:left w:val="dotted" w:sz="4" w:space="0" w:color="606072"/>
            </w:tcBorders>
            <w:vAlign w:val="center"/>
          </w:tcPr>
          <w:p w14:paraId="18117FB6" w14:textId="51DF8E89" w:rsidR="00535C25" w:rsidRPr="005060E0" w:rsidRDefault="00C43D99" w:rsidP="00D35C2D">
            <w:pPr>
              <w:widowControl w:val="0"/>
              <w:spacing w:after="0" w:line="240" w:lineRule="auto"/>
              <w:jc w:val="center"/>
              <w:rPr>
                <w:i/>
                <w:sz w:val="16"/>
                <w:szCs w:val="16"/>
              </w:rPr>
            </w:pPr>
            <w:r w:rsidRPr="005060E0">
              <w:rPr>
                <w:i/>
                <w:sz w:val="16"/>
                <w:szCs w:val="16"/>
              </w:rPr>
              <w:t>–</w:t>
            </w:r>
          </w:p>
        </w:tc>
        <w:tc>
          <w:tcPr>
            <w:tcW w:w="586" w:type="pct"/>
            <w:tcBorders>
              <w:top w:val="dotted" w:sz="4" w:space="0" w:color="606072"/>
              <w:left w:val="dotted" w:sz="4" w:space="0" w:color="606072"/>
              <w:right w:val="dotted" w:sz="4" w:space="0" w:color="606072"/>
            </w:tcBorders>
            <w:vAlign w:val="center"/>
          </w:tcPr>
          <w:p w14:paraId="064770AD" w14:textId="3196A6E1" w:rsidR="00535C25" w:rsidRPr="005060E0" w:rsidRDefault="00C43D99" w:rsidP="00D35C2D">
            <w:pPr>
              <w:widowControl w:val="0"/>
              <w:spacing w:after="0" w:line="240" w:lineRule="auto"/>
              <w:jc w:val="center"/>
              <w:rPr>
                <w:i/>
                <w:sz w:val="16"/>
                <w:szCs w:val="16"/>
              </w:rPr>
            </w:pPr>
            <w:r w:rsidRPr="005060E0">
              <w:rPr>
                <w:sz w:val="16"/>
                <w:szCs w:val="16"/>
              </w:rPr>
              <w:t>–</w:t>
            </w:r>
          </w:p>
        </w:tc>
        <w:tc>
          <w:tcPr>
            <w:tcW w:w="532" w:type="pct"/>
            <w:tcBorders>
              <w:top w:val="dotted" w:sz="4" w:space="0" w:color="606072"/>
              <w:left w:val="dotted" w:sz="4" w:space="0" w:color="606072"/>
            </w:tcBorders>
            <w:vAlign w:val="center"/>
          </w:tcPr>
          <w:p w14:paraId="77E28682" w14:textId="64369BC9" w:rsidR="00535C25" w:rsidRPr="005060E0" w:rsidRDefault="00C43D99" w:rsidP="00D35C2D">
            <w:pPr>
              <w:widowControl w:val="0"/>
              <w:spacing w:after="0" w:line="240" w:lineRule="auto"/>
              <w:jc w:val="center"/>
              <w:rPr>
                <w:i/>
                <w:sz w:val="16"/>
                <w:szCs w:val="16"/>
              </w:rPr>
            </w:pPr>
            <w:r w:rsidRPr="005060E0">
              <w:rPr>
                <w:sz w:val="16"/>
                <w:szCs w:val="16"/>
              </w:rPr>
              <w:t>–</w:t>
            </w:r>
          </w:p>
        </w:tc>
      </w:tr>
      <w:tr w:rsidR="002F7139" w:rsidRPr="005060E0" w14:paraId="452CF808" w14:textId="0542F2E7" w:rsidTr="00D35C2D">
        <w:trPr>
          <w:trHeight w:hRule="exact" w:val="510"/>
        </w:trPr>
        <w:tc>
          <w:tcPr>
            <w:tcW w:w="370" w:type="pct"/>
            <w:vMerge w:val="restart"/>
            <w:shd w:val="clear" w:color="auto" w:fill="auto"/>
            <w:tcMar>
              <w:left w:w="57" w:type="dxa"/>
              <w:right w:w="57" w:type="dxa"/>
            </w:tcMar>
            <w:vAlign w:val="center"/>
          </w:tcPr>
          <w:p w14:paraId="5A3302B2" w14:textId="77777777" w:rsidR="002F7139" w:rsidRPr="005060E0" w:rsidRDefault="002F7139" w:rsidP="00D35C2D">
            <w:pPr>
              <w:widowControl w:val="0"/>
              <w:spacing w:after="0" w:line="240" w:lineRule="auto"/>
              <w:jc w:val="center"/>
              <w:rPr>
                <w:sz w:val="16"/>
                <w:szCs w:val="16"/>
              </w:rPr>
            </w:pPr>
            <w:r w:rsidRPr="005060E0">
              <w:rPr>
                <w:sz w:val="16"/>
                <w:szCs w:val="16"/>
              </w:rPr>
              <w:t>24-hour average</w:t>
            </w:r>
          </w:p>
        </w:tc>
        <w:tc>
          <w:tcPr>
            <w:tcW w:w="1542" w:type="pct"/>
            <w:tcBorders>
              <w:bottom w:val="dotted" w:sz="4" w:space="0" w:color="606072"/>
            </w:tcBorders>
            <w:shd w:val="clear" w:color="auto" w:fill="auto"/>
            <w:tcMar>
              <w:left w:w="57" w:type="dxa"/>
              <w:right w:w="57" w:type="dxa"/>
            </w:tcMar>
            <w:vAlign w:val="center"/>
          </w:tcPr>
          <w:p w14:paraId="71FB522F" w14:textId="03203FC1" w:rsidR="002F7139" w:rsidRPr="005060E0" w:rsidRDefault="002F7139" w:rsidP="00D35C2D">
            <w:pPr>
              <w:widowControl w:val="0"/>
              <w:spacing w:after="0" w:line="240" w:lineRule="auto"/>
              <w:rPr>
                <w:sz w:val="16"/>
                <w:szCs w:val="16"/>
              </w:rPr>
            </w:pPr>
            <w:r w:rsidRPr="005060E0">
              <w:rPr>
                <w:sz w:val="16"/>
                <w:szCs w:val="16"/>
              </w:rPr>
              <w:t>Daily all-cause</w:t>
            </w:r>
            <w:r w:rsidRPr="005060E0">
              <w:rPr>
                <w:sz w:val="16"/>
                <w:szCs w:val="16"/>
                <w:vertAlign w:val="superscript"/>
              </w:rPr>
              <w:t>(c)</w:t>
            </w:r>
            <w:r w:rsidRPr="005060E0">
              <w:rPr>
                <w:sz w:val="16"/>
                <w:szCs w:val="16"/>
              </w:rPr>
              <w:t xml:space="preserve"> mortality (all)</w:t>
            </w:r>
          </w:p>
        </w:tc>
        <w:tc>
          <w:tcPr>
            <w:tcW w:w="426" w:type="pct"/>
            <w:tcBorders>
              <w:bottom w:val="dotted" w:sz="4" w:space="0" w:color="606072"/>
              <w:right w:val="dotted" w:sz="4" w:space="0" w:color="606072"/>
            </w:tcBorders>
            <w:vAlign w:val="center"/>
          </w:tcPr>
          <w:p w14:paraId="7FD544EA" w14:textId="77777777" w:rsidR="002F7139" w:rsidRPr="005060E0" w:rsidRDefault="002F7139" w:rsidP="00D35C2D">
            <w:pPr>
              <w:widowControl w:val="0"/>
              <w:spacing w:after="0" w:line="240" w:lineRule="auto"/>
              <w:jc w:val="center"/>
              <w:rPr>
                <w:sz w:val="16"/>
                <w:szCs w:val="16"/>
              </w:rPr>
            </w:pPr>
            <w:r w:rsidRPr="005060E0">
              <w:rPr>
                <w:sz w:val="16"/>
                <w:szCs w:val="16"/>
              </w:rPr>
              <w:t>0.17</w:t>
            </w:r>
          </w:p>
          <w:p w14:paraId="20E20D82" w14:textId="7F2D917D" w:rsidR="002F7139" w:rsidRPr="005060E0" w:rsidRDefault="002F7139" w:rsidP="00D35C2D">
            <w:pPr>
              <w:widowControl w:val="0"/>
              <w:spacing w:after="0" w:line="240" w:lineRule="auto"/>
              <w:jc w:val="center"/>
              <w:rPr>
                <w:sz w:val="16"/>
                <w:szCs w:val="16"/>
              </w:rPr>
            </w:pPr>
            <w:r w:rsidRPr="005060E0">
              <w:rPr>
                <w:sz w:val="16"/>
                <w:szCs w:val="16"/>
              </w:rPr>
              <w:t xml:space="preserve">(0.13 </w:t>
            </w:r>
            <w:r w:rsidR="00C43D99" w:rsidRPr="005060E0">
              <w:rPr>
                <w:sz w:val="16"/>
                <w:szCs w:val="16"/>
              </w:rPr>
              <w:t>–</w:t>
            </w:r>
            <w:r w:rsidRPr="005060E0">
              <w:rPr>
                <w:sz w:val="16"/>
                <w:szCs w:val="16"/>
              </w:rPr>
              <w:t xml:space="preserve"> 0.20)</w:t>
            </w:r>
          </w:p>
        </w:tc>
        <w:tc>
          <w:tcPr>
            <w:tcW w:w="426" w:type="pct"/>
            <w:tcBorders>
              <w:left w:val="dotted" w:sz="4" w:space="0" w:color="606072"/>
              <w:bottom w:val="dotted" w:sz="4" w:space="0" w:color="606072"/>
            </w:tcBorders>
            <w:vAlign w:val="center"/>
          </w:tcPr>
          <w:p w14:paraId="1B2CF5B7" w14:textId="29B7D163" w:rsidR="002F7139" w:rsidRPr="005060E0" w:rsidRDefault="002F7139" w:rsidP="00D35C2D">
            <w:pPr>
              <w:widowControl w:val="0"/>
              <w:spacing w:after="0" w:line="240" w:lineRule="auto"/>
              <w:jc w:val="center"/>
              <w:rPr>
                <w:i/>
                <w:sz w:val="16"/>
                <w:szCs w:val="16"/>
              </w:rPr>
            </w:pPr>
            <w:r w:rsidRPr="005060E0">
              <w:rPr>
                <w:sz w:val="16"/>
                <w:szCs w:val="16"/>
              </w:rPr>
              <w:t>Anderson et al. (2007)</w:t>
            </w:r>
          </w:p>
        </w:tc>
        <w:tc>
          <w:tcPr>
            <w:tcW w:w="638" w:type="pct"/>
            <w:tcBorders>
              <w:bottom w:val="dotted" w:sz="4" w:space="0" w:color="606072"/>
              <w:right w:val="dotted" w:sz="4" w:space="0" w:color="606072"/>
            </w:tcBorders>
            <w:vAlign w:val="center"/>
          </w:tcPr>
          <w:p w14:paraId="26DB3DE1" w14:textId="55DD07D6" w:rsidR="002F7139" w:rsidRPr="005060E0" w:rsidRDefault="00C43D99" w:rsidP="00D35C2D">
            <w:pPr>
              <w:widowControl w:val="0"/>
              <w:spacing w:after="0" w:line="240" w:lineRule="auto"/>
              <w:jc w:val="center"/>
              <w:rPr>
                <w:i/>
                <w:sz w:val="16"/>
                <w:szCs w:val="16"/>
              </w:rPr>
            </w:pPr>
            <w:r w:rsidRPr="005060E0">
              <w:rPr>
                <w:rFonts w:eastAsia="Times New Roman"/>
                <w:sz w:val="16"/>
                <w:szCs w:val="16"/>
                <w:lang w:eastAsia="en-AU"/>
              </w:rPr>
              <w:t>–</w:t>
            </w:r>
          </w:p>
        </w:tc>
        <w:tc>
          <w:tcPr>
            <w:tcW w:w="480" w:type="pct"/>
            <w:tcBorders>
              <w:left w:val="dotted" w:sz="4" w:space="0" w:color="606072"/>
              <w:bottom w:val="dotted" w:sz="4" w:space="0" w:color="606072"/>
            </w:tcBorders>
            <w:vAlign w:val="center"/>
          </w:tcPr>
          <w:p w14:paraId="43E1B6C2" w14:textId="7A8FBB52" w:rsidR="002F7139" w:rsidRPr="005060E0" w:rsidRDefault="00C43D99" w:rsidP="00D35C2D">
            <w:pPr>
              <w:widowControl w:val="0"/>
              <w:spacing w:after="0" w:line="240" w:lineRule="auto"/>
              <w:jc w:val="center"/>
              <w:rPr>
                <w:i/>
                <w:sz w:val="16"/>
                <w:szCs w:val="16"/>
              </w:rPr>
            </w:pPr>
            <w:r w:rsidRPr="005060E0">
              <w:rPr>
                <w:rFonts w:eastAsia="Times New Roman"/>
                <w:sz w:val="16"/>
                <w:szCs w:val="16"/>
                <w:lang w:eastAsia="en-AU"/>
              </w:rPr>
              <w:t>–</w:t>
            </w:r>
          </w:p>
        </w:tc>
        <w:tc>
          <w:tcPr>
            <w:tcW w:w="586" w:type="pct"/>
            <w:tcBorders>
              <w:left w:val="dotted" w:sz="4" w:space="0" w:color="606072"/>
              <w:bottom w:val="dotted" w:sz="4" w:space="0" w:color="606072"/>
              <w:right w:val="dotted" w:sz="4" w:space="0" w:color="606072"/>
            </w:tcBorders>
            <w:vAlign w:val="center"/>
          </w:tcPr>
          <w:p w14:paraId="377993C7" w14:textId="0D7B0421" w:rsidR="002F7139" w:rsidRPr="005060E0" w:rsidRDefault="00C43D99" w:rsidP="00D35C2D">
            <w:pPr>
              <w:widowControl w:val="0"/>
              <w:spacing w:after="0" w:line="240" w:lineRule="auto"/>
              <w:jc w:val="center"/>
              <w:rPr>
                <w:rFonts w:eastAsia="Times New Roman"/>
                <w:sz w:val="16"/>
                <w:szCs w:val="16"/>
                <w:lang w:eastAsia="en-AU"/>
              </w:rPr>
            </w:pPr>
            <w:r w:rsidRPr="005060E0">
              <w:rPr>
                <w:sz w:val="16"/>
                <w:szCs w:val="16"/>
              </w:rPr>
              <w:t>–</w:t>
            </w:r>
          </w:p>
        </w:tc>
        <w:tc>
          <w:tcPr>
            <w:tcW w:w="532" w:type="pct"/>
            <w:tcBorders>
              <w:left w:val="dotted" w:sz="4" w:space="0" w:color="606072"/>
              <w:bottom w:val="dotted" w:sz="4" w:space="0" w:color="606072"/>
            </w:tcBorders>
            <w:vAlign w:val="center"/>
          </w:tcPr>
          <w:p w14:paraId="746D3AF1" w14:textId="7416AA50" w:rsidR="002F7139" w:rsidRPr="005060E0" w:rsidRDefault="00C43D99" w:rsidP="00D35C2D">
            <w:pPr>
              <w:widowControl w:val="0"/>
              <w:spacing w:after="0" w:line="240" w:lineRule="auto"/>
              <w:jc w:val="center"/>
              <w:rPr>
                <w:rFonts w:eastAsia="Times New Roman"/>
                <w:sz w:val="16"/>
                <w:szCs w:val="16"/>
                <w:lang w:eastAsia="en-AU"/>
              </w:rPr>
            </w:pPr>
            <w:r w:rsidRPr="005060E0">
              <w:rPr>
                <w:sz w:val="16"/>
                <w:szCs w:val="16"/>
              </w:rPr>
              <w:t>–</w:t>
            </w:r>
          </w:p>
        </w:tc>
      </w:tr>
      <w:tr w:rsidR="002F7139" w:rsidRPr="005060E0" w14:paraId="2D817BC2" w14:textId="2F5A8C12" w:rsidTr="00D35C2D">
        <w:trPr>
          <w:trHeight w:hRule="exact" w:val="510"/>
        </w:trPr>
        <w:tc>
          <w:tcPr>
            <w:tcW w:w="370" w:type="pct"/>
            <w:vMerge/>
            <w:shd w:val="clear" w:color="auto" w:fill="auto"/>
            <w:tcMar>
              <w:left w:w="57" w:type="dxa"/>
              <w:right w:w="57" w:type="dxa"/>
            </w:tcMar>
          </w:tcPr>
          <w:p w14:paraId="47F053B8" w14:textId="77777777" w:rsidR="002F7139" w:rsidRPr="005060E0" w:rsidRDefault="002F7139" w:rsidP="00D35C2D">
            <w:pPr>
              <w:widowControl w:val="0"/>
              <w:spacing w:after="0" w:line="240" w:lineRule="auto"/>
              <w:rPr>
                <w:color w:val="FF0000"/>
                <w:sz w:val="16"/>
                <w:szCs w:val="16"/>
              </w:rPr>
            </w:pPr>
          </w:p>
        </w:tc>
        <w:tc>
          <w:tcPr>
            <w:tcW w:w="1542" w:type="pct"/>
            <w:tcBorders>
              <w:top w:val="dotted" w:sz="4" w:space="0" w:color="606072"/>
              <w:bottom w:val="dotted" w:sz="4" w:space="0" w:color="606072"/>
            </w:tcBorders>
            <w:shd w:val="clear" w:color="auto" w:fill="auto"/>
            <w:tcMar>
              <w:left w:w="57" w:type="dxa"/>
              <w:right w:w="57" w:type="dxa"/>
            </w:tcMar>
            <w:vAlign w:val="center"/>
          </w:tcPr>
          <w:p w14:paraId="69C889F1" w14:textId="77777777" w:rsidR="002F7139" w:rsidRPr="005060E0" w:rsidRDefault="002F7139" w:rsidP="00D35C2D">
            <w:pPr>
              <w:widowControl w:val="0"/>
              <w:spacing w:after="0" w:line="240" w:lineRule="auto"/>
              <w:rPr>
                <w:sz w:val="16"/>
                <w:szCs w:val="16"/>
              </w:rPr>
            </w:pPr>
            <w:r w:rsidRPr="005060E0">
              <w:rPr>
                <w:sz w:val="16"/>
                <w:szCs w:val="16"/>
              </w:rPr>
              <w:t>Hospital admissions for cardiovascular disease (65+)</w:t>
            </w:r>
          </w:p>
        </w:tc>
        <w:tc>
          <w:tcPr>
            <w:tcW w:w="426" w:type="pct"/>
            <w:tcBorders>
              <w:top w:val="dotted" w:sz="4" w:space="0" w:color="606072"/>
              <w:bottom w:val="dotted" w:sz="4" w:space="0" w:color="606072"/>
              <w:right w:val="dotted" w:sz="4" w:space="0" w:color="606072"/>
            </w:tcBorders>
            <w:vAlign w:val="center"/>
          </w:tcPr>
          <w:p w14:paraId="1427EE7E" w14:textId="5C744E93" w:rsidR="002F7139" w:rsidRPr="005060E0" w:rsidRDefault="00C43D99" w:rsidP="00D35C2D">
            <w:pPr>
              <w:widowControl w:val="0"/>
              <w:spacing w:after="0" w:line="240" w:lineRule="auto"/>
              <w:jc w:val="center"/>
              <w:rPr>
                <w:sz w:val="16"/>
                <w:szCs w:val="16"/>
              </w:rPr>
            </w:pPr>
            <w:r w:rsidRPr="005060E0">
              <w:rPr>
                <w:sz w:val="16"/>
                <w:szCs w:val="16"/>
              </w:rPr>
              <w:t>–</w:t>
            </w:r>
          </w:p>
        </w:tc>
        <w:tc>
          <w:tcPr>
            <w:tcW w:w="426" w:type="pct"/>
            <w:tcBorders>
              <w:top w:val="dotted" w:sz="4" w:space="0" w:color="606072"/>
              <w:left w:val="dotted" w:sz="4" w:space="0" w:color="606072"/>
              <w:bottom w:val="dotted" w:sz="4" w:space="0" w:color="606072"/>
            </w:tcBorders>
            <w:vAlign w:val="center"/>
          </w:tcPr>
          <w:p w14:paraId="5AF51BA8" w14:textId="4CF4E157" w:rsidR="002F7139" w:rsidRPr="005060E0" w:rsidRDefault="00C43D99" w:rsidP="00D35C2D">
            <w:pPr>
              <w:widowControl w:val="0"/>
              <w:spacing w:after="0" w:line="240" w:lineRule="auto"/>
              <w:jc w:val="center"/>
              <w:rPr>
                <w:i/>
                <w:sz w:val="16"/>
                <w:szCs w:val="16"/>
              </w:rPr>
            </w:pPr>
            <w:r w:rsidRPr="005060E0">
              <w:rPr>
                <w:sz w:val="16"/>
                <w:szCs w:val="16"/>
              </w:rPr>
              <w:t>–</w:t>
            </w:r>
          </w:p>
        </w:tc>
        <w:tc>
          <w:tcPr>
            <w:tcW w:w="638" w:type="pct"/>
            <w:tcBorders>
              <w:top w:val="dotted" w:sz="4" w:space="0" w:color="606072"/>
              <w:bottom w:val="dotted" w:sz="4" w:space="0" w:color="606072"/>
              <w:right w:val="dotted" w:sz="4" w:space="0" w:color="606072"/>
            </w:tcBorders>
            <w:vAlign w:val="center"/>
          </w:tcPr>
          <w:p w14:paraId="0832EB9A" w14:textId="77777777" w:rsidR="002F7139" w:rsidRPr="005060E0" w:rsidRDefault="002F7139" w:rsidP="00D35C2D">
            <w:pPr>
              <w:widowControl w:val="0"/>
              <w:spacing w:after="0" w:line="240" w:lineRule="auto"/>
              <w:jc w:val="center"/>
              <w:rPr>
                <w:sz w:val="16"/>
                <w:szCs w:val="16"/>
              </w:rPr>
            </w:pPr>
            <w:r w:rsidRPr="005060E0">
              <w:rPr>
                <w:sz w:val="16"/>
                <w:szCs w:val="16"/>
              </w:rPr>
              <w:t>0.30</w:t>
            </w:r>
          </w:p>
          <w:p w14:paraId="2485382E" w14:textId="5FA791F3" w:rsidR="002F7139" w:rsidRPr="005060E0" w:rsidRDefault="002F7139" w:rsidP="00D35C2D">
            <w:pPr>
              <w:widowControl w:val="0"/>
              <w:spacing w:after="0" w:line="240" w:lineRule="auto"/>
              <w:jc w:val="center"/>
              <w:rPr>
                <w:i/>
                <w:sz w:val="16"/>
                <w:szCs w:val="16"/>
              </w:rPr>
            </w:pPr>
            <w:r w:rsidRPr="005060E0">
              <w:rPr>
                <w:sz w:val="16"/>
                <w:szCs w:val="16"/>
              </w:rPr>
              <w:t xml:space="preserve">(0.07 </w:t>
            </w:r>
            <w:r w:rsidR="00C43D99" w:rsidRPr="005060E0">
              <w:rPr>
                <w:sz w:val="16"/>
                <w:szCs w:val="16"/>
              </w:rPr>
              <w:t>–</w:t>
            </w:r>
            <w:r w:rsidRPr="005060E0">
              <w:rPr>
                <w:sz w:val="16"/>
                <w:szCs w:val="16"/>
              </w:rPr>
              <w:t xml:space="preserve"> 0.53)</w:t>
            </w:r>
          </w:p>
        </w:tc>
        <w:tc>
          <w:tcPr>
            <w:tcW w:w="480" w:type="pct"/>
            <w:tcBorders>
              <w:top w:val="dotted" w:sz="4" w:space="0" w:color="606072"/>
              <w:left w:val="dotted" w:sz="4" w:space="0" w:color="606072"/>
              <w:bottom w:val="dotted" w:sz="4" w:space="0" w:color="606072"/>
            </w:tcBorders>
            <w:vAlign w:val="center"/>
          </w:tcPr>
          <w:p w14:paraId="25C91042" w14:textId="77777777" w:rsidR="002F7139" w:rsidRPr="005060E0" w:rsidRDefault="002F7139" w:rsidP="00D35C2D">
            <w:pPr>
              <w:widowControl w:val="0"/>
              <w:spacing w:after="0" w:line="240" w:lineRule="auto"/>
              <w:jc w:val="center"/>
              <w:rPr>
                <w:i/>
                <w:sz w:val="16"/>
                <w:szCs w:val="16"/>
              </w:rPr>
            </w:pPr>
            <w:r w:rsidRPr="005060E0">
              <w:rPr>
                <w:rFonts w:eastAsia="Times New Roman"/>
                <w:sz w:val="16"/>
                <w:szCs w:val="16"/>
                <w:lang w:eastAsia="en-AU"/>
              </w:rPr>
              <w:t>EPHC (2005)</w:t>
            </w:r>
          </w:p>
        </w:tc>
        <w:tc>
          <w:tcPr>
            <w:tcW w:w="586" w:type="pct"/>
            <w:tcBorders>
              <w:top w:val="dotted" w:sz="4" w:space="0" w:color="606072"/>
              <w:left w:val="dotted" w:sz="4" w:space="0" w:color="606072"/>
              <w:bottom w:val="dotted" w:sz="4" w:space="0" w:color="606072"/>
              <w:right w:val="dotted" w:sz="4" w:space="0" w:color="606072"/>
            </w:tcBorders>
            <w:vAlign w:val="center"/>
          </w:tcPr>
          <w:p w14:paraId="392726AE" w14:textId="4BBE1CCB" w:rsidR="002F7139" w:rsidRPr="005060E0" w:rsidRDefault="00C43D99" w:rsidP="00D35C2D">
            <w:pPr>
              <w:widowControl w:val="0"/>
              <w:spacing w:after="0" w:line="240" w:lineRule="auto"/>
              <w:jc w:val="center"/>
              <w:rPr>
                <w:rFonts w:eastAsia="Times New Roman"/>
                <w:sz w:val="16"/>
                <w:szCs w:val="16"/>
                <w:lang w:eastAsia="en-AU"/>
              </w:rPr>
            </w:pPr>
            <w:r w:rsidRPr="005060E0">
              <w:rPr>
                <w:sz w:val="16"/>
                <w:szCs w:val="16"/>
              </w:rPr>
              <w:t>–</w:t>
            </w:r>
          </w:p>
        </w:tc>
        <w:tc>
          <w:tcPr>
            <w:tcW w:w="532" w:type="pct"/>
            <w:tcBorders>
              <w:top w:val="dotted" w:sz="4" w:space="0" w:color="606072"/>
              <w:left w:val="dotted" w:sz="4" w:space="0" w:color="606072"/>
              <w:bottom w:val="dotted" w:sz="4" w:space="0" w:color="606072"/>
            </w:tcBorders>
            <w:vAlign w:val="center"/>
          </w:tcPr>
          <w:p w14:paraId="3FBC642F" w14:textId="1F034268" w:rsidR="002F7139" w:rsidRPr="005060E0" w:rsidRDefault="00C43D99" w:rsidP="00D35C2D">
            <w:pPr>
              <w:widowControl w:val="0"/>
              <w:spacing w:after="0" w:line="240" w:lineRule="auto"/>
              <w:jc w:val="center"/>
              <w:rPr>
                <w:rFonts w:eastAsia="Times New Roman"/>
                <w:sz w:val="16"/>
                <w:szCs w:val="16"/>
                <w:lang w:eastAsia="en-AU"/>
              </w:rPr>
            </w:pPr>
            <w:r w:rsidRPr="005060E0">
              <w:rPr>
                <w:sz w:val="16"/>
                <w:szCs w:val="16"/>
              </w:rPr>
              <w:t>–</w:t>
            </w:r>
          </w:p>
        </w:tc>
      </w:tr>
      <w:tr w:rsidR="002F7139" w:rsidRPr="005060E0" w14:paraId="0E642D28" w14:textId="395C2A27" w:rsidTr="00D35C2D">
        <w:trPr>
          <w:trHeight w:hRule="exact" w:val="510"/>
        </w:trPr>
        <w:tc>
          <w:tcPr>
            <w:tcW w:w="370" w:type="pct"/>
            <w:vMerge/>
            <w:shd w:val="clear" w:color="auto" w:fill="auto"/>
            <w:tcMar>
              <w:left w:w="57" w:type="dxa"/>
              <w:right w:w="57" w:type="dxa"/>
            </w:tcMar>
          </w:tcPr>
          <w:p w14:paraId="5B759BC4" w14:textId="77777777" w:rsidR="002F7139" w:rsidRPr="005060E0" w:rsidRDefault="002F7139" w:rsidP="00D35C2D">
            <w:pPr>
              <w:widowControl w:val="0"/>
              <w:spacing w:after="0" w:line="240" w:lineRule="auto"/>
              <w:rPr>
                <w:color w:val="FF0000"/>
                <w:sz w:val="16"/>
                <w:szCs w:val="16"/>
              </w:rPr>
            </w:pPr>
          </w:p>
        </w:tc>
        <w:tc>
          <w:tcPr>
            <w:tcW w:w="1542" w:type="pct"/>
            <w:tcBorders>
              <w:top w:val="dotted" w:sz="4" w:space="0" w:color="606072"/>
              <w:bottom w:val="dotted" w:sz="4" w:space="0" w:color="606072"/>
            </w:tcBorders>
            <w:shd w:val="clear" w:color="auto" w:fill="auto"/>
            <w:tcMar>
              <w:left w:w="57" w:type="dxa"/>
              <w:right w:w="57" w:type="dxa"/>
            </w:tcMar>
            <w:vAlign w:val="center"/>
          </w:tcPr>
          <w:p w14:paraId="49E58352" w14:textId="77777777" w:rsidR="002F7139" w:rsidRPr="005060E0" w:rsidRDefault="002F7139" w:rsidP="00D35C2D">
            <w:pPr>
              <w:widowControl w:val="0"/>
              <w:spacing w:after="0" w:line="240" w:lineRule="auto"/>
              <w:rPr>
                <w:sz w:val="16"/>
                <w:szCs w:val="16"/>
              </w:rPr>
            </w:pPr>
            <w:r w:rsidRPr="005060E0">
              <w:rPr>
                <w:sz w:val="16"/>
                <w:szCs w:val="16"/>
              </w:rPr>
              <w:t>Hospital admissions for respiratory disease (65+)</w:t>
            </w:r>
          </w:p>
        </w:tc>
        <w:tc>
          <w:tcPr>
            <w:tcW w:w="426" w:type="pct"/>
            <w:tcBorders>
              <w:top w:val="dotted" w:sz="4" w:space="0" w:color="606072"/>
              <w:bottom w:val="dotted" w:sz="4" w:space="0" w:color="606072"/>
              <w:right w:val="dotted" w:sz="4" w:space="0" w:color="606072"/>
            </w:tcBorders>
            <w:vAlign w:val="center"/>
          </w:tcPr>
          <w:p w14:paraId="645D6D66" w14:textId="26F4C738" w:rsidR="002F7139" w:rsidRPr="005060E0" w:rsidRDefault="00C43D99" w:rsidP="00D35C2D">
            <w:pPr>
              <w:widowControl w:val="0"/>
              <w:spacing w:after="0" w:line="240" w:lineRule="auto"/>
              <w:jc w:val="center"/>
              <w:rPr>
                <w:sz w:val="16"/>
                <w:szCs w:val="16"/>
              </w:rPr>
            </w:pPr>
            <w:r w:rsidRPr="005060E0">
              <w:rPr>
                <w:sz w:val="16"/>
                <w:szCs w:val="16"/>
              </w:rPr>
              <w:t>–</w:t>
            </w:r>
          </w:p>
        </w:tc>
        <w:tc>
          <w:tcPr>
            <w:tcW w:w="426" w:type="pct"/>
            <w:tcBorders>
              <w:top w:val="dotted" w:sz="4" w:space="0" w:color="606072"/>
              <w:left w:val="dotted" w:sz="4" w:space="0" w:color="606072"/>
              <w:bottom w:val="dotted" w:sz="4" w:space="0" w:color="606072"/>
            </w:tcBorders>
            <w:vAlign w:val="center"/>
          </w:tcPr>
          <w:p w14:paraId="6F3ABF0A" w14:textId="5C184467" w:rsidR="002F7139" w:rsidRPr="005060E0" w:rsidRDefault="00C43D99" w:rsidP="00D35C2D">
            <w:pPr>
              <w:widowControl w:val="0"/>
              <w:spacing w:after="0" w:line="240" w:lineRule="auto"/>
              <w:jc w:val="center"/>
              <w:rPr>
                <w:i/>
                <w:sz w:val="16"/>
                <w:szCs w:val="16"/>
              </w:rPr>
            </w:pPr>
            <w:r w:rsidRPr="005060E0">
              <w:rPr>
                <w:sz w:val="16"/>
                <w:szCs w:val="16"/>
              </w:rPr>
              <w:t>–</w:t>
            </w:r>
          </w:p>
        </w:tc>
        <w:tc>
          <w:tcPr>
            <w:tcW w:w="638" w:type="pct"/>
            <w:tcBorders>
              <w:top w:val="dotted" w:sz="4" w:space="0" w:color="606072"/>
              <w:bottom w:val="dotted" w:sz="4" w:space="0" w:color="606072"/>
              <w:right w:val="dotted" w:sz="4" w:space="0" w:color="606072"/>
            </w:tcBorders>
            <w:vAlign w:val="center"/>
          </w:tcPr>
          <w:p w14:paraId="3BBFCC6F" w14:textId="77777777" w:rsidR="002F7139" w:rsidRPr="005060E0" w:rsidRDefault="002F7139" w:rsidP="00D35C2D">
            <w:pPr>
              <w:widowControl w:val="0"/>
              <w:spacing w:after="0" w:line="240" w:lineRule="auto"/>
              <w:jc w:val="center"/>
              <w:rPr>
                <w:sz w:val="16"/>
                <w:szCs w:val="16"/>
              </w:rPr>
            </w:pPr>
            <w:r w:rsidRPr="005060E0">
              <w:rPr>
                <w:sz w:val="16"/>
                <w:szCs w:val="16"/>
              </w:rPr>
              <w:t>0.37</w:t>
            </w:r>
          </w:p>
          <w:p w14:paraId="48128415" w14:textId="20ECAB2E" w:rsidR="002F7139" w:rsidRPr="005060E0" w:rsidRDefault="002F7139" w:rsidP="00D35C2D">
            <w:pPr>
              <w:widowControl w:val="0"/>
              <w:spacing w:after="0" w:line="240" w:lineRule="auto"/>
              <w:jc w:val="center"/>
              <w:rPr>
                <w:i/>
                <w:sz w:val="16"/>
                <w:szCs w:val="16"/>
              </w:rPr>
            </w:pPr>
            <w:r w:rsidRPr="005060E0">
              <w:rPr>
                <w:sz w:val="16"/>
                <w:szCs w:val="16"/>
              </w:rPr>
              <w:t xml:space="preserve">(0.24 </w:t>
            </w:r>
            <w:r w:rsidR="00C43D99" w:rsidRPr="005060E0">
              <w:rPr>
                <w:sz w:val="16"/>
                <w:szCs w:val="16"/>
              </w:rPr>
              <w:t>–</w:t>
            </w:r>
            <w:r w:rsidRPr="005060E0">
              <w:rPr>
                <w:sz w:val="16"/>
                <w:szCs w:val="16"/>
              </w:rPr>
              <w:t xml:space="preserve"> 0.50)</w:t>
            </w:r>
          </w:p>
        </w:tc>
        <w:tc>
          <w:tcPr>
            <w:tcW w:w="480" w:type="pct"/>
            <w:tcBorders>
              <w:top w:val="dotted" w:sz="4" w:space="0" w:color="606072"/>
              <w:left w:val="dotted" w:sz="4" w:space="0" w:color="606072"/>
              <w:bottom w:val="dotted" w:sz="4" w:space="0" w:color="606072"/>
            </w:tcBorders>
            <w:vAlign w:val="center"/>
          </w:tcPr>
          <w:p w14:paraId="0961F798" w14:textId="77777777" w:rsidR="002F7139" w:rsidRPr="005060E0" w:rsidRDefault="002F7139" w:rsidP="00D35C2D">
            <w:pPr>
              <w:widowControl w:val="0"/>
              <w:spacing w:after="0" w:line="240" w:lineRule="auto"/>
              <w:jc w:val="center"/>
              <w:rPr>
                <w:i/>
                <w:sz w:val="16"/>
                <w:szCs w:val="16"/>
              </w:rPr>
            </w:pPr>
            <w:r w:rsidRPr="005060E0">
              <w:rPr>
                <w:rFonts w:eastAsia="Times New Roman"/>
                <w:sz w:val="16"/>
                <w:szCs w:val="16"/>
                <w:lang w:eastAsia="en-AU"/>
              </w:rPr>
              <w:t>WHO (2013b)</w:t>
            </w:r>
          </w:p>
        </w:tc>
        <w:tc>
          <w:tcPr>
            <w:tcW w:w="586" w:type="pct"/>
            <w:tcBorders>
              <w:top w:val="dotted" w:sz="4" w:space="0" w:color="606072"/>
              <w:left w:val="dotted" w:sz="4" w:space="0" w:color="606072"/>
              <w:bottom w:val="dotted" w:sz="4" w:space="0" w:color="606072"/>
              <w:right w:val="dotted" w:sz="4" w:space="0" w:color="606072"/>
            </w:tcBorders>
            <w:vAlign w:val="center"/>
          </w:tcPr>
          <w:p w14:paraId="5F627C72" w14:textId="042C6E98" w:rsidR="002F7139" w:rsidRPr="005060E0" w:rsidRDefault="00C43D99" w:rsidP="00D35C2D">
            <w:pPr>
              <w:widowControl w:val="0"/>
              <w:spacing w:after="0" w:line="240" w:lineRule="auto"/>
              <w:jc w:val="center"/>
              <w:rPr>
                <w:rFonts w:eastAsia="Times New Roman"/>
                <w:sz w:val="16"/>
                <w:szCs w:val="16"/>
                <w:lang w:eastAsia="en-AU"/>
              </w:rPr>
            </w:pPr>
            <w:r w:rsidRPr="005060E0">
              <w:rPr>
                <w:sz w:val="16"/>
                <w:szCs w:val="16"/>
              </w:rPr>
              <w:t>–</w:t>
            </w:r>
          </w:p>
        </w:tc>
        <w:tc>
          <w:tcPr>
            <w:tcW w:w="532" w:type="pct"/>
            <w:tcBorders>
              <w:top w:val="dotted" w:sz="4" w:space="0" w:color="606072"/>
              <w:left w:val="dotted" w:sz="4" w:space="0" w:color="606072"/>
              <w:bottom w:val="dotted" w:sz="4" w:space="0" w:color="606072"/>
            </w:tcBorders>
            <w:vAlign w:val="center"/>
          </w:tcPr>
          <w:p w14:paraId="1FC9F429" w14:textId="61CEE7DE" w:rsidR="002F7139" w:rsidRPr="005060E0" w:rsidRDefault="00C43D99" w:rsidP="00D35C2D">
            <w:pPr>
              <w:widowControl w:val="0"/>
              <w:spacing w:after="0" w:line="240" w:lineRule="auto"/>
              <w:jc w:val="center"/>
              <w:rPr>
                <w:rFonts w:eastAsia="Times New Roman"/>
                <w:sz w:val="16"/>
                <w:szCs w:val="16"/>
                <w:lang w:eastAsia="en-AU"/>
              </w:rPr>
            </w:pPr>
            <w:r w:rsidRPr="005060E0">
              <w:rPr>
                <w:sz w:val="16"/>
                <w:szCs w:val="16"/>
              </w:rPr>
              <w:t>–</w:t>
            </w:r>
          </w:p>
        </w:tc>
      </w:tr>
      <w:tr w:rsidR="002F7139" w:rsidRPr="005060E0" w14:paraId="7338EE22" w14:textId="21A88224" w:rsidTr="00D35C2D">
        <w:trPr>
          <w:trHeight w:hRule="exact" w:val="510"/>
        </w:trPr>
        <w:tc>
          <w:tcPr>
            <w:tcW w:w="370" w:type="pct"/>
            <w:vMerge/>
            <w:shd w:val="clear" w:color="auto" w:fill="auto"/>
            <w:tcMar>
              <w:left w:w="57" w:type="dxa"/>
              <w:right w:w="57" w:type="dxa"/>
            </w:tcMar>
          </w:tcPr>
          <w:p w14:paraId="34250E15" w14:textId="77777777" w:rsidR="002F7139" w:rsidRPr="005060E0" w:rsidRDefault="002F7139" w:rsidP="00D35C2D">
            <w:pPr>
              <w:widowControl w:val="0"/>
              <w:spacing w:after="0" w:line="240" w:lineRule="auto"/>
              <w:rPr>
                <w:color w:val="FF0000"/>
                <w:sz w:val="16"/>
                <w:szCs w:val="16"/>
              </w:rPr>
            </w:pPr>
          </w:p>
        </w:tc>
        <w:tc>
          <w:tcPr>
            <w:tcW w:w="1542" w:type="pct"/>
            <w:tcBorders>
              <w:top w:val="dotted" w:sz="4" w:space="0" w:color="606072"/>
              <w:bottom w:val="dotted" w:sz="4" w:space="0" w:color="606072"/>
            </w:tcBorders>
            <w:shd w:val="clear" w:color="auto" w:fill="auto"/>
            <w:tcMar>
              <w:left w:w="57" w:type="dxa"/>
              <w:right w:w="57" w:type="dxa"/>
            </w:tcMar>
            <w:vAlign w:val="center"/>
          </w:tcPr>
          <w:p w14:paraId="0C99F819" w14:textId="32EDD9BC" w:rsidR="002F7139" w:rsidRPr="005060E0" w:rsidRDefault="002F7139" w:rsidP="00D35C2D">
            <w:pPr>
              <w:widowControl w:val="0"/>
              <w:spacing w:after="0" w:line="240" w:lineRule="auto"/>
              <w:rPr>
                <w:sz w:val="16"/>
                <w:szCs w:val="16"/>
              </w:rPr>
            </w:pPr>
            <w:r w:rsidRPr="005060E0">
              <w:rPr>
                <w:sz w:val="16"/>
                <w:szCs w:val="16"/>
              </w:rPr>
              <w:t>Hospital admissions for respiratory disease (15</w:t>
            </w:r>
            <w:r w:rsidR="00C43D99" w:rsidRPr="005060E0">
              <w:rPr>
                <w:rFonts w:cs="Arial"/>
                <w:sz w:val="16"/>
                <w:szCs w:val="16"/>
              </w:rPr>
              <w:t>–</w:t>
            </w:r>
            <w:r w:rsidRPr="005060E0">
              <w:rPr>
                <w:sz w:val="16"/>
                <w:szCs w:val="16"/>
              </w:rPr>
              <w:t>64)</w:t>
            </w:r>
          </w:p>
        </w:tc>
        <w:tc>
          <w:tcPr>
            <w:tcW w:w="426" w:type="pct"/>
            <w:tcBorders>
              <w:top w:val="dotted" w:sz="4" w:space="0" w:color="606072"/>
              <w:bottom w:val="dotted" w:sz="4" w:space="0" w:color="606072"/>
              <w:right w:val="dotted" w:sz="4" w:space="0" w:color="606072"/>
            </w:tcBorders>
            <w:vAlign w:val="center"/>
          </w:tcPr>
          <w:p w14:paraId="7D5EDAF3" w14:textId="3BDF2937" w:rsidR="002F7139" w:rsidRPr="005060E0" w:rsidRDefault="00C43D99" w:rsidP="00D35C2D">
            <w:pPr>
              <w:widowControl w:val="0"/>
              <w:spacing w:after="0" w:line="240" w:lineRule="auto"/>
              <w:jc w:val="center"/>
              <w:rPr>
                <w:sz w:val="16"/>
                <w:szCs w:val="16"/>
              </w:rPr>
            </w:pPr>
            <w:r w:rsidRPr="005060E0">
              <w:rPr>
                <w:sz w:val="16"/>
                <w:szCs w:val="16"/>
              </w:rPr>
              <w:t>–</w:t>
            </w:r>
          </w:p>
        </w:tc>
        <w:tc>
          <w:tcPr>
            <w:tcW w:w="426" w:type="pct"/>
            <w:tcBorders>
              <w:top w:val="dotted" w:sz="4" w:space="0" w:color="606072"/>
              <w:left w:val="dotted" w:sz="4" w:space="0" w:color="606072"/>
              <w:bottom w:val="dotted" w:sz="4" w:space="0" w:color="606072"/>
            </w:tcBorders>
            <w:vAlign w:val="center"/>
          </w:tcPr>
          <w:p w14:paraId="3B029776" w14:textId="6DFB131D" w:rsidR="002F7139" w:rsidRPr="005060E0" w:rsidRDefault="00C43D99" w:rsidP="00D35C2D">
            <w:pPr>
              <w:widowControl w:val="0"/>
              <w:spacing w:after="0" w:line="240" w:lineRule="auto"/>
              <w:jc w:val="center"/>
              <w:rPr>
                <w:i/>
                <w:sz w:val="16"/>
                <w:szCs w:val="16"/>
              </w:rPr>
            </w:pPr>
            <w:r w:rsidRPr="005060E0">
              <w:rPr>
                <w:sz w:val="16"/>
                <w:szCs w:val="16"/>
              </w:rPr>
              <w:t>–</w:t>
            </w:r>
          </w:p>
        </w:tc>
        <w:tc>
          <w:tcPr>
            <w:tcW w:w="638" w:type="pct"/>
            <w:tcBorders>
              <w:top w:val="dotted" w:sz="4" w:space="0" w:color="606072"/>
              <w:bottom w:val="dotted" w:sz="4" w:space="0" w:color="606072"/>
              <w:right w:val="dotted" w:sz="4" w:space="0" w:color="606072"/>
            </w:tcBorders>
            <w:vAlign w:val="center"/>
          </w:tcPr>
          <w:p w14:paraId="6D795505" w14:textId="77777777" w:rsidR="002F7139" w:rsidRPr="005060E0" w:rsidRDefault="002F7139" w:rsidP="00D35C2D">
            <w:pPr>
              <w:widowControl w:val="0"/>
              <w:spacing w:after="0" w:line="240" w:lineRule="auto"/>
              <w:jc w:val="center"/>
              <w:rPr>
                <w:sz w:val="16"/>
                <w:szCs w:val="16"/>
              </w:rPr>
            </w:pPr>
            <w:r w:rsidRPr="005060E0">
              <w:rPr>
                <w:sz w:val="16"/>
                <w:szCs w:val="16"/>
              </w:rPr>
              <w:t>0.37</w:t>
            </w:r>
          </w:p>
          <w:p w14:paraId="62BF81C6" w14:textId="6587203C" w:rsidR="002F7139" w:rsidRPr="005060E0" w:rsidRDefault="002F7139" w:rsidP="00D35C2D">
            <w:pPr>
              <w:widowControl w:val="0"/>
              <w:spacing w:after="0" w:line="240" w:lineRule="auto"/>
              <w:jc w:val="center"/>
              <w:rPr>
                <w:i/>
                <w:sz w:val="16"/>
                <w:szCs w:val="16"/>
              </w:rPr>
            </w:pPr>
            <w:r w:rsidRPr="005060E0">
              <w:rPr>
                <w:sz w:val="16"/>
                <w:szCs w:val="16"/>
              </w:rPr>
              <w:t xml:space="preserve">(0.24 </w:t>
            </w:r>
            <w:r w:rsidR="00C43D99" w:rsidRPr="005060E0">
              <w:rPr>
                <w:sz w:val="16"/>
                <w:szCs w:val="16"/>
              </w:rPr>
              <w:t>–</w:t>
            </w:r>
            <w:r w:rsidRPr="005060E0">
              <w:rPr>
                <w:sz w:val="16"/>
                <w:szCs w:val="16"/>
              </w:rPr>
              <w:t xml:space="preserve"> 0.50)</w:t>
            </w:r>
          </w:p>
        </w:tc>
        <w:tc>
          <w:tcPr>
            <w:tcW w:w="480" w:type="pct"/>
            <w:tcBorders>
              <w:top w:val="dotted" w:sz="4" w:space="0" w:color="606072"/>
              <w:left w:val="dotted" w:sz="4" w:space="0" w:color="606072"/>
              <w:bottom w:val="dotted" w:sz="4" w:space="0" w:color="606072"/>
            </w:tcBorders>
            <w:vAlign w:val="center"/>
          </w:tcPr>
          <w:p w14:paraId="67E26491" w14:textId="77777777" w:rsidR="002F7139" w:rsidRPr="005060E0" w:rsidRDefault="002F7139" w:rsidP="00D35C2D">
            <w:pPr>
              <w:widowControl w:val="0"/>
              <w:spacing w:after="0" w:line="240" w:lineRule="auto"/>
              <w:jc w:val="center"/>
              <w:rPr>
                <w:i/>
                <w:sz w:val="16"/>
                <w:szCs w:val="16"/>
              </w:rPr>
            </w:pPr>
            <w:r w:rsidRPr="005060E0">
              <w:rPr>
                <w:rFonts w:eastAsia="Times New Roman"/>
                <w:sz w:val="16"/>
                <w:szCs w:val="16"/>
                <w:lang w:eastAsia="en-AU"/>
              </w:rPr>
              <w:t>WHO (2013b)</w:t>
            </w:r>
          </w:p>
        </w:tc>
        <w:tc>
          <w:tcPr>
            <w:tcW w:w="586" w:type="pct"/>
            <w:tcBorders>
              <w:top w:val="dotted" w:sz="4" w:space="0" w:color="606072"/>
              <w:left w:val="dotted" w:sz="4" w:space="0" w:color="606072"/>
              <w:bottom w:val="dotted" w:sz="4" w:space="0" w:color="606072"/>
              <w:right w:val="dotted" w:sz="4" w:space="0" w:color="606072"/>
            </w:tcBorders>
            <w:vAlign w:val="center"/>
          </w:tcPr>
          <w:p w14:paraId="073B1CAA" w14:textId="0E486541" w:rsidR="002F7139" w:rsidRPr="005060E0" w:rsidRDefault="00C43D99" w:rsidP="00D35C2D">
            <w:pPr>
              <w:widowControl w:val="0"/>
              <w:spacing w:after="0" w:line="240" w:lineRule="auto"/>
              <w:jc w:val="center"/>
              <w:rPr>
                <w:rFonts w:eastAsia="Times New Roman"/>
                <w:sz w:val="16"/>
                <w:szCs w:val="16"/>
                <w:lang w:eastAsia="en-AU"/>
              </w:rPr>
            </w:pPr>
            <w:r w:rsidRPr="005060E0">
              <w:rPr>
                <w:sz w:val="16"/>
                <w:szCs w:val="16"/>
              </w:rPr>
              <w:t>–</w:t>
            </w:r>
          </w:p>
        </w:tc>
        <w:tc>
          <w:tcPr>
            <w:tcW w:w="532" w:type="pct"/>
            <w:tcBorders>
              <w:top w:val="dotted" w:sz="4" w:space="0" w:color="606072"/>
              <w:left w:val="dotted" w:sz="4" w:space="0" w:color="606072"/>
              <w:bottom w:val="dotted" w:sz="4" w:space="0" w:color="606072"/>
            </w:tcBorders>
            <w:vAlign w:val="center"/>
          </w:tcPr>
          <w:p w14:paraId="58957039" w14:textId="4CEF6C4F" w:rsidR="002F7139" w:rsidRPr="005060E0" w:rsidRDefault="00C43D99" w:rsidP="00D35C2D">
            <w:pPr>
              <w:widowControl w:val="0"/>
              <w:spacing w:after="0" w:line="240" w:lineRule="auto"/>
              <w:jc w:val="center"/>
              <w:rPr>
                <w:rFonts w:eastAsia="Times New Roman"/>
                <w:sz w:val="16"/>
                <w:szCs w:val="16"/>
                <w:lang w:eastAsia="en-AU"/>
              </w:rPr>
            </w:pPr>
            <w:r w:rsidRPr="005060E0">
              <w:rPr>
                <w:sz w:val="16"/>
                <w:szCs w:val="16"/>
              </w:rPr>
              <w:t>–</w:t>
            </w:r>
          </w:p>
        </w:tc>
      </w:tr>
      <w:tr w:rsidR="002F7139" w:rsidRPr="005060E0" w14:paraId="4C16D1B5" w14:textId="77FF300B" w:rsidTr="00D35C2D">
        <w:trPr>
          <w:trHeight w:hRule="exact" w:val="510"/>
        </w:trPr>
        <w:tc>
          <w:tcPr>
            <w:tcW w:w="370" w:type="pct"/>
            <w:vMerge/>
            <w:tcBorders>
              <w:bottom w:val="single" w:sz="4" w:space="0" w:color="606372" w:themeColor="text2"/>
            </w:tcBorders>
            <w:shd w:val="clear" w:color="auto" w:fill="auto"/>
            <w:tcMar>
              <w:left w:w="57" w:type="dxa"/>
              <w:right w:w="57" w:type="dxa"/>
            </w:tcMar>
          </w:tcPr>
          <w:p w14:paraId="6A1477EC" w14:textId="77777777" w:rsidR="002F7139" w:rsidRPr="005060E0" w:rsidRDefault="002F7139" w:rsidP="00D35C2D">
            <w:pPr>
              <w:widowControl w:val="0"/>
              <w:spacing w:after="0" w:line="240" w:lineRule="auto"/>
              <w:rPr>
                <w:color w:val="FF0000"/>
                <w:sz w:val="16"/>
                <w:szCs w:val="16"/>
              </w:rPr>
            </w:pPr>
          </w:p>
        </w:tc>
        <w:tc>
          <w:tcPr>
            <w:tcW w:w="1542" w:type="pct"/>
            <w:tcBorders>
              <w:top w:val="dotted" w:sz="4" w:space="0" w:color="606072"/>
              <w:bottom w:val="single" w:sz="4" w:space="0" w:color="606372" w:themeColor="text2"/>
            </w:tcBorders>
            <w:shd w:val="clear" w:color="auto" w:fill="auto"/>
            <w:tcMar>
              <w:left w:w="57" w:type="dxa"/>
              <w:right w:w="57" w:type="dxa"/>
            </w:tcMar>
            <w:vAlign w:val="center"/>
          </w:tcPr>
          <w:p w14:paraId="2E499664" w14:textId="77777777" w:rsidR="002F7139" w:rsidRPr="005060E0" w:rsidRDefault="002F7139" w:rsidP="00D35C2D">
            <w:pPr>
              <w:widowControl w:val="0"/>
              <w:spacing w:after="0" w:line="240" w:lineRule="auto"/>
              <w:rPr>
                <w:sz w:val="16"/>
                <w:szCs w:val="16"/>
              </w:rPr>
            </w:pPr>
            <w:r w:rsidRPr="005060E0">
              <w:rPr>
                <w:sz w:val="16"/>
                <w:szCs w:val="16"/>
              </w:rPr>
              <w:t>Emergency department visits for asthma (&lt;15)</w:t>
            </w:r>
          </w:p>
        </w:tc>
        <w:tc>
          <w:tcPr>
            <w:tcW w:w="426" w:type="pct"/>
            <w:tcBorders>
              <w:top w:val="dotted" w:sz="4" w:space="0" w:color="606072"/>
              <w:bottom w:val="single" w:sz="4" w:space="0" w:color="606372" w:themeColor="text2"/>
              <w:right w:val="dotted" w:sz="4" w:space="0" w:color="606072"/>
            </w:tcBorders>
            <w:vAlign w:val="center"/>
          </w:tcPr>
          <w:p w14:paraId="301F2C0E" w14:textId="77777777" w:rsidR="002F7139" w:rsidRPr="005060E0" w:rsidRDefault="002F7139" w:rsidP="00D35C2D">
            <w:pPr>
              <w:widowControl w:val="0"/>
              <w:spacing w:after="0" w:line="240" w:lineRule="auto"/>
              <w:jc w:val="center"/>
              <w:rPr>
                <w:sz w:val="16"/>
                <w:szCs w:val="16"/>
              </w:rPr>
            </w:pPr>
            <w:r w:rsidRPr="005060E0">
              <w:rPr>
                <w:sz w:val="16"/>
                <w:szCs w:val="16"/>
              </w:rPr>
              <w:t>2.00</w:t>
            </w:r>
          </w:p>
          <w:p w14:paraId="293CC108" w14:textId="5D80C9D4" w:rsidR="002F7139" w:rsidRPr="005060E0" w:rsidRDefault="002F7139" w:rsidP="00D35C2D">
            <w:pPr>
              <w:widowControl w:val="0"/>
              <w:spacing w:after="0" w:line="240" w:lineRule="auto"/>
              <w:jc w:val="center"/>
              <w:rPr>
                <w:sz w:val="16"/>
                <w:szCs w:val="16"/>
              </w:rPr>
            </w:pPr>
            <w:r w:rsidRPr="005060E0">
              <w:rPr>
                <w:sz w:val="16"/>
                <w:szCs w:val="16"/>
              </w:rPr>
              <w:t xml:space="preserve">(0.88 </w:t>
            </w:r>
            <w:r w:rsidR="00C43D99" w:rsidRPr="005060E0">
              <w:rPr>
                <w:sz w:val="16"/>
                <w:szCs w:val="16"/>
              </w:rPr>
              <w:t>–</w:t>
            </w:r>
            <w:r w:rsidRPr="005060E0">
              <w:rPr>
                <w:sz w:val="16"/>
                <w:szCs w:val="16"/>
              </w:rPr>
              <w:t xml:space="preserve"> 3.00)</w:t>
            </w:r>
          </w:p>
        </w:tc>
        <w:tc>
          <w:tcPr>
            <w:tcW w:w="426" w:type="pct"/>
            <w:tcBorders>
              <w:top w:val="dotted" w:sz="4" w:space="0" w:color="606072"/>
              <w:left w:val="dotted" w:sz="4" w:space="0" w:color="606072"/>
              <w:bottom w:val="single" w:sz="4" w:space="0" w:color="606372" w:themeColor="text2"/>
            </w:tcBorders>
            <w:vAlign w:val="center"/>
          </w:tcPr>
          <w:p w14:paraId="1AC61165" w14:textId="464959BD" w:rsidR="002F7139" w:rsidRPr="005060E0" w:rsidRDefault="002F7139" w:rsidP="00D35C2D">
            <w:pPr>
              <w:widowControl w:val="0"/>
              <w:spacing w:after="0" w:line="240" w:lineRule="auto"/>
              <w:jc w:val="center"/>
              <w:rPr>
                <w:i/>
                <w:sz w:val="16"/>
                <w:szCs w:val="16"/>
              </w:rPr>
            </w:pPr>
            <w:r w:rsidRPr="005060E0">
              <w:rPr>
                <w:sz w:val="16"/>
                <w:szCs w:val="16"/>
              </w:rPr>
              <w:t>Jalaludin et al. (2008)</w:t>
            </w:r>
          </w:p>
        </w:tc>
        <w:tc>
          <w:tcPr>
            <w:tcW w:w="638" w:type="pct"/>
            <w:tcBorders>
              <w:top w:val="dotted" w:sz="4" w:space="0" w:color="606072"/>
              <w:bottom w:val="single" w:sz="4" w:space="0" w:color="606372" w:themeColor="text2"/>
              <w:right w:val="dotted" w:sz="4" w:space="0" w:color="606072"/>
            </w:tcBorders>
            <w:vAlign w:val="center"/>
          </w:tcPr>
          <w:p w14:paraId="3B962017" w14:textId="77777777" w:rsidR="002F7139" w:rsidRPr="005060E0" w:rsidRDefault="002F7139" w:rsidP="00D35C2D">
            <w:pPr>
              <w:widowControl w:val="0"/>
              <w:spacing w:after="0" w:line="240" w:lineRule="auto"/>
              <w:jc w:val="center"/>
              <w:rPr>
                <w:sz w:val="16"/>
                <w:szCs w:val="16"/>
              </w:rPr>
            </w:pPr>
            <w:r w:rsidRPr="005060E0">
              <w:rPr>
                <w:sz w:val="16"/>
                <w:szCs w:val="16"/>
              </w:rPr>
              <w:t>0.12</w:t>
            </w:r>
          </w:p>
          <w:p w14:paraId="0959E860" w14:textId="0FAD367C" w:rsidR="002F7139" w:rsidRPr="005060E0" w:rsidRDefault="002F7139" w:rsidP="00D35C2D">
            <w:pPr>
              <w:widowControl w:val="0"/>
              <w:spacing w:after="0" w:line="240" w:lineRule="auto"/>
              <w:jc w:val="center"/>
              <w:rPr>
                <w:i/>
                <w:sz w:val="16"/>
                <w:szCs w:val="16"/>
              </w:rPr>
            </w:pPr>
            <w:r w:rsidRPr="005060E0">
              <w:rPr>
                <w:sz w:val="16"/>
                <w:szCs w:val="16"/>
              </w:rPr>
              <w:t xml:space="preserve">(0.12 </w:t>
            </w:r>
            <w:r w:rsidR="00C43D99" w:rsidRPr="005060E0">
              <w:rPr>
                <w:sz w:val="16"/>
                <w:szCs w:val="16"/>
              </w:rPr>
              <w:t>–</w:t>
            </w:r>
            <w:r w:rsidRPr="005060E0">
              <w:rPr>
                <w:sz w:val="16"/>
                <w:szCs w:val="16"/>
              </w:rPr>
              <w:t xml:space="preserve"> 0.33)</w:t>
            </w:r>
          </w:p>
        </w:tc>
        <w:tc>
          <w:tcPr>
            <w:tcW w:w="480" w:type="pct"/>
            <w:tcBorders>
              <w:top w:val="dotted" w:sz="4" w:space="0" w:color="606072"/>
              <w:left w:val="dotted" w:sz="4" w:space="0" w:color="606072"/>
              <w:bottom w:val="single" w:sz="4" w:space="0" w:color="606372" w:themeColor="text2"/>
            </w:tcBorders>
            <w:vAlign w:val="center"/>
          </w:tcPr>
          <w:p w14:paraId="5934726E" w14:textId="77777777" w:rsidR="002F7139" w:rsidRPr="005060E0" w:rsidRDefault="002F7139" w:rsidP="00D35C2D">
            <w:pPr>
              <w:widowControl w:val="0"/>
              <w:spacing w:after="0" w:line="240" w:lineRule="auto"/>
              <w:jc w:val="center"/>
              <w:rPr>
                <w:i/>
                <w:sz w:val="16"/>
                <w:szCs w:val="16"/>
              </w:rPr>
            </w:pPr>
            <w:r w:rsidRPr="005060E0">
              <w:rPr>
                <w:rFonts w:eastAsia="Times New Roman"/>
                <w:sz w:val="16"/>
                <w:szCs w:val="16"/>
                <w:lang w:eastAsia="en-AU"/>
              </w:rPr>
              <w:t>EPHC (2005)</w:t>
            </w:r>
          </w:p>
        </w:tc>
        <w:tc>
          <w:tcPr>
            <w:tcW w:w="586" w:type="pct"/>
            <w:tcBorders>
              <w:top w:val="dotted" w:sz="4" w:space="0" w:color="606072"/>
              <w:left w:val="dotted" w:sz="4" w:space="0" w:color="606072"/>
              <w:bottom w:val="single" w:sz="4" w:space="0" w:color="606372" w:themeColor="text2"/>
              <w:right w:val="dotted" w:sz="4" w:space="0" w:color="606072"/>
            </w:tcBorders>
            <w:vAlign w:val="center"/>
          </w:tcPr>
          <w:p w14:paraId="580D6096" w14:textId="13509CC3" w:rsidR="002F7139" w:rsidRPr="005060E0" w:rsidRDefault="00C43D99" w:rsidP="00D35C2D">
            <w:pPr>
              <w:widowControl w:val="0"/>
              <w:spacing w:after="0" w:line="240" w:lineRule="auto"/>
              <w:jc w:val="center"/>
              <w:rPr>
                <w:rFonts w:eastAsia="Times New Roman"/>
                <w:sz w:val="16"/>
                <w:szCs w:val="16"/>
                <w:lang w:eastAsia="en-AU"/>
              </w:rPr>
            </w:pPr>
            <w:r w:rsidRPr="005060E0">
              <w:rPr>
                <w:sz w:val="16"/>
                <w:szCs w:val="16"/>
              </w:rPr>
              <w:t>–</w:t>
            </w:r>
          </w:p>
        </w:tc>
        <w:tc>
          <w:tcPr>
            <w:tcW w:w="532" w:type="pct"/>
            <w:tcBorders>
              <w:top w:val="dotted" w:sz="4" w:space="0" w:color="606072"/>
              <w:left w:val="dotted" w:sz="4" w:space="0" w:color="606072"/>
              <w:bottom w:val="single" w:sz="4" w:space="0" w:color="606372" w:themeColor="text2"/>
            </w:tcBorders>
            <w:vAlign w:val="center"/>
          </w:tcPr>
          <w:p w14:paraId="13E30112" w14:textId="43A7260A" w:rsidR="002F7139" w:rsidRPr="005060E0" w:rsidRDefault="00C43D99" w:rsidP="00D35C2D">
            <w:pPr>
              <w:widowControl w:val="0"/>
              <w:spacing w:after="0" w:line="240" w:lineRule="auto"/>
              <w:jc w:val="center"/>
              <w:rPr>
                <w:rFonts w:eastAsia="Times New Roman"/>
                <w:sz w:val="16"/>
                <w:szCs w:val="16"/>
                <w:lang w:eastAsia="en-AU"/>
              </w:rPr>
            </w:pPr>
            <w:r w:rsidRPr="005060E0">
              <w:rPr>
                <w:sz w:val="16"/>
                <w:szCs w:val="16"/>
              </w:rPr>
              <w:t>–</w:t>
            </w:r>
          </w:p>
        </w:tc>
      </w:tr>
      <w:tr w:rsidR="002F7139" w:rsidRPr="005060E0" w14:paraId="1CF1E878" w14:textId="77777777" w:rsidTr="00D35C2D">
        <w:trPr>
          <w:trHeight w:hRule="exact" w:val="680"/>
        </w:trPr>
        <w:tc>
          <w:tcPr>
            <w:tcW w:w="370" w:type="pct"/>
            <w:tcBorders>
              <w:top w:val="single" w:sz="4" w:space="0" w:color="606372" w:themeColor="text2"/>
              <w:bottom w:val="single" w:sz="4" w:space="0" w:color="606372" w:themeColor="text2"/>
            </w:tcBorders>
            <w:shd w:val="clear" w:color="auto" w:fill="auto"/>
            <w:tcMar>
              <w:left w:w="57" w:type="dxa"/>
              <w:right w:w="57" w:type="dxa"/>
            </w:tcMar>
            <w:vAlign w:val="center"/>
          </w:tcPr>
          <w:p w14:paraId="054D61B4" w14:textId="48EA1F40" w:rsidR="002F7139" w:rsidRPr="005060E0" w:rsidRDefault="002F7139" w:rsidP="00D35C2D">
            <w:pPr>
              <w:widowControl w:val="0"/>
              <w:spacing w:after="0" w:line="240" w:lineRule="auto"/>
              <w:jc w:val="center"/>
            </w:pPr>
            <w:r w:rsidRPr="005060E0">
              <w:rPr>
                <w:sz w:val="16"/>
                <w:szCs w:val="16"/>
              </w:rPr>
              <w:t xml:space="preserve">Daily maximum </w:t>
            </w:r>
            <w:r w:rsidR="00C43D99" w:rsidRPr="005060E0">
              <w:rPr>
                <w:sz w:val="16"/>
                <w:szCs w:val="16"/>
              </w:rPr>
              <w:br/>
            </w:r>
            <w:r w:rsidRPr="005060E0">
              <w:rPr>
                <w:sz w:val="16"/>
                <w:szCs w:val="16"/>
              </w:rPr>
              <w:t>8-hour</w:t>
            </w:r>
          </w:p>
        </w:tc>
        <w:tc>
          <w:tcPr>
            <w:tcW w:w="1542" w:type="pct"/>
            <w:tcBorders>
              <w:top w:val="single" w:sz="4" w:space="0" w:color="606372" w:themeColor="text2"/>
              <w:bottom w:val="single" w:sz="4" w:space="0" w:color="606372" w:themeColor="text2"/>
            </w:tcBorders>
            <w:shd w:val="clear" w:color="auto" w:fill="auto"/>
            <w:tcMar>
              <w:left w:w="57" w:type="dxa"/>
              <w:right w:w="57" w:type="dxa"/>
            </w:tcMar>
            <w:vAlign w:val="center"/>
          </w:tcPr>
          <w:p w14:paraId="04A9EFDD" w14:textId="2E799ABD" w:rsidR="002F7139" w:rsidRPr="005060E0" w:rsidRDefault="002F7139" w:rsidP="00D35C2D">
            <w:pPr>
              <w:widowControl w:val="0"/>
              <w:spacing w:after="0" w:line="240" w:lineRule="auto"/>
              <w:rPr>
                <w:sz w:val="16"/>
                <w:szCs w:val="16"/>
              </w:rPr>
            </w:pPr>
            <w:r w:rsidRPr="005060E0">
              <w:rPr>
                <w:sz w:val="16"/>
                <w:szCs w:val="16"/>
              </w:rPr>
              <w:t>Daily all-cause</w:t>
            </w:r>
            <w:r w:rsidRPr="005060E0">
              <w:rPr>
                <w:sz w:val="16"/>
                <w:szCs w:val="16"/>
                <w:vertAlign w:val="superscript"/>
              </w:rPr>
              <w:t>(c)</w:t>
            </w:r>
            <w:r w:rsidRPr="005060E0">
              <w:rPr>
                <w:sz w:val="16"/>
                <w:szCs w:val="16"/>
              </w:rPr>
              <w:t xml:space="preserve"> mortality (all)</w:t>
            </w:r>
          </w:p>
        </w:tc>
        <w:tc>
          <w:tcPr>
            <w:tcW w:w="426" w:type="pct"/>
            <w:tcBorders>
              <w:top w:val="single" w:sz="4" w:space="0" w:color="606372" w:themeColor="text2"/>
              <w:bottom w:val="single" w:sz="4" w:space="0" w:color="606372" w:themeColor="text2"/>
              <w:right w:val="dotted" w:sz="4" w:space="0" w:color="606072"/>
            </w:tcBorders>
            <w:vAlign w:val="center"/>
          </w:tcPr>
          <w:p w14:paraId="0663B0FA" w14:textId="77777777" w:rsidR="002F7139" w:rsidRPr="005060E0" w:rsidRDefault="002F7139" w:rsidP="00D35C2D">
            <w:pPr>
              <w:widowControl w:val="0"/>
              <w:spacing w:after="0" w:line="240" w:lineRule="auto"/>
              <w:jc w:val="center"/>
              <w:rPr>
                <w:sz w:val="16"/>
                <w:szCs w:val="16"/>
              </w:rPr>
            </w:pPr>
          </w:p>
        </w:tc>
        <w:tc>
          <w:tcPr>
            <w:tcW w:w="426" w:type="pct"/>
            <w:tcBorders>
              <w:top w:val="single" w:sz="4" w:space="0" w:color="606372" w:themeColor="text2"/>
              <w:left w:val="dotted" w:sz="4" w:space="0" w:color="606072"/>
              <w:bottom w:val="single" w:sz="4" w:space="0" w:color="606372" w:themeColor="text2"/>
            </w:tcBorders>
            <w:vAlign w:val="center"/>
          </w:tcPr>
          <w:p w14:paraId="3989296F" w14:textId="77777777" w:rsidR="002F7139" w:rsidRPr="005060E0" w:rsidRDefault="002F7139" w:rsidP="00D35C2D">
            <w:pPr>
              <w:widowControl w:val="0"/>
              <w:spacing w:after="0" w:line="240" w:lineRule="auto"/>
              <w:jc w:val="center"/>
              <w:rPr>
                <w:sz w:val="16"/>
                <w:szCs w:val="16"/>
              </w:rPr>
            </w:pPr>
          </w:p>
        </w:tc>
        <w:tc>
          <w:tcPr>
            <w:tcW w:w="638" w:type="pct"/>
            <w:tcBorders>
              <w:top w:val="single" w:sz="4" w:space="0" w:color="606372" w:themeColor="text2"/>
              <w:bottom w:val="single" w:sz="4" w:space="0" w:color="606372" w:themeColor="text2"/>
              <w:right w:val="dotted" w:sz="4" w:space="0" w:color="606072"/>
            </w:tcBorders>
            <w:vAlign w:val="center"/>
          </w:tcPr>
          <w:p w14:paraId="5E074D28" w14:textId="77777777" w:rsidR="002F7139" w:rsidRPr="005060E0" w:rsidRDefault="002F7139" w:rsidP="00D35C2D">
            <w:pPr>
              <w:widowControl w:val="0"/>
              <w:spacing w:after="0" w:line="240" w:lineRule="auto"/>
              <w:jc w:val="center"/>
              <w:rPr>
                <w:sz w:val="16"/>
                <w:szCs w:val="16"/>
              </w:rPr>
            </w:pPr>
          </w:p>
        </w:tc>
        <w:tc>
          <w:tcPr>
            <w:tcW w:w="480" w:type="pct"/>
            <w:tcBorders>
              <w:top w:val="single" w:sz="4" w:space="0" w:color="606372" w:themeColor="text2"/>
              <w:left w:val="dotted" w:sz="4" w:space="0" w:color="606072"/>
              <w:bottom w:val="single" w:sz="4" w:space="0" w:color="606372" w:themeColor="text2"/>
            </w:tcBorders>
            <w:vAlign w:val="center"/>
          </w:tcPr>
          <w:p w14:paraId="5927DC75" w14:textId="77777777" w:rsidR="002F7139" w:rsidRPr="005060E0" w:rsidRDefault="002F7139" w:rsidP="00D35C2D">
            <w:pPr>
              <w:widowControl w:val="0"/>
              <w:spacing w:after="0" w:line="240" w:lineRule="auto"/>
              <w:jc w:val="center"/>
              <w:rPr>
                <w:rFonts w:eastAsia="Times New Roman"/>
                <w:sz w:val="16"/>
                <w:szCs w:val="16"/>
                <w:lang w:eastAsia="en-AU"/>
              </w:rPr>
            </w:pPr>
          </w:p>
        </w:tc>
        <w:tc>
          <w:tcPr>
            <w:tcW w:w="586" w:type="pct"/>
            <w:tcBorders>
              <w:top w:val="single" w:sz="4" w:space="0" w:color="606372" w:themeColor="text2"/>
              <w:left w:val="dotted" w:sz="4" w:space="0" w:color="606072"/>
              <w:bottom w:val="single" w:sz="4" w:space="0" w:color="606372" w:themeColor="text2"/>
              <w:right w:val="dotted" w:sz="4" w:space="0" w:color="606072"/>
            </w:tcBorders>
            <w:vAlign w:val="center"/>
          </w:tcPr>
          <w:p w14:paraId="52BF38DE" w14:textId="77777777" w:rsidR="002F7139" w:rsidRPr="005060E0" w:rsidRDefault="002F7139" w:rsidP="00D35C2D">
            <w:pPr>
              <w:widowControl w:val="0"/>
              <w:spacing w:after="0" w:line="240" w:lineRule="auto"/>
              <w:jc w:val="center"/>
              <w:rPr>
                <w:sz w:val="16"/>
                <w:szCs w:val="16"/>
              </w:rPr>
            </w:pPr>
            <w:r w:rsidRPr="005060E0">
              <w:rPr>
                <w:sz w:val="16"/>
                <w:szCs w:val="16"/>
              </w:rPr>
              <w:t>0.06</w:t>
            </w:r>
          </w:p>
          <w:p w14:paraId="163114A2" w14:textId="71ECC692" w:rsidR="002F7139" w:rsidRPr="005060E0" w:rsidRDefault="002F7139" w:rsidP="00D35C2D">
            <w:pPr>
              <w:widowControl w:val="0"/>
              <w:spacing w:after="0" w:line="240" w:lineRule="auto"/>
              <w:jc w:val="center"/>
              <w:rPr>
                <w:sz w:val="16"/>
                <w:szCs w:val="16"/>
              </w:rPr>
            </w:pPr>
            <w:r w:rsidRPr="005060E0">
              <w:rPr>
                <w:sz w:val="16"/>
                <w:szCs w:val="16"/>
              </w:rPr>
              <w:t xml:space="preserve">(0.03 </w:t>
            </w:r>
            <w:r w:rsidR="00C43D99" w:rsidRPr="005060E0">
              <w:rPr>
                <w:sz w:val="16"/>
                <w:szCs w:val="16"/>
              </w:rPr>
              <w:t>–</w:t>
            </w:r>
            <w:r w:rsidRPr="005060E0">
              <w:rPr>
                <w:sz w:val="16"/>
                <w:szCs w:val="16"/>
              </w:rPr>
              <w:t xml:space="preserve"> 0.09)</w:t>
            </w:r>
          </w:p>
          <w:p w14:paraId="6941680B" w14:textId="57111DF9" w:rsidR="002F7139" w:rsidRPr="005060E0" w:rsidRDefault="002F7139" w:rsidP="00D35C2D">
            <w:pPr>
              <w:widowControl w:val="0"/>
              <w:spacing w:after="0" w:line="240" w:lineRule="auto"/>
              <w:jc w:val="center"/>
              <w:rPr>
                <w:sz w:val="16"/>
                <w:szCs w:val="16"/>
              </w:rPr>
            </w:pPr>
            <w:r w:rsidRPr="005060E0">
              <w:rPr>
                <w:i/>
                <w:sz w:val="16"/>
                <w:szCs w:val="16"/>
              </w:rPr>
              <w:t>[cut</w:t>
            </w:r>
            <w:r w:rsidR="00C43D99" w:rsidRPr="005060E0">
              <w:rPr>
                <w:i/>
                <w:sz w:val="16"/>
                <w:szCs w:val="16"/>
              </w:rPr>
              <w:t>-</w:t>
            </w:r>
            <w:r w:rsidRPr="005060E0">
              <w:rPr>
                <w:i/>
                <w:sz w:val="16"/>
                <w:szCs w:val="16"/>
              </w:rPr>
              <w:t>off at 35 ppb]</w:t>
            </w:r>
          </w:p>
        </w:tc>
        <w:tc>
          <w:tcPr>
            <w:tcW w:w="532" w:type="pct"/>
            <w:tcBorders>
              <w:top w:val="single" w:sz="4" w:space="0" w:color="606372" w:themeColor="text2"/>
              <w:left w:val="dotted" w:sz="4" w:space="0" w:color="606072"/>
              <w:bottom w:val="single" w:sz="4" w:space="0" w:color="606372" w:themeColor="text2"/>
            </w:tcBorders>
            <w:vAlign w:val="center"/>
          </w:tcPr>
          <w:p w14:paraId="0D414B49" w14:textId="41FFF1DD" w:rsidR="002F7139" w:rsidRPr="005060E0" w:rsidRDefault="002F7139" w:rsidP="00D35C2D">
            <w:pPr>
              <w:widowControl w:val="0"/>
              <w:spacing w:after="0" w:line="240" w:lineRule="auto"/>
              <w:jc w:val="center"/>
              <w:rPr>
                <w:sz w:val="16"/>
                <w:szCs w:val="16"/>
              </w:rPr>
            </w:pPr>
            <w:r w:rsidRPr="005060E0">
              <w:rPr>
                <w:rFonts w:eastAsia="Times New Roman"/>
                <w:sz w:val="16"/>
                <w:szCs w:val="16"/>
                <w:lang w:eastAsia="en-AU"/>
              </w:rPr>
              <w:t>WHO (2013b)</w:t>
            </w:r>
          </w:p>
        </w:tc>
      </w:tr>
      <w:tr w:rsidR="002F7139" w:rsidRPr="005060E0" w14:paraId="317EFAE7" w14:textId="77777777" w:rsidTr="00D35C2D">
        <w:trPr>
          <w:trHeight w:hRule="exact" w:val="510"/>
        </w:trPr>
        <w:tc>
          <w:tcPr>
            <w:tcW w:w="370" w:type="pct"/>
            <w:vMerge w:val="restart"/>
            <w:tcBorders>
              <w:top w:val="single" w:sz="4" w:space="0" w:color="606372" w:themeColor="text2"/>
            </w:tcBorders>
            <w:shd w:val="clear" w:color="auto" w:fill="auto"/>
            <w:tcMar>
              <w:left w:w="57" w:type="dxa"/>
              <w:right w:w="57" w:type="dxa"/>
            </w:tcMar>
            <w:vAlign w:val="center"/>
          </w:tcPr>
          <w:p w14:paraId="0A18A875" w14:textId="58BDB057" w:rsidR="002F7139" w:rsidRPr="005060E0" w:rsidRDefault="002F7139" w:rsidP="00D35C2D">
            <w:pPr>
              <w:widowControl w:val="0"/>
              <w:spacing w:after="0" w:line="240" w:lineRule="auto"/>
              <w:jc w:val="center"/>
            </w:pPr>
            <w:r w:rsidRPr="005060E0">
              <w:rPr>
                <w:sz w:val="16"/>
                <w:szCs w:val="16"/>
              </w:rPr>
              <w:t xml:space="preserve">Daily maximum </w:t>
            </w:r>
            <w:r w:rsidR="00C43D99" w:rsidRPr="005060E0">
              <w:rPr>
                <w:sz w:val="16"/>
                <w:szCs w:val="16"/>
              </w:rPr>
              <w:br/>
            </w:r>
            <w:r w:rsidRPr="005060E0">
              <w:rPr>
                <w:sz w:val="16"/>
                <w:szCs w:val="16"/>
              </w:rPr>
              <w:t>1-hour</w:t>
            </w:r>
          </w:p>
        </w:tc>
        <w:tc>
          <w:tcPr>
            <w:tcW w:w="1542" w:type="pct"/>
            <w:tcBorders>
              <w:top w:val="single" w:sz="4" w:space="0" w:color="606372" w:themeColor="text2"/>
              <w:bottom w:val="dotted" w:sz="4" w:space="0" w:color="606072"/>
            </w:tcBorders>
            <w:shd w:val="clear" w:color="auto" w:fill="auto"/>
            <w:tcMar>
              <w:left w:w="57" w:type="dxa"/>
              <w:right w:w="57" w:type="dxa"/>
            </w:tcMar>
            <w:vAlign w:val="center"/>
          </w:tcPr>
          <w:p w14:paraId="6F034088" w14:textId="5D5DBB04" w:rsidR="002F7139" w:rsidRPr="005060E0" w:rsidRDefault="002F7139" w:rsidP="00D35C2D">
            <w:pPr>
              <w:widowControl w:val="0"/>
              <w:spacing w:after="0" w:line="240" w:lineRule="auto"/>
              <w:rPr>
                <w:sz w:val="16"/>
                <w:szCs w:val="16"/>
              </w:rPr>
            </w:pPr>
            <w:r w:rsidRPr="005060E0">
              <w:rPr>
                <w:rFonts w:eastAsia="Times New Roman"/>
                <w:sz w:val="16"/>
                <w:szCs w:val="16"/>
                <w:lang w:eastAsia="en-AU"/>
              </w:rPr>
              <w:t>Daily all-cause</w:t>
            </w:r>
            <w:r w:rsidRPr="005060E0">
              <w:rPr>
                <w:sz w:val="16"/>
                <w:szCs w:val="16"/>
                <w:vertAlign w:val="superscript"/>
              </w:rPr>
              <w:t>(c)</w:t>
            </w:r>
            <w:r w:rsidRPr="005060E0">
              <w:rPr>
                <w:rFonts w:eastAsia="Times New Roman"/>
                <w:sz w:val="16"/>
                <w:szCs w:val="16"/>
                <w:lang w:eastAsia="en-AU"/>
              </w:rPr>
              <w:t xml:space="preserve"> mortality (all)</w:t>
            </w:r>
          </w:p>
        </w:tc>
        <w:tc>
          <w:tcPr>
            <w:tcW w:w="426" w:type="pct"/>
            <w:tcBorders>
              <w:top w:val="single" w:sz="4" w:space="0" w:color="606372" w:themeColor="text2"/>
              <w:bottom w:val="dotted" w:sz="4" w:space="0" w:color="606072"/>
              <w:right w:val="dotted" w:sz="4" w:space="0" w:color="606072"/>
            </w:tcBorders>
            <w:vAlign w:val="center"/>
          </w:tcPr>
          <w:p w14:paraId="6ACF8BCD" w14:textId="2D5D6284" w:rsidR="002F7139" w:rsidRPr="005060E0" w:rsidRDefault="00C43D99" w:rsidP="00D35C2D">
            <w:pPr>
              <w:widowControl w:val="0"/>
              <w:spacing w:after="0" w:line="240" w:lineRule="auto"/>
              <w:jc w:val="center"/>
              <w:rPr>
                <w:sz w:val="16"/>
                <w:szCs w:val="16"/>
              </w:rPr>
            </w:pPr>
            <w:r w:rsidRPr="005060E0">
              <w:rPr>
                <w:sz w:val="16"/>
                <w:szCs w:val="16"/>
              </w:rPr>
              <w:t>–</w:t>
            </w:r>
          </w:p>
        </w:tc>
        <w:tc>
          <w:tcPr>
            <w:tcW w:w="426" w:type="pct"/>
            <w:tcBorders>
              <w:top w:val="single" w:sz="4" w:space="0" w:color="606372" w:themeColor="text2"/>
              <w:left w:val="dotted" w:sz="4" w:space="0" w:color="606072"/>
              <w:bottom w:val="dotted" w:sz="4" w:space="0" w:color="606072"/>
            </w:tcBorders>
            <w:vAlign w:val="center"/>
          </w:tcPr>
          <w:p w14:paraId="373334FA" w14:textId="776D3C65" w:rsidR="002F7139" w:rsidRPr="005060E0" w:rsidRDefault="00C43D99" w:rsidP="00D35C2D">
            <w:pPr>
              <w:widowControl w:val="0"/>
              <w:spacing w:after="0" w:line="240" w:lineRule="auto"/>
              <w:jc w:val="center"/>
              <w:rPr>
                <w:sz w:val="16"/>
                <w:szCs w:val="16"/>
              </w:rPr>
            </w:pPr>
            <w:r w:rsidRPr="005060E0">
              <w:rPr>
                <w:sz w:val="16"/>
                <w:szCs w:val="16"/>
              </w:rPr>
              <w:t>–</w:t>
            </w:r>
          </w:p>
        </w:tc>
        <w:tc>
          <w:tcPr>
            <w:tcW w:w="638" w:type="pct"/>
            <w:tcBorders>
              <w:top w:val="single" w:sz="4" w:space="0" w:color="606372" w:themeColor="text2"/>
              <w:bottom w:val="dotted" w:sz="4" w:space="0" w:color="606072"/>
              <w:right w:val="dotted" w:sz="4" w:space="0" w:color="606072"/>
            </w:tcBorders>
            <w:vAlign w:val="center"/>
          </w:tcPr>
          <w:p w14:paraId="6B9CDC4C" w14:textId="77777777" w:rsidR="002F7139" w:rsidRPr="005060E0" w:rsidRDefault="002F7139" w:rsidP="00D35C2D">
            <w:pPr>
              <w:widowControl w:val="0"/>
              <w:spacing w:after="0" w:line="240" w:lineRule="auto"/>
              <w:jc w:val="center"/>
              <w:rPr>
                <w:sz w:val="16"/>
                <w:szCs w:val="16"/>
              </w:rPr>
            </w:pPr>
            <w:r w:rsidRPr="005060E0">
              <w:rPr>
                <w:sz w:val="16"/>
                <w:szCs w:val="16"/>
              </w:rPr>
              <w:t>0.06</w:t>
            </w:r>
          </w:p>
          <w:p w14:paraId="42843E40" w14:textId="4E9DA349" w:rsidR="002F7139" w:rsidRPr="005060E0" w:rsidRDefault="002F7139" w:rsidP="00D35C2D">
            <w:pPr>
              <w:widowControl w:val="0"/>
              <w:spacing w:after="0" w:line="240" w:lineRule="auto"/>
              <w:jc w:val="center"/>
              <w:rPr>
                <w:sz w:val="16"/>
                <w:szCs w:val="16"/>
              </w:rPr>
            </w:pPr>
            <w:r w:rsidRPr="005060E0">
              <w:rPr>
                <w:sz w:val="16"/>
                <w:szCs w:val="16"/>
              </w:rPr>
              <w:t xml:space="preserve">(0.03 </w:t>
            </w:r>
            <w:r w:rsidR="00C43D99" w:rsidRPr="005060E0">
              <w:rPr>
                <w:sz w:val="16"/>
                <w:szCs w:val="16"/>
              </w:rPr>
              <w:t>–</w:t>
            </w:r>
            <w:r w:rsidRPr="005060E0">
              <w:rPr>
                <w:sz w:val="16"/>
                <w:szCs w:val="16"/>
              </w:rPr>
              <w:t xml:space="preserve"> 0.08)</w:t>
            </w:r>
          </w:p>
        </w:tc>
        <w:tc>
          <w:tcPr>
            <w:tcW w:w="480" w:type="pct"/>
            <w:tcBorders>
              <w:top w:val="single" w:sz="4" w:space="0" w:color="606372" w:themeColor="text2"/>
              <w:left w:val="dotted" w:sz="4" w:space="0" w:color="606072"/>
              <w:bottom w:val="dotted" w:sz="4" w:space="0" w:color="606072"/>
            </w:tcBorders>
            <w:vAlign w:val="center"/>
          </w:tcPr>
          <w:p w14:paraId="6654F883" w14:textId="0293AD36" w:rsidR="002F7139" w:rsidRPr="005060E0" w:rsidRDefault="002F7139" w:rsidP="00D35C2D">
            <w:pPr>
              <w:widowControl w:val="0"/>
              <w:spacing w:after="0" w:line="240" w:lineRule="auto"/>
              <w:jc w:val="center"/>
              <w:rPr>
                <w:rFonts w:eastAsia="Times New Roman"/>
                <w:sz w:val="16"/>
                <w:szCs w:val="16"/>
                <w:lang w:eastAsia="en-AU"/>
              </w:rPr>
            </w:pPr>
            <w:r w:rsidRPr="005060E0">
              <w:rPr>
                <w:rFonts w:eastAsia="Times New Roman"/>
                <w:sz w:val="16"/>
                <w:szCs w:val="16"/>
                <w:lang w:eastAsia="en-AU"/>
              </w:rPr>
              <w:t>WHO (2013b)</w:t>
            </w:r>
          </w:p>
        </w:tc>
        <w:tc>
          <w:tcPr>
            <w:tcW w:w="586" w:type="pct"/>
            <w:tcBorders>
              <w:top w:val="single" w:sz="4" w:space="0" w:color="606372" w:themeColor="text2"/>
              <w:left w:val="dotted" w:sz="4" w:space="0" w:color="606072"/>
              <w:bottom w:val="dotted" w:sz="4" w:space="0" w:color="606072"/>
              <w:right w:val="dotted" w:sz="4" w:space="0" w:color="606072"/>
            </w:tcBorders>
            <w:vAlign w:val="center"/>
          </w:tcPr>
          <w:p w14:paraId="64CE9C91" w14:textId="317B27BE" w:rsidR="002F7139" w:rsidRPr="005060E0" w:rsidRDefault="00C43D99" w:rsidP="00D35C2D">
            <w:pPr>
              <w:widowControl w:val="0"/>
              <w:spacing w:after="0" w:line="240" w:lineRule="auto"/>
              <w:jc w:val="center"/>
              <w:rPr>
                <w:sz w:val="16"/>
                <w:szCs w:val="16"/>
              </w:rPr>
            </w:pPr>
            <w:r w:rsidRPr="005060E0">
              <w:rPr>
                <w:rFonts w:eastAsia="Times New Roman"/>
                <w:sz w:val="16"/>
                <w:szCs w:val="16"/>
                <w:lang w:eastAsia="en-AU"/>
              </w:rPr>
              <w:t>–</w:t>
            </w:r>
          </w:p>
        </w:tc>
        <w:tc>
          <w:tcPr>
            <w:tcW w:w="532" w:type="pct"/>
            <w:tcBorders>
              <w:top w:val="single" w:sz="4" w:space="0" w:color="606372" w:themeColor="text2"/>
              <w:left w:val="dotted" w:sz="4" w:space="0" w:color="606072"/>
              <w:bottom w:val="dotted" w:sz="4" w:space="0" w:color="606072"/>
            </w:tcBorders>
            <w:vAlign w:val="center"/>
          </w:tcPr>
          <w:p w14:paraId="655964DA" w14:textId="79C539DC" w:rsidR="002F7139" w:rsidRPr="005060E0" w:rsidRDefault="00C43D99" w:rsidP="00D35C2D">
            <w:pPr>
              <w:widowControl w:val="0"/>
              <w:spacing w:after="0" w:line="240" w:lineRule="auto"/>
              <w:jc w:val="center"/>
              <w:rPr>
                <w:sz w:val="16"/>
                <w:szCs w:val="16"/>
              </w:rPr>
            </w:pPr>
            <w:r w:rsidRPr="005060E0">
              <w:rPr>
                <w:rFonts w:eastAsia="Times New Roman"/>
                <w:sz w:val="16"/>
                <w:szCs w:val="16"/>
                <w:lang w:eastAsia="en-AU"/>
              </w:rPr>
              <w:t>–</w:t>
            </w:r>
          </w:p>
        </w:tc>
      </w:tr>
      <w:tr w:rsidR="002F7139" w:rsidRPr="005060E0" w14:paraId="10386D1D" w14:textId="77777777" w:rsidTr="00D35C2D">
        <w:trPr>
          <w:trHeight w:hRule="exact" w:val="510"/>
        </w:trPr>
        <w:tc>
          <w:tcPr>
            <w:tcW w:w="370" w:type="pct"/>
            <w:vMerge/>
            <w:shd w:val="clear" w:color="auto" w:fill="auto"/>
            <w:tcMar>
              <w:left w:w="57" w:type="dxa"/>
              <w:right w:w="57" w:type="dxa"/>
            </w:tcMar>
          </w:tcPr>
          <w:p w14:paraId="6F6C457C" w14:textId="77777777" w:rsidR="002F7139" w:rsidRPr="005060E0" w:rsidRDefault="002F7139" w:rsidP="00D35C2D">
            <w:pPr>
              <w:widowControl w:val="0"/>
              <w:spacing w:after="0" w:line="240" w:lineRule="auto"/>
              <w:rPr>
                <w:color w:val="FF0000"/>
                <w:sz w:val="16"/>
                <w:szCs w:val="16"/>
              </w:rPr>
            </w:pPr>
          </w:p>
        </w:tc>
        <w:tc>
          <w:tcPr>
            <w:tcW w:w="1542" w:type="pct"/>
            <w:tcBorders>
              <w:top w:val="dotted" w:sz="4" w:space="0" w:color="606072"/>
              <w:bottom w:val="dotted" w:sz="4" w:space="0" w:color="606072"/>
            </w:tcBorders>
            <w:shd w:val="clear" w:color="auto" w:fill="auto"/>
            <w:tcMar>
              <w:left w:w="57" w:type="dxa"/>
              <w:right w:w="57" w:type="dxa"/>
            </w:tcMar>
            <w:vAlign w:val="center"/>
          </w:tcPr>
          <w:p w14:paraId="27B29086" w14:textId="5BD52989" w:rsidR="002F7139" w:rsidRPr="005060E0" w:rsidRDefault="002F7139" w:rsidP="00D35C2D">
            <w:pPr>
              <w:widowControl w:val="0"/>
              <w:spacing w:after="0" w:line="240" w:lineRule="auto"/>
              <w:rPr>
                <w:sz w:val="16"/>
                <w:szCs w:val="16"/>
              </w:rPr>
            </w:pPr>
            <w:r w:rsidRPr="005060E0">
              <w:rPr>
                <w:sz w:val="16"/>
                <w:szCs w:val="16"/>
              </w:rPr>
              <w:t>Hospital admissions for respiratory disease (65+ years)</w:t>
            </w:r>
          </w:p>
        </w:tc>
        <w:tc>
          <w:tcPr>
            <w:tcW w:w="426" w:type="pct"/>
            <w:tcBorders>
              <w:top w:val="dotted" w:sz="4" w:space="0" w:color="606072"/>
              <w:bottom w:val="dotted" w:sz="4" w:space="0" w:color="606072"/>
              <w:right w:val="dotted" w:sz="4" w:space="0" w:color="606072"/>
            </w:tcBorders>
            <w:vAlign w:val="center"/>
          </w:tcPr>
          <w:p w14:paraId="1BA75E10" w14:textId="77777777" w:rsidR="002F7139" w:rsidRPr="005060E0" w:rsidRDefault="002F7139" w:rsidP="00D35C2D">
            <w:pPr>
              <w:widowControl w:val="0"/>
              <w:spacing w:after="0" w:line="240" w:lineRule="auto"/>
              <w:jc w:val="center"/>
              <w:rPr>
                <w:sz w:val="16"/>
                <w:szCs w:val="16"/>
              </w:rPr>
            </w:pPr>
            <w:r w:rsidRPr="005060E0">
              <w:rPr>
                <w:sz w:val="16"/>
                <w:szCs w:val="16"/>
              </w:rPr>
              <w:t>0.52</w:t>
            </w:r>
          </w:p>
          <w:p w14:paraId="085F1C81" w14:textId="0A0527A7" w:rsidR="002F7139" w:rsidRPr="005060E0" w:rsidRDefault="002F7139" w:rsidP="00D35C2D">
            <w:pPr>
              <w:widowControl w:val="0"/>
              <w:spacing w:after="0" w:line="240" w:lineRule="auto"/>
              <w:jc w:val="center"/>
              <w:rPr>
                <w:sz w:val="16"/>
                <w:szCs w:val="16"/>
              </w:rPr>
            </w:pPr>
            <w:r w:rsidRPr="005060E0">
              <w:rPr>
                <w:sz w:val="16"/>
                <w:szCs w:val="16"/>
              </w:rPr>
              <w:t xml:space="preserve">(0.19 </w:t>
            </w:r>
            <w:r w:rsidR="00C43D99" w:rsidRPr="005060E0">
              <w:rPr>
                <w:sz w:val="16"/>
                <w:szCs w:val="16"/>
              </w:rPr>
              <w:t>–</w:t>
            </w:r>
            <w:r w:rsidRPr="005060E0">
              <w:rPr>
                <w:sz w:val="16"/>
                <w:szCs w:val="16"/>
              </w:rPr>
              <w:t xml:space="preserve"> 0.87)</w:t>
            </w:r>
          </w:p>
        </w:tc>
        <w:tc>
          <w:tcPr>
            <w:tcW w:w="426" w:type="pct"/>
            <w:tcBorders>
              <w:top w:val="dotted" w:sz="4" w:space="0" w:color="606072"/>
              <w:left w:val="dotted" w:sz="4" w:space="0" w:color="606072"/>
              <w:bottom w:val="dotted" w:sz="4" w:space="0" w:color="606072"/>
            </w:tcBorders>
            <w:vAlign w:val="center"/>
          </w:tcPr>
          <w:p w14:paraId="43D540B4" w14:textId="19C7A123" w:rsidR="002F7139" w:rsidRPr="005060E0" w:rsidRDefault="002F7139" w:rsidP="00D35C2D">
            <w:pPr>
              <w:widowControl w:val="0"/>
              <w:spacing w:after="0" w:line="240" w:lineRule="auto"/>
              <w:jc w:val="center"/>
              <w:rPr>
                <w:sz w:val="16"/>
                <w:szCs w:val="16"/>
              </w:rPr>
            </w:pPr>
            <w:r w:rsidRPr="005060E0">
              <w:rPr>
                <w:sz w:val="16"/>
                <w:szCs w:val="16"/>
              </w:rPr>
              <w:t>Simpson et al. (2005a,b)</w:t>
            </w:r>
          </w:p>
        </w:tc>
        <w:tc>
          <w:tcPr>
            <w:tcW w:w="638" w:type="pct"/>
            <w:tcBorders>
              <w:top w:val="dotted" w:sz="4" w:space="0" w:color="606072"/>
              <w:bottom w:val="dotted" w:sz="4" w:space="0" w:color="606072"/>
              <w:right w:val="dotted" w:sz="4" w:space="0" w:color="606072"/>
            </w:tcBorders>
            <w:vAlign w:val="center"/>
          </w:tcPr>
          <w:p w14:paraId="672009F0" w14:textId="5425C60A" w:rsidR="002F7139" w:rsidRPr="005060E0" w:rsidRDefault="00C43D99" w:rsidP="00D35C2D">
            <w:pPr>
              <w:widowControl w:val="0"/>
              <w:spacing w:after="0" w:line="240" w:lineRule="auto"/>
              <w:jc w:val="center"/>
              <w:rPr>
                <w:sz w:val="16"/>
                <w:szCs w:val="16"/>
              </w:rPr>
            </w:pPr>
            <w:r w:rsidRPr="005060E0">
              <w:rPr>
                <w:rFonts w:eastAsia="Times New Roman"/>
                <w:sz w:val="16"/>
                <w:szCs w:val="16"/>
                <w:lang w:eastAsia="en-AU"/>
              </w:rPr>
              <w:t>–</w:t>
            </w:r>
          </w:p>
        </w:tc>
        <w:tc>
          <w:tcPr>
            <w:tcW w:w="480" w:type="pct"/>
            <w:tcBorders>
              <w:top w:val="dotted" w:sz="4" w:space="0" w:color="606072"/>
              <w:left w:val="dotted" w:sz="4" w:space="0" w:color="606072"/>
              <w:bottom w:val="dotted" w:sz="4" w:space="0" w:color="606072"/>
            </w:tcBorders>
            <w:vAlign w:val="center"/>
          </w:tcPr>
          <w:p w14:paraId="532A2024" w14:textId="3E95BED0" w:rsidR="002F7139" w:rsidRPr="005060E0" w:rsidRDefault="00C43D99" w:rsidP="00D35C2D">
            <w:pPr>
              <w:widowControl w:val="0"/>
              <w:spacing w:after="0" w:line="240" w:lineRule="auto"/>
              <w:jc w:val="center"/>
              <w:rPr>
                <w:rFonts w:eastAsia="Times New Roman"/>
                <w:sz w:val="16"/>
                <w:szCs w:val="16"/>
                <w:lang w:eastAsia="en-AU"/>
              </w:rPr>
            </w:pPr>
            <w:r w:rsidRPr="005060E0">
              <w:rPr>
                <w:rFonts w:eastAsia="Times New Roman"/>
                <w:sz w:val="16"/>
                <w:szCs w:val="16"/>
                <w:lang w:eastAsia="en-AU"/>
              </w:rPr>
              <w:t>–</w:t>
            </w:r>
          </w:p>
        </w:tc>
        <w:tc>
          <w:tcPr>
            <w:tcW w:w="586" w:type="pct"/>
            <w:tcBorders>
              <w:top w:val="dotted" w:sz="4" w:space="0" w:color="606072"/>
              <w:left w:val="dotted" w:sz="4" w:space="0" w:color="606072"/>
              <w:bottom w:val="dotted" w:sz="4" w:space="0" w:color="606072"/>
              <w:right w:val="dotted" w:sz="4" w:space="0" w:color="606072"/>
            </w:tcBorders>
            <w:vAlign w:val="center"/>
          </w:tcPr>
          <w:p w14:paraId="121FEAC2" w14:textId="77DDE6FF" w:rsidR="002F7139" w:rsidRPr="005060E0" w:rsidRDefault="00C43D99" w:rsidP="00D35C2D">
            <w:pPr>
              <w:widowControl w:val="0"/>
              <w:spacing w:after="0" w:line="240" w:lineRule="auto"/>
              <w:jc w:val="center"/>
              <w:rPr>
                <w:sz w:val="16"/>
                <w:szCs w:val="16"/>
              </w:rPr>
            </w:pPr>
            <w:r w:rsidRPr="005060E0">
              <w:rPr>
                <w:rFonts w:eastAsia="Times New Roman"/>
                <w:sz w:val="16"/>
                <w:szCs w:val="16"/>
                <w:lang w:eastAsia="en-AU"/>
              </w:rPr>
              <w:t>–</w:t>
            </w:r>
          </w:p>
        </w:tc>
        <w:tc>
          <w:tcPr>
            <w:tcW w:w="532" w:type="pct"/>
            <w:tcBorders>
              <w:top w:val="dotted" w:sz="4" w:space="0" w:color="606072"/>
              <w:left w:val="dotted" w:sz="4" w:space="0" w:color="606072"/>
              <w:bottom w:val="dotted" w:sz="4" w:space="0" w:color="606072"/>
            </w:tcBorders>
            <w:vAlign w:val="center"/>
          </w:tcPr>
          <w:p w14:paraId="6D7DDA9B" w14:textId="21ADB407" w:rsidR="002F7139" w:rsidRPr="005060E0" w:rsidRDefault="00C43D99" w:rsidP="00D35C2D">
            <w:pPr>
              <w:widowControl w:val="0"/>
              <w:spacing w:after="0" w:line="240" w:lineRule="auto"/>
              <w:jc w:val="center"/>
              <w:rPr>
                <w:sz w:val="16"/>
                <w:szCs w:val="16"/>
              </w:rPr>
            </w:pPr>
            <w:r w:rsidRPr="005060E0">
              <w:rPr>
                <w:rFonts w:eastAsia="Times New Roman"/>
                <w:sz w:val="16"/>
                <w:szCs w:val="16"/>
                <w:lang w:eastAsia="en-AU"/>
              </w:rPr>
              <w:t>–</w:t>
            </w:r>
          </w:p>
        </w:tc>
      </w:tr>
      <w:tr w:rsidR="002F7139" w:rsidRPr="005060E0" w14:paraId="7ACF9F21" w14:textId="77777777" w:rsidTr="00D35C2D">
        <w:trPr>
          <w:trHeight w:hRule="exact" w:val="510"/>
        </w:trPr>
        <w:tc>
          <w:tcPr>
            <w:tcW w:w="370" w:type="pct"/>
            <w:vMerge/>
            <w:shd w:val="clear" w:color="auto" w:fill="auto"/>
            <w:tcMar>
              <w:left w:w="57" w:type="dxa"/>
              <w:right w:w="57" w:type="dxa"/>
            </w:tcMar>
          </w:tcPr>
          <w:p w14:paraId="2C51C72F" w14:textId="77777777" w:rsidR="002F7139" w:rsidRPr="005060E0" w:rsidRDefault="002F7139" w:rsidP="00D35C2D">
            <w:pPr>
              <w:widowControl w:val="0"/>
              <w:spacing w:after="0" w:line="240" w:lineRule="auto"/>
              <w:rPr>
                <w:color w:val="FF0000"/>
                <w:sz w:val="16"/>
                <w:szCs w:val="16"/>
              </w:rPr>
            </w:pPr>
          </w:p>
        </w:tc>
        <w:tc>
          <w:tcPr>
            <w:tcW w:w="1542" w:type="pct"/>
            <w:tcBorders>
              <w:top w:val="dotted" w:sz="4" w:space="0" w:color="606072"/>
            </w:tcBorders>
            <w:shd w:val="clear" w:color="auto" w:fill="auto"/>
            <w:tcMar>
              <w:left w:w="57" w:type="dxa"/>
              <w:right w:w="57" w:type="dxa"/>
            </w:tcMar>
            <w:vAlign w:val="center"/>
          </w:tcPr>
          <w:p w14:paraId="585318FC" w14:textId="5ADF37DF" w:rsidR="002F7139" w:rsidRPr="005060E0" w:rsidRDefault="002F7139" w:rsidP="00D35C2D">
            <w:pPr>
              <w:widowControl w:val="0"/>
              <w:spacing w:after="0" w:line="240" w:lineRule="auto"/>
              <w:rPr>
                <w:sz w:val="16"/>
                <w:szCs w:val="16"/>
              </w:rPr>
            </w:pPr>
            <w:r w:rsidRPr="005060E0">
              <w:rPr>
                <w:sz w:val="16"/>
                <w:szCs w:val="16"/>
              </w:rPr>
              <w:t>Emergency department visits for asthma (&lt;15)</w:t>
            </w:r>
          </w:p>
        </w:tc>
        <w:tc>
          <w:tcPr>
            <w:tcW w:w="426" w:type="pct"/>
            <w:tcBorders>
              <w:top w:val="dotted" w:sz="4" w:space="0" w:color="606072"/>
              <w:right w:val="dotted" w:sz="4" w:space="0" w:color="606072"/>
            </w:tcBorders>
            <w:vAlign w:val="center"/>
          </w:tcPr>
          <w:p w14:paraId="06F25D42" w14:textId="74DB4519" w:rsidR="002F7139" w:rsidRPr="005060E0" w:rsidRDefault="00C43D99" w:rsidP="00D35C2D">
            <w:pPr>
              <w:widowControl w:val="0"/>
              <w:spacing w:after="0" w:line="240" w:lineRule="auto"/>
              <w:jc w:val="center"/>
              <w:rPr>
                <w:sz w:val="16"/>
                <w:szCs w:val="16"/>
              </w:rPr>
            </w:pPr>
            <w:r w:rsidRPr="005060E0">
              <w:rPr>
                <w:sz w:val="16"/>
                <w:szCs w:val="16"/>
              </w:rPr>
              <w:t>–</w:t>
            </w:r>
          </w:p>
        </w:tc>
        <w:tc>
          <w:tcPr>
            <w:tcW w:w="426" w:type="pct"/>
            <w:tcBorders>
              <w:top w:val="dotted" w:sz="4" w:space="0" w:color="606072"/>
              <w:left w:val="dotted" w:sz="4" w:space="0" w:color="606072"/>
            </w:tcBorders>
            <w:vAlign w:val="center"/>
          </w:tcPr>
          <w:p w14:paraId="1AF05B0F" w14:textId="07B5C84F" w:rsidR="002F7139" w:rsidRPr="005060E0" w:rsidRDefault="00C43D99" w:rsidP="00D35C2D">
            <w:pPr>
              <w:widowControl w:val="0"/>
              <w:spacing w:after="0" w:line="240" w:lineRule="auto"/>
              <w:jc w:val="center"/>
              <w:rPr>
                <w:sz w:val="16"/>
                <w:szCs w:val="16"/>
              </w:rPr>
            </w:pPr>
            <w:r w:rsidRPr="005060E0">
              <w:rPr>
                <w:sz w:val="16"/>
                <w:szCs w:val="16"/>
              </w:rPr>
              <w:t>–</w:t>
            </w:r>
          </w:p>
        </w:tc>
        <w:tc>
          <w:tcPr>
            <w:tcW w:w="638" w:type="pct"/>
            <w:tcBorders>
              <w:top w:val="dotted" w:sz="4" w:space="0" w:color="606072"/>
              <w:right w:val="dotted" w:sz="4" w:space="0" w:color="606072"/>
            </w:tcBorders>
            <w:vAlign w:val="center"/>
          </w:tcPr>
          <w:p w14:paraId="11E21D21" w14:textId="13E9C25B" w:rsidR="002F7139" w:rsidRPr="005060E0" w:rsidRDefault="00C43D99" w:rsidP="00D35C2D">
            <w:pPr>
              <w:widowControl w:val="0"/>
              <w:spacing w:after="0" w:line="240" w:lineRule="auto"/>
              <w:jc w:val="center"/>
              <w:rPr>
                <w:sz w:val="16"/>
                <w:szCs w:val="16"/>
              </w:rPr>
            </w:pPr>
            <w:r w:rsidRPr="005060E0">
              <w:rPr>
                <w:rFonts w:eastAsia="Times New Roman"/>
                <w:sz w:val="16"/>
                <w:szCs w:val="16"/>
                <w:lang w:eastAsia="en-AU"/>
              </w:rPr>
              <w:t>–</w:t>
            </w:r>
          </w:p>
        </w:tc>
        <w:tc>
          <w:tcPr>
            <w:tcW w:w="480" w:type="pct"/>
            <w:tcBorders>
              <w:top w:val="dotted" w:sz="4" w:space="0" w:color="606072"/>
              <w:left w:val="dotted" w:sz="4" w:space="0" w:color="606072"/>
            </w:tcBorders>
            <w:vAlign w:val="center"/>
          </w:tcPr>
          <w:p w14:paraId="2A8423D3" w14:textId="531FB396" w:rsidR="002F7139" w:rsidRPr="005060E0" w:rsidRDefault="00C43D99" w:rsidP="00D35C2D">
            <w:pPr>
              <w:widowControl w:val="0"/>
              <w:spacing w:after="0" w:line="240" w:lineRule="auto"/>
              <w:jc w:val="center"/>
              <w:rPr>
                <w:rFonts w:eastAsia="Times New Roman"/>
                <w:sz w:val="16"/>
                <w:szCs w:val="16"/>
                <w:lang w:eastAsia="en-AU"/>
              </w:rPr>
            </w:pPr>
            <w:r w:rsidRPr="005060E0">
              <w:rPr>
                <w:rFonts w:eastAsia="Times New Roman"/>
                <w:sz w:val="16"/>
                <w:szCs w:val="16"/>
                <w:lang w:eastAsia="en-AU"/>
              </w:rPr>
              <w:t>–</w:t>
            </w:r>
          </w:p>
        </w:tc>
        <w:tc>
          <w:tcPr>
            <w:tcW w:w="586" w:type="pct"/>
            <w:tcBorders>
              <w:top w:val="dotted" w:sz="4" w:space="0" w:color="606072"/>
              <w:left w:val="dotted" w:sz="4" w:space="0" w:color="606072"/>
              <w:right w:val="dotted" w:sz="4" w:space="0" w:color="606072"/>
            </w:tcBorders>
            <w:vAlign w:val="center"/>
          </w:tcPr>
          <w:p w14:paraId="055FA024" w14:textId="77777777" w:rsidR="002F7139" w:rsidRPr="005060E0" w:rsidRDefault="002F7139" w:rsidP="00D35C2D">
            <w:pPr>
              <w:widowControl w:val="0"/>
              <w:spacing w:after="0" w:line="240" w:lineRule="auto"/>
              <w:jc w:val="center"/>
              <w:rPr>
                <w:sz w:val="16"/>
                <w:szCs w:val="16"/>
              </w:rPr>
            </w:pPr>
            <w:r w:rsidRPr="005060E0">
              <w:rPr>
                <w:sz w:val="16"/>
                <w:szCs w:val="16"/>
              </w:rPr>
              <w:t>0.10</w:t>
            </w:r>
          </w:p>
          <w:p w14:paraId="2A5F2F45" w14:textId="6C7D488B" w:rsidR="002F7139" w:rsidRPr="005060E0" w:rsidRDefault="002F7139" w:rsidP="00D35C2D">
            <w:pPr>
              <w:widowControl w:val="0"/>
              <w:spacing w:after="0" w:line="240" w:lineRule="auto"/>
              <w:jc w:val="center"/>
              <w:rPr>
                <w:sz w:val="16"/>
                <w:szCs w:val="16"/>
              </w:rPr>
            </w:pPr>
            <w:r w:rsidRPr="005060E0">
              <w:rPr>
                <w:sz w:val="16"/>
                <w:szCs w:val="16"/>
              </w:rPr>
              <w:t xml:space="preserve">(0.08 </w:t>
            </w:r>
            <w:r w:rsidR="00C43D99" w:rsidRPr="005060E0">
              <w:rPr>
                <w:sz w:val="16"/>
                <w:szCs w:val="16"/>
              </w:rPr>
              <w:t>–</w:t>
            </w:r>
            <w:r w:rsidRPr="005060E0">
              <w:rPr>
                <w:sz w:val="16"/>
                <w:szCs w:val="16"/>
              </w:rPr>
              <w:t xml:space="preserve"> 0.18)</w:t>
            </w:r>
          </w:p>
        </w:tc>
        <w:tc>
          <w:tcPr>
            <w:tcW w:w="532" w:type="pct"/>
            <w:tcBorders>
              <w:top w:val="dotted" w:sz="4" w:space="0" w:color="606072"/>
              <w:left w:val="dotted" w:sz="4" w:space="0" w:color="606072"/>
            </w:tcBorders>
            <w:vAlign w:val="center"/>
          </w:tcPr>
          <w:p w14:paraId="20A526D6" w14:textId="5015014B" w:rsidR="002F7139" w:rsidRPr="005060E0" w:rsidRDefault="002F7139" w:rsidP="00D35C2D">
            <w:pPr>
              <w:widowControl w:val="0"/>
              <w:spacing w:after="0" w:line="240" w:lineRule="auto"/>
              <w:jc w:val="center"/>
              <w:rPr>
                <w:sz w:val="16"/>
                <w:szCs w:val="16"/>
              </w:rPr>
            </w:pPr>
            <w:r w:rsidRPr="005060E0">
              <w:rPr>
                <w:rFonts w:eastAsia="Times New Roman"/>
                <w:sz w:val="16"/>
                <w:szCs w:val="16"/>
                <w:lang w:eastAsia="en-AU"/>
              </w:rPr>
              <w:t>EPHC (2005)</w:t>
            </w:r>
          </w:p>
        </w:tc>
      </w:tr>
    </w:tbl>
    <w:p w14:paraId="2277EE3D" w14:textId="076131C8" w:rsidR="00D67E9A" w:rsidRPr="005060E0" w:rsidRDefault="00D67E9A" w:rsidP="008452A2">
      <w:pPr>
        <w:pStyle w:val="ListParagraph"/>
        <w:numPr>
          <w:ilvl w:val="0"/>
          <w:numId w:val="39"/>
        </w:numPr>
        <w:spacing w:before="40" w:after="0" w:line="240" w:lineRule="auto"/>
        <w:ind w:left="284" w:hanging="284"/>
        <w:contextualSpacing w:val="0"/>
        <w:rPr>
          <w:sz w:val="16"/>
          <w:szCs w:val="16"/>
        </w:rPr>
      </w:pPr>
      <w:r w:rsidRPr="005060E0">
        <w:rPr>
          <w:sz w:val="16"/>
          <w:szCs w:val="16"/>
        </w:rPr>
        <w:t xml:space="preserve">Percentage increase in health </w:t>
      </w:r>
      <w:r w:rsidR="00FA1506" w:rsidRPr="005060E0">
        <w:rPr>
          <w:sz w:val="16"/>
          <w:szCs w:val="16"/>
        </w:rPr>
        <w:t xml:space="preserve">outcome per 1 ppb increase in </w:t>
      </w:r>
      <w:r w:rsidRPr="005060E0">
        <w:rPr>
          <w:sz w:val="16"/>
          <w:szCs w:val="16"/>
        </w:rPr>
        <w:t>concentration</w:t>
      </w:r>
      <w:r w:rsidR="00C43D99" w:rsidRPr="005060E0">
        <w:rPr>
          <w:sz w:val="16"/>
          <w:szCs w:val="16"/>
        </w:rPr>
        <w:t>.</w:t>
      </w:r>
    </w:p>
    <w:p w14:paraId="6DFB59B2" w14:textId="69C6D49D" w:rsidR="00D67E9A" w:rsidRPr="005060E0" w:rsidRDefault="00D67E9A" w:rsidP="008452A2">
      <w:pPr>
        <w:pStyle w:val="ListParagraph"/>
        <w:numPr>
          <w:ilvl w:val="0"/>
          <w:numId w:val="39"/>
        </w:numPr>
        <w:spacing w:before="40" w:after="0" w:line="240" w:lineRule="auto"/>
        <w:ind w:left="284" w:hanging="284"/>
        <w:contextualSpacing w:val="0"/>
        <w:rPr>
          <w:sz w:val="16"/>
          <w:szCs w:val="16"/>
        </w:rPr>
      </w:pPr>
      <w:r w:rsidRPr="005060E0">
        <w:rPr>
          <w:sz w:val="16"/>
          <w:szCs w:val="16"/>
        </w:rPr>
        <w:t>Central estimate and 95</w:t>
      </w:r>
      <w:r w:rsidR="00C75B58">
        <w:rPr>
          <w:sz w:val="16"/>
          <w:szCs w:val="16"/>
        </w:rPr>
        <w:t xml:space="preserve"> per cent</w:t>
      </w:r>
      <w:r w:rsidRPr="005060E0">
        <w:rPr>
          <w:sz w:val="16"/>
          <w:szCs w:val="16"/>
        </w:rPr>
        <w:t xml:space="preserve"> confidence interval.</w:t>
      </w:r>
    </w:p>
    <w:p w14:paraId="2136242E" w14:textId="0BD78AA4" w:rsidR="00AD641A" w:rsidRPr="005060E0" w:rsidRDefault="00627461" w:rsidP="008452A2">
      <w:pPr>
        <w:pStyle w:val="ListParagraph"/>
        <w:numPr>
          <w:ilvl w:val="0"/>
          <w:numId w:val="39"/>
        </w:numPr>
        <w:spacing w:before="40" w:after="0" w:line="240" w:lineRule="auto"/>
        <w:ind w:left="284" w:hanging="284"/>
        <w:contextualSpacing w:val="0"/>
        <w:rPr>
          <w:sz w:val="16"/>
          <w:szCs w:val="16"/>
        </w:rPr>
      </w:pPr>
      <w:r w:rsidRPr="005060E0">
        <w:rPr>
          <w:sz w:val="16"/>
          <w:szCs w:val="16"/>
        </w:rPr>
        <w:t xml:space="preserve">‘All-cause mortality’ refers to acute mortality events that are estimated to shorten life by </w:t>
      </w:r>
      <w:r w:rsidR="006E1664">
        <w:rPr>
          <w:sz w:val="16"/>
          <w:szCs w:val="16"/>
        </w:rPr>
        <w:t>six</w:t>
      </w:r>
      <w:r w:rsidRPr="005060E0">
        <w:rPr>
          <w:sz w:val="16"/>
          <w:szCs w:val="16"/>
        </w:rPr>
        <w:t xml:space="preserve"> months.</w:t>
      </w:r>
    </w:p>
    <w:p w14:paraId="2E5B7154" w14:textId="70A1FEDB" w:rsidR="00D67E9A" w:rsidRPr="005060E0" w:rsidRDefault="00D67E9A" w:rsidP="00D67E9A">
      <w:pPr>
        <w:spacing w:after="0"/>
      </w:pPr>
    </w:p>
    <w:p w14:paraId="7026DAC5" w14:textId="77777777" w:rsidR="005B2677" w:rsidRPr="005060E0" w:rsidRDefault="005B2677" w:rsidP="00D67E9A">
      <w:pPr>
        <w:spacing w:after="0"/>
        <w:rPr>
          <w:color w:val="FF0000"/>
        </w:rPr>
        <w:sectPr w:rsidR="005B2677" w:rsidRPr="005060E0" w:rsidSect="005E65A7">
          <w:headerReference w:type="default" r:id="rId19"/>
          <w:footerReference w:type="default" r:id="rId20"/>
          <w:pgSz w:w="16838" w:h="11906" w:orient="landscape" w:code="9"/>
          <w:pgMar w:top="1702" w:right="1440" w:bottom="1440" w:left="1560" w:header="709" w:footer="131" w:gutter="0"/>
          <w:cols w:space="255"/>
          <w:docGrid w:linePitch="360"/>
        </w:sectPr>
      </w:pPr>
    </w:p>
    <w:p w14:paraId="09ED700D" w14:textId="2AFA536A" w:rsidR="00497A97" w:rsidRPr="005060E0" w:rsidRDefault="00497A97" w:rsidP="00762AAA">
      <w:pPr>
        <w:pStyle w:val="Heading3"/>
        <w:spacing w:before="0"/>
      </w:pPr>
      <w:r w:rsidRPr="005060E0">
        <w:t>Health outcomes avoided by meeting standards</w:t>
      </w:r>
    </w:p>
    <w:p w14:paraId="19D1A124" w14:textId="19C53213" w:rsidR="00102CBE" w:rsidRPr="005060E0" w:rsidRDefault="00102CBE" w:rsidP="00243C29">
      <w:pPr>
        <w:rPr>
          <w:szCs w:val="20"/>
        </w:rPr>
      </w:pPr>
      <w:r w:rsidRPr="005060E0">
        <w:rPr>
          <w:szCs w:val="20"/>
        </w:rPr>
        <w:t>To assess the health outco</w:t>
      </w:r>
      <w:r w:rsidR="00497A97" w:rsidRPr="005060E0">
        <w:rPr>
          <w:szCs w:val="20"/>
        </w:rPr>
        <w:t>mes avoided by meeting the proposed</w:t>
      </w:r>
      <w:r w:rsidRPr="005060E0">
        <w:rPr>
          <w:szCs w:val="20"/>
        </w:rPr>
        <w:t xml:space="preserve"> standards</w:t>
      </w:r>
      <w:r w:rsidR="00243C29" w:rsidRPr="005060E0">
        <w:rPr>
          <w:szCs w:val="20"/>
        </w:rPr>
        <w:t>,</w:t>
      </w:r>
      <w:r w:rsidRPr="005060E0">
        <w:rPr>
          <w:szCs w:val="20"/>
        </w:rPr>
        <w:t xml:space="preserve"> a </w:t>
      </w:r>
      <w:r w:rsidR="00243C29" w:rsidRPr="005060E0">
        <w:rPr>
          <w:szCs w:val="20"/>
        </w:rPr>
        <w:t>‘</w:t>
      </w:r>
      <w:r w:rsidRPr="005060E0">
        <w:rPr>
          <w:szCs w:val="20"/>
        </w:rPr>
        <w:t>roll-back</w:t>
      </w:r>
      <w:r w:rsidR="00243C29" w:rsidRPr="005060E0">
        <w:rPr>
          <w:szCs w:val="20"/>
        </w:rPr>
        <w:t>’</w:t>
      </w:r>
      <w:r w:rsidRPr="005060E0">
        <w:rPr>
          <w:szCs w:val="20"/>
        </w:rPr>
        <w:t xml:space="preserve"> procedure was applied</w:t>
      </w:r>
      <w:r w:rsidR="00B00321" w:rsidRPr="005060E0">
        <w:rPr>
          <w:szCs w:val="20"/>
        </w:rPr>
        <w:t xml:space="preserve">. </w:t>
      </w:r>
      <w:r w:rsidRPr="005060E0">
        <w:rPr>
          <w:szCs w:val="20"/>
        </w:rPr>
        <w:t xml:space="preserve">The percentage reduction </w:t>
      </w:r>
      <w:r w:rsidR="00497A97" w:rsidRPr="005060E0">
        <w:rPr>
          <w:szCs w:val="20"/>
        </w:rPr>
        <w:t xml:space="preserve">in concentration </w:t>
      </w:r>
      <w:r w:rsidRPr="005060E0">
        <w:rPr>
          <w:szCs w:val="20"/>
        </w:rPr>
        <w:t>required for the maximum value across the network to comply with the potential standard was determined</w:t>
      </w:r>
      <w:r w:rsidR="00497A97" w:rsidRPr="005060E0">
        <w:rPr>
          <w:szCs w:val="20"/>
        </w:rPr>
        <w:t>,</w:t>
      </w:r>
      <w:r w:rsidRPr="005060E0">
        <w:rPr>
          <w:szCs w:val="20"/>
        </w:rPr>
        <w:t xml:space="preserve"> and </w:t>
      </w:r>
      <w:r w:rsidR="00497A97" w:rsidRPr="005060E0">
        <w:rPr>
          <w:szCs w:val="20"/>
        </w:rPr>
        <w:t>then applied to the yearly data</w:t>
      </w:r>
      <w:r w:rsidRPr="005060E0">
        <w:rPr>
          <w:szCs w:val="20"/>
        </w:rPr>
        <w:t>set. T</w:t>
      </w:r>
      <w:r w:rsidR="00497A97" w:rsidRPr="005060E0">
        <w:rPr>
          <w:szCs w:val="20"/>
        </w:rPr>
        <w:t>hese</w:t>
      </w:r>
      <w:r w:rsidRPr="005060E0">
        <w:rPr>
          <w:szCs w:val="20"/>
        </w:rPr>
        <w:t xml:space="preserve"> data </w:t>
      </w:r>
      <w:r w:rsidR="00497A97" w:rsidRPr="005060E0">
        <w:rPr>
          <w:szCs w:val="20"/>
        </w:rPr>
        <w:t>were</w:t>
      </w:r>
      <w:r w:rsidRPr="005060E0">
        <w:rPr>
          <w:szCs w:val="20"/>
        </w:rPr>
        <w:t xml:space="preserve"> then used to calculate the number of</w:t>
      </w:r>
      <w:r w:rsidR="00497A97" w:rsidRPr="005060E0">
        <w:rPr>
          <w:szCs w:val="20"/>
        </w:rPr>
        <w:t xml:space="preserve"> health outcomes</w:t>
      </w:r>
      <w:r w:rsidRPr="005060E0">
        <w:rPr>
          <w:szCs w:val="20"/>
        </w:rPr>
        <w:t xml:space="preserve"> avoided </w:t>
      </w:r>
      <w:r w:rsidR="00497A97" w:rsidRPr="005060E0">
        <w:rPr>
          <w:szCs w:val="20"/>
        </w:rPr>
        <w:t xml:space="preserve">if the standards could be met. </w:t>
      </w:r>
      <w:r w:rsidRPr="005060E0">
        <w:rPr>
          <w:szCs w:val="20"/>
        </w:rPr>
        <w:t>More details of this approach can be found in Appendix B.</w:t>
      </w:r>
    </w:p>
    <w:p w14:paraId="2057F6E7" w14:textId="4FDF6F11" w:rsidR="00102CBE" w:rsidRPr="005060E0" w:rsidRDefault="00102CBE" w:rsidP="00102CBE">
      <w:pPr>
        <w:rPr>
          <w:szCs w:val="20"/>
        </w:rPr>
      </w:pPr>
      <w:r w:rsidRPr="005060E0">
        <w:rPr>
          <w:szCs w:val="20"/>
        </w:rPr>
        <w:t>To enable assessment of the attributable health effects in each jurisdiction, baseline health data were obtained</w:t>
      </w:r>
      <w:r w:rsidR="00B00321" w:rsidRPr="005060E0">
        <w:rPr>
          <w:szCs w:val="20"/>
        </w:rPr>
        <w:t xml:space="preserve">. </w:t>
      </w:r>
      <w:r w:rsidRPr="005060E0">
        <w:rPr>
          <w:szCs w:val="20"/>
        </w:rPr>
        <w:t>The mortality data for 2010</w:t>
      </w:r>
      <w:r w:rsidR="00DF4D3A" w:rsidRPr="005060E0">
        <w:rPr>
          <w:szCs w:val="20"/>
        </w:rPr>
        <w:t>–20</w:t>
      </w:r>
      <w:r w:rsidRPr="005060E0">
        <w:rPr>
          <w:szCs w:val="20"/>
        </w:rPr>
        <w:t xml:space="preserve">14 were obtained from the Australian Bureau of Statistics for all cities and regional centres considered in the HRA. Hospital admissions and emergency department data were obtained from the relevant </w:t>
      </w:r>
      <w:r w:rsidR="005A403B" w:rsidRPr="005060E0">
        <w:rPr>
          <w:szCs w:val="20"/>
        </w:rPr>
        <w:t>s</w:t>
      </w:r>
      <w:r w:rsidRPr="005060E0">
        <w:rPr>
          <w:szCs w:val="20"/>
        </w:rPr>
        <w:t>tate/</w:t>
      </w:r>
      <w:r w:rsidR="005A403B" w:rsidRPr="005060E0">
        <w:rPr>
          <w:szCs w:val="20"/>
        </w:rPr>
        <w:t>t</w:t>
      </w:r>
      <w:r w:rsidRPr="005060E0">
        <w:rPr>
          <w:szCs w:val="20"/>
        </w:rPr>
        <w:t xml:space="preserve">erritory </w:t>
      </w:r>
      <w:r w:rsidR="005A403B" w:rsidRPr="005060E0">
        <w:rPr>
          <w:szCs w:val="20"/>
        </w:rPr>
        <w:t>h</w:t>
      </w:r>
      <w:r w:rsidRPr="005060E0">
        <w:rPr>
          <w:szCs w:val="20"/>
        </w:rPr>
        <w:t xml:space="preserve">ealth </w:t>
      </w:r>
      <w:r w:rsidR="005A403B" w:rsidRPr="005060E0">
        <w:rPr>
          <w:szCs w:val="20"/>
        </w:rPr>
        <w:t>d</w:t>
      </w:r>
      <w:r w:rsidRPr="005060E0">
        <w:rPr>
          <w:szCs w:val="20"/>
        </w:rPr>
        <w:t>epartments for the same locations and the same time period</w:t>
      </w:r>
      <w:r w:rsidR="00B00321" w:rsidRPr="005060E0">
        <w:rPr>
          <w:szCs w:val="20"/>
        </w:rPr>
        <w:t xml:space="preserve">. </w:t>
      </w:r>
      <w:r w:rsidRPr="005060E0">
        <w:rPr>
          <w:szCs w:val="20"/>
        </w:rPr>
        <w:t>For the projected years, the latest 2014 data were used as the baseline data.</w:t>
      </w:r>
    </w:p>
    <w:p w14:paraId="69A7CE7D" w14:textId="33B7D0CF" w:rsidR="00102CBE" w:rsidRPr="005060E0" w:rsidRDefault="00102CBE" w:rsidP="00102CBE">
      <w:pPr>
        <w:rPr>
          <w:szCs w:val="20"/>
        </w:rPr>
      </w:pPr>
      <w:r w:rsidRPr="005060E0">
        <w:rPr>
          <w:szCs w:val="20"/>
        </w:rPr>
        <w:t xml:space="preserve">Population data were obtained from the </w:t>
      </w:r>
      <w:r w:rsidR="00AF41EC" w:rsidRPr="005060E0">
        <w:rPr>
          <w:szCs w:val="20"/>
        </w:rPr>
        <w:t>ABS</w:t>
      </w:r>
      <w:r w:rsidRPr="005060E0">
        <w:rPr>
          <w:szCs w:val="20"/>
        </w:rPr>
        <w:t>, including projections out to 2040 for all age groups considered in the HRA.</w:t>
      </w:r>
    </w:p>
    <w:p w14:paraId="65A971B1" w14:textId="158FC56F" w:rsidR="00102CBE" w:rsidRPr="005060E0" w:rsidRDefault="00102CBE" w:rsidP="00102CBE">
      <w:pPr>
        <w:rPr>
          <w:szCs w:val="20"/>
        </w:rPr>
      </w:pPr>
      <w:r w:rsidRPr="005060E0">
        <w:rPr>
          <w:szCs w:val="20"/>
        </w:rPr>
        <w:t>The risk characterisation calculate</w:t>
      </w:r>
      <w:r w:rsidR="00AD7FCF" w:rsidRPr="005060E0">
        <w:rPr>
          <w:szCs w:val="20"/>
        </w:rPr>
        <w:t>d</w:t>
      </w:r>
      <w:r w:rsidRPr="005060E0">
        <w:rPr>
          <w:szCs w:val="20"/>
        </w:rPr>
        <w:t xml:space="preserve"> the number of attributable health outcomes for each pollutant and each scenario assessed</w:t>
      </w:r>
      <w:r w:rsidR="00B00321" w:rsidRPr="005060E0">
        <w:rPr>
          <w:szCs w:val="20"/>
        </w:rPr>
        <w:t xml:space="preserve">. </w:t>
      </w:r>
      <w:r w:rsidRPr="005060E0">
        <w:rPr>
          <w:szCs w:val="20"/>
        </w:rPr>
        <w:t>The year 2010 was assessed in both the current HRA</w:t>
      </w:r>
      <w:r w:rsidR="000F6B25" w:rsidRPr="005060E0">
        <w:rPr>
          <w:szCs w:val="20"/>
        </w:rPr>
        <w:t xml:space="preserve"> and in the report by </w:t>
      </w:r>
      <w:r w:rsidR="000F6B25" w:rsidRPr="005060E0">
        <w:t>Frangos and DiMarco (2013)</w:t>
      </w:r>
      <w:r w:rsidRPr="005060E0">
        <w:rPr>
          <w:szCs w:val="20"/>
        </w:rPr>
        <w:t>.</w:t>
      </w:r>
      <w:r w:rsidR="000F6B25" w:rsidRPr="005060E0">
        <w:rPr>
          <w:szCs w:val="20"/>
        </w:rPr>
        <w:t xml:space="preserve"> </w:t>
      </w:r>
      <w:r w:rsidRPr="005060E0">
        <w:rPr>
          <w:szCs w:val="20"/>
        </w:rPr>
        <w:t>The results from the current HRA are consis</w:t>
      </w:r>
      <w:r w:rsidR="000F6B25" w:rsidRPr="005060E0">
        <w:rPr>
          <w:szCs w:val="20"/>
        </w:rPr>
        <w:t xml:space="preserve">tent with those of </w:t>
      </w:r>
      <w:r w:rsidR="000F6B25" w:rsidRPr="005060E0">
        <w:t>Frangos and DiMarco (2013)</w:t>
      </w:r>
      <w:r w:rsidRPr="005060E0">
        <w:rPr>
          <w:szCs w:val="20"/>
        </w:rPr>
        <w:t>.</w:t>
      </w:r>
    </w:p>
    <w:p w14:paraId="4FCE668C" w14:textId="2DD2691F" w:rsidR="00D556E8" w:rsidRPr="005060E0" w:rsidRDefault="00D556E8" w:rsidP="0043533F">
      <w:pPr>
        <w:pStyle w:val="Heading2"/>
      </w:pPr>
      <w:bookmarkStart w:id="79" w:name="_Toc3278946"/>
      <w:r w:rsidRPr="005060E0">
        <w:t>Cost</w:t>
      </w:r>
      <w:r w:rsidR="00875B93" w:rsidRPr="005060E0">
        <w:t>–</w:t>
      </w:r>
      <w:r w:rsidRPr="005060E0">
        <w:t>benefit analysis</w:t>
      </w:r>
      <w:bookmarkEnd w:id="79"/>
    </w:p>
    <w:p w14:paraId="155FF7E0" w14:textId="43013373" w:rsidR="00D556E8" w:rsidRPr="005060E0" w:rsidRDefault="009271A3" w:rsidP="00A3543F">
      <w:pPr>
        <w:pStyle w:val="Heading3"/>
      </w:pPr>
      <w:r w:rsidRPr="005060E0">
        <w:t>Purpose</w:t>
      </w:r>
    </w:p>
    <w:p w14:paraId="30714F04" w14:textId="7C178E85" w:rsidR="006E36F1" w:rsidRPr="005060E0" w:rsidRDefault="00D556E8" w:rsidP="006E36F1">
      <w:pPr>
        <w:spacing w:after="200" w:line="276" w:lineRule="auto"/>
      </w:pPr>
      <w:r w:rsidRPr="005060E0">
        <w:t xml:space="preserve">A </w:t>
      </w:r>
      <w:r w:rsidR="009F497A" w:rsidRPr="005060E0">
        <w:t>cost</w:t>
      </w:r>
      <w:r w:rsidR="00875B93" w:rsidRPr="005060E0">
        <w:rPr>
          <w:rFonts w:cs="Arial"/>
        </w:rPr>
        <w:t>–</w:t>
      </w:r>
      <w:r w:rsidR="009F497A" w:rsidRPr="005060E0">
        <w:t>benefit analysis (</w:t>
      </w:r>
      <w:r w:rsidRPr="005060E0">
        <w:t>CBA</w:t>
      </w:r>
      <w:r w:rsidR="009F497A" w:rsidRPr="005060E0">
        <w:t>)</w:t>
      </w:r>
      <w:r w:rsidRPr="005060E0">
        <w:t xml:space="preserve"> was conducted to </w:t>
      </w:r>
      <w:r w:rsidR="006E36F1" w:rsidRPr="005060E0">
        <w:t>provide economi</w:t>
      </w:r>
      <w:r w:rsidR="00BC4062" w:rsidRPr="005060E0">
        <w:t>c evidence to support the assessment of the proposed standards</w:t>
      </w:r>
      <w:r w:rsidR="00552EE5" w:rsidRPr="005060E0">
        <w:t xml:space="preserve"> (see Appendix C)</w:t>
      </w:r>
      <w:r w:rsidR="006E36F1" w:rsidRPr="005060E0">
        <w:t>. The CBA provided estimates for the following:</w:t>
      </w:r>
    </w:p>
    <w:p w14:paraId="05F11BE2" w14:textId="1ABA76EE" w:rsidR="006E36F1" w:rsidRPr="005060E0" w:rsidRDefault="005D60DA" w:rsidP="006E36F1">
      <w:pPr>
        <w:pStyle w:val="BullettL1PB"/>
      </w:pPr>
      <w:r w:rsidRPr="005060E0">
        <w:t>t</w:t>
      </w:r>
      <w:r w:rsidR="006E36F1" w:rsidRPr="005060E0">
        <w:t>he cost of the existing health burden for SO</w:t>
      </w:r>
      <w:r w:rsidR="006E36F1" w:rsidRPr="005060E0">
        <w:rPr>
          <w:vertAlign w:val="subscript"/>
        </w:rPr>
        <w:t>2</w:t>
      </w:r>
      <w:r w:rsidR="006E36F1" w:rsidRPr="005060E0">
        <w:t>, NO</w:t>
      </w:r>
      <w:r w:rsidR="006E36F1" w:rsidRPr="005060E0">
        <w:rPr>
          <w:vertAlign w:val="subscript"/>
        </w:rPr>
        <w:t>2</w:t>
      </w:r>
      <w:r w:rsidR="006E36F1" w:rsidRPr="005060E0">
        <w:t xml:space="preserve"> and O</w:t>
      </w:r>
      <w:r w:rsidR="006E36F1" w:rsidRPr="005060E0">
        <w:rPr>
          <w:vertAlign w:val="subscript"/>
        </w:rPr>
        <w:t xml:space="preserve">3 </w:t>
      </w:r>
      <w:r w:rsidR="006E36F1" w:rsidRPr="005060E0">
        <w:t>in present value (PV) terms, based on the HRA data for 2010</w:t>
      </w:r>
      <w:r w:rsidR="00DF4D3A" w:rsidRPr="005060E0">
        <w:t>–20</w:t>
      </w:r>
      <w:r w:rsidR="006E36F1" w:rsidRPr="005060E0">
        <w:t>14</w:t>
      </w:r>
    </w:p>
    <w:p w14:paraId="0DC74EE6" w14:textId="7E714573" w:rsidR="006E36F1" w:rsidRPr="005060E0" w:rsidRDefault="005D60DA" w:rsidP="006E36F1">
      <w:pPr>
        <w:pStyle w:val="BullettL1PB"/>
      </w:pPr>
      <w:r w:rsidRPr="005060E0">
        <w:t>t</w:t>
      </w:r>
      <w:r w:rsidR="006E36F1" w:rsidRPr="005060E0">
        <w:t>he costs and benefits of the Abatement Package scenario.</w:t>
      </w:r>
    </w:p>
    <w:p w14:paraId="1DB4F643" w14:textId="107515A9" w:rsidR="00D556E8" w:rsidRPr="005060E0" w:rsidRDefault="00D556E8" w:rsidP="00D556E8">
      <w:pPr>
        <w:spacing w:after="200" w:line="276" w:lineRule="auto"/>
      </w:pPr>
      <w:r w:rsidRPr="005060E0">
        <w:t xml:space="preserve">The abatement measures </w:t>
      </w:r>
      <w:r w:rsidR="0062453C" w:rsidRPr="005060E0">
        <w:t>targeted</w:t>
      </w:r>
      <w:r w:rsidRPr="005060E0">
        <w:t xml:space="preserve"> sources of SO</w:t>
      </w:r>
      <w:r w:rsidRPr="005060E0">
        <w:rPr>
          <w:vertAlign w:val="subscript"/>
        </w:rPr>
        <w:t>X</w:t>
      </w:r>
      <w:r w:rsidRPr="005060E0">
        <w:t>, NO</w:t>
      </w:r>
      <w:r w:rsidRPr="005060E0">
        <w:rPr>
          <w:vertAlign w:val="subscript"/>
        </w:rPr>
        <w:t>X</w:t>
      </w:r>
      <w:r w:rsidRPr="005060E0">
        <w:t xml:space="preserve"> and VOC emissions. The assessment of costs and emission reductions was based on publicly available data. The </w:t>
      </w:r>
      <w:r w:rsidR="009271A3" w:rsidRPr="005060E0">
        <w:t xml:space="preserve">monetary </w:t>
      </w:r>
      <w:r w:rsidRPr="005060E0">
        <w:t>benefits were est</w:t>
      </w:r>
      <w:r w:rsidR="00A3543F" w:rsidRPr="005060E0">
        <w:t>imated based on the health outcomes from</w:t>
      </w:r>
      <w:r w:rsidRPr="005060E0">
        <w:t xml:space="preserve"> the HRA.</w:t>
      </w:r>
    </w:p>
    <w:p w14:paraId="4C466F08" w14:textId="70F219F6" w:rsidR="00D556E8" w:rsidRPr="005060E0" w:rsidRDefault="00A3543F" w:rsidP="00A3543F">
      <w:pPr>
        <w:pStyle w:val="Heading3"/>
      </w:pPr>
      <w:r w:rsidRPr="005060E0">
        <w:t>Overview of approach</w:t>
      </w:r>
    </w:p>
    <w:p w14:paraId="451E70E7" w14:textId="602D8A41" w:rsidR="00D556E8" w:rsidRPr="005060E0" w:rsidRDefault="00D556E8" w:rsidP="00D556E8">
      <w:pPr>
        <w:pStyle w:val="BodyText"/>
      </w:pPr>
      <w:r w:rsidRPr="005060E0">
        <w:t>The CBA considered the incremental costs and benefits of emission reductions associat</w:t>
      </w:r>
      <w:r w:rsidR="00A3543F" w:rsidRPr="005060E0">
        <w:t>ed with the implementation of the Abatement P</w:t>
      </w:r>
      <w:r w:rsidRPr="005060E0">
        <w:t>ackage. Costs represent</w:t>
      </w:r>
      <w:r w:rsidR="00A3543F" w:rsidRPr="005060E0">
        <w:t>ed</w:t>
      </w:r>
      <w:r w:rsidRPr="005060E0">
        <w:t xml:space="preserve"> the economic resource costs associated with the implementation of the abatement measures, which include</w:t>
      </w:r>
      <w:r w:rsidR="00A3543F" w:rsidRPr="005060E0">
        <w:t>d</w:t>
      </w:r>
      <w:r w:rsidRPr="005060E0">
        <w:t>:</w:t>
      </w:r>
    </w:p>
    <w:p w14:paraId="3BDE3672" w14:textId="52FB5480" w:rsidR="00D556E8" w:rsidRPr="005060E0" w:rsidRDefault="009328B2" w:rsidP="00D556E8">
      <w:pPr>
        <w:pStyle w:val="BullettL1PB"/>
      </w:pPr>
      <w:r w:rsidRPr="005060E0">
        <w:t>t</w:t>
      </w:r>
      <w:r w:rsidR="00D556E8" w:rsidRPr="005060E0">
        <w:t>he incremental capital costs associated with upgrades to machinery, plant and equipment</w:t>
      </w:r>
    </w:p>
    <w:p w14:paraId="56DB75CD" w14:textId="17F50F64" w:rsidR="00D556E8" w:rsidRPr="005060E0" w:rsidRDefault="009328B2" w:rsidP="00D556E8">
      <w:pPr>
        <w:pStyle w:val="BullettL1PB"/>
      </w:pPr>
      <w:r w:rsidRPr="005060E0">
        <w:t>t</w:t>
      </w:r>
      <w:r w:rsidR="00D556E8" w:rsidRPr="005060E0">
        <w:t>he incremental operating and maintenance costs</w:t>
      </w:r>
    </w:p>
    <w:p w14:paraId="3C4310C4" w14:textId="7F310DAA" w:rsidR="00D556E8" w:rsidRPr="005060E0" w:rsidRDefault="009328B2" w:rsidP="00D556E8">
      <w:pPr>
        <w:pStyle w:val="BullettL1PB"/>
      </w:pPr>
      <w:r w:rsidRPr="005060E0">
        <w:t>a</w:t>
      </w:r>
      <w:r w:rsidR="00D556E8" w:rsidRPr="005060E0">
        <w:t>dministrative and compliance costs</w:t>
      </w:r>
    </w:p>
    <w:p w14:paraId="73E6FA21" w14:textId="17E6343D" w:rsidR="00D556E8" w:rsidRPr="005060E0" w:rsidRDefault="009328B2" w:rsidP="00D556E8">
      <w:pPr>
        <w:pStyle w:val="BullettL1PB"/>
      </w:pPr>
      <w:r w:rsidRPr="005060E0">
        <w:t>a</w:t>
      </w:r>
      <w:r w:rsidR="009271A3" w:rsidRPr="005060E0">
        <w:t>ny co-benefits or dis</w:t>
      </w:r>
      <w:r w:rsidR="00D556E8" w:rsidRPr="005060E0">
        <w:t>benefits associated with the abatement measures (e.g. changes to fuel consumption</w:t>
      </w:r>
      <w:r w:rsidRPr="005060E0">
        <w:t>,</w:t>
      </w:r>
      <w:r w:rsidR="00D556E8" w:rsidRPr="005060E0">
        <w:t xml:space="preserve"> etc.), which offset or increase the costs respectively.</w:t>
      </w:r>
    </w:p>
    <w:p w14:paraId="7F16B666" w14:textId="5A508ECB" w:rsidR="00D556E8" w:rsidRPr="005060E0" w:rsidRDefault="00D556E8" w:rsidP="00D556E8">
      <w:pPr>
        <w:pStyle w:val="BodyText"/>
      </w:pPr>
      <w:r w:rsidRPr="005060E0">
        <w:t>Benefits were valued based on the emission reductions achieved. A reduction in e</w:t>
      </w:r>
      <w:r w:rsidR="00A3543F" w:rsidRPr="005060E0">
        <w:t>missions was</w:t>
      </w:r>
      <w:r w:rsidRPr="005060E0">
        <w:t xml:space="preserve"> es</w:t>
      </w:r>
      <w:r w:rsidR="00A3543F" w:rsidRPr="005060E0">
        <w:t>timated to result in a change in</w:t>
      </w:r>
      <w:r w:rsidRPr="005060E0">
        <w:t xml:space="preserve"> pollutant conce</w:t>
      </w:r>
      <w:r w:rsidR="00A3543F" w:rsidRPr="005060E0">
        <w:t>ntrations, which in turn resulted</w:t>
      </w:r>
      <w:r w:rsidRPr="005060E0">
        <w:t xml:space="preserve"> in an overall improvement in health outcomes for the exposed population.</w:t>
      </w:r>
    </w:p>
    <w:p w14:paraId="25607558" w14:textId="0ED6EE28" w:rsidR="00D556E8" w:rsidRPr="005060E0" w:rsidRDefault="00D556E8" w:rsidP="00D556E8">
      <w:pPr>
        <w:pStyle w:val="BodyText"/>
      </w:pPr>
      <w:r w:rsidRPr="005060E0">
        <w:t>The geographical scope of the CBA was limited to the airsheds for which air quality modelling data were available, and those where the abatement measures were estimated to reduce emissions from the airshed.</w:t>
      </w:r>
      <w:r w:rsidR="00713D81" w:rsidRPr="005060E0">
        <w:t xml:space="preserve"> </w:t>
      </w:r>
      <w:r w:rsidRPr="005060E0">
        <w:t>These include</w:t>
      </w:r>
      <w:r w:rsidR="00713D81" w:rsidRPr="005060E0">
        <w:t>d</w:t>
      </w:r>
      <w:r w:rsidRPr="005060E0">
        <w:t xml:space="preserve"> Sydney, Newcastle, Wollongong, Melbourne, Latrobe Valley, Brisbane, Perth, Adelaide and Darwin.</w:t>
      </w:r>
    </w:p>
    <w:p w14:paraId="0082886A" w14:textId="403B3824" w:rsidR="00D556E8" w:rsidRPr="005060E0" w:rsidRDefault="00D556E8" w:rsidP="00D556E8">
      <w:pPr>
        <w:pStyle w:val="BodyText"/>
      </w:pPr>
      <w:r w:rsidRPr="005060E0">
        <w:t>The scope of pollutants was limited to the three gases th</w:t>
      </w:r>
      <w:r w:rsidR="005F44A6" w:rsidRPr="005060E0">
        <w:t xml:space="preserve">at are the subject of this </w:t>
      </w:r>
      <w:r w:rsidR="00DF05A9" w:rsidRPr="005060E0">
        <w:t>Impact Statement</w:t>
      </w:r>
      <w:r w:rsidRPr="005060E0">
        <w:t xml:space="preserve"> (SO</w:t>
      </w:r>
      <w:r w:rsidRPr="005060E0">
        <w:rPr>
          <w:vertAlign w:val="subscript"/>
        </w:rPr>
        <w:t>2</w:t>
      </w:r>
      <w:r w:rsidRPr="005060E0">
        <w:t>, NO</w:t>
      </w:r>
      <w:r w:rsidRPr="005060E0">
        <w:rPr>
          <w:vertAlign w:val="subscript"/>
        </w:rPr>
        <w:t>2</w:t>
      </w:r>
      <w:r w:rsidRPr="005060E0">
        <w:t xml:space="preserve"> and O</w:t>
      </w:r>
      <w:r w:rsidRPr="005060E0">
        <w:rPr>
          <w:vertAlign w:val="subscript"/>
        </w:rPr>
        <w:t>3</w:t>
      </w:r>
      <w:r w:rsidR="00455531" w:rsidRPr="005060E0">
        <w:t>) plus</w:t>
      </w:r>
      <w:r w:rsidRPr="005060E0">
        <w:t xml:space="preserve"> PM</w:t>
      </w:r>
      <w:r w:rsidRPr="005060E0">
        <w:rPr>
          <w:vertAlign w:val="subscript"/>
        </w:rPr>
        <w:t>2.5</w:t>
      </w:r>
      <w:r w:rsidRPr="005060E0">
        <w:t xml:space="preserve">. The latter was included because </w:t>
      </w:r>
      <w:r w:rsidR="00455531" w:rsidRPr="005060E0">
        <w:t>some of the abatement measures we</w:t>
      </w:r>
      <w:r w:rsidRPr="005060E0">
        <w:t>re expected to reduce PM</w:t>
      </w:r>
      <w:r w:rsidRPr="005060E0">
        <w:rPr>
          <w:vertAlign w:val="subscript"/>
        </w:rPr>
        <w:t>2.5</w:t>
      </w:r>
      <w:r w:rsidRPr="005060E0">
        <w:t xml:space="preserve"> emissions, and this is expected to deliver substantial benefits to human health because of the strong health evidence on the effects of PM</w:t>
      </w:r>
      <w:r w:rsidRPr="005060E0">
        <w:rPr>
          <w:vertAlign w:val="subscript"/>
        </w:rPr>
        <w:t>2.5</w:t>
      </w:r>
      <w:r w:rsidRPr="005060E0">
        <w:t>.</w:t>
      </w:r>
    </w:p>
    <w:p w14:paraId="2AB7FD03" w14:textId="7E10BEC1" w:rsidR="00D556E8" w:rsidRPr="00762AAA" w:rsidRDefault="00455531" w:rsidP="00D556E8">
      <w:pPr>
        <w:pStyle w:val="BodyText"/>
        <w:rPr>
          <w:spacing w:val="-1"/>
        </w:rPr>
      </w:pPr>
      <w:r w:rsidRPr="00762AAA">
        <w:rPr>
          <w:spacing w:val="-1"/>
        </w:rPr>
        <w:t>The CBA was conducted over a 20-</w:t>
      </w:r>
      <w:r w:rsidR="00D556E8" w:rsidRPr="00762AAA">
        <w:rPr>
          <w:spacing w:val="-1"/>
        </w:rPr>
        <w:t>year period (2021</w:t>
      </w:r>
      <w:r w:rsidR="00DF4D3A" w:rsidRPr="00762AAA">
        <w:rPr>
          <w:spacing w:val="-1"/>
        </w:rPr>
        <w:t>–20</w:t>
      </w:r>
      <w:r w:rsidR="00D556E8" w:rsidRPr="00762AAA">
        <w:rPr>
          <w:spacing w:val="-1"/>
        </w:rPr>
        <w:t xml:space="preserve">40) using a 7 per cent </w:t>
      </w:r>
      <w:r w:rsidR="006E36F1" w:rsidRPr="00762AAA">
        <w:rPr>
          <w:spacing w:val="-1"/>
        </w:rPr>
        <w:t xml:space="preserve">per annum </w:t>
      </w:r>
      <w:r w:rsidR="00D556E8" w:rsidRPr="00762AAA">
        <w:rPr>
          <w:spacing w:val="-1"/>
        </w:rPr>
        <w:t>real discount rate.</w:t>
      </w:r>
    </w:p>
    <w:p w14:paraId="202E1329" w14:textId="77777777" w:rsidR="00A3543F" w:rsidRPr="005060E0" w:rsidRDefault="00A3543F" w:rsidP="00A3543F">
      <w:pPr>
        <w:pStyle w:val="Heading3"/>
      </w:pPr>
      <w:r w:rsidRPr="005060E0">
        <w:t>Cost of abatement measures</w:t>
      </w:r>
    </w:p>
    <w:p w14:paraId="22A1D5ED" w14:textId="4A3A3105" w:rsidR="00A3543F" w:rsidRPr="005060E0" w:rsidRDefault="00A3543F" w:rsidP="00A3543F">
      <w:r w:rsidRPr="005060E0">
        <w:rPr>
          <w:szCs w:val="20"/>
        </w:rPr>
        <w:t>The costs of implementing the additional abatement measures</w:t>
      </w:r>
      <w:r w:rsidR="009271A3" w:rsidRPr="005060E0">
        <w:rPr>
          <w:szCs w:val="20"/>
        </w:rPr>
        <w:t xml:space="preserve"> were calculated over the </w:t>
      </w:r>
      <w:r w:rsidRPr="005060E0">
        <w:rPr>
          <w:szCs w:val="20"/>
        </w:rPr>
        <w:t>period (2021</w:t>
      </w:r>
      <w:r w:rsidR="00DF4D3A" w:rsidRPr="005060E0">
        <w:rPr>
          <w:szCs w:val="20"/>
        </w:rPr>
        <w:t>–20</w:t>
      </w:r>
      <w:r w:rsidRPr="005060E0">
        <w:rPr>
          <w:szCs w:val="20"/>
        </w:rPr>
        <w:t>40</w:t>
      </w:r>
      <w:r w:rsidR="0062453C" w:rsidRPr="005060E0">
        <w:rPr>
          <w:szCs w:val="20"/>
        </w:rPr>
        <w:t>) and</w:t>
      </w:r>
      <w:r w:rsidRPr="005060E0">
        <w:rPr>
          <w:szCs w:val="20"/>
        </w:rPr>
        <w:t xml:space="preserve"> discounted back to the current period in order to obtain a net present value in 2016 dollars. This was compared with the total quantum of abatement estimated to be achievable through the implementation of the abatement measure</w:t>
      </w:r>
      <w:r w:rsidR="007F7CB5" w:rsidRPr="005060E0">
        <w:rPr>
          <w:szCs w:val="20"/>
        </w:rPr>
        <w:t>s</w:t>
      </w:r>
      <w:r w:rsidRPr="005060E0">
        <w:rPr>
          <w:szCs w:val="20"/>
        </w:rPr>
        <w:t xml:space="preserve"> to calculate the marginal cost of abatement. Further information on the marginal cost of abatement can be found in Appendix C.</w:t>
      </w:r>
    </w:p>
    <w:p w14:paraId="3598AA42" w14:textId="77777777" w:rsidR="00A3543F" w:rsidRPr="005060E0" w:rsidRDefault="00A3543F" w:rsidP="0029044E">
      <w:pPr>
        <w:spacing w:after="120"/>
      </w:pPr>
      <w:r w:rsidRPr="005060E0">
        <w:t>The analysis focused on the direct costs incurred by industry and government. These costs were categorised as follows:</w:t>
      </w:r>
    </w:p>
    <w:p w14:paraId="3CC8728E" w14:textId="3369362A" w:rsidR="00A3543F" w:rsidRPr="005060E0" w:rsidRDefault="00A3543F" w:rsidP="0029044E">
      <w:pPr>
        <w:pStyle w:val="ListBullet"/>
        <w:spacing w:after="120"/>
      </w:pPr>
      <w:r w:rsidRPr="005060E0">
        <w:t xml:space="preserve">Capital cost – the cost associated with the purchase and installation </w:t>
      </w:r>
      <w:r w:rsidR="009328B2" w:rsidRPr="005060E0">
        <w:t xml:space="preserve">of </w:t>
      </w:r>
      <w:r w:rsidRPr="005060E0">
        <w:t>new equipment, or u</w:t>
      </w:r>
      <w:r w:rsidR="007F7CB5" w:rsidRPr="005060E0">
        <w:t xml:space="preserve">pgrades to existing equipment. </w:t>
      </w:r>
      <w:r w:rsidRPr="005060E0">
        <w:t>This</w:t>
      </w:r>
      <w:r w:rsidR="007F7CB5" w:rsidRPr="005060E0">
        <w:t xml:space="preserve"> type of</w:t>
      </w:r>
      <w:r w:rsidRPr="005060E0">
        <w:t xml:space="preserve"> cost is typically one-off in nature</w:t>
      </w:r>
    </w:p>
    <w:p w14:paraId="70DF7D7C" w14:textId="664FBE00" w:rsidR="00A3543F" w:rsidRPr="005060E0" w:rsidRDefault="00A3543F" w:rsidP="0029044E">
      <w:pPr>
        <w:pStyle w:val="ListBullet"/>
        <w:spacing w:after="120"/>
      </w:pPr>
      <w:r w:rsidRPr="005060E0">
        <w:t>Operating/maintenance cost – the ongoing cost associated with the continued operati</w:t>
      </w:r>
      <w:r w:rsidR="007F7CB5" w:rsidRPr="005060E0">
        <w:t>on or maintenance of equipment.</w:t>
      </w:r>
      <w:r w:rsidRPr="005060E0">
        <w:t xml:space="preserve"> This cost also includes other costs that may be incurred on an ongoing basis by industry or consumers</w:t>
      </w:r>
    </w:p>
    <w:p w14:paraId="48DDFE53" w14:textId="4529B37D" w:rsidR="00A3543F" w:rsidRPr="005060E0" w:rsidRDefault="00A3543F" w:rsidP="00A3543F">
      <w:pPr>
        <w:pStyle w:val="ListBullet"/>
      </w:pPr>
      <w:r w:rsidRPr="005060E0">
        <w:t xml:space="preserve">Administrative or regulatory cost – </w:t>
      </w:r>
      <w:r w:rsidR="007F7CB5" w:rsidRPr="005060E0">
        <w:t xml:space="preserve">the </w:t>
      </w:r>
      <w:r w:rsidRPr="005060E0">
        <w:t>costs incurred by either industry or government associated with compliance with the new abatement measures.</w:t>
      </w:r>
    </w:p>
    <w:p w14:paraId="07728ECC" w14:textId="1C38F08D" w:rsidR="00A3543F" w:rsidRPr="005060E0" w:rsidRDefault="007F7CB5" w:rsidP="00A3543F">
      <w:r w:rsidRPr="005060E0">
        <w:t>The key outcome of the</w:t>
      </w:r>
      <w:r w:rsidR="00A3543F" w:rsidRPr="005060E0">
        <w:t xml:space="preserve"> cost</w:t>
      </w:r>
      <w:r w:rsidR="00875B93" w:rsidRPr="005060E0">
        <w:rPr>
          <w:rFonts w:cs="Arial"/>
        </w:rPr>
        <w:t>–</w:t>
      </w:r>
      <w:r w:rsidR="00A3543F" w:rsidRPr="005060E0">
        <w:t>benefit analysis was an estimate of the costs relating to the implementation of each abatement measure</w:t>
      </w:r>
      <w:r w:rsidRPr="005060E0">
        <w:t xml:space="preserve"> in the Abatement Package</w:t>
      </w:r>
      <w:r w:rsidR="00A3543F" w:rsidRPr="005060E0">
        <w:t xml:space="preserve">. </w:t>
      </w:r>
    </w:p>
    <w:p w14:paraId="6F721FE6" w14:textId="742B61B3" w:rsidR="00D556E8" w:rsidRPr="005060E0" w:rsidRDefault="00A3543F" w:rsidP="00A3543F">
      <w:pPr>
        <w:pStyle w:val="Heading3"/>
      </w:pPr>
      <w:r w:rsidRPr="005060E0">
        <w:t>V</w:t>
      </w:r>
      <w:r w:rsidR="00D556E8" w:rsidRPr="005060E0">
        <w:t>aluation of benefits</w:t>
      </w:r>
    </w:p>
    <w:p w14:paraId="083EAEA9" w14:textId="056A900B" w:rsidR="00D556E8" w:rsidRPr="005060E0" w:rsidRDefault="00D556E8" w:rsidP="0029044E">
      <w:pPr>
        <w:pStyle w:val="BodyText"/>
        <w:spacing w:after="120"/>
      </w:pPr>
      <w:r w:rsidRPr="005060E0">
        <w:t>Where the data were available, the CBA estimated the benefits associated with reductions in SO</w:t>
      </w:r>
      <w:r w:rsidRPr="005060E0">
        <w:rPr>
          <w:vertAlign w:val="subscript"/>
        </w:rPr>
        <w:t>2</w:t>
      </w:r>
      <w:r w:rsidRPr="005060E0">
        <w:t>, NO</w:t>
      </w:r>
      <w:r w:rsidRPr="005060E0">
        <w:rPr>
          <w:vertAlign w:val="subscript"/>
        </w:rPr>
        <w:t>2</w:t>
      </w:r>
      <w:r w:rsidRPr="005060E0">
        <w:t xml:space="preserve"> and O</w:t>
      </w:r>
      <w:r w:rsidRPr="005060E0">
        <w:rPr>
          <w:vertAlign w:val="subscript"/>
        </w:rPr>
        <w:t>3</w:t>
      </w:r>
      <w:r w:rsidRPr="005060E0">
        <w:t xml:space="preserve"> concentrations by considering the</w:t>
      </w:r>
      <w:r w:rsidR="00360CF3" w:rsidRPr="005060E0">
        <w:t xml:space="preserve"> following</w:t>
      </w:r>
      <w:r w:rsidRPr="005060E0">
        <w:t>:</w:t>
      </w:r>
    </w:p>
    <w:p w14:paraId="67BF3B12" w14:textId="3F7D454D" w:rsidR="00D556E8" w:rsidRPr="005060E0" w:rsidRDefault="00360CF3" w:rsidP="0029044E">
      <w:pPr>
        <w:pStyle w:val="BullettL1PB"/>
        <w:spacing w:after="120"/>
      </w:pPr>
      <w:r w:rsidRPr="005060E0">
        <w:t>r</w:t>
      </w:r>
      <w:r w:rsidR="00D556E8" w:rsidRPr="005060E0">
        <w:t>educed qu</w:t>
      </w:r>
      <w:r w:rsidRPr="005060E0">
        <w:t>antity of emissions (tonnes per annum</w:t>
      </w:r>
      <w:r w:rsidR="00D556E8" w:rsidRPr="005060E0">
        <w:t>)</w:t>
      </w:r>
    </w:p>
    <w:p w14:paraId="2E4A0BCA" w14:textId="614E2982" w:rsidR="00D556E8" w:rsidRPr="005060E0" w:rsidRDefault="00D556E8" w:rsidP="0029044E">
      <w:pPr>
        <w:pStyle w:val="BullettL1PB"/>
        <w:spacing w:after="120"/>
      </w:pPr>
      <w:r w:rsidRPr="005060E0">
        <w:t>resulting change in concentrations of SO</w:t>
      </w:r>
      <w:r w:rsidRPr="005060E0">
        <w:rPr>
          <w:vertAlign w:val="subscript"/>
        </w:rPr>
        <w:t>2</w:t>
      </w:r>
      <w:r w:rsidRPr="005060E0">
        <w:t>, NO</w:t>
      </w:r>
      <w:r w:rsidRPr="005060E0">
        <w:rPr>
          <w:vertAlign w:val="subscript"/>
        </w:rPr>
        <w:t>2</w:t>
      </w:r>
      <w:r w:rsidRPr="005060E0">
        <w:t xml:space="preserve"> and O</w:t>
      </w:r>
      <w:r w:rsidRPr="005060E0">
        <w:rPr>
          <w:vertAlign w:val="subscript"/>
        </w:rPr>
        <w:t>3</w:t>
      </w:r>
      <w:r w:rsidRPr="005060E0">
        <w:t xml:space="preserve"> in each airshed</w:t>
      </w:r>
    </w:p>
    <w:p w14:paraId="69B30D96" w14:textId="7905F6AF" w:rsidR="00D556E8" w:rsidRPr="005060E0" w:rsidRDefault="00360CF3" w:rsidP="0029044E">
      <w:pPr>
        <w:pStyle w:val="BullettL1PB"/>
        <w:spacing w:after="120"/>
      </w:pPr>
      <w:r w:rsidRPr="005060E0">
        <w:t>resulting change in population</w:t>
      </w:r>
      <w:r w:rsidR="00D556E8" w:rsidRPr="005060E0">
        <w:t xml:space="preserve"> ex</w:t>
      </w:r>
      <w:r w:rsidRPr="005060E0">
        <w:t xml:space="preserve">posure to </w:t>
      </w:r>
      <w:r w:rsidR="00D556E8" w:rsidRPr="005060E0">
        <w:t>these pollutants</w:t>
      </w:r>
    </w:p>
    <w:p w14:paraId="151D1F18" w14:textId="3E581FA1" w:rsidR="00D556E8" w:rsidRPr="005060E0" w:rsidRDefault="00D556E8" w:rsidP="0029044E">
      <w:pPr>
        <w:pStyle w:val="BullettL1PB"/>
        <w:spacing w:after="120"/>
      </w:pPr>
      <w:r w:rsidRPr="005060E0">
        <w:t xml:space="preserve">projected difference in health outcomes associated with that change in exposure, </w:t>
      </w:r>
      <w:r w:rsidR="00360CF3" w:rsidRPr="005060E0">
        <w:t xml:space="preserve">as </w:t>
      </w:r>
      <w:r w:rsidRPr="005060E0">
        <w:t>provided by the HRA</w:t>
      </w:r>
    </w:p>
    <w:p w14:paraId="193E88E7" w14:textId="55C2469E" w:rsidR="00D556E8" w:rsidRPr="005060E0" w:rsidRDefault="00360CF3" w:rsidP="00D556E8">
      <w:pPr>
        <w:pStyle w:val="BullettL1PB"/>
      </w:pPr>
      <w:r w:rsidRPr="005060E0">
        <w:t>v</w:t>
      </w:r>
      <w:r w:rsidR="00D556E8" w:rsidRPr="005060E0">
        <w:t>alue of those health outcomes</w:t>
      </w:r>
      <w:r w:rsidRPr="005060E0">
        <w:t>,</w:t>
      </w:r>
      <w:r w:rsidR="00D556E8" w:rsidRPr="005060E0">
        <w:t xml:space="preserve"> expressed in monetary terms</w:t>
      </w:r>
      <w:r w:rsidRPr="005060E0">
        <w:t>.</w:t>
      </w:r>
    </w:p>
    <w:p w14:paraId="0F16CDB4" w14:textId="5C5A2BAE" w:rsidR="00D556E8" w:rsidRPr="005060E0" w:rsidRDefault="00D556E8" w:rsidP="00762AAA">
      <w:pPr>
        <w:pStyle w:val="BodyText"/>
        <w:spacing w:after="160"/>
      </w:pPr>
      <w:r w:rsidRPr="005060E0">
        <w:t>This approach is referred to as the ‘impact pathway’</w:t>
      </w:r>
      <w:r w:rsidR="00360CF3" w:rsidRPr="005060E0">
        <w:t xml:space="preserve"> approach (Defra</w:t>
      </w:r>
      <w:r w:rsidRPr="005060E0">
        <w:t xml:space="preserve"> 2013).</w:t>
      </w:r>
    </w:p>
    <w:p w14:paraId="78DE2650" w14:textId="61A677E5" w:rsidR="00D556E8" w:rsidRPr="005060E0" w:rsidRDefault="00D556E8" w:rsidP="0029044E">
      <w:pPr>
        <w:pStyle w:val="BodyText"/>
        <w:spacing w:after="120"/>
      </w:pPr>
      <w:r w:rsidRPr="005060E0">
        <w:t>Data on health outcomes provided by the HRA included:</w:t>
      </w:r>
    </w:p>
    <w:p w14:paraId="7D70C68A" w14:textId="191C0127" w:rsidR="00D556E8" w:rsidRPr="005060E0" w:rsidRDefault="006A48A4" w:rsidP="0029044E">
      <w:pPr>
        <w:pStyle w:val="BullettL1PB"/>
        <w:spacing w:after="120"/>
      </w:pPr>
      <w:r w:rsidRPr="005060E0">
        <w:t>p</w:t>
      </w:r>
      <w:r w:rsidR="00D556E8" w:rsidRPr="005060E0">
        <w:t>remature mortality (deaths brought forward)</w:t>
      </w:r>
    </w:p>
    <w:p w14:paraId="6A7DA985" w14:textId="62650244" w:rsidR="00D556E8" w:rsidRPr="005060E0" w:rsidRDefault="006A48A4" w:rsidP="0029044E">
      <w:pPr>
        <w:pStyle w:val="BullettL1PB"/>
        <w:spacing w:after="120"/>
      </w:pPr>
      <w:r w:rsidRPr="005060E0">
        <w:t>h</w:t>
      </w:r>
      <w:r w:rsidR="00D556E8" w:rsidRPr="005060E0">
        <w:t>ospital admissions related to cardiovascular and respiratory diseases</w:t>
      </w:r>
    </w:p>
    <w:p w14:paraId="71DD4A3A" w14:textId="5814E762" w:rsidR="00D556E8" w:rsidRPr="005060E0" w:rsidRDefault="006A48A4" w:rsidP="00D556E8">
      <w:pPr>
        <w:pStyle w:val="BullettL1PB"/>
      </w:pPr>
      <w:r w:rsidRPr="005060E0">
        <w:t>e</w:t>
      </w:r>
      <w:r w:rsidR="00D556E8" w:rsidRPr="005060E0">
        <w:t>mergency department visits</w:t>
      </w:r>
      <w:r w:rsidRPr="005060E0">
        <w:t>.</w:t>
      </w:r>
    </w:p>
    <w:p w14:paraId="51757706" w14:textId="34FD7E08" w:rsidR="00D556E8" w:rsidRPr="005060E0" w:rsidRDefault="00D556E8" w:rsidP="00762AAA">
      <w:pPr>
        <w:pStyle w:val="BodyText"/>
        <w:spacing w:after="160" w:line="276" w:lineRule="atLeast"/>
      </w:pPr>
      <w:r w:rsidRPr="005060E0">
        <w:t>Th</w:t>
      </w:r>
      <w:r w:rsidR="00360CF3" w:rsidRPr="005060E0">
        <w:t xml:space="preserve">e economic costs avoided from </w:t>
      </w:r>
      <w:r w:rsidRPr="005060E0">
        <w:t>reduction</w:t>
      </w:r>
      <w:r w:rsidR="00360CF3" w:rsidRPr="005060E0">
        <w:t>s</w:t>
      </w:r>
      <w:r w:rsidRPr="005060E0">
        <w:t xml:space="preserve"> in these outcomes were estimated based on the willingness to pay (WTP) of the population to avoid the risk of premature mortality or a reduced quality of life, avoided hospitalisation costs, and the avoided loss in productivity associated with having to take time off work. The avoided risk of premature mortality, which is the most material of the health outcomes in monetary terms, was valued based on a study </w:t>
      </w:r>
      <w:r w:rsidR="009271A3" w:rsidRPr="005060E0">
        <w:t xml:space="preserve">published </w:t>
      </w:r>
      <w:r w:rsidRPr="005060E0">
        <w:t xml:space="preserve">by </w:t>
      </w:r>
      <w:r w:rsidR="006A48A4" w:rsidRPr="005060E0">
        <w:t>the Australian Safety and Compensation Council (</w:t>
      </w:r>
      <w:r w:rsidR="009271A3" w:rsidRPr="005060E0">
        <w:t>ASCC</w:t>
      </w:r>
      <w:r w:rsidRPr="005060E0">
        <w:t xml:space="preserve"> 2008).</w:t>
      </w:r>
    </w:p>
    <w:p w14:paraId="1CF429C0" w14:textId="4850589A" w:rsidR="00DE1F6D" w:rsidRPr="005060E0" w:rsidRDefault="00D556E8" w:rsidP="00762AAA">
      <w:pPr>
        <w:pStyle w:val="BodyText"/>
        <w:spacing w:after="160" w:line="276" w:lineRule="atLeast"/>
      </w:pPr>
      <w:r w:rsidRPr="005060E0">
        <w:t xml:space="preserve">Some abatement measures that </w:t>
      </w:r>
      <w:r w:rsidR="0062453C" w:rsidRPr="005060E0">
        <w:t>targeted</w:t>
      </w:r>
      <w:r w:rsidRPr="005060E0">
        <w:t xml:space="preserve"> NO</w:t>
      </w:r>
      <w:r w:rsidRPr="005060E0">
        <w:rPr>
          <w:vertAlign w:val="subscript"/>
        </w:rPr>
        <w:t>X</w:t>
      </w:r>
      <w:r w:rsidRPr="005060E0">
        <w:t xml:space="preserve"> emissions also reduce</w:t>
      </w:r>
      <w:r w:rsidR="000563CC" w:rsidRPr="005060E0">
        <w:t>d</w:t>
      </w:r>
      <w:r w:rsidRPr="005060E0">
        <w:t xml:space="preserve"> PM</w:t>
      </w:r>
      <w:r w:rsidRPr="005060E0">
        <w:rPr>
          <w:vertAlign w:val="subscript"/>
        </w:rPr>
        <w:t>2.5</w:t>
      </w:r>
      <w:r w:rsidRPr="005060E0">
        <w:t xml:space="preserve"> emissions. Of the abatement measures sel</w:t>
      </w:r>
      <w:r w:rsidR="005F44A6" w:rsidRPr="005060E0">
        <w:t xml:space="preserve">ected for analysis in this </w:t>
      </w:r>
      <w:r w:rsidR="00DF05A9" w:rsidRPr="005060E0">
        <w:t>Impact Statement</w:t>
      </w:r>
      <w:r w:rsidRPr="005060E0">
        <w:t xml:space="preserve">, Measure 6 (non-road </w:t>
      </w:r>
      <w:r w:rsidR="000563CC" w:rsidRPr="005060E0">
        <w:t>diesel engine standards) reduced</w:t>
      </w:r>
      <w:r w:rsidRPr="005060E0">
        <w:t xml:space="preserve"> emissions and therefore concentrations of PM</w:t>
      </w:r>
      <w:r w:rsidRPr="005060E0">
        <w:rPr>
          <w:vertAlign w:val="subscript"/>
        </w:rPr>
        <w:t>2.5</w:t>
      </w:r>
      <w:r w:rsidRPr="005060E0">
        <w:t xml:space="preserve"> in the atmosphere. </w:t>
      </w:r>
      <w:r w:rsidR="00DE1F6D" w:rsidRPr="005060E0">
        <w:t>The benefits of the PM</w:t>
      </w:r>
      <w:r w:rsidR="00DE1F6D" w:rsidRPr="005060E0">
        <w:rPr>
          <w:vertAlign w:val="subscript"/>
        </w:rPr>
        <w:t>2.5</w:t>
      </w:r>
      <w:r w:rsidR="00DE1F6D" w:rsidRPr="005060E0">
        <w:t xml:space="preserve"> emission reductions were valued using the damage costs provided by PAEHolmes (</w:t>
      </w:r>
      <w:r w:rsidR="00C479FE" w:rsidRPr="005060E0">
        <w:t xml:space="preserve">Aust et al. </w:t>
      </w:r>
      <w:r w:rsidR="00DE1F6D" w:rsidRPr="005060E0">
        <w:t xml:space="preserve">2013). </w:t>
      </w:r>
      <w:r w:rsidR="000563CC" w:rsidRPr="005060E0">
        <w:t>The damage cost approach was</w:t>
      </w:r>
      <w:r w:rsidRPr="005060E0">
        <w:t xml:space="preserve"> applied by estimating a cost per tonne of emissions ($ per tonne) for each airshed, or in this case a benefit per tonne of emission </w:t>
      </w:r>
      <w:r w:rsidR="0062453C" w:rsidRPr="005060E0">
        <w:t>reduction</w:t>
      </w:r>
      <w:r w:rsidR="00C479FE" w:rsidRPr="005060E0">
        <w:t>,</w:t>
      </w:r>
      <w:r w:rsidR="0062453C" w:rsidRPr="005060E0">
        <w:t xml:space="preserve"> and</w:t>
      </w:r>
      <w:r w:rsidRPr="005060E0">
        <w:t xml:space="preserve"> applying that figure to the estimated change in emissions.</w:t>
      </w:r>
      <w:r w:rsidR="00DE1F6D" w:rsidRPr="005060E0">
        <w:t xml:space="preserve"> Moreover, measures that reduce NO</w:t>
      </w:r>
      <w:r w:rsidR="00DE1F6D" w:rsidRPr="005060E0">
        <w:rPr>
          <w:vertAlign w:val="subscript"/>
        </w:rPr>
        <w:t>X</w:t>
      </w:r>
      <w:r w:rsidR="00DE1F6D" w:rsidRPr="005060E0">
        <w:t xml:space="preserve"> and SO</w:t>
      </w:r>
      <w:r w:rsidR="00DE1F6D" w:rsidRPr="005060E0">
        <w:rPr>
          <w:vertAlign w:val="subscript"/>
        </w:rPr>
        <w:t>X</w:t>
      </w:r>
      <w:r w:rsidR="00DE1F6D" w:rsidRPr="005060E0">
        <w:t xml:space="preserve"> emissions also contribute to reduced formation of secondary particulate matter (nitrate and sulfate particles)</w:t>
      </w:r>
      <w:r w:rsidR="00C479FE" w:rsidRPr="005060E0">
        <w:t>;</w:t>
      </w:r>
      <w:r w:rsidR="00DE1F6D" w:rsidRPr="005060E0">
        <w:t xml:space="preserve"> </w:t>
      </w:r>
      <w:r w:rsidR="00C479FE" w:rsidRPr="005060E0">
        <w:t>h</w:t>
      </w:r>
      <w:r w:rsidR="00DE1F6D" w:rsidRPr="005060E0">
        <w:t>owever, the potential reduction in secondary PM is highly uncertain. Therefore, the CBA does not include the benefits of secondary PM reduction.</w:t>
      </w:r>
    </w:p>
    <w:p w14:paraId="726DABCB" w14:textId="6F02E2DF" w:rsidR="00D556E8" w:rsidRPr="005060E0" w:rsidRDefault="00D556E8" w:rsidP="00762AAA">
      <w:pPr>
        <w:pStyle w:val="BodyText"/>
        <w:spacing w:after="160" w:line="276" w:lineRule="atLeast"/>
      </w:pPr>
      <w:r w:rsidRPr="005060E0">
        <w:t>The avoided benefit per tonne of NO</w:t>
      </w:r>
      <w:r w:rsidRPr="005060E0">
        <w:rPr>
          <w:vertAlign w:val="subscript"/>
        </w:rPr>
        <w:t>X</w:t>
      </w:r>
      <w:r w:rsidRPr="005060E0">
        <w:t xml:space="preserve"> and SO</w:t>
      </w:r>
      <w:r w:rsidRPr="005060E0">
        <w:rPr>
          <w:vertAlign w:val="subscript"/>
        </w:rPr>
        <w:t>X</w:t>
      </w:r>
      <w:r w:rsidRPr="005060E0">
        <w:t xml:space="preserve"> reductions was estimated using the results of the impact pathway analysis. This approach is consistent with previous</w:t>
      </w:r>
      <w:r w:rsidR="00552EE5" w:rsidRPr="005060E0">
        <w:t xml:space="preserve"> studies, which have calculated</w:t>
      </w:r>
      <w:r w:rsidRPr="005060E0">
        <w:t xml:space="preserve"> damage costs by first collating $ per tonne estimates based on impact pathway results, and then regressing this data against the population density of the corresponding airsheds. This type of regression is used because the economic cost per tonne of pollutant is known to be related to the population density of the corresponding airshed. The results of the regression are then used to estimate the economic cost per tonne (the ‘unit damage cost’) in any airshed by using the population density of that airshed.</w:t>
      </w:r>
    </w:p>
    <w:p w14:paraId="7464834E" w14:textId="4D63E3D6" w:rsidR="00D556E8" w:rsidRPr="005060E0" w:rsidRDefault="00D556E8" w:rsidP="00762AAA">
      <w:pPr>
        <w:pStyle w:val="BodyText"/>
        <w:spacing w:after="160" w:line="276" w:lineRule="atLeast"/>
      </w:pPr>
      <w:r w:rsidRPr="005060E0">
        <w:t>To avoid double counting, the CBA only includes changes to either long-term mortality (chronic effects) or short-term mortality (acute effects) from exposure to pollutan</w:t>
      </w:r>
      <w:r w:rsidR="00536E5D" w:rsidRPr="005060E0">
        <w:t>t concentrations, but not both</w:t>
      </w:r>
      <w:r w:rsidR="00C479FE" w:rsidRPr="005060E0">
        <w:t>,</w:t>
      </w:r>
      <w:r w:rsidR="00536E5D" w:rsidRPr="005060E0">
        <w:t xml:space="preserve"> as this </w:t>
      </w:r>
      <w:r w:rsidRPr="005060E0">
        <w:t>can risk double</w:t>
      </w:r>
      <w:r w:rsidR="00C479FE" w:rsidRPr="005060E0">
        <w:t xml:space="preserve"> </w:t>
      </w:r>
      <w:r w:rsidRPr="005060E0">
        <w:t>counting health impacts. This adjustment is only relevant for NO</w:t>
      </w:r>
      <w:r w:rsidRPr="005060E0">
        <w:rPr>
          <w:vertAlign w:val="subscript"/>
        </w:rPr>
        <w:t>2</w:t>
      </w:r>
      <w:r w:rsidRPr="005060E0">
        <w:t>, which includes both long-term and short-term health endpoints.</w:t>
      </w:r>
    </w:p>
    <w:p w14:paraId="4F0E2B37" w14:textId="0C28650F" w:rsidR="00D556E8" w:rsidRPr="005060E0" w:rsidRDefault="00D556E8" w:rsidP="00762AAA">
      <w:pPr>
        <w:pStyle w:val="BodyText"/>
        <w:spacing w:after="160" w:line="276" w:lineRule="atLeast"/>
      </w:pPr>
      <w:r w:rsidRPr="005060E0">
        <w:t>Similarly, only the outcomes associated with exposure to SO</w:t>
      </w:r>
      <w:r w:rsidRPr="005060E0">
        <w:rPr>
          <w:vertAlign w:val="subscript"/>
        </w:rPr>
        <w:t>2</w:t>
      </w:r>
      <w:r w:rsidRPr="005060E0">
        <w:t xml:space="preserve"> concentrations, measured as a daily average concentration, are included. These include mortality and emergency department visits for </w:t>
      </w:r>
      <w:r w:rsidR="00C479FE" w:rsidRPr="005060E0">
        <w:t>a</w:t>
      </w:r>
      <w:r w:rsidRPr="005060E0">
        <w:t>sthma. While the HRA includes an outcome associated with exposure to SO</w:t>
      </w:r>
      <w:r w:rsidRPr="005060E0">
        <w:rPr>
          <w:vertAlign w:val="subscript"/>
        </w:rPr>
        <w:t>2</w:t>
      </w:r>
      <w:r w:rsidRPr="005060E0">
        <w:t xml:space="preserve"> concentrations measured as the maximum 1</w:t>
      </w:r>
      <w:r w:rsidR="00F95255" w:rsidRPr="005060E0">
        <w:noBreakHyphen/>
      </w:r>
      <w:r w:rsidRPr="005060E0">
        <w:t>hour concentration for each day, this has been excluded to avoid potential double counting.</w:t>
      </w:r>
    </w:p>
    <w:p w14:paraId="6D9CBBC3" w14:textId="0FD82B72" w:rsidR="00D556E8" w:rsidRPr="005060E0" w:rsidRDefault="00C479FE" w:rsidP="00762AAA">
      <w:pPr>
        <w:pStyle w:val="BodyText"/>
        <w:spacing w:after="160" w:line="276" w:lineRule="atLeast"/>
      </w:pPr>
      <w:r w:rsidRPr="005060E0">
        <w:t xml:space="preserve">The </w:t>
      </w:r>
      <w:r w:rsidR="00D556E8" w:rsidRPr="005060E0">
        <w:t>WHO (2013</w:t>
      </w:r>
      <w:r w:rsidR="000563CC" w:rsidRPr="005060E0">
        <w:t>b</w:t>
      </w:r>
      <w:r w:rsidR="00D556E8" w:rsidRPr="005060E0">
        <w:t>) also recommends a reduction of up to 33 per cent for estimated mortality due to NO</w:t>
      </w:r>
      <w:r w:rsidR="00D556E8" w:rsidRPr="005060E0">
        <w:rPr>
          <w:vertAlign w:val="subscript"/>
        </w:rPr>
        <w:t>2</w:t>
      </w:r>
      <w:r w:rsidR="00D556E8" w:rsidRPr="005060E0">
        <w:t xml:space="preserve"> exposure where mortality associated with PM</w:t>
      </w:r>
      <w:r w:rsidR="00D556E8" w:rsidRPr="005060E0">
        <w:rPr>
          <w:vertAlign w:val="subscript"/>
        </w:rPr>
        <w:t>2.5</w:t>
      </w:r>
      <w:r w:rsidR="00D556E8" w:rsidRPr="005060E0">
        <w:t xml:space="preserve"> exposure is also estimated. Consistent</w:t>
      </w:r>
      <w:r w:rsidR="000563CC" w:rsidRPr="005060E0">
        <w:t xml:space="preserve"> with the approach used by Defra</w:t>
      </w:r>
      <w:r w:rsidR="00D556E8" w:rsidRPr="005060E0">
        <w:t xml:space="preserve"> (2015), a 16.6 per cent reduction in mortalities associated with NO</w:t>
      </w:r>
      <w:r w:rsidR="00D556E8" w:rsidRPr="005060E0">
        <w:rPr>
          <w:vertAlign w:val="subscript"/>
        </w:rPr>
        <w:t>2</w:t>
      </w:r>
      <w:r w:rsidR="00D556E8" w:rsidRPr="005060E0">
        <w:t xml:space="preserve"> exposure is applied.</w:t>
      </w:r>
    </w:p>
    <w:p w14:paraId="0B347999" w14:textId="26B285DB" w:rsidR="0003741E" w:rsidRPr="005060E0" w:rsidRDefault="0003741E" w:rsidP="0003741E">
      <w:pPr>
        <w:pStyle w:val="Heading3"/>
      </w:pPr>
      <w:r w:rsidRPr="005060E0">
        <w:t>Non-quantified benefits</w:t>
      </w:r>
    </w:p>
    <w:p w14:paraId="223BAC6F" w14:textId="069ED52E" w:rsidR="0003741E" w:rsidRPr="005060E0" w:rsidRDefault="0003741E" w:rsidP="00762AAA">
      <w:pPr>
        <w:spacing w:after="0"/>
      </w:pPr>
      <w:r w:rsidRPr="005060E0">
        <w:t>A number of benefits could not be reliably quantified due to limited data. These include reduced labour productivity, a reduction in the emission of other pollutants, avoidance of some non-health impacts, and a reduction in secondary PM formation. These are considered in Appendix C (CBA).</w:t>
      </w:r>
    </w:p>
    <w:p w14:paraId="2DF88B85" w14:textId="45997F5E" w:rsidR="0003741E" w:rsidRPr="005060E0" w:rsidRDefault="003D62CC" w:rsidP="00762C3C">
      <w:pPr>
        <w:spacing w:after="240"/>
      </w:pPr>
      <w:r w:rsidRPr="005060E0">
        <w:rPr>
          <w:noProof/>
          <w:lang w:eastAsia="en-AU"/>
        </w:rPr>
        <mc:AlternateContent>
          <mc:Choice Requires="wps">
            <w:drawing>
              <wp:inline distT="0" distB="0" distL="0" distR="0" wp14:anchorId="6084BCC0" wp14:editId="20D0D597">
                <wp:extent cx="6080166" cy="2885704"/>
                <wp:effectExtent l="0" t="0" r="15875" b="10160"/>
                <wp:docPr id="24" name="Text Box 24"/>
                <wp:cNvGraphicFramePr/>
                <a:graphic xmlns:a="http://schemas.openxmlformats.org/drawingml/2006/main">
                  <a:graphicData uri="http://schemas.microsoft.com/office/word/2010/wordprocessingShape">
                    <wps:wsp>
                      <wps:cNvSpPr txBox="1"/>
                      <wps:spPr>
                        <a:xfrm>
                          <a:off x="0" y="0"/>
                          <a:ext cx="6080166" cy="2885704"/>
                        </a:xfrm>
                        <a:prstGeom prst="rect">
                          <a:avLst/>
                        </a:prstGeom>
                        <a:ln>
                          <a:solidFill>
                            <a:schemeClr val="accent1">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15315A48" w14:textId="08C55236" w:rsidR="00B246FA" w:rsidRDefault="00B246FA" w:rsidP="003D62CC">
                            <w:pPr>
                              <w:rPr>
                                <w:b/>
                                <w:sz w:val="24"/>
                              </w:rPr>
                            </w:pPr>
                            <w:r w:rsidRPr="00964CD3">
                              <w:rPr>
                                <w:b/>
                                <w:sz w:val="24"/>
                              </w:rPr>
                              <w:t xml:space="preserve">Chapter </w:t>
                            </w:r>
                            <w:r>
                              <w:rPr>
                                <w:b/>
                                <w:sz w:val="24"/>
                              </w:rPr>
                              <w:t>4</w:t>
                            </w:r>
                            <w:r w:rsidRPr="00964CD3">
                              <w:rPr>
                                <w:b/>
                                <w:sz w:val="24"/>
                              </w:rPr>
                              <w:t xml:space="preserve"> – Key </w:t>
                            </w:r>
                            <w:r>
                              <w:rPr>
                                <w:b/>
                                <w:sz w:val="24"/>
                              </w:rPr>
                              <w:t>p</w:t>
                            </w:r>
                            <w:r w:rsidRPr="00964CD3">
                              <w:rPr>
                                <w:b/>
                                <w:sz w:val="24"/>
                              </w:rPr>
                              <w:t>oints</w:t>
                            </w:r>
                          </w:p>
                          <w:p w14:paraId="375F502F" w14:textId="14EF8D14" w:rsidR="00B246FA" w:rsidRDefault="00B246FA" w:rsidP="003D62CC">
                            <w:pPr>
                              <w:pStyle w:val="ListBullet"/>
                            </w:pPr>
                            <w:r>
                              <w:t>The approach taken in this Impact Statement is consistent with the Methodology for Setting Air Quality Standards in Australia (NEPC 2011b) and standard-setting methodologies used internationally.</w:t>
                            </w:r>
                          </w:p>
                          <w:p w14:paraId="5E93F5D0" w14:textId="46AFAACF" w:rsidR="00B246FA" w:rsidRDefault="00B246FA" w:rsidP="003D62CC">
                            <w:pPr>
                              <w:pStyle w:val="ListBullet"/>
                            </w:pPr>
                            <w:r>
                              <w:t xml:space="preserve">Each pollutant was assessed individually using a combination of the impact pathway approach and the damage cost approach, based on data availability. The main steps include reviews of the health evidence for these pollutants and of international air quality standards, analysis of historical air quality and projections of future air quality, and a health risk assessment compared to proposed air quality standards. </w:t>
                            </w:r>
                          </w:p>
                          <w:p w14:paraId="2B333715" w14:textId="5C38A53C" w:rsidR="00B246FA" w:rsidRPr="00836815" w:rsidRDefault="00B246FA" w:rsidP="008452A2">
                            <w:pPr>
                              <w:pStyle w:val="ListBullet"/>
                              <w:numPr>
                                <w:ilvl w:val="0"/>
                                <w:numId w:val="73"/>
                              </w:numPr>
                            </w:pPr>
                            <w:r>
                              <w:t>A cost</w:t>
                            </w:r>
                            <w:r w:rsidRPr="00875B93">
                              <w:t>–</w:t>
                            </w:r>
                            <w:r>
                              <w:t>benefit analysis (CBA) was also conducted to assess the costs and benefits of possible abatement measures to lower concentrations of these pollutants. In this, the three pollutants were considered together rather than individually, to account for the interactions between pollutants in the Abatement Package.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84BCC0" id="Text Box 24" o:spid="_x0000_s1030" type="#_x0000_t202" style="width:478.75pt;height:2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iyNpwIAAK0FAAAOAAAAZHJzL2Uyb0RvYy54bWysVN9r2zAQfh/sfxB6X+2ENM1CnZK1dAy6&#10;tqwdfVZkuTGTdZqkJM7++n2SYzd0hcGYH2TpfnynO3135xdto9lWOV+TKfjoJOdMGUllbZ4L/v3x&#10;+sOMMx+EKYUmowq+V55fLN6/O9/ZuRrTmnSpHAOI8fOdLfg6BDvPMi/XqhH+hKwyUFbkGhFwdM9Z&#10;6cQO6I3Oxnk+zXbkSutIKu8hveqUfJHwq0rJcFdVXgWmC467hbS6tK7imi3OxfzZCbuu5eEa4h9u&#10;0YjaIOgAdSWCYBtX/wHV1NKRpyqcSGoyqqpaqpQDshnlr7J5WAurUi4ojrdDmfz/g5W323vH6rLg&#10;4wlnRjR4o0fVBvaJWgYR6rOzfg6zBwvD0EKOd+7lHsKYdlu5Jv6REIMeld4P1Y1oEsJpPstH0yln&#10;ErrxbHZ6lif87MXdOh8+K2pY3BTc4flSVcX2xgdcBaa9SYymTVw96bq8rrVOh0gcdakd2wo8uZBS&#10;mTBKIHrTfKWyk09zfN3jQwyKdOJJL0agRMGIlMIeBYEuBs5iXbr80y7steou9U1VqCgyHqe4A9Dx&#10;laYxeEKCdXSrkMDg2F34laNGHp3TwTa6qcTxwTH/e8TBI0UlEwbnpjbk3gIofwyRO/s++y7nmH5o&#10;V22i0UCZFZV7MMZR13Peyusar3ojfLgXDk0GkmBwhDsslaZdwemw42xN7tdb8mgP7kPL2Q5NW3D/&#10;cyOc4kx/MeiKj6PJJHZ5OkxOz8Y4uGPN6lhjNs0lgSQjjCgr0zbaB91vK0fNE+bLMkaFShiJ2AUP&#10;/fYydKME80mq5TIZoa+tCDfmwcoIHascOfvYPglnD8QO6Ilb6ttbzF/xu7ONnoaWm0BVncgf69xV&#10;9VB/zIREosP8ikPn+JysXqbs4jcAAAD//wMAUEsDBBQABgAIAAAAIQCpYsPw3AAAAAUBAAAPAAAA&#10;ZHJzL2Rvd25yZXYueG1sTI9bS8NAEIXfBf/DMoJvdqMkamM2pXgBoVhore/T7DQJ7iXsbtv03zv2&#10;RV8ODGc45zvVbLRGHCjE3jsFt5MMBLnG6961CjafbzePIGJCp9F4RwpOFGFWX15UWGp/dCs6rFMr&#10;OMTFEhV0KQ2llLHpyGKc+IEcezsfLCY+Qyt1wCOHWyPvsuxeWuwdN3Q40HNHzfd6b7nk1Czm092X&#10;+cDNKvTv/fLFvy6Vur4a508gEo3p7xl+8Rkdamba+r3TURgFPCSdlb1p8VCA2CrIizwHWVfyP339&#10;AwAA//8DAFBLAQItABQABgAIAAAAIQC2gziS/gAAAOEBAAATAAAAAAAAAAAAAAAAAAAAAABbQ29u&#10;dGVudF9UeXBlc10ueG1sUEsBAi0AFAAGAAgAAAAhADj9If/WAAAAlAEAAAsAAAAAAAAAAAAAAAAA&#10;LwEAAF9yZWxzLy5yZWxzUEsBAi0AFAAGAAgAAAAhALqOLI2nAgAArQUAAA4AAAAAAAAAAAAAAAAA&#10;LgIAAGRycy9lMm9Eb2MueG1sUEsBAi0AFAAGAAgAAAAhAKliw/DcAAAABQEAAA8AAAAAAAAAAAAA&#10;AAAAAQUAAGRycy9kb3ducmV2LnhtbFBLBQYAAAAABAAEAPMAAAAKBgAAAAA=&#10;" fillcolor="white [3201]" strokecolor="#40b4ff [1940]" strokeweight="2pt">
                <v:textbox>
                  <w:txbxContent>
                    <w:p w14:paraId="15315A48" w14:textId="08C55236" w:rsidR="00B246FA" w:rsidRDefault="00B246FA" w:rsidP="003D62CC">
                      <w:pPr>
                        <w:rPr>
                          <w:b/>
                          <w:sz w:val="24"/>
                        </w:rPr>
                      </w:pPr>
                      <w:r w:rsidRPr="00964CD3">
                        <w:rPr>
                          <w:b/>
                          <w:sz w:val="24"/>
                        </w:rPr>
                        <w:t xml:space="preserve">Chapter </w:t>
                      </w:r>
                      <w:r>
                        <w:rPr>
                          <w:b/>
                          <w:sz w:val="24"/>
                        </w:rPr>
                        <w:t>4</w:t>
                      </w:r>
                      <w:r w:rsidRPr="00964CD3">
                        <w:rPr>
                          <w:b/>
                          <w:sz w:val="24"/>
                        </w:rPr>
                        <w:t xml:space="preserve"> – Key </w:t>
                      </w:r>
                      <w:r>
                        <w:rPr>
                          <w:b/>
                          <w:sz w:val="24"/>
                        </w:rPr>
                        <w:t>p</w:t>
                      </w:r>
                      <w:r w:rsidRPr="00964CD3">
                        <w:rPr>
                          <w:b/>
                          <w:sz w:val="24"/>
                        </w:rPr>
                        <w:t>oints</w:t>
                      </w:r>
                    </w:p>
                    <w:p w14:paraId="375F502F" w14:textId="14EF8D14" w:rsidR="00B246FA" w:rsidRDefault="00B246FA" w:rsidP="003D62CC">
                      <w:pPr>
                        <w:pStyle w:val="ListBullet"/>
                      </w:pPr>
                      <w:r>
                        <w:t>The approach taken in this Impact Statement is consistent with the Methodology for Setting Air Quality Standards in Australia (NEPC 2011b) and standard-setting methodologies used internationally.</w:t>
                      </w:r>
                    </w:p>
                    <w:p w14:paraId="5E93F5D0" w14:textId="46AFAACF" w:rsidR="00B246FA" w:rsidRDefault="00B246FA" w:rsidP="003D62CC">
                      <w:pPr>
                        <w:pStyle w:val="ListBullet"/>
                      </w:pPr>
                      <w:r>
                        <w:t xml:space="preserve">Each pollutant was assessed individually using a combination of the impact pathway approach and the damage cost approach, based on data availability. The main steps include reviews of the health evidence for these pollutants and of international air quality standards, analysis of historical air quality and projections of future air quality, and a health risk assessment compared to proposed air quality standards. </w:t>
                      </w:r>
                    </w:p>
                    <w:p w14:paraId="2B333715" w14:textId="5C38A53C" w:rsidR="00B246FA" w:rsidRPr="00836815" w:rsidRDefault="00B246FA" w:rsidP="008452A2">
                      <w:pPr>
                        <w:pStyle w:val="ListBullet"/>
                        <w:numPr>
                          <w:ilvl w:val="0"/>
                          <w:numId w:val="73"/>
                        </w:numPr>
                      </w:pPr>
                      <w:r>
                        <w:t>A cost</w:t>
                      </w:r>
                      <w:r w:rsidRPr="00875B93">
                        <w:t>–</w:t>
                      </w:r>
                      <w:r>
                        <w:t>benefit analysis (CBA) was also conducted to assess the costs and benefits of possible abatement measures to lower concentrations of these pollutants. In this, the three pollutants were considered together rather than individually, to account for the interactions between pollutants in the Abatement Package.</w:t>
                      </w:r>
                    </w:p>
                  </w:txbxContent>
                </v:textbox>
                <w10:anchorlock/>
              </v:shape>
            </w:pict>
          </mc:Fallback>
        </mc:AlternateContent>
      </w:r>
    </w:p>
    <w:p w14:paraId="2058899D" w14:textId="70EC251B" w:rsidR="00073E64" w:rsidRPr="005060E0" w:rsidRDefault="00344CBB">
      <w:pPr>
        <w:spacing w:after="160" w:line="259" w:lineRule="auto"/>
      </w:pPr>
      <w:r w:rsidRPr="005060E0">
        <w:rPr>
          <w:noProof/>
          <w:lang w:eastAsia="en-AU"/>
        </w:rPr>
        <mc:AlternateContent>
          <mc:Choice Requires="wps">
            <w:drawing>
              <wp:inline distT="0" distB="0" distL="0" distR="0" wp14:anchorId="3446F5DA" wp14:editId="11FF53F0">
                <wp:extent cx="6080166" cy="1163782"/>
                <wp:effectExtent l="0" t="0" r="15875" b="17780"/>
                <wp:docPr id="28" name="Text Box 28"/>
                <wp:cNvGraphicFramePr/>
                <a:graphic xmlns:a="http://schemas.openxmlformats.org/drawingml/2006/main">
                  <a:graphicData uri="http://schemas.microsoft.com/office/word/2010/wordprocessingShape">
                    <wps:wsp>
                      <wps:cNvSpPr txBox="1"/>
                      <wps:spPr>
                        <a:xfrm>
                          <a:off x="0" y="0"/>
                          <a:ext cx="6080166" cy="1163782"/>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2A99A11" w14:textId="0427C711" w:rsidR="00B246FA" w:rsidRDefault="00B246FA" w:rsidP="003D62CC">
                            <w:pPr>
                              <w:rPr>
                                <w:b/>
                                <w:sz w:val="24"/>
                              </w:rPr>
                            </w:pPr>
                            <w:r w:rsidRPr="00964CD3">
                              <w:rPr>
                                <w:b/>
                                <w:sz w:val="24"/>
                              </w:rPr>
                              <w:t xml:space="preserve">Chapter </w:t>
                            </w:r>
                            <w:r>
                              <w:rPr>
                                <w:b/>
                                <w:sz w:val="24"/>
                              </w:rPr>
                              <w:t>4</w:t>
                            </w:r>
                            <w:r w:rsidRPr="00964CD3">
                              <w:rPr>
                                <w:b/>
                                <w:sz w:val="24"/>
                              </w:rPr>
                              <w:t xml:space="preserve"> – Consultation </w:t>
                            </w:r>
                            <w:r>
                              <w:rPr>
                                <w:b/>
                                <w:sz w:val="24"/>
                              </w:rPr>
                              <w:t>q</w:t>
                            </w:r>
                            <w:r w:rsidRPr="00964CD3">
                              <w:rPr>
                                <w:b/>
                                <w:sz w:val="24"/>
                              </w:rPr>
                              <w:t>uestions</w:t>
                            </w:r>
                          </w:p>
                          <w:p w14:paraId="7A9CE5FE" w14:textId="77777777" w:rsidR="00B246FA" w:rsidRPr="00073E64" w:rsidRDefault="00B246FA" w:rsidP="008452A2">
                            <w:pPr>
                              <w:pStyle w:val="ListParagraph"/>
                              <w:numPr>
                                <w:ilvl w:val="0"/>
                                <w:numId w:val="74"/>
                              </w:numPr>
                              <w:ind w:left="714" w:hanging="357"/>
                              <w:contextualSpacing w:val="0"/>
                            </w:pPr>
                            <w:r w:rsidRPr="00073E64">
                              <w:t>Have all key assumptions been correctly identified and included in the analysis? If not, please provide details.</w:t>
                            </w:r>
                          </w:p>
                          <w:p w14:paraId="798926F2" w14:textId="420C78FE" w:rsidR="00B246FA" w:rsidRPr="00964CD3" w:rsidRDefault="00B246FA" w:rsidP="008452A2">
                            <w:pPr>
                              <w:pStyle w:val="ListParagraph"/>
                              <w:numPr>
                                <w:ilvl w:val="0"/>
                                <w:numId w:val="74"/>
                              </w:numPr>
                              <w:ind w:left="714" w:hanging="357"/>
                              <w:contextualSpacing w:val="0"/>
                            </w:pPr>
                            <w:r w:rsidRPr="00073E64">
                              <w:t>Can you suggest any improvements to the methodology used in this report for future reviews?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46F5DA" id="Text Box 28" o:spid="_x0000_s1031" type="#_x0000_t202" style="width:478.75pt;height:9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e0cdQIAADUFAAAOAAAAZHJzL2Uyb0RvYy54bWysVN9v2yAQfp+0/wHxvtjO2jSL4lRZq06T&#10;orZaM/WZYEisAceAxM7++h04drsuT9NebLj77vd3zK9brchBOF+DKWkxyikRhkNVm21Jv6/vPkwp&#10;8YGZiikwoqRH4en14v27eWNnYgw7UJVwBJ0YP2tsSXch2FmWeb4TmvkRWGFQKcFpFvDqtlnlWIPe&#10;tcrGeT7JGnCVdcCF9yi97ZR0kfxLKXh4kNKLQFRJMbeQvi59N/GbLeZstnXM7mp+SoP9Qxaa1QaD&#10;Dq5uWWBk7+q/XOmaO/Agw4iDzkDKmotUA1ZT5G+qedoxK1It2Bxvhzb5/+eW3x8eHamrko5xUoZp&#10;nNFatIF8hpagCPvTWD9D2JNFYGhRjnPu5R6FsexWOh3/WBBBPXb6OHQ3euMonOTTvJhMKOGoK4rJ&#10;x6vpOPrJXsyt8+GLAE3ioaQOx5e6yg4rHzpoD4nRlImymF+XRzqFoxKd8puQWBlGHicniVPiRjly&#10;YMgGxrkwIVWCGSiD6Ggma6UGw+KcoRqMTthoJhLXBsP8nOGfEQeLFBVMGIx1bcCdc1D96NOVHb6v&#10;vqs5lh/aTZvGedmPaAPVESfnoOO+t/yuxu6umA+PzCHZcVi4wOEBP1JBU1I4nSjZgft1Th7xyEHU&#10;UtLg8pTU/9wzJyhRXw2y81NxcRG3LV0uLq/GeHGvNZvXGrPXN4ATKfCpsDwdIz6o/igd6Gfc82WM&#10;iipmOMYuaeiPN6FbaXwnuFguEwj3y7KwMk+WR9exy5E76/aZOXsiWEBu3kO/Zmz2hmcdNloaWO4D&#10;yDqRMPa56+qp/7ibicandyQu/+t7Qr28dovfAAAA//8DAFBLAwQUAAYACAAAACEA+zNL5NoAAAAF&#10;AQAADwAAAGRycy9kb3ducmV2LnhtbEyPQUvDQBCF74L/YRnBm93U0hpjNkWCpTfBKp4n2TEJzc6G&#10;7DZN/72jF708GN7jvW/y7ex6NdEYOs8GlosEFHHtbceNgY/33V0KKkRki71nMnChANvi+irHzPoz&#10;v9F0iI2SEg4ZGmhjHDKtQ92Sw7DwA7F4X350GOUcG21HPEu56/V9kmy0w45locWBypbq4+HkDJRJ&#10;uQvTflltLr47fqYv/DrUe2Nub+bnJ1CR5vgXhh98QYdCmCp/YhtUb0Aeib8q3uP6YQ2qklC6WoEu&#10;cv2fvvgGAAD//wMAUEsBAi0AFAAGAAgAAAAhALaDOJL+AAAA4QEAABMAAAAAAAAAAAAAAAAAAAAA&#10;AFtDb250ZW50X1R5cGVzXS54bWxQSwECLQAUAAYACAAAACEAOP0h/9YAAACUAQAACwAAAAAAAAAA&#10;AAAAAAAvAQAAX3JlbHMvLnJlbHNQSwECLQAUAAYACAAAACEAk+HtHHUCAAA1BQAADgAAAAAAAAAA&#10;AAAAAAAuAgAAZHJzL2Uyb0RvYy54bWxQSwECLQAUAAYACAAAACEA+zNL5NoAAAAFAQAADwAAAAAA&#10;AAAAAAAAAADPBAAAZHJzL2Rvd25yZXYueG1sUEsFBgAAAAAEAAQA8wAAANYFAAAAAA==&#10;" fillcolor="white [3201]" strokecolor="#0076c0 [3204]" strokeweight="2pt">
                <v:textbox>
                  <w:txbxContent>
                    <w:p w14:paraId="12A99A11" w14:textId="0427C711" w:rsidR="00B246FA" w:rsidRDefault="00B246FA" w:rsidP="003D62CC">
                      <w:pPr>
                        <w:rPr>
                          <w:b/>
                          <w:sz w:val="24"/>
                        </w:rPr>
                      </w:pPr>
                      <w:r w:rsidRPr="00964CD3">
                        <w:rPr>
                          <w:b/>
                          <w:sz w:val="24"/>
                        </w:rPr>
                        <w:t xml:space="preserve">Chapter </w:t>
                      </w:r>
                      <w:r>
                        <w:rPr>
                          <w:b/>
                          <w:sz w:val="24"/>
                        </w:rPr>
                        <w:t>4</w:t>
                      </w:r>
                      <w:r w:rsidRPr="00964CD3">
                        <w:rPr>
                          <w:b/>
                          <w:sz w:val="24"/>
                        </w:rPr>
                        <w:t xml:space="preserve"> – Consultation </w:t>
                      </w:r>
                      <w:r>
                        <w:rPr>
                          <w:b/>
                          <w:sz w:val="24"/>
                        </w:rPr>
                        <w:t>q</w:t>
                      </w:r>
                      <w:r w:rsidRPr="00964CD3">
                        <w:rPr>
                          <w:b/>
                          <w:sz w:val="24"/>
                        </w:rPr>
                        <w:t>uestions</w:t>
                      </w:r>
                    </w:p>
                    <w:p w14:paraId="7A9CE5FE" w14:textId="77777777" w:rsidR="00B246FA" w:rsidRPr="00073E64" w:rsidRDefault="00B246FA" w:rsidP="008452A2">
                      <w:pPr>
                        <w:pStyle w:val="ListParagraph"/>
                        <w:numPr>
                          <w:ilvl w:val="0"/>
                          <w:numId w:val="74"/>
                        </w:numPr>
                        <w:ind w:left="714" w:hanging="357"/>
                        <w:contextualSpacing w:val="0"/>
                      </w:pPr>
                      <w:r w:rsidRPr="00073E64">
                        <w:t>Have all key assumptions been correctly identified and included in the analysis? If not, please provide details.</w:t>
                      </w:r>
                    </w:p>
                    <w:p w14:paraId="798926F2" w14:textId="420C78FE" w:rsidR="00B246FA" w:rsidRPr="00964CD3" w:rsidRDefault="00B246FA" w:rsidP="008452A2">
                      <w:pPr>
                        <w:pStyle w:val="ListParagraph"/>
                        <w:numPr>
                          <w:ilvl w:val="0"/>
                          <w:numId w:val="74"/>
                        </w:numPr>
                        <w:ind w:left="714" w:hanging="357"/>
                        <w:contextualSpacing w:val="0"/>
                      </w:pPr>
                      <w:r w:rsidRPr="00073E64">
                        <w:t>Can you suggest any improvements to the methodology used in this report for future reviews?</w:t>
                      </w:r>
                    </w:p>
                  </w:txbxContent>
                </v:textbox>
                <w10:anchorlock/>
              </v:shape>
            </w:pict>
          </mc:Fallback>
        </mc:AlternateContent>
      </w:r>
    </w:p>
    <w:p w14:paraId="548AB3DC" w14:textId="0B43CF32" w:rsidR="00073E64" w:rsidRPr="005060E0" w:rsidRDefault="00073E64">
      <w:pPr>
        <w:spacing w:after="160" w:line="259" w:lineRule="auto"/>
      </w:pPr>
    </w:p>
    <w:p w14:paraId="2EE99E7E" w14:textId="77777777" w:rsidR="00073E64" w:rsidRPr="005060E0" w:rsidRDefault="00073E64">
      <w:pPr>
        <w:spacing w:after="160" w:line="259" w:lineRule="auto"/>
        <w:sectPr w:rsidR="00073E64" w:rsidRPr="005060E0" w:rsidSect="00284327">
          <w:headerReference w:type="default" r:id="rId21"/>
          <w:footerReference w:type="default" r:id="rId22"/>
          <w:pgSz w:w="11906" w:h="16838" w:code="9"/>
          <w:pgMar w:top="1440" w:right="1133" w:bottom="1701" w:left="1134" w:header="709" w:footer="131" w:gutter="0"/>
          <w:cols w:space="255"/>
          <w:docGrid w:linePitch="360"/>
        </w:sectPr>
      </w:pPr>
    </w:p>
    <w:p w14:paraId="5DE32111" w14:textId="151C3DB2" w:rsidR="008B2B8E" w:rsidRPr="005060E0" w:rsidRDefault="00997D14" w:rsidP="00762AAA">
      <w:pPr>
        <w:pStyle w:val="Heading1"/>
        <w:spacing w:after="360"/>
        <w:ind w:left="567" w:hanging="567"/>
      </w:pPr>
      <w:bookmarkStart w:id="80" w:name="_Toc3278947"/>
      <w:bookmarkStart w:id="81" w:name="_Ref479157376"/>
      <w:bookmarkStart w:id="82" w:name="_Ref479157392"/>
      <w:bookmarkStart w:id="83" w:name="_Ref479181703"/>
      <w:bookmarkStart w:id="84" w:name="_Toc479858891"/>
      <w:bookmarkStart w:id="85" w:name="_Ref506115092"/>
      <w:r w:rsidRPr="005060E0">
        <w:t>Assessment</w:t>
      </w:r>
      <w:r w:rsidR="008B2B8E" w:rsidRPr="005060E0">
        <w:t xml:space="preserve"> of desired environmental outcome and goal</w:t>
      </w:r>
      <w:bookmarkEnd w:id="80"/>
    </w:p>
    <w:p w14:paraId="5E82EC97" w14:textId="053658B6" w:rsidR="00997D14" w:rsidRPr="005060E0" w:rsidRDefault="00C72106" w:rsidP="00762AAA">
      <w:pPr>
        <w:pStyle w:val="Heading2"/>
        <w:spacing w:before="320" w:after="200"/>
      </w:pPr>
      <w:bookmarkStart w:id="86" w:name="_Toc3278948"/>
      <w:r w:rsidRPr="005060E0">
        <w:t>Background</w:t>
      </w:r>
      <w:bookmarkEnd w:id="86"/>
    </w:p>
    <w:p w14:paraId="6685D0EF" w14:textId="04B99B89" w:rsidR="0010657F" w:rsidRPr="005060E0" w:rsidRDefault="00997D14" w:rsidP="00762AAA">
      <w:pPr>
        <w:spacing w:after="160" w:line="276" w:lineRule="atLeast"/>
      </w:pPr>
      <w:r w:rsidRPr="005060E0">
        <w:t>The desired environmental outcome of the AAQ NEPM is ‘ambient air quality that allows for the adequate protection of human health and wellbei</w:t>
      </w:r>
      <w:r w:rsidR="004E638C" w:rsidRPr="005060E0">
        <w:t xml:space="preserve">ng’. </w:t>
      </w:r>
      <w:r w:rsidR="0010657F" w:rsidRPr="005060E0">
        <w:t>The goal of the AAQ NEPM is to achieve the specified air quality standards and, in the case of PM</w:t>
      </w:r>
      <w:r w:rsidR="0010657F" w:rsidRPr="005060E0">
        <w:rPr>
          <w:vertAlign w:val="subscript"/>
        </w:rPr>
        <w:t>2.5</w:t>
      </w:r>
      <w:r w:rsidR="0010657F" w:rsidRPr="005060E0">
        <w:t xml:space="preserve">, to achieve (by 2025) further reductions in maximum concentrations. During the review of the AAQ NEPM (NEPC 2011a), various issues with the definition of the desired environmental outcome and the goal were identified, which meant they were not compatible with the concept of adequate protection of human health and wellbeing. These issues are discussed briefly below. </w:t>
      </w:r>
    </w:p>
    <w:p w14:paraId="4552B7C2" w14:textId="77777777" w:rsidR="0010657F" w:rsidRPr="005060E0" w:rsidRDefault="0010657F" w:rsidP="00762AAA">
      <w:pPr>
        <w:pStyle w:val="Heading2"/>
        <w:spacing w:before="320" w:after="200"/>
      </w:pPr>
      <w:bookmarkStart w:id="87" w:name="_Toc3278949"/>
      <w:r w:rsidRPr="005060E0">
        <w:t>Discussion</w:t>
      </w:r>
      <w:bookmarkEnd w:id="87"/>
    </w:p>
    <w:p w14:paraId="34D1C727" w14:textId="5F909B41" w:rsidR="00F0620D" w:rsidRPr="005060E0" w:rsidRDefault="0010657F" w:rsidP="00762AAA">
      <w:pPr>
        <w:spacing w:after="160" w:line="276" w:lineRule="atLeast"/>
      </w:pPr>
      <w:r w:rsidRPr="005060E0">
        <w:t>Firstly, during the review of the AAQ NEPM it was apparent that the meaning of ‘adequate protection’ was ambiguous, and there was no shared understanding of what it meant. Some stakeholders requested absolute protection from the health effects of air pollution.</w:t>
      </w:r>
      <w:r w:rsidR="006B7BFA" w:rsidRPr="005060E0">
        <w:t xml:space="preserve"> </w:t>
      </w:r>
      <w:r w:rsidR="00F0620D" w:rsidRPr="005060E0">
        <w:t>This needs to be clarified.</w:t>
      </w:r>
    </w:p>
    <w:p w14:paraId="3AD79439" w14:textId="43893C5C" w:rsidR="006B7BFA" w:rsidRPr="005060E0" w:rsidRDefault="006B7BFA" w:rsidP="00762AAA">
      <w:pPr>
        <w:spacing w:after="160" w:line="276" w:lineRule="atLeast"/>
        <w:rPr>
          <w:szCs w:val="20"/>
        </w:rPr>
      </w:pPr>
      <w:r w:rsidRPr="005060E0">
        <w:t>The desired environmental outcome should be revised to</w:t>
      </w:r>
      <w:r w:rsidR="00F0620D" w:rsidRPr="005060E0">
        <w:t xml:space="preserve"> consider principles</w:t>
      </w:r>
      <w:r w:rsidRPr="005060E0">
        <w:t xml:space="preserve"> </w:t>
      </w:r>
      <w:r w:rsidR="00F0620D" w:rsidRPr="005060E0">
        <w:t xml:space="preserve">of </w:t>
      </w:r>
      <w:r w:rsidR="00F0620D" w:rsidRPr="005060E0">
        <w:rPr>
          <w:szCs w:val="20"/>
        </w:rPr>
        <w:t xml:space="preserve">environmental justice, </w:t>
      </w:r>
      <w:r w:rsidRPr="005060E0">
        <w:t>acknowledge the health risks associated with air pollutant exposure (see below)</w:t>
      </w:r>
      <w:r w:rsidR="00F0620D" w:rsidRPr="005060E0">
        <w:t xml:space="preserve"> wherever people live,</w:t>
      </w:r>
      <w:r w:rsidRPr="005060E0">
        <w:t xml:space="preserve"> and that implementation of the AAQ NEPM would aim to minimise </w:t>
      </w:r>
      <w:r w:rsidR="00F0620D" w:rsidRPr="005060E0">
        <w:t xml:space="preserve">these risks as much as possible by </w:t>
      </w:r>
      <w:r w:rsidR="00F0620D" w:rsidRPr="005060E0">
        <w:rPr>
          <w:szCs w:val="20"/>
        </w:rPr>
        <w:t>providing</w:t>
      </w:r>
      <w:r w:rsidRPr="005060E0">
        <w:rPr>
          <w:szCs w:val="20"/>
        </w:rPr>
        <w:t xml:space="preserve"> better protection.</w:t>
      </w:r>
    </w:p>
    <w:p w14:paraId="0C9C682F" w14:textId="649E4D28" w:rsidR="00F0620D" w:rsidRPr="005060E0" w:rsidRDefault="00821FF7" w:rsidP="00762AAA">
      <w:pPr>
        <w:spacing w:after="160" w:line="276" w:lineRule="atLeast"/>
      </w:pPr>
      <w:r w:rsidRPr="005060E0">
        <w:t>Air quality standards and long-term goals provide drivers to improve air quality</w:t>
      </w:r>
      <w:r w:rsidR="00F0620D" w:rsidRPr="005060E0">
        <w:t xml:space="preserve">, and to ensure that air pollution levels </w:t>
      </w:r>
      <w:r w:rsidR="0062453C" w:rsidRPr="005060E0">
        <w:t>–</w:t>
      </w:r>
      <w:r w:rsidR="00F0620D" w:rsidRPr="005060E0">
        <w:t xml:space="preserve"> and the associated risk to public health </w:t>
      </w:r>
      <w:r w:rsidR="0062453C" w:rsidRPr="005060E0">
        <w:t>–</w:t>
      </w:r>
      <w:r w:rsidR="00F0620D" w:rsidRPr="005060E0">
        <w:t xml:space="preserve"> do not increase in the future. Standards should be defined in a way that reflects the scientific understanding of pollutant sources, air quality, health impacts, and cost to society. </w:t>
      </w:r>
      <w:r w:rsidR="00F0620D" w:rsidRPr="005060E0">
        <w:rPr>
          <w:szCs w:val="20"/>
        </w:rPr>
        <w:t>The proposed change to the outcome and goal (minimising risk) will better drive air quality management strategies.</w:t>
      </w:r>
    </w:p>
    <w:p w14:paraId="45F68471" w14:textId="7CF37DE4" w:rsidR="00867720" w:rsidRPr="005060E0" w:rsidRDefault="0010657F" w:rsidP="00762AAA">
      <w:pPr>
        <w:spacing w:after="160" w:line="276" w:lineRule="atLeast"/>
      </w:pPr>
      <w:r w:rsidRPr="005060E0">
        <w:t xml:space="preserve">Secondly, the findings of epidemiology studies have shown there is no evidence of a clear threshold for the health effects of important air pollutants, including those addressed by this </w:t>
      </w:r>
      <w:r w:rsidR="00DF05A9" w:rsidRPr="005060E0">
        <w:t>Impact Statement</w:t>
      </w:r>
      <w:r w:rsidRPr="005060E0">
        <w:t>.</w:t>
      </w:r>
      <w:r w:rsidRPr="005060E0">
        <w:rPr>
          <w:szCs w:val="20"/>
        </w:rPr>
        <w:t xml:space="preserve"> There is also now a large body of information worldwide that identifies health effects associated with exposure to air pollution at levels below the current AAQ NEPM standards.</w:t>
      </w:r>
      <w:r w:rsidRPr="005060E0">
        <w:t xml:space="preserve"> The non-threshold nature of </w:t>
      </w:r>
      <w:r w:rsidR="00867720" w:rsidRPr="005060E0">
        <w:t>air pollutants means compliance with the standards alone may not achieve the desired environmental o</w:t>
      </w:r>
      <w:r w:rsidRPr="005060E0">
        <w:t xml:space="preserve">utcome of ‘adequate protection’ </w:t>
      </w:r>
      <w:r w:rsidRPr="005060E0">
        <w:rPr>
          <w:szCs w:val="20"/>
        </w:rPr>
        <w:t>for the Australian population against</w:t>
      </w:r>
      <w:r w:rsidR="00523416" w:rsidRPr="005060E0">
        <w:rPr>
          <w:szCs w:val="20"/>
        </w:rPr>
        <w:t xml:space="preserve"> the adverse health effects of air pollution.</w:t>
      </w:r>
      <w:r w:rsidR="005C00DC" w:rsidRPr="005060E0">
        <w:t xml:space="preserve"> </w:t>
      </w:r>
      <w:r w:rsidR="00523416" w:rsidRPr="005060E0">
        <w:t xml:space="preserve">In addition, </w:t>
      </w:r>
      <w:r w:rsidR="00523416" w:rsidRPr="005060E0">
        <w:rPr>
          <w:szCs w:val="20"/>
        </w:rPr>
        <w:t>the</w:t>
      </w:r>
      <w:r w:rsidRPr="005060E0">
        <w:rPr>
          <w:szCs w:val="20"/>
        </w:rPr>
        <w:t xml:space="preserve"> </w:t>
      </w:r>
      <w:r w:rsidR="005C00DC" w:rsidRPr="005060E0">
        <w:rPr>
          <w:szCs w:val="20"/>
        </w:rPr>
        <w:t>AAQM NEPM standards themselves no longer</w:t>
      </w:r>
      <w:r w:rsidR="00523416" w:rsidRPr="005060E0">
        <w:rPr>
          <w:szCs w:val="20"/>
        </w:rPr>
        <w:t xml:space="preserve"> reflect the current understanding of the health effects of </w:t>
      </w:r>
      <w:r w:rsidR="006B7BFA" w:rsidRPr="005060E0">
        <w:rPr>
          <w:szCs w:val="20"/>
        </w:rPr>
        <w:t>SO</w:t>
      </w:r>
      <w:r w:rsidR="006B7BFA" w:rsidRPr="005060E0">
        <w:rPr>
          <w:szCs w:val="20"/>
          <w:vertAlign w:val="subscript"/>
        </w:rPr>
        <w:t>2</w:t>
      </w:r>
      <w:r w:rsidR="006B7BFA" w:rsidRPr="005060E0">
        <w:rPr>
          <w:szCs w:val="20"/>
        </w:rPr>
        <w:t>, NO</w:t>
      </w:r>
      <w:r w:rsidR="006B7BFA" w:rsidRPr="005060E0">
        <w:rPr>
          <w:szCs w:val="20"/>
          <w:vertAlign w:val="subscript"/>
        </w:rPr>
        <w:t>2</w:t>
      </w:r>
      <w:r w:rsidR="006B7BFA" w:rsidRPr="005060E0">
        <w:rPr>
          <w:szCs w:val="20"/>
        </w:rPr>
        <w:t xml:space="preserve"> and O</w:t>
      </w:r>
      <w:r w:rsidR="006B7BFA" w:rsidRPr="005060E0">
        <w:rPr>
          <w:szCs w:val="20"/>
          <w:vertAlign w:val="subscript"/>
        </w:rPr>
        <w:t>3</w:t>
      </w:r>
      <w:r w:rsidR="00523416" w:rsidRPr="005060E0">
        <w:rPr>
          <w:szCs w:val="20"/>
        </w:rPr>
        <w:t xml:space="preserve">, </w:t>
      </w:r>
      <w:r w:rsidR="006B7BFA" w:rsidRPr="005060E0">
        <w:rPr>
          <w:szCs w:val="20"/>
        </w:rPr>
        <w:t xml:space="preserve">and </w:t>
      </w:r>
      <w:r w:rsidR="00523416" w:rsidRPr="005060E0">
        <w:rPr>
          <w:szCs w:val="20"/>
        </w:rPr>
        <w:t>in particular</w:t>
      </w:r>
      <w:r w:rsidR="0062453C" w:rsidRPr="005060E0">
        <w:rPr>
          <w:szCs w:val="20"/>
        </w:rPr>
        <w:t>,</w:t>
      </w:r>
      <w:r w:rsidR="00523416" w:rsidRPr="005060E0">
        <w:rPr>
          <w:szCs w:val="20"/>
        </w:rPr>
        <w:t xml:space="preserve"> the results of studies that have been conducted in Australia.</w:t>
      </w:r>
    </w:p>
    <w:p w14:paraId="4534BEEF" w14:textId="1B6ADB47" w:rsidR="008B2B8E" w:rsidRPr="005060E0" w:rsidRDefault="008B2B8E" w:rsidP="00762AAA">
      <w:pPr>
        <w:spacing w:after="160" w:line="276" w:lineRule="atLeast"/>
      </w:pPr>
      <w:r w:rsidRPr="005060E0">
        <w:t>Through the AAQ NEPM review</w:t>
      </w:r>
      <w:r w:rsidR="00F95255" w:rsidRPr="005060E0">
        <w:t>,</w:t>
      </w:r>
      <w:r w:rsidRPr="005060E0">
        <w:t xml:space="preserve"> it was recommended that the desired environmental outcome be revised to acknowledge the health risks associated with air pollutant exposure, and that implementation of the AAQ</w:t>
      </w:r>
      <w:r w:rsidR="00065ED4" w:rsidRPr="005060E0">
        <w:t> </w:t>
      </w:r>
      <w:r w:rsidRPr="005060E0">
        <w:t>NEPM would aim to minimise these risks as much as possible. It was also recommended that</w:t>
      </w:r>
      <w:r w:rsidR="006B7BFA" w:rsidRPr="005060E0">
        <w:t>,</w:t>
      </w:r>
      <w:r w:rsidRPr="005060E0">
        <w:t xml:space="preserve"> to ensure the requirement of the NEPC Act to provide equivalent protection for all Australians is met, consideration be given to patterns of exposure and reducing risks to the whole population arising from these exposures, and that the desired environmental outcome be amended to focus on minimising risk for all people wherever they may live to all part</w:t>
      </w:r>
      <w:r w:rsidR="006B7BFA" w:rsidRPr="005060E0">
        <w:t>s of the community (NEPC 2011a)</w:t>
      </w:r>
      <w:r w:rsidRPr="005060E0">
        <w:t>.</w:t>
      </w:r>
      <w:r w:rsidR="00F95255" w:rsidRPr="005060E0">
        <w:t xml:space="preserve"> </w:t>
      </w:r>
    </w:p>
    <w:p w14:paraId="138DAD98" w14:textId="6D6AFEC5" w:rsidR="008B2B8E" w:rsidRPr="005060E0" w:rsidRDefault="006B7BFA" w:rsidP="00762AAA">
      <w:pPr>
        <w:spacing w:after="160" w:line="276" w:lineRule="atLeast"/>
        <w:rPr>
          <w:szCs w:val="20"/>
        </w:rPr>
      </w:pPr>
      <w:r w:rsidRPr="005060E0">
        <w:t>G</w:t>
      </w:r>
      <w:r w:rsidR="008B2B8E" w:rsidRPr="005060E0">
        <w:t>iven the current understanding o</w:t>
      </w:r>
      <w:r w:rsidR="00AB76BB" w:rsidRPr="005060E0">
        <w:t>f</w:t>
      </w:r>
      <w:r w:rsidR="008B2B8E" w:rsidRPr="005060E0">
        <w:t xml:space="preserve"> the health effects of the air pollutants under consideration in this </w:t>
      </w:r>
      <w:r w:rsidR="00DF05A9" w:rsidRPr="005060E0">
        <w:t>Impact Statement</w:t>
      </w:r>
      <w:r w:rsidR="008B2B8E" w:rsidRPr="005060E0">
        <w:t xml:space="preserve">, the combination of more stringent standards and a framework to reduce exposure and associated risk to the population, whether the standards are met or not, may be a more effective approach to achieving the desired environmental outcome of the AAQ NEPM. This is consistent with the NEPC standard-setting methodology, which recommends that </w:t>
      </w:r>
      <w:r w:rsidR="00E12CD8" w:rsidRPr="005060E0">
        <w:t xml:space="preserve">an </w:t>
      </w:r>
      <w:r w:rsidR="008B2B8E" w:rsidRPr="005060E0">
        <w:t xml:space="preserve">integrated approach for </w:t>
      </w:r>
      <w:r w:rsidR="008B2B8E" w:rsidRPr="005060E0">
        <w:rPr>
          <w:szCs w:val="20"/>
        </w:rPr>
        <w:t>improving air quality that considers the health impacts of air pollution, emission abatement, exposure-reduction and costs</w:t>
      </w:r>
      <w:r w:rsidR="00E12CD8" w:rsidRPr="005060E0">
        <w:rPr>
          <w:szCs w:val="20"/>
        </w:rPr>
        <w:t>,</w:t>
      </w:r>
      <w:r w:rsidR="008B2B8E" w:rsidRPr="005060E0">
        <w:rPr>
          <w:szCs w:val="20"/>
        </w:rPr>
        <w:t xml:space="preserve"> will maximise the net benefit to the Australian community.</w:t>
      </w:r>
    </w:p>
    <w:p w14:paraId="6B88DAF6" w14:textId="3CBCAC73" w:rsidR="006B7BFA" w:rsidRPr="005060E0" w:rsidRDefault="006B7BFA" w:rsidP="00762AAA">
      <w:pPr>
        <w:spacing w:after="160" w:line="276" w:lineRule="atLeast"/>
        <w:rPr>
          <w:szCs w:val="20"/>
        </w:rPr>
      </w:pPr>
      <w:r w:rsidRPr="005060E0">
        <w:rPr>
          <w:szCs w:val="20"/>
        </w:rPr>
        <w:t>The desired environmental outcome should reflect the desire to continuously improve air quality to minimise risk to the health of the Australian population.</w:t>
      </w:r>
      <w:r w:rsidR="00AB76BB" w:rsidRPr="005060E0">
        <w:rPr>
          <w:szCs w:val="20"/>
        </w:rPr>
        <w:t xml:space="preserve"> </w:t>
      </w:r>
      <w:r w:rsidR="00FF218D" w:rsidRPr="005060E0">
        <w:rPr>
          <w:szCs w:val="20"/>
        </w:rPr>
        <w:t xml:space="preserve">An </w:t>
      </w:r>
      <w:r w:rsidR="00E36CDD" w:rsidRPr="005060E0">
        <w:rPr>
          <w:szCs w:val="20"/>
        </w:rPr>
        <w:t>exposure</w:t>
      </w:r>
      <w:r w:rsidR="0011733C" w:rsidRPr="005060E0">
        <w:rPr>
          <w:szCs w:val="20"/>
        </w:rPr>
        <w:t>-</w:t>
      </w:r>
      <w:r w:rsidR="00E36CDD" w:rsidRPr="005060E0">
        <w:rPr>
          <w:szCs w:val="20"/>
        </w:rPr>
        <w:t xml:space="preserve">reduction approach in the AAQ NEPM </w:t>
      </w:r>
      <w:r w:rsidR="00FF218D" w:rsidRPr="005060E0">
        <w:rPr>
          <w:szCs w:val="20"/>
        </w:rPr>
        <w:t xml:space="preserve">which drives continuous improvement will complement </w:t>
      </w:r>
      <w:r w:rsidR="00AB76BB" w:rsidRPr="005060E0">
        <w:rPr>
          <w:szCs w:val="20"/>
        </w:rPr>
        <w:t xml:space="preserve">health-based standards that provide equitable protection </w:t>
      </w:r>
      <w:r w:rsidR="00E36CDD" w:rsidRPr="005060E0">
        <w:rPr>
          <w:szCs w:val="20"/>
        </w:rPr>
        <w:t>for all to reduce health impacts from these pollutants now and in the future.</w:t>
      </w:r>
    </w:p>
    <w:p w14:paraId="1DE9CD1B" w14:textId="7A5319A2" w:rsidR="006B7BFA" w:rsidRPr="005060E0" w:rsidRDefault="004B7BB7" w:rsidP="00762AAA">
      <w:pPr>
        <w:spacing w:after="160" w:line="276" w:lineRule="atLeast"/>
      </w:pPr>
      <w:r w:rsidRPr="005060E0">
        <w:t xml:space="preserve">Issues for this </w:t>
      </w:r>
      <w:r w:rsidR="00DF05A9" w:rsidRPr="005060E0">
        <w:t>Impact Statement</w:t>
      </w:r>
      <w:r w:rsidR="006B7BFA" w:rsidRPr="005060E0">
        <w:t xml:space="preserve"> </w:t>
      </w:r>
      <w:r w:rsidRPr="005060E0">
        <w:t>included how the desired outcome of the NEPM would be affected by recent health evidence, how to set standards that meet the desired environmental outcome of the AAQ</w:t>
      </w:r>
      <w:r w:rsidR="0062453C" w:rsidRPr="005060E0">
        <w:t> </w:t>
      </w:r>
      <w:r w:rsidRPr="005060E0">
        <w:t>NEPM (i.e. how to achieve adequate protection), and how achievable any alternative standards would be.</w:t>
      </w:r>
    </w:p>
    <w:p w14:paraId="2683130A" w14:textId="77777777" w:rsidR="00C72106" w:rsidRPr="005060E0" w:rsidRDefault="00C72106" w:rsidP="00762AAA">
      <w:pPr>
        <w:pStyle w:val="Heading2"/>
        <w:spacing w:before="320" w:after="200"/>
      </w:pPr>
      <w:bookmarkStart w:id="88" w:name="_Toc3278950"/>
      <w:r w:rsidRPr="005060E0">
        <w:t>Recommendations</w:t>
      </w:r>
      <w:bookmarkEnd w:id="88"/>
    </w:p>
    <w:p w14:paraId="4709CDF3" w14:textId="0C41B1FA" w:rsidR="00EA23F1" w:rsidRPr="005060E0" w:rsidRDefault="00C72106" w:rsidP="00762AAA">
      <w:pPr>
        <w:spacing w:after="240" w:line="276" w:lineRule="atLeast"/>
        <w:rPr>
          <w:szCs w:val="20"/>
        </w:rPr>
      </w:pPr>
      <w:r w:rsidRPr="005060E0">
        <w:rPr>
          <w:szCs w:val="20"/>
        </w:rPr>
        <w:t xml:space="preserve">On the basis of this </w:t>
      </w:r>
      <w:r w:rsidR="00DF05A9" w:rsidRPr="005060E0">
        <w:rPr>
          <w:szCs w:val="20"/>
        </w:rPr>
        <w:t>Impact Statement</w:t>
      </w:r>
      <w:r w:rsidRPr="005060E0">
        <w:rPr>
          <w:szCs w:val="20"/>
        </w:rPr>
        <w:t xml:space="preserve">, </w:t>
      </w:r>
      <w:r w:rsidR="0062453C" w:rsidRPr="005060E0">
        <w:rPr>
          <w:szCs w:val="20"/>
        </w:rPr>
        <w:t xml:space="preserve">the </w:t>
      </w:r>
      <w:r w:rsidR="00EA23F1" w:rsidRPr="005060E0">
        <w:rPr>
          <w:szCs w:val="20"/>
        </w:rPr>
        <w:t>reco</w:t>
      </w:r>
      <w:r w:rsidRPr="005060E0">
        <w:rPr>
          <w:szCs w:val="20"/>
        </w:rPr>
        <w:t>mmendations below are made</w:t>
      </w:r>
      <w:r w:rsidR="00EA23F1" w:rsidRPr="005060E0">
        <w:rPr>
          <w:szCs w:val="20"/>
        </w:rPr>
        <w:t xml:space="preserve"> to ensure that the desired environmental outcome </w:t>
      </w:r>
      <w:r w:rsidRPr="005060E0">
        <w:rPr>
          <w:szCs w:val="20"/>
        </w:rPr>
        <w:t>and goal of the AAQ NEPM are</w:t>
      </w:r>
      <w:r w:rsidR="00EA23F1" w:rsidRPr="005060E0">
        <w:rPr>
          <w:szCs w:val="20"/>
        </w:rPr>
        <w:t xml:space="preserve"> achieved</w:t>
      </w:r>
      <w:r w:rsidRPr="005060E0">
        <w:rPr>
          <w:szCs w:val="20"/>
        </w:rPr>
        <w:t>.</w:t>
      </w:r>
      <w:r w:rsidR="00EA23F1" w:rsidRPr="005060E0">
        <w:rPr>
          <w:szCs w:val="20"/>
        </w:rPr>
        <w:t xml:space="preserve"> </w:t>
      </w:r>
      <w:r w:rsidRPr="005060E0">
        <w:rPr>
          <w:szCs w:val="20"/>
        </w:rPr>
        <w:t>These recommendations should be implemented in combination with revised air quality standards for SO</w:t>
      </w:r>
      <w:r w:rsidRPr="005060E0">
        <w:rPr>
          <w:szCs w:val="20"/>
          <w:vertAlign w:val="subscript"/>
        </w:rPr>
        <w:t>2</w:t>
      </w:r>
      <w:r w:rsidRPr="005060E0">
        <w:rPr>
          <w:szCs w:val="20"/>
        </w:rPr>
        <w:t>, NO</w:t>
      </w:r>
      <w:r w:rsidRPr="005060E0">
        <w:rPr>
          <w:szCs w:val="20"/>
          <w:vertAlign w:val="subscript"/>
        </w:rPr>
        <w:t>2</w:t>
      </w:r>
      <w:r w:rsidRPr="005060E0">
        <w:rPr>
          <w:szCs w:val="20"/>
        </w:rPr>
        <w:t xml:space="preserve"> and O</w:t>
      </w:r>
      <w:r w:rsidRPr="005060E0">
        <w:rPr>
          <w:szCs w:val="20"/>
          <w:vertAlign w:val="subscript"/>
        </w:rPr>
        <w:t>3</w:t>
      </w:r>
      <w:r w:rsidRPr="005060E0">
        <w:rPr>
          <w:szCs w:val="20"/>
        </w:rPr>
        <w:t xml:space="preserve">, as discussed in Chapters 6, 7 and 8 of the </w:t>
      </w:r>
      <w:r w:rsidR="00DF05A9" w:rsidRPr="005060E0">
        <w:rPr>
          <w:szCs w:val="20"/>
        </w:rPr>
        <w:t>Impact Statement</w:t>
      </w:r>
      <w:r w:rsidRPr="005060E0">
        <w:rPr>
          <w:szCs w:val="20"/>
        </w:rPr>
        <w:t>.</w:t>
      </w:r>
    </w:p>
    <w:p w14:paraId="3A5AD22D" w14:textId="05AC7953" w:rsidR="009A2194" w:rsidRPr="005060E0" w:rsidRDefault="008B2B8E" w:rsidP="00B96B27">
      <w:pPr>
        <w:spacing w:after="360" w:line="259" w:lineRule="auto"/>
      </w:pPr>
      <w:r w:rsidRPr="005060E0">
        <w:rPr>
          <w:rFonts w:asciiTheme="minorHAnsi" w:hAnsiTheme="minorHAnsi" w:cstheme="minorHAnsi"/>
          <w:noProof/>
          <w:szCs w:val="20"/>
          <w:lang w:eastAsia="en-AU"/>
        </w:rPr>
        <mc:AlternateContent>
          <mc:Choice Requires="wps">
            <w:drawing>
              <wp:inline distT="0" distB="0" distL="0" distR="0" wp14:anchorId="0C42A80D" wp14:editId="5E198A13">
                <wp:extent cx="6086475" cy="1144987"/>
                <wp:effectExtent l="0" t="0" r="28575" b="17145"/>
                <wp:docPr id="677" name="Text Box 677"/>
                <wp:cNvGraphicFramePr/>
                <a:graphic xmlns:a="http://schemas.openxmlformats.org/drawingml/2006/main">
                  <a:graphicData uri="http://schemas.microsoft.com/office/word/2010/wordprocessingShape">
                    <wps:wsp>
                      <wps:cNvSpPr txBox="1"/>
                      <wps:spPr>
                        <a:xfrm>
                          <a:off x="0" y="0"/>
                          <a:ext cx="6086475" cy="1144987"/>
                        </a:xfrm>
                        <a:prstGeom prst="rect">
                          <a:avLst/>
                        </a:prstGeom>
                        <a:solidFill>
                          <a:schemeClr val="tx2">
                            <a:lumMod val="20000"/>
                            <a:lumOff val="80000"/>
                          </a:schemeClr>
                        </a:solidFill>
                        <a:ln w="6350">
                          <a:solidFill>
                            <a:schemeClr val="tx2">
                              <a:lumMod val="40000"/>
                              <a:lumOff val="60000"/>
                            </a:schemeClr>
                          </a:solidFill>
                        </a:ln>
                      </wps:spPr>
                      <wps:txbx>
                        <w:txbxContent>
                          <w:p w14:paraId="1816382A" w14:textId="5B02C54F" w:rsidR="00B246FA" w:rsidRPr="00C14F6B" w:rsidRDefault="00B246FA" w:rsidP="008B2B8E">
                            <w:pPr>
                              <w:pStyle w:val="ListBullet"/>
                              <w:numPr>
                                <w:ilvl w:val="0"/>
                                <w:numId w:val="0"/>
                              </w:numPr>
                              <w:spacing w:after="120"/>
                            </w:pPr>
                            <w:r>
                              <w:rPr>
                                <w:b/>
                              </w:rPr>
                              <w:t>Recommendation 1</w:t>
                            </w:r>
                            <w:r w:rsidRPr="00C14F6B">
                              <w:rPr>
                                <w:b/>
                              </w:rPr>
                              <w:t>:</w:t>
                            </w:r>
                            <w:r>
                              <w:t xml:space="preserve"> T</w:t>
                            </w:r>
                            <w:r w:rsidRPr="00997D14">
                              <w:t xml:space="preserve">he desired environmental outcome of the </w:t>
                            </w:r>
                            <w:r>
                              <w:t xml:space="preserve">AAQ </w:t>
                            </w:r>
                            <w:r w:rsidRPr="00997D14">
                              <w:t xml:space="preserve">NEPM </w:t>
                            </w:r>
                            <w:r>
                              <w:t xml:space="preserve">should be revised </w:t>
                            </w:r>
                            <w:r w:rsidRPr="00997D14">
                              <w:t>to ‘mini</w:t>
                            </w:r>
                            <w:r>
                              <w:t>mise the risk of</w:t>
                            </w:r>
                            <w:r w:rsidRPr="00997D14">
                              <w:t xml:space="preserve"> adverse health impacts from exposure to air pollution for all people</w:t>
                            </w:r>
                            <w:r>
                              <w:t>,</w:t>
                            </w:r>
                            <w:r w:rsidRPr="00997D14">
                              <w:t xml:space="preserve"> wherever they may live’.</w:t>
                            </w:r>
                          </w:p>
                          <w:p w14:paraId="27756652" w14:textId="799C9DB4" w:rsidR="00B246FA" w:rsidRDefault="00B246FA" w:rsidP="008B2B8E">
                            <w:pPr>
                              <w:pStyle w:val="ListBullet"/>
                              <w:numPr>
                                <w:ilvl w:val="0"/>
                                <w:numId w:val="0"/>
                              </w:numPr>
                              <w:spacing w:after="120"/>
                            </w:pPr>
                            <w:r>
                              <w:rPr>
                                <w:b/>
                              </w:rPr>
                              <w:t>Recommendation 2</w:t>
                            </w:r>
                            <w:r w:rsidRPr="00C14F6B">
                              <w:rPr>
                                <w:b/>
                              </w:rPr>
                              <w:t>:</w:t>
                            </w:r>
                            <w:r>
                              <w:t xml:space="preserve"> The </w:t>
                            </w:r>
                            <w:r w:rsidRPr="00997D14">
                              <w:t>goal</w:t>
                            </w:r>
                            <w:r>
                              <w:t xml:space="preserve"> of the AAQ NEPM should be revised</w:t>
                            </w:r>
                            <w:r w:rsidRPr="00997D14">
                              <w:t xml:space="preserve"> to make reference to the air quality standard</w:t>
                            </w:r>
                            <w:r>
                              <w:t>s and incorporation of exposure-</w:t>
                            </w:r>
                            <w:r w:rsidRPr="00997D14">
                              <w:t>reduction targets for priority pollutants.</w:t>
                            </w:r>
                          </w:p>
                          <w:p w14:paraId="739BEF62" w14:textId="77777777" w:rsidR="00B246FA" w:rsidRPr="005C5ED4" w:rsidRDefault="00B246FA" w:rsidP="008B2B8E">
                            <w:pPr>
                              <w:pStyle w:val="ListBullet"/>
                              <w:numPr>
                                <w:ilvl w:val="0"/>
                                <w:numId w:val="0"/>
                              </w:numPr>
                              <w:spacing w:after="1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42A80D" id="Text Box 677" o:spid="_x0000_s1032" type="#_x0000_t202" style="width:479.25pt;height:9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0tYcgIAACMFAAAOAAAAZHJzL2Uyb0RvYy54bWysVMtu2zAQvBfoPxC8N5Jdx3aEyIGbIEWB&#10;NAngFDnTFBUL4KskbSn9+g4py3HSx6HoRSJ3l7PcnVmeX3RKkp1wvjG6pKOTnBKhuaka/VTSbw/X&#10;H+aU+MB0xaTRoqTPwtOLxft3560txNhsjKyEIwDRvmhtSTch2CLLPN8IxfyJsULDWRunWMDWPWWV&#10;Yy3QlczGeT7NWuMq6wwX3sN61TvpIuHXteDhrq69CESWFHcL6evSdx2/2eKcFU+O2U3D99dg/3AL&#10;xRqNpAeoKxYY2brmFyjVcGe8qcMJNyozdd1wkWpANaP8TTWrDbMi1YLmeHtok/9/sPx2d+9IU5V0&#10;OptRopkCSQ+iC+ST6Ui0oUOt9QUCVxahoYMDTA92D2MsvKudin+UROBHr58P/Y1wHMZpPp9OZqeU&#10;cPhGo8nkbJ7ws5fj1vnwWRhF4qKkDgSmvrLdjQ+4CkKHkJjNG9lU142UaRNFIy6lIzsGukM3Tkfl&#10;Vn01VW+DZPI96TBDGr15PpgBn6QXUVKyVwmkJi2q+HiaJ+BXvsOxPyefDFlYcZx8Opj/lhw+qXGj&#10;SEXf8rgK3brryRvoWJvqGSw50yvdW37doJM3zId75iBtEINxDXf41NKgHLNfUbIx7sfv7DEeioOX&#10;khajUlL/fcucoER+0dDiGZiMs5U2k9PZGBt37Fkfe/RWXRrQM8LDYHlaxvggh2XtjHrEVC9jVriY&#10;5sgNPoflZegHGK8CF8tlCsI0WRZu9MryCB3lEHXy0D0yZ/diCtDhrRmGihVvNNXHxpPaLLfB1E0S&#10;XOxz39V9+zGJSRr7VyOO+vE+Rb28bYufAAAA//8DAFBLAwQUAAYACAAAACEAJwdYYNwAAAAFAQAA&#10;DwAAAGRycy9kb3ducmV2LnhtbEyPzU7DMBCE70i8g7VI3KhNUVCaxqn4KXCmLaK9beMliRqvo9hp&#10;07fHcIHLSKsZzXybL0bbiiP1vnGs4XaiQBCXzjRcadisX25SED4gG2wdk4YzeVgUlxc5Zsad+J2O&#10;q1CJWMI+Qw11CF0mpS9rsugnriOO3pfrLYZ49pU0PZ5iuW3lVKl7abHhuFBjR081lYfVYDU80sdh&#10;lyhcvm6nm/Pzevm5G2ZvWl9fjQ9zEIHG8BeGH/yIDkVk2ruBjRethvhI+NXozZI0AbGPoVTdgSxy&#10;+Z+++AYAAP//AwBQSwECLQAUAAYACAAAACEAtoM4kv4AAADhAQAAEwAAAAAAAAAAAAAAAAAAAAAA&#10;W0NvbnRlbnRfVHlwZXNdLnhtbFBLAQItABQABgAIAAAAIQA4/SH/1gAAAJQBAAALAAAAAAAAAAAA&#10;AAAAAC8BAABfcmVscy8ucmVsc1BLAQItABQABgAIAAAAIQBtF0tYcgIAACMFAAAOAAAAAAAAAAAA&#10;AAAAAC4CAABkcnMvZTJvRG9jLnhtbFBLAQItABQABgAIAAAAIQAnB1hg3AAAAAUBAAAPAAAAAAAA&#10;AAAAAAAAAMwEAABkcnMvZG93bnJldi54bWxQSwUGAAAAAAQABADzAAAA1QUAAAAA&#10;" fillcolor="#dedfe3 [671]" strokecolor="#bdbfc8 [1311]" strokeweight=".5pt">
                <v:textbox>
                  <w:txbxContent>
                    <w:p w14:paraId="1816382A" w14:textId="5B02C54F" w:rsidR="00B246FA" w:rsidRPr="00C14F6B" w:rsidRDefault="00B246FA" w:rsidP="008B2B8E">
                      <w:pPr>
                        <w:pStyle w:val="ListBullet"/>
                        <w:numPr>
                          <w:ilvl w:val="0"/>
                          <w:numId w:val="0"/>
                        </w:numPr>
                        <w:spacing w:after="120"/>
                      </w:pPr>
                      <w:r>
                        <w:rPr>
                          <w:b/>
                        </w:rPr>
                        <w:t>Recommendation 1</w:t>
                      </w:r>
                      <w:r w:rsidRPr="00C14F6B">
                        <w:rPr>
                          <w:b/>
                        </w:rPr>
                        <w:t>:</w:t>
                      </w:r>
                      <w:r>
                        <w:t xml:space="preserve"> T</w:t>
                      </w:r>
                      <w:r w:rsidRPr="00997D14">
                        <w:t xml:space="preserve">he desired environmental outcome of the </w:t>
                      </w:r>
                      <w:r>
                        <w:t xml:space="preserve">AAQ </w:t>
                      </w:r>
                      <w:r w:rsidRPr="00997D14">
                        <w:t xml:space="preserve">NEPM </w:t>
                      </w:r>
                      <w:r>
                        <w:t xml:space="preserve">should be revised </w:t>
                      </w:r>
                      <w:r w:rsidRPr="00997D14">
                        <w:t>to ‘mini</w:t>
                      </w:r>
                      <w:r>
                        <w:t>mise the risk of</w:t>
                      </w:r>
                      <w:r w:rsidRPr="00997D14">
                        <w:t xml:space="preserve"> adverse health impacts from exposure to air pollution for all people</w:t>
                      </w:r>
                      <w:r>
                        <w:t>,</w:t>
                      </w:r>
                      <w:r w:rsidRPr="00997D14">
                        <w:t xml:space="preserve"> wherever they may live’.</w:t>
                      </w:r>
                    </w:p>
                    <w:p w14:paraId="27756652" w14:textId="799C9DB4" w:rsidR="00B246FA" w:rsidRDefault="00B246FA" w:rsidP="008B2B8E">
                      <w:pPr>
                        <w:pStyle w:val="ListBullet"/>
                        <w:numPr>
                          <w:ilvl w:val="0"/>
                          <w:numId w:val="0"/>
                        </w:numPr>
                        <w:spacing w:after="120"/>
                      </w:pPr>
                      <w:r>
                        <w:rPr>
                          <w:b/>
                        </w:rPr>
                        <w:t>Recommendation 2</w:t>
                      </w:r>
                      <w:r w:rsidRPr="00C14F6B">
                        <w:rPr>
                          <w:b/>
                        </w:rPr>
                        <w:t>:</w:t>
                      </w:r>
                      <w:r>
                        <w:t xml:space="preserve"> The </w:t>
                      </w:r>
                      <w:r w:rsidRPr="00997D14">
                        <w:t>goal</w:t>
                      </w:r>
                      <w:r>
                        <w:t xml:space="preserve"> of the AAQ NEPM should be revised</w:t>
                      </w:r>
                      <w:r w:rsidRPr="00997D14">
                        <w:t xml:space="preserve"> to make reference to the air quality standard</w:t>
                      </w:r>
                      <w:r>
                        <w:t>s and incorporation of exposure-</w:t>
                      </w:r>
                      <w:r w:rsidRPr="00997D14">
                        <w:t>reduction targets for priority pollutants.</w:t>
                      </w:r>
                    </w:p>
                    <w:p w14:paraId="739BEF62" w14:textId="77777777" w:rsidR="00B246FA" w:rsidRPr="005C5ED4" w:rsidRDefault="00B246FA" w:rsidP="008B2B8E">
                      <w:pPr>
                        <w:pStyle w:val="ListBullet"/>
                        <w:numPr>
                          <w:ilvl w:val="0"/>
                          <w:numId w:val="0"/>
                        </w:numPr>
                        <w:spacing w:after="120"/>
                      </w:pPr>
                    </w:p>
                  </w:txbxContent>
                </v:textbox>
                <w10:anchorlock/>
              </v:shape>
            </w:pict>
          </mc:Fallback>
        </mc:AlternateContent>
      </w:r>
    </w:p>
    <w:p w14:paraId="13D50D53" w14:textId="5D28C843" w:rsidR="00073E64" w:rsidRPr="005060E0" w:rsidRDefault="00073E64" w:rsidP="00762AAA">
      <w:pPr>
        <w:spacing w:after="240" w:line="276" w:lineRule="atLeast"/>
      </w:pPr>
      <w:r w:rsidRPr="005060E0">
        <w:rPr>
          <w:noProof/>
          <w:lang w:eastAsia="en-AU"/>
        </w:rPr>
        <mc:AlternateContent>
          <mc:Choice Requires="wps">
            <w:drawing>
              <wp:inline distT="0" distB="0" distL="0" distR="0" wp14:anchorId="79FBA95B" wp14:editId="5F674B18">
                <wp:extent cx="6080125" cy="2226365"/>
                <wp:effectExtent l="0" t="0" r="15875" b="21590"/>
                <wp:docPr id="458" name="Text Box 458"/>
                <wp:cNvGraphicFramePr/>
                <a:graphic xmlns:a="http://schemas.openxmlformats.org/drawingml/2006/main">
                  <a:graphicData uri="http://schemas.microsoft.com/office/word/2010/wordprocessingShape">
                    <wps:wsp>
                      <wps:cNvSpPr txBox="1"/>
                      <wps:spPr>
                        <a:xfrm>
                          <a:off x="0" y="0"/>
                          <a:ext cx="6080125" cy="2226365"/>
                        </a:xfrm>
                        <a:prstGeom prst="rect">
                          <a:avLst/>
                        </a:prstGeom>
                        <a:ln>
                          <a:solidFill>
                            <a:schemeClr val="accent1">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2D325418" w14:textId="4D07BC26" w:rsidR="00B246FA" w:rsidRDefault="00B246FA" w:rsidP="00762AAA">
                            <w:pPr>
                              <w:spacing w:after="160"/>
                              <w:rPr>
                                <w:b/>
                                <w:sz w:val="24"/>
                              </w:rPr>
                            </w:pPr>
                            <w:r w:rsidRPr="00964CD3">
                              <w:rPr>
                                <w:b/>
                                <w:sz w:val="24"/>
                              </w:rPr>
                              <w:t xml:space="preserve">Chapter </w:t>
                            </w:r>
                            <w:r>
                              <w:rPr>
                                <w:b/>
                                <w:sz w:val="24"/>
                              </w:rPr>
                              <w:t>5</w:t>
                            </w:r>
                            <w:r w:rsidRPr="00964CD3">
                              <w:rPr>
                                <w:b/>
                                <w:sz w:val="24"/>
                              </w:rPr>
                              <w:t xml:space="preserve"> – Key </w:t>
                            </w:r>
                            <w:r>
                              <w:rPr>
                                <w:b/>
                                <w:sz w:val="24"/>
                              </w:rPr>
                              <w:t>p</w:t>
                            </w:r>
                            <w:r w:rsidRPr="00964CD3">
                              <w:rPr>
                                <w:b/>
                                <w:sz w:val="24"/>
                              </w:rPr>
                              <w:t>oints</w:t>
                            </w:r>
                          </w:p>
                          <w:p w14:paraId="5DD1F1D7" w14:textId="5E3FC902" w:rsidR="00B246FA" w:rsidRDefault="00B246FA" w:rsidP="00762AAA">
                            <w:pPr>
                              <w:numPr>
                                <w:ilvl w:val="0"/>
                                <w:numId w:val="78"/>
                              </w:numPr>
                              <w:spacing w:after="140" w:line="276" w:lineRule="atLeast"/>
                              <w:ind w:left="714" w:hanging="357"/>
                            </w:pPr>
                            <w:r>
                              <w:t>The AAQ NEPM review (NEPC 2011a) recommended changes to the desired environmental outcome and goal of the AAQ NEPM to acknowledge the health risks associated with air pollutant exposure and consider environmental justice principles.</w:t>
                            </w:r>
                          </w:p>
                          <w:p w14:paraId="5A379B59" w14:textId="29370606" w:rsidR="00B246FA" w:rsidRDefault="00B246FA" w:rsidP="00762AAA">
                            <w:pPr>
                              <w:numPr>
                                <w:ilvl w:val="0"/>
                                <w:numId w:val="78"/>
                              </w:numPr>
                              <w:spacing w:after="140" w:line="276" w:lineRule="atLeast"/>
                              <w:ind w:left="714" w:hanging="357"/>
                            </w:pPr>
                            <w:r>
                              <w:t>The recommended environmental outcome of the AAQ NEPM is consistent with the AAQ NEPM review (2011), which is ‘ambient air quality that allows for the adequate protection of human health and wellbeing’.</w:t>
                            </w:r>
                          </w:p>
                          <w:p w14:paraId="712464B9" w14:textId="3EEEEADF" w:rsidR="00B246FA" w:rsidRPr="00964CD3" w:rsidRDefault="00B246FA" w:rsidP="00762AAA">
                            <w:pPr>
                              <w:numPr>
                                <w:ilvl w:val="0"/>
                                <w:numId w:val="78"/>
                              </w:numPr>
                              <w:spacing w:after="140" w:line="276" w:lineRule="atLeast"/>
                              <w:ind w:left="714" w:hanging="357"/>
                            </w:pPr>
                            <w:r>
                              <w:t>The recommended environmental goal of the AAQ NEPM is also consistent with the AAQ NEPM review (2011), which is to achieve the specified air quality standards and, in the case of PM</w:t>
                            </w:r>
                            <w:r w:rsidRPr="00964CD3">
                              <w:rPr>
                                <w:vertAlign w:val="subscript"/>
                              </w:rPr>
                              <w:t>2.5</w:t>
                            </w:r>
                            <w:r>
                              <w:t xml:space="preserve">, to achieve (by 2025) further reductions in maximum concentrations.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FBA95B" id="Text Box 458" o:spid="_x0000_s1033" type="#_x0000_t202" style="width:478.75pt;height:17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vatpgIAAK8FAAAOAAAAZHJzL2Uyb0RvYy54bWysVFtv0zAUfkfiP1h+Z0lDW0a1dCqbhpDG&#10;NrGhPbuOvUbYPsZ225Rfz7GdZNWYhITIg2Of++U75+y804rshPMtmJpOTkpKhOHQtOappt8frt6d&#10;UuIDMw1TYERND8LT8+XbN2d7uxAVbEA1whE0Yvxib2u6CcEuisLzjdDMn4AVBpkSnGYBn+6paBzb&#10;o3Wtiqos58UeXGMdcOE9Ui8zky6TfSkFD7dSehGIqinGFtLp0rmOZ7E8Y4snx+ym5X0Y7B+i0Kw1&#10;6HQ0dckCI1vX/mFKt9yBBxlOOOgCpGy5SDlgNpPyRTb3G2ZFygWL4+1YJv//zPKb3Z0jbVPT6Qxb&#10;ZZjGJj2ILpBP0JFIwwrtrV+g4L1F0dAhAzs90D0SY+KddDr+MSWCfKz1YaxvNMeROC9Py0k1o4Qj&#10;r6qq+fv5LNopntWt8+GzAE3ipaYOG5jqynbXPmTRQSR6UyaeHlTbXLVKpUeEjrhQjuwYNp1xLkyY&#10;JCNqq79Ck+nzEr/cfiQjSDJ5OpAxpgTCaClFeOQEedFxEeuS80+3cFAiB/VNSKwpZlwlv6Oh45Dm&#10;febKoHRUk5jAqJgDfqGoMI9cg142qomE8lGx/LvHUSN5BRNGZd0acK8ZaH6MnrP8kH3OOaYfunWX&#10;gPQhxhgpa2gOiBgHeeq85VctdvWa+XDHHI4ZggRXR7jFQyrY1xT6GyUbcL9eo0d5RD9yKdnj2NbU&#10;/9wyJyhRXwzOxcfJdBrnPD2msw8VPtwxZ33MMVt9AQiSCS4py9M1ygc1XKUD/YgbZhW9IosZjr5r&#10;GobrRcjLBDcUF6tVEsLJtixcm3vLo+lY5YjZh+6ROdsDO+BM3MAw4GzxAt9ZNmoaWG0DyDaB/7mq&#10;ff1xKyRw9hssrp3jd5J63rPL3wAAAP//AwBQSwMEFAAGAAgAAAAhAEGxQ6/cAAAABQEAAA8AAABk&#10;cnMvZG93bnJldi54bWxMj09LAzEQxe+C3yGM4M1mVbbadbOl+AcEsdBa79PNdDeYTJYkbbff3uhF&#10;Lw+GN7z3e/V8dFYcKETjWcH1pABB3HptuFOw+Xi5ugcRE7JG65kUnCjCvDk/q7HS/sgrOqxTJ3II&#10;xwoV9CkNlZSx7clhnPiBOHs7HxymfIZO6oDHHO6svCmKqXRoODf0ONBjT+3Xeu9yyal9W8x2n/Yd&#10;N6tgXs3yyT8vlbq8GBcPIBKN6e8ZfvAzOjSZaev3rKOwCvKQ9KvZm5V3JYitgtuymIJsavmfvvkG&#10;AAD//wMAUEsBAi0AFAAGAAgAAAAhALaDOJL+AAAA4QEAABMAAAAAAAAAAAAAAAAAAAAAAFtDb250&#10;ZW50X1R5cGVzXS54bWxQSwECLQAUAAYACAAAACEAOP0h/9YAAACUAQAACwAAAAAAAAAAAAAAAAAv&#10;AQAAX3JlbHMvLnJlbHNQSwECLQAUAAYACAAAACEArK72raYCAACvBQAADgAAAAAAAAAAAAAAAAAu&#10;AgAAZHJzL2Uyb0RvYy54bWxQSwECLQAUAAYACAAAACEAQbFDr9wAAAAFAQAADwAAAAAAAAAAAAAA&#10;AAAABQAAZHJzL2Rvd25yZXYueG1sUEsFBgAAAAAEAAQA8wAAAAkGAAAAAA==&#10;" fillcolor="white [3201]" strokecolor="#40b4ff [1940]" strokeweight="2pt">
                <v:textbox>
                  <w:txbxContent>
                    <w:p w14:paraId="2D325418" w14:textId="4D07BC26" w:rsidR="00B246FA" w:rsidRDefault="00B246FA" w:rsidP="00762AAA">
                      <w:pPr>
                        <w:spacing w:after="160"/>
                        <w:rPr>
                          <w:b/>
                          <w:sz w:val="24"/>
                        </w:rPr>
                      </w:pPr>
                      <w:r w:rsidRPr="00964CD3">
                        <w:rPr>
                          <w:b/>
                          <w:sz w:val="24"/>
                        </w:rPr>
                        <w:t xml:space="preserve">Chapter </w:t>
                      </w:r>
                      <w:r>
                        <w:rPr>
                          <w:b/>
                          <w:sz w:val="24"/>
                        </w:rPr>
                        <w:t>5</w:t>
                      </w:r>
                      <w:r w:rsidRPr="00964CD3">
                        <w:rPr>
                          <w:b/>
                          <w:sz w:val="24"/>
                        </w:rPr>
                        <w:t xml:space="preserve"> – Key </w:t>
                      </w:r>
                      <w:r>
                        <w:rPr>
                          <w:b/>
                          <w:sz w:val="24"/>
                        </w:rPr>
                        <w:t>p</w:t>
                      </w:r>
                      <w:r w:rsidRPr="00964CD3">
                        <w:rPr>
                          <w:b/>
                          <w:sz w:val="24"/>
                        </w:rPr>
                        <w:t>oints</w:t>
                      </w:r>
                    </w:p>
                    <w:p w14:paraId="5DD1F1D7" w14:textId="5E3FC902" w:rsidR="00B246FA" w:rsidRDefault="00B246FA" w:rsidP="00762AAA">
                      <w:pPr>
                        <w:numPr>
                          <w:ilvl w:val="0"/>
                          <w:numId w:val="78"/>
                        </w:numPr>
                        <w:spacing w:after="140" w:line="276" w:lineRule="atLeast"/>
                        <w:ind w:left="714" w:hanging="357"/>
                      </w:pPr>
                      <w:r>
                        <w:t>The AAQ NEPM review (NEPC 2011a) recommended changes to the desired environmental outcome and goal of the AAQ NEPM to acknowledge the health risks associated with air pollutant exposure and consider environmental justice principles.</w:t>
                      </w:r>
                    </w:p>
                    <w:p w14:paraId="5A379B59" w14:textId="29370606" w:rsidR="00B246FA" w:rsidRDefault="00B246FA" w:rsidP="00762AAA">
                      <w:pPr>
                        <w:numPr>
                          <w:ilvl w:val="0"/>
                          <w:numId w:val="78"/>
                        </w:numPr>
                        <w:spacing w:after="140" w:line="276" w:lineRule="atLeast"/>
                        <w:ind w:left="714" w:hanging="357"/>
                      </w:pPr>
                      <w:r>
                        <w:t>The recommended environmental outcome of the AAQ NEPM is consistent with the AAQ NEPM review (2011), which is ‘ambient air quality that allows for the adequate protection of human health and wellbeing’.</w:t>
                      </w:r>
                    </w:p>
                    <w:p w14:paraId="712464B9" w14:textId="3EEEEADF" w:rsidR="00B246FA" w:rsidRPr="00964CD3" w:rsidRDefault="00B246FA" w:rsidP="00762AAA">
                      <w:pPr>
                        <w:numPr>
                          <w:ilvl w:val="0"/>
                          <w:numId w:val="78"/>
                        </w:numPr>
                        <w:spacing w:after="140" w:line="276" w:lineRule="atLeast"/>
                        <w:ind w:left="714" w:hanging="357"/>
                      </w:pPr>
                      <w:r>
                        <w:t>The recommended environmental goal of the AAQ NEPM is also consistent with the AAQ NEPM review (2011), which is to achieve the specified air quality standards and, in the case of PM</w:t>
                      </w:r>
                      <w:r w:rsidRPr="00964CD3">
                        <w:rPr>
                          <w:vertAlign w:val="subscript"/>
                        </w:rPr>
                        <w:t>2.5</w:t>
                      </w:r>
                      <w:r>
                        <w:t xml:space="preserve">, to achieve (by 2025) further reductions in maximum concentrations. </w:t>
                      </w:r>
                    </w:p>
                  </w:txbxContent>
                </v:textbox>
                <w10:anchorlock/>
              </v:shape>
            </w:pict>
          </mc:Fallback>
        </mc:AlternateContent>
      </w:r>
    </w:p>
    <w:p w14:paraId="6A0FE9D5" w14:textId="6034CE17" w:rsidR="00762C3C" w:rsidRPr="005060E0" w:rsidRDefault="00073E64" w:rsidP="00B96B27">
      <w:pPr>
        <w:spacing w:after="160" w:line="240" w:lineRule="auto"/>
      </w:pPr>
      <w:r w:rsidRPr="005060E0">
        <w:rPr>
          <w:noProof/>
          <w:lang w:eastAsia="en-AU"/>
        </w:rPr>
        <mc:AlternateContent>
          <mc:Choice Requires="wps">
            <w:drawing>
              <wp:inline distT="0" distB="0" distL="0" distR="0" wp14:anchorId="0E8CC3F5" wp14:editId="542EC904">
                <wp:extent cx="6080166" cy="1463040"/>
                <wp:effectExtent l="0" t="0" r="15875" b="22860"/>
                <wp:docPr id="459" name="Text Box 459"/>
                <wp:cNvGraphicFramePr/>
                <a:graphic xmlns:a="http://schemas.openxmlformats.org/drawingml/2006/main">
                  <a:graphicData uri="http://schemas.microsoft.com/office/word/2010/wordprocessingShape">
                    <wps:wsp>
                      <wps:cNvSpPr txBox="1"/>
                      <wps:spPr>
                        <a:xfrm>
                          <a:off x="0" y="0"/>
                          <a:ext cx="6080166" cy="14630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0A52AD8" w14:textId="6EB54CEB" w:rsidR="00B246FA" w:rsidRDefault="00B246FA" w:rsidP="00762AAA">
                            <w:pPr>
                              <w:spacing w:after="160"/>
                              <w:rPr>
                                <w:b/>
                                <w:sz w:val="24"/>
                              </w:rPr>
                            </w:pPr>
                            <w:r w:rsidRPr="00964CD3">
                              <w:rPr>
                                <w:b/>
                                <w:sz w:val="24"/>
                              </w:rPr>
                              <w:t xml:space="preserve">Chapter </w:t>
                            </w:r>
                            <w:r>
                              <w:rPr>
                                <w:b/>
                                <w:sz w:val="24"/>
                              </w:rPr>
                              <w:t>5</w:t>
                            </w:r>
                            <w:r w:rsidRPr="00964CD3">
                              <w:rPr>
                                <w:b/>
                                <w:sz w:val="24"/>
                              </w:rPr>
                              <w:t xml:space="preserve"> – Consultation </w:t>
                            </w:r>
                            <w:r>
                              <w:rPr>
                                <w:b/>
                                <w:sz w:val="24"/>
                              </w:rPr>
                              <w:t>q</w:t>
                            </w:r>
                            <w:r w:rsidRPr="00964CD3">
                              <w:rPr>
                                <w:b/>
                                <w:sz w:val="24"/>
                              </w:rPr>
                              <w:t>uestions</w:t>
                            </w:r>
                          </w:p>
                          <w:p w14:paraId="4C9FE3A0" w14:textId="3C54C064" w:rsidR="00B246FA" w:rsidRPr="00073E64" w:rsidRDefault="00B246FA" w:rsidP="00762AAA">
                            <w:pPr>
                              <w:pStyle w:val="ListParagraph"/>
                              <w:numPr>
                                <w:ilvl w:val="0"/>
                                <w:numId w:val="71"/>
                              </w:numPr>
                              <w:spacing w:after="140" w:line="276" w:lineRule="atLeast"/>
                              <w:ind w:left="714" w:hanging="357"/>
                              <w:contextualSpacing w:val="0"/>
                            </w:pPr>
                            <w:r w:rsidRPr="00073E64">
                              <w:t>Do you support the desired environmental outcome of the AAQ NEPM be</w:t>
                            </w:r>
                            <w:r>
                              <w:t>ing</w:t>
                            </w:r>
                            <w:r w:rsidRPr="00073E64">
                              <w:t xml:space="preserve"> revised to ‘minimise the risk of adverse health impacts from exposure to air pollution for all people, wherever they may live’?</w:t>
                            </w:r>
                          </w:p>
                          <w:p w14:paraId="48B6D82C" w14:textId="47E82E27" w:rsidR="00B246FA" w:rsidRPr="00964CD3" w:rsidRDefault="00B246FA" w:rsidP="00762AAA">
                            <w:pPr>
                              <w:pStyle w:val="ListParagraph"/>
                              <w:numPr>
                                <w:ilvl w:val="0"/>
                                <w:numId w:val="71"/>
                              </w:numPr>
                              <w:spacing w:after="140" w:line="276" w:lineRule="atLeast"/>
                              <w:ind w:left="714" w:hanging="357"/>
                              <w:contextualSpacing w:val="0"/>
                            </w:pPr>
                            <w:r w:rsidRPr="00073E64">
                              <w:t>Do you support the goal of the AAQ NEPM be</w:t>
                            </w:r>
                            <w:r>
                              <w:t>ing</w:t>
                            </w:r>
                            <w:r w:rsidRPr="00073E64">
                              <w:t xml:space="preserve"> revised to make reference to the air quality standards and incorporation of exposure-reduction targets for priority pollutants?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8CC3F5" id="Text Box 459" o:spid="_x0000_s1034" type="#_x0000_t202" style="width:478.75pt;height:11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At0dwIAADcFAAAOAAAAZHJzL2Uyb0RvYy54bWysVN9P2zAQfp+0/8Hy+0jSla5UpKgDMU1C&#10;gAYTz65j02iOz7OvTbq/fmenCYz1adpLYt999/s7n190jWE75UMNtuTFSc6ZshKq2j6X/Pvj9Yc5&#10;ZwGFrYQBq0q+V4FfLN+/O2/dQk1gA6ZSnpETGxatK/kG0S2yLMiNakQ4AacsKTX4RiBd/XNWedGS&#10;98ZkkzyfZS34ynmQKgSSXvVKvkz+tVYS77QOCpkpOeWG6evTdx2/2fJcLJ69cJtaHtIQ/5BFI2pL&#10;QUdXVwIF2/r6L1dNLT0E0HgioclA61qqVANVU+RvqnnYCKdSLdSc4MY2hf/nVt7u7j2rq5JPT884&#10;s6KhIT2qDtln6FiUUYdaFxYEfHAExY4UNOlBHkgYC++0b+KfSmKkp17vx/5Gd5KEs3yeF7MZZ5J0&#10;xXT2MZ+mCWQv5s4H/KKgYfFQck8DTH0Vu5uAlApBB0iMZmyUxfz6PNIJ90b1ym9KU20UeZKcJFap&#10;S+PZThAfhJTKYqqE3BpL6Gima2NGw+KYoRmNDthophLbRsP8mOGfEUeLFBUsjsZNbcEfc1D9GNLV&#10;PX6ovq85lo/duksDnQ8jWkO1p8l56NkfnLyuqbs3IuC98ER3GhatMN7RRxtoSw6HE2cb8L+OySOe&#10;WEhazlpan5KHn1vhFWfmqyV+nhVTmi3DdJmefprQxb/WrF9r7La5BJpIQY+Fk+kY8WiGo/bQPNGm&#10;r2JUUgkrKXbJcTheYr/U9FJItVolEG2YE3hjH5yMrmOXI3ceuyfh3YFgSNy8hWHRxOINz3pstLSw&#10;2iLoOpEw9rnv6qH/tJ2Jm4eXJK7/63tCvbx3y98AAAD//wMAUEsDBBQABgAIAAAAIQCv00hm3AAA&#10;AAUBAAAPAAAAZHJzL2Rvd25yZXYueG1sTI/BbsIwEETvlfoP1lbqrdhAoTSNg1BUxK1SadWzE2+T&#10;iHgdxSaEv+/CpVxWGs1o5m26Hl0rBuxD40nDdKJAIJXeNlRp+P7aPq1AhGjImtYTajhjgHV2f5ea&#10;xPoTfeKwj5XgEgqJ0VDH2CVShrJGZ8LEd0js/fremciyr6TtzYnLXStnSi2lMw3xQm06zGssD/uj&#10;05CrfBuG3bRYnn1z+Fm900dX7rR+fBg3byAijvE/DBd8RoeMmQp/JBtEq4EfidfL3uviZQGi0DCb&#10;q2eQWSpv6bM/AAAA//8DAFBLAQItABQABgAIAAAAIQC2gziS/gAAAOEBAAATAAAAAAAAAAAAAAAA&#10;AAAAAABbQ29udGVudF9UeXBlc10ueG1sUEsBAi0AFAAGAAgAAAAhADj9If/WAAAAlAEAAAsAAAAA&#10;AAAAAAAAAAAALwEAAF9yZWxzLy5yZWxzUEsBAi0AFAAGAAgAAAAhAIXQC3R3AgAANwUAAA4AAAAA&#10;AAAAAAAAAAAALgIAAGRycy9lMm9Eb2MueG1sUEsBAi0AFAAGAAgAAAAhAK/TSGbcAAAABQEAAA8A&#10;AAAAAAAAAAAAAAAA0QQAAGRycy9kb3ducmV2LnhtbFBLBQYAAAAABAAEAPMAAADaBQAAAAA=&#10;" fillcolor="white [3201]" strokecolor="#0076c0 [3204]" strokeweight="2pt">
                <v:textbox>
                  <w:txbxContent>
                    <w:p w14:paraId="50A52AD8" w14:textId="6EB54CEB" w:rsidR="00B246FA" w:rsidRDefault="00B246FA" w:rsidP="00762AAA">
                      <w:pPr>
                        <w:spacing w:after="160"/>
                        <w:rPr>
                          <w:b/>
                          <w:sz w:val="24"/>
                        </w:rPr>
                      </w:pPr>
                      <w:r w:rsidRPr="00964CD3">
                        <w:rPr>
                          <w:b/>
                          <w:sz w:val="24"/>
                        </w:rPr>
                        <w:t xml:space="preserve">Chapter </w:t>
                      </w:r>
                      <w:r>
                        <w:rPr>
                          <w:b/>
                          <w:sz w:val="24"/>
                        </w:rPr>
                        <w:t>5</w:t>
                      </w:r>
                      <w:r w:rsidRPr="00964CD3">
                        <w:rPr>
                          <w:b/>
                          <w:sz w:val="24"/>
                        </w:rPr>
                        <w:t xml:space="preserve"> – Consultation </w:t>
                      </w:r>
                      <w:r>
                        <w:rPr>
                          <w:b/>
                          <w:sz w:val="24"/>
                        </w:rPr>
                        <w:t>q</w:t>
                      </w:r>
                      <w:r w:rsidRPr="00964CD3">
                        <w:rPr>
                          <w:b/>
                          <w:sz w:val="24"/>
                        </w:rPr>
                        <w:t>uestions</w:t>
                      </w:r>
                    </w:p>
                    <w:p w14:paraId="4C9FE3A0" w14:textId="3C54C064" w:rsidR="00B246FA" w:rsidRPr="00073E64" w:rsidRDefault="00B246FA" w:rsidP="00762AAA">
                      <w:pPr>
                        <w:pStyle w:val="ListParagraph"/>
                        <w:numPr>
                          <w:ilvl w:val="0"/>
                          <w:numId w:val="71"/>
                        </w:numPr>
                        <w:spacing w:after="140" w:line="276" w:lineRule="atLeast"/>
                        <w:ind w:left="714" w:hanging="357"/>
                        <w:contextualSpacing w:val="0"/>
                      </w:pPr>
                      <w:r w:rsidRPr="00073E64">
                        <w:t>Do you support the desired environmental outcome of the AAQ NEPM be</w:t>
                      </w:r>
                      <w:r>
                        <w:t>ing</w:t>
                      </w:r>
                      <w:r w:rsidRPr="00073E64">
                        <w:t xml:space="preserve"> revised to ‘minimise the risk of adverse health impacts from exposure to air pollution for all people, wherever they may live’?</w:t>
                      </w:r>
                    </w:p>
                    <w:p w14:paraId="48B6D82C" w14:textId="47E82E27" w:rsidR="00B246FA" w:rsidRPr="00964CD3" w:rsidRDefault="00B246FA" w:rsidP="00762AAA">
                      <w:pPr>
                        <w:pStyle w:val="ListParagraph"/>
                        <w:numPr>
                          <w:ilvl w:val="0"/>
                          <w:numId w:val="71"/>
                        </w:numPr>
                        <w:spacing w:after="140" w:line="276" w:lineRule="atLeast"/>
                        <w:ind w:left="714" w:hanging="357"/>
                        <w:contextualSpacing w:val="0"/>
                      </w:pPr>
                      <w:r w:rsidRPr="00073E64">
                        <w:t>Do you support the goal of the AAQ NEPM be</w:t>
                      </w:r>
                      <w:r>
                        <w:t>ing</w:t>
                      </w:r>
                      <w:r w:rsidRPr="00073E64">
                        <w:t xml:space="preserve"> revised to make reference to the air quality standards and incorporation of exposure-reduction targets for priority pollutants?</w:t>
                      </w:r>
                    </w:p>
                  </w:txbxContent>
                </v:textbox>
                <w10:anchorlock/>
              </v:shape>
            </w:pict>
          </mc:Fallback>
        </mc:AlternateContent>
      </w:r>
    </w:p>
    <w:p w14:paraId="0DDD788A" w14:textId="1C1F53C4" w:rsidR="00073E64" w:rsidRPr="005060E0" w:rsidRDefault="00073E64" w:rsidP="008B2B8E">
      <w:pPr>
        <w:spacing w:after="160" w:line="259" w:lineRule="auto"/>
        <w:sectPr w:rsidR="00073E64" w:rsidRPr="005060E0" w:rsidSect="00284327">
          <w:headerReference w:type="default" r:id="rId23"/>
          <w:pgSz w:w="11906" w:h="16838" w:code="9"/>
          <w:pgMar w:top="1440" w:right="1133" w:bottom="1701" w:left="1134" w:header="709" w:footer="131" w:gutter="0"/>
          <w:cols w:space="255"/>
          <w:docGrid w:linePitch="360"/>
        </w:sectPr>
      </w:pPr>
    </w:p>
    <w:p w14:paraId="4A9627F2" w14:textId="3F49064A" w:rsidR="00D56B82" w:rsidRPr="005060E0" w:rsidRDefault="00116F85" w:rsidP="0043533F">
      <w:pPr>
        <w:pStyle w:val="Heading1"/>
      </w:pPr>
      <w:bookmarkStart w:id="89" w:name="_Toc3278951"/>
      <w:r w:rsidRPr="005060E0">
        <w:t>I</w:t>
      </w:r>
      <w:r w:rsidR="00D56B82" w:rsidRPr="005060E0">
        <w:t xml:space="preserve">mpact assessment for </w:t>
      </w:r>
      <w:bookmarkEnd w:id="81"/>
      <w:bookmarkEnd w:id="82"/>
      <w:bookmarkEnd w:id="83"/>
      <w:bookmarkEnd w:id="84"/>
      <w:bookmarkEnd w:id="85"/>
      <w:r w:rsidR="00733F81" w:rsidRPr="005060E0">
        <w:t>sulfur dioxide</w:t>
      </w:r>
      <w:bookmarkEnd w:id="89"/>
    </w:p>
    <w:p w14:paraId="7D87471A" w14:textId="550AAF3C" w:rsidR="00D56B82" w:rsidRPr="005060E0" w:rsidRDefault="007275CF" w:rsidP="0043533F">
      <w:pPr>
        <w:pStyle w:val="Heading2"/>
      </w:pPr>
      <w:bookmarkStart w:id="90" w:name="_Toc479858892"/>
      <w:bookmarkStart w:id="91" w:name="_Toc3278952"/>
      <w:r w:rsidRPr="005060E0">
        <w:t>C</w:t>
      </w:r>
      <w:r w:rsidR="006F42C6" w:rsidRPr="005060E0">
        <w:t>haracteristics</w:t>
      </w:r>
      <w:r w:rsidR="00BB358A" w:rsidRPr="005060E0">
        <w:t xml:space="preserve"> and sources</w:t>
      </w:r>
      <w:bookmarkEnd w:id="90"/>
      <w:bookmarkEnd w:id="91"/>
    </w:p>
    <w:p w14:paraId="06A5A833" w14:textId="4C4704F0" w:rsidR="009067CE" w:rsidRPr="005060E0" w:rsidRDefault="00936BB2" w:rsidP="00D56B82">
      <w:r w:rsidRPr="005060E0">
        <w:t>SO</w:t>
      </w:r>
      <w:r w:rsidRPr="005060E0">
        <w:rPr>
          <w:vertAlign w:val="subscript"/>
        </w:rPr>
        <w:t>2</w:t>
      </w:r>
      <w:r w:rsidR="00D56B82" w:rsidRPr="005060E0">
        <w:t xml:space="preserve"> is a colourless gas wit</w:t>
      </w:r>
      <w:r w:rsidR="000E706E" w:rsidRPr="005060E0">
        <w:t xml:space="preserve">h a pungent odour. It </w:t>
      </w:r>
      <w:r w:rsidR="009067CE" w:rsidRPr="005060E0">
        <w:t>is known to have adverse effects on human health</w:t>
      </w:r>
      <w:r w:rsidR="000E706E" w:rsidRPr="005060E0">
        <w:t xml:space="preserve">, and is </w:t>
      </w:r>
      <w:r w:rsidR="009067CE" w:rsidRPr="005060E0">
        <w:t>also a major precursor to acid rain, which is associated with the acidification of lakes and streams, accelerated corrosion of buildings and monum</w:t>
      </w:r>
      <w:r w:rsidR="00355B88" w:rsidRPr="005060E0">
        <w:t>ents, and reduced visibility. SO</w:t>
      </w:r>
      <w:r w:rsidR="00355B88" w:rsidRPr="005060E0">
        <w:rPr>
          <w:vertAlign w:val="subscript"/>
        </w:rPr>
        <w:t>2</w:t>
      </w:r>
      <w:r w:rsidR="009067CE" w:rsidRPr="005060E0">
        <w:t xml:space="preserve"> contributes to secondary particle formation by reaction with ammonia to form sulfate salts. This can be a significant contributor to PM</w:t>
      </w:r>
      <w:r w:rsidR="009067CE" w:rsidRPr="005060E0">
        <w:rPr>
          <w:vertAlign w:val="subscript"/>
        </w:rPr>
        <w:t>2.5</w:t>
      </w:r>
      <w:r w:rsidR="009067CE" w:rsidRPr="005060E0">
        <w:t xml:space="preserve"> concen</w:t>
      </w:r>
      <w:r w:rsidR="00B027B0" w:rsidRPr="005060E0">
        <w:t>trations in some airsheds</w:t>
      </w:r>
      <w:r w:rsidR="009067CE" w:rsidRPr="005060E0">
        <w:t>.</w:t>
      </w:r>
    </w:p>
    <w:p w14:paraId="65DFE583" w14:textId="36CCC271" w:rsidR="00552EE5" w:rsidRPr="005060E0" w:rsidRDefault="00B027B0" w:rsidP="00B027B0">
      <w:r w:rsidRPr="005060E0">
        <w:t>Natural sources of SO</w:t>
      </w:r>
      <w:r w:rsidRPr="005060E0">
        <w:rPr>
          <w:vertAlign w:val="subscript"/>
        </w:rPr>
        <w:t>2</w:t>
      </w:r>
      <w:r w:rsidRPr="005060E0">
        <w:t xml:space="preserve"> include </w:t>
      </w:r>
      <w:r w:rsidR="00CB56F4" w:rsidRPr="005060E0">
        <w:t xml:space="preserve">geothermal activity (e.g. hot springs and volcanoes) and the decay of vegetation. </w:t>
      </w:r>
      <w:r w:rsidRPr="005060E0">
        <w:t>Anthropogenic</w:t>
      </w:r>
      <w:r w:rsidR="00936BB2" w:rsidRPr="005060E0">
        <w:t xml:space="preserve"> SO</w:t>
      </w:r>
      <w:r w:rsidR="00936BB2" w:rsidRPr="005060E0">
        <w:rPr>
          <w:vertAlign w:val="subscript"/>
        </w:rPr>
        <w:t>2</w:t>
      </w:r>
      <w:r w:rsidR="00D56B82" w:rsidRPr="005060E0">
        <w:t xml:space="preserve"> results prima</w:t>
      </w:r>
      <w:r w:rsidRPr="005060E0">
        <w:t>rily from the combustion</w:t>
      </w:r>
      <w:r w:rsidR="00D56B82" w:rsidRPr="005060E0">
        <w:t xml:space="preserve"> of fossil fuels</w:t>
      </w:r>
      <w:r w:rsidR="00355B88" w:rsidRPr="005060E0">
        <w:t xml:space="preserve"> containing sulfur</w:t>
      </w:r>
      <w:r w:rsidR="00D56B82" w:rsidRPr="005060E0">
        <w:t xml:space="preserve"> (</w:t>
      </w:r>
      <w:r w:rsidRPr="005060E0">
        <w:t xml:space="preserve">e.g. </w:t>
      </w:r>
      <w:r w:rsidR="00D56B82" w:rsidRPr="005060E0">
        <w:t>coal, oil)</w:t>
      </w:r>
      <w:r w:rsidR="00C750BC" w:rsidRPr="005060E0">
        <w:t>,</w:t>
      </w:r>
      <w:r w:rsidRPr="005060E0">
        <w:t xml:space="preserve"> such as at power stations or </w:t>
      </w:r>
      <w:r w:rsidR="00D56B82" w:rsidRPr="005060E0">
        <w:t>sme</w:t>
      </w:r>
      <w:r w:rsidR="00936BB2" w:rsidRPr="005060E0">
        <w:t>lting</w:t>
      </w:r>
      <w:r w:rsidRPr="005060E0">
        <w:t xml:space="preserve"> facilities. </w:t>
      </w:r>
      <w:r w:rsidR="00552EE5" w:rsidRPr="005060E0">
        <w:rPr>
          <w:szCs w:val="20"/>
        </w:rPr>
        <w:t>Australian automotive diesel fuels are low in sulfur, but Australian automotive petrol is high in sulfur content compared to 35 OECD member countries. Overall, however, Australian automotive fuel is not a major source of SO</w:t>
      </w:r>
      <w:r w:rsidR="00552EE5" w:rsidRPr="005060E0">
        <w:rPr>
          <w:szCs w:val="20"/>
          <w:vertAlign w:val="subscript"/>
        </w:rPr>
        <w:t>2</w:t>
      </w:r>
      <w:r w:rsidR="00552EE5" w:rsidRPr="005060E0">
        <w:rPr>
          <w:szCs w:val="20"/>
        </w:rPr>
        <w:t>.</w:t>
      </w:r>
    </w:p>
    <w:p w14:paraId="40030DA0" w14:textId="40A16D17" w:rsidR="003664C2" w:rsidRPr="005060E0" w:rsidRDefault="00587467" w:rsidP="00B027B0">
      <w:r w:rsidRPr="005060E0">
        <w:t>T</w:t>
      </w:r>
      <w:r w:rsidR="00D56B82" w:rsidRPr="005060E0">
        <w:t xml:space="preserve">he NPI </w:t>
      </w:r>
      <w:r w:rsidR="00E72C9F" w:rsidRPr="005060E0">
        <w:t>data for 2014</w:t>
      </w:r>
      <w:r w:rsidR="00DF4D3A" w:rsidRPr="005060E0">
        <w:t>–20</w:t>
      </w:r>
      <w:r w:rsidR="00E72C9F" w:rsidRPr="005060E0">
        <w:t xml:space="preserve">15 </w:t>
      </w:r>
      <w:r w:rsidR="004B0E58" w:rsidRPr="005060E0">
        <w:t xml:space="preserve">estimates </w:t>
      </w:r>
      <w:r w:rsidR="003664C2" w:rsidRPr="005060E0">
        <w:t>the following with respect to SO</w:t>
      </w:r>
      <w:r w:rsidR="003664C2" w:rsidRPr="005060E0">
        <w:rPr>
          <w:vertAlign w:val="subscript"/>
        </w:rPr>
        <w:t>2</w:t>
      </w:r>
      <w:r w:rsidR="003664C2" w:rsidRPr="005060E0">
        <w:t xml:space="preserve"> emissions in Australia:</w:t>
      </w:r>
    </w:p>
    <w:p w14:paraId="037B3FF4" w14:textId="66496471" w:rsidR="003664C2" w:rsidRPr="005060E0" w:rsidRDefault="003664C2" w:rsidP="003664C2">
      <w:pPr>
        <w:pStyle w:val="ListBullet"/>
      </w:pPr>
      <w:r w:rsidRPr="005060E0">
        <w:t>94</w:t>
      </w:r>
      <w:r w:rsidR="00F8686C" w:rsidRPr="005060E0">
        <w:t xml:space="preserve"> per cent</w:t>
      </w:r>
      <w:r w:rsidRPr="005060E0">
        <w:t xml:space="preserve"> of </w:t>
      </w:r>
      <w:r w:rsidR="00587467" w:rsidRPr="005060E0">
        <w:t>emissions</w:t>
      </w:r>
      <w:r w:rsidRPr="005060E0">
        <w:t xml:space="preserve"> </w:t>
      </w:r>
      <w:r w:rsidR="00587467" w:rsidRPr="005060E0">
        <w:t>were from industrial facilities</w:t>
      </w:r>
      <w:r w:rsidRPr="005060E0">
        <w:t xml:space="preserve">. </w:t>
      </w:r>
      <w:r w:rsidR="001559AA" w:rsidRPr="005060E0">
        <w:t>The main contributors were</w:t>
      </w:r>
      <w:r w:rsidR="00D56B82" w:rsidRPr="005060E0">
        <w:t xml:space="preserve"> electricity generation (50</w:t>
      </w:r>
      <w:r w:rsidR="00F8686C" w:rsidRPr="005060E0">
        <w:t xml:space="preserve"> per cent</w:t>
      </w:r>
      <w:r w:rsidR="00D56B82" w:rsidRPr="005060E0">
        <w:t>) and non-ferrous metal manufa</w:t>
      </w:r>
      <w:r w:rsidRPr="005060E0">
        <w:t>cturing (43</w:t>
      </w:r>
      <w:r w:rsidR="00F8686C" w:rsidRPr="005060E0">
        <w:t xml:space="preserve"> per cent</w:t>
      </w:r>
      <w:r w:rsidRPr="005060E0">
        <w:t>).</w:t>
      </w:r>
    </w:p>
    <w:p w14:paraId="44BFB2FE" w14:textId="4282CC56" w:rsidR="00BB358A" w:rsidRPr="005060E0" w:rsidRDefault="00F8686C" w:rsidP="003664C2">
      <w:pPr>
        <w:pStyle w:val="ListBullet"/>
      </w:pPr>
      <w:r w:rsidRPr="005060E0">
        <w:t>Six per cent</w:t>
      </w:r>
      <w:r w:rsidR="003664C2" w:rsidRPr="005060E0">
        <w:t xml:space="preserve"> of emissions were from diffuse sources. The main contributors were f</w:t>
      </w:r>
      <w:r w:rsidR="00D56B82" w:rsidRPr="005060E0">
        <w:t>uel combustion (55</w:t>
      </w:r>
      <w:r w:rsidRPr="005060E0">
        <w:t xml:space="preserve"> per cent</w:t>
      </w:r>
      <w:r w:rsidR="00D56B82" w:rsidRPr="005060E0">
        <w:t>) and commercial boating/shipping (25</w:t>
      </w:r>
      <w:r w:rsidRPr="005060E0">
        <w:t xml:space="preserve"> per cent</w:t>
      </w:r>
      <w:r w:rsidR="003664C2" w:rsidRPr="005060E0">
        <w:t>)</w:t>
      </w:r>
      <w:r w:rsidR="009067CE" w:rsidRPr="005060E0">
        <w:t>.</w:t>
      </w:r>
    </w:p>
    <w:p w14:paraId="20C0D327" w14:textId="6D7335E4" w:rsidR="00CB56F4" w:rsidRPr="005060E0" w:rsidRDefault="00CB56F4" w:rsidP="002246E9">
      <w:pPr>
        <w:pStyle w:val="BodyText"/>
        <w:spacing w:after="360"/>
      </w:pPr>
      <w:r w:rsidRPr="005060E0">
        <w:t xml:space="preserve">The estimates of annual </w:t>
      </w:r>
      <w:r w:rsidR="00A435FA" w:rsidRPr="005060E0">
        <w:t xml:space="preserve">emissions in each Australian airshed </w:t>
      </w:r>
      <w:r w:rsidRPr="005060E0">
        <w:t>(</w:t>
      </w:r>
      <w:r w:rsidR="00A435FA" w:rsidRPr="005060E0">
        <w:t xml:space="preserve">for </w:t>
      </w:r>
      <w:r w:rsidRPr="005060E0">
        <w:t xml:space="preserve">both facility and diffuse sources) are summarised in </w:t>
      </w:r>
      <w:r w:rsidRPr="005060E0">
        <w:fldChar w:fldCharType="begin"/>
      </w:r>
      <w:r w:rsidRPr="005060E0">
        <w:instrText xml:space="preserve"> REF _Ref442963123 \h  \* MERGEFORMAT </w:instrText>
      </w:r>
      <w:r w:rsidRPr="005060E0">
        <w:fldChar w:fldCharType="separate"/>
      </w:r>
      <w:r w:rsidR="00F2067C" w:rsidRPr="005060E0">
        <w:t xml:space="preserve">Table </w:t>
      </w:r>
      <w:r w:rsidR="00F2067C">
        <w:rPr>
          <w:noProof/>
        </w:rPr>
        <w:t>6</w:t>
      </w:r>
      <w:r w:rsidR="00F2067C" w:rsidRPr="005060E0">
        <w:rPr>
          <w:noProof/>
        </w:rPr>
        <w:noBreakHyphen/>
      </w:r>
      <w:r w:rsidR="00F2067C">
        <w:rPr>
          <w:noProof/>
        </w:rPr>
        <w:t>1</w:t>
      </w:r>
      <w:r w:rsidRPr="005060E0">
        <w:fldChar w:fldCharType="end"/>
      </w:r>
      <w:r w:rsidRPr="005060E0">
        <w:t>. There was</w:t>
      </w:r>
      <w:r w:rsidR="00D474D2" w:rsidRPr="005060E0">
        <w:t xml:space="preserve"> considerable</w:t>
      </w:r>
      <w:r w:rsidR="00A435FA" w:rsidRPr="005060E0">
        <w:t xml:space="preserve"> variation</w:t>
      </w:r>
      <w:r w:rsidRPr="005060E0">
        <w:t xml:space="preserve"> across th</w:t>
      </w:r>
      <w:r w:rsidR="00A435FA" w:rsidRPr="005060E0">
        <w:t xml:space="preserve">e jurisdictions, and this </w:t>
      </w:r>
      <w:r w:rsidRPr="005060E0">
        <w:t>will influence the ambient concentrat</w:t>
      </w:r>
      <w:r w:rsidR="00A435FA" w:rsidRPr="005060E0">
        <w:t xml:space="preserve">ions </w:t>
      </w:r>
      <w:r w:rsidRPr="005060E0">
        <w:t>and the potential risk to the exposed population.</w:t>
      </w:r>
    </w:p>
    <w:p w14:paraId="0D3DBA35" w14:textId="3D2D063A" w:rsidR="00D56B82" w:rsidRPr="005060E0" w:rsidRDefault="00D56B82" w:rsidP="006F42C6">
      <w:pPr>
        <w:pStyle w:val="PBTablecaption"/>
      </w:pPr>
      <w:bookmarkStart w:id="92" w:name="_Ref442963123"/>
      <w:bookmarkStart w:id="93" w:name="_Toc443029619"/>
      <w:bookmarkStart w:id="94" w:name="_Toc479201791"/>
      <w:bookmarkStart w:id="95" w:name="_Toc508305346"/>
      <w:bookmarkStart w:id="96" w:name="_Ref411282269"/>
      <w:bookmarkStart w:id="97" w:name="_Ref442962554"/>
      <w:r w:rsidRPr="005060E0">
        <w:t xml:space="preserve">Table </w:t>
      </w:r>
      <w:r w:rsidR="009863AA" w:rsidRPr="005060E0">
        <w:rPr>
          <w:noProof/>
        </w:rPr>
        <w:fldChar w:fldCharType="begin"/>
      </w:r>
      <w:r w:rsidR="009863AA" w:rsidRPr="005060E0">
        <w:rPr>
          <w:noProof/>
        </w:rPr>
        <w:instrText xml:space="preserve"> STYLEREF 1 \s </w:instrText>
      </w:r>
      <w:r w:rsidR="009863AA" w:rsidRPr="005060E0">
        <w:rPr>
          <w:noProof/>
        </w:rPr>
        <w:fldChar w:fldCharType="separate"/>
      </w:r>
      <w:r w:rsidR="00F2067C">
        <w:rPr>
          <w:noProof/>
        </w:rPr>
        <w:t>6</w:t>
      </w:r>
      <w:r w:rsidR="009863AA" w:rsidRPr="005060E0">
        <w:rPr>
          <w:noProof/>
        </w:rPr>
        <w:fldChar w:fldCharType="end"/>
      </w:r>
      <w:r w:rsidRPr="005060E0">
        <w:noBreakHyphen/>
      </w:r>
      <w:r w:rsidR="009863AA" w:rsidRPr="005060E0">
        <w:rPr>
          <w:noProof/>
        </w:rPr>
        <w:fldChar w:fldCharType="begin"/>
      </w:r>
      <w:r w:rsidR="009863AA" w:rsidRPr="005060E0">
        <w:rPr>
          <w:noProof/>
        </w:rPr>
        <w:instrText xml:space="preserve"> SEQ Table \* ARABIC \s 1 </w:instrText>
      </w:r>
      <w:r w:rsidR="009863AA" w:rsidRPr="005060E0">
        <w:rPr>
          <w:noProof/>
        </w:rPr>
        <w:fldChar w:fldCharType="separate"/>
      </w:r>
      <w:r w:rsidR="00F2067C">
        <w:rPr>
          <w:noProof/>
        </w:rPr>
        <w:t>1</w:t>
      </w:r>
      <w:r w:rsidR="009863AA" w:rsidRPr="005060E0">
        <w:rPr>
          <w:noProof/>
        </w:rPr>
        <w:fldChar w:fldCharType="end"/>
      </w:r>
      <w:bookmarkEnd w:id="92"/>
      <w:r w:rsidRPr="005060E0">
        <w:t xml:space="preserve">: Total </w:t>
      </w:r>
      <w:r w:rsidR="004B0E58" w:rsidRPr="005060E0">
        <w:t xml:space="preserve">estimated </w:t>
      </w:r>
      <w:r w:rsidR="0050770A" w:rsidRPr="005060E0">
        <w:t>emissions of</w:t>
      </w:r>
      <w:r w:rsidRPr="005060E0">
        <w:t xml:space="preserve"> SO</w:t>
      </w:r>
      <w:r w:rsidRPr="005060E0">
        <w:rPr>
          <w:vertAlign w:val="subscript"/>
        </w:rPr>
        <w:t>2</w:t>
      </w:r>
      <w:r w:rsidR="00E72C9F" w:rsidRPr="005060E0">
        <w:t xml:space="preserve"> from industrial facilities and diffuse sources </w:t>
      </w:r>
      <w:r w:rsidRPr="005060E0">
        <w:t>(</w:t>
      </w:r>
      <w:r w:rsidR="0050770A" w:rsidRPr="005060E0">
        <w:t xml:space="preserve">NPI, </w:t>
      </w:r>
      <w:r w:rsidRPr="005060E0">
        <w:t>2014</w:t>
      </w:r>
      <w:r w:rsidR="00DF4D3A" w:rsidRPr="005060E0">
        <w:t>–20</w:t>
      </w:r>
      <w:r w:rsidRPr="005060E0">
        <w:t>15)</w:t>
      </w:r>
      <w:bookmarkEnd w:id="93"/>
      <w:bookmarkEnd w:id="94"/>
      <w:bookmarkEnd w:id="95"/>
    </w:p>
    <w:tbl>
      <w:tblPr>
        <w:tblW w:w="4873" w:type="pct"/>
        <w:jc w:val="center"/>
        <w:tblBorders>
          <w:top w:val="single" w:sz="4" w:space="0" w:color="0076C0" w:themeColor="accent1"/>
          <w:left w:val="single" w:sz="4" w:space="0" w:color="0076C0" w:themeColor="accent1"/>
          <w:bottom w:val="single" w:sz="4" w:space="0" w:color="0076C0" w:themeColor="accent1"/>
          <w:right w:val="single" w:sz="4" w:space="0" w:color="0076C0" w:themeColor="accent1"/>
          <w:insideH w:val="single" w:sz="4" w:space="0" w:color="0076C0" w:themeColor="accent1"/>
          <w:insideV w:val="single" w:sz="4" w:space="0" w:color="0076C0" w:themeColor="accent1"/>
        </w:tblBorders>
        <w:tblLook w:val="04A0" w:firstRow="1" w:lastRow="0" w:firstColumn="1" w:lastColumn="0" w:noHBand="0" w:noVBand="1"/>
      </w:tblPr>
      <w:tblGrid>
        <w:gridCol w:w="4975"/>
        <w:gridCol w:w="4408"/>
      </w:tblGrid>
      <w:tr w:rsidR="00D56B82" w:rsidRPr="005060E0" w14:paraId="131832F4" w14:textId="77777777" w:rsidTr="00D35C2D">
        <w:trPr>
          <w:trHeight w:val="471"/>
          <w:tblHeader/>
          <w:jc w:val="center"/>
        </w:trPr>
        <w:tc>
          <w:tcPr>
            <w:tcW w:w="2651" w:type="pct"/>
            <w:tcBorders>
              <w:top w:val="single" w:sz="4" w:space="0" w:color="606075"/>
              <w:left w:val="single" w:sz="4" w:space="0" w:color="606075"/>
              <w:bottom w:val="single" w:sz="4" w:space="0" w:color="606075"/>
              <w:right w:val="single" w:sz="4" w:space="0" w:color="606075"/>
            </w:tcBorders>
            <w:shd w:val="clear" w:color="auto" w:fill="606075"/>
            <w:noWrap/>
            <w:vAlign w:val="center"/>
            <w:hideMark/>
          </w:tcPr>
          <w:bookmarkEnd w:id="96"/>
          <w:bookmarkEnd w:id="97"/>
          <w:p w14:paraId="141D37EE" w14:textId="2C710F11" w:rsidR="00D56B82" w:rsidRPr="005060E0" w:rsidRDefault="003664C2" w:rsidP="003D2D76">
            <w:pPr>
              <w:spacing w:before="60" w:after="60" w:line="240" w:lineRule="auto"/>
              <w:jc w:val="center"/>
              <w:rPr>
                <w:bCs/>
                <w:color w:val="FFFFFF"/>
                <w:sz w:val="16"/>
                <w:szCs w:val="16"/>
                <w:lang w:bidi="en-US"/>
              </w:rPr>
            </w:pPr>
            <w:r w:rsidRPr="005060E0">
              <w:rPr>
                <w:bCs/>
                <w:color w:val="FFFFFF"/>
                <w:sz w:val="16"/>
                <w:szCs w:val="16"/>
                <w:lang w:bidi="en-US"/>
              </w:rPr>
              <w:t>Jurisdiction/a</w:t>
            </w:r>
            <w:r w:rsidR="00176DBC" w:rsidRPr="005060E0">
              <w:rPr>
                <w:bCs/>
                <w:color w:val="FFFFFF"/>
                <w:sz w:val="16"/>
                <w:szCs w:val="16"/>
                <w:lang w:bidi="en-US"/>
              </w:rPr>
              <w:t>ir</w:t>
            </w:r>
            <w:r w:rsidR="00D56B82" w:rsidRPr="005060E0">
              <w:rPr>
                <w:bCs/>
                <w:color w:val="FFFFFF"/>
                <w:sz w:val="16"/>
                <w:szCs w:val="16"/>
                <w:lang w:bidi="en-US"/>
              </w:rPr>
              <w:t>shed</w:t>
            </w:r>
          </w:p>
        </w:tc>
        <w:tc>
          <w:tcPr>
            <w:tcW w:w="2349" w:type="pct"/>
            <w:tcBorders>
              <w:top w:val="single" w:sz="4" w:space="0" w:color="606075"/>
              <w:left w:val="single" w:sz="4" w:space="0" w:color="606075"/>
              <w:bottom w:val="single" w:sz="4" w:space="0" w:color="606075"/>
              <w:right w:val="single" w:sz="4" w:space="0" w:color="606075"/>
            </w:tcBorders>
            <w:shd w:val="clear" w:color="auto" w:fill="606075"/>
            <w:vAlign w:val="center"/>
            <w:hideMark/>
          </w:tcPr>
          <w:p w14:paraId="3FF77389" w14:textId="706285D7" w:rsidR="00D56B82" w:rsidRPr="005060E0" w:rsidRDefault="00176DBC" w:rsidP="00F8686C">
            <w:pPr>
              <w:spacing w:before="60" w:after="60" w:line="240" w:lineRule="auto"/>
              <w:ind w:right="71"/>
              <w:jc w:val="center"/>
              <w:rPr>
                <w:bCs/>
                <w:color w:val="FFFFFF"/>
                <w:sz w:val="16"/>
                <w:szCs w:val="16"/>
                <w:lang w:bidi="en-US"/>
              </w:rPr>
            </w:pPr>
            <w:r w:rsidRPr="005060E0">
              <w:rPr>
                <w:bCs/>
                <w:color w:val="FFFFFF"/>
                <w:sz w:val="16"/>
                <w:szCs w:val="16"/>
                <w:lang w:bidi="en-US"/>
              </w:rPr>
              <w:t>SO</w:t>
            </w:r>
            <w:r w:rsidRPr="005060E0">
              <w:rPr>
                <w:bCs/>
                <w:color w:val="FFFFFF"/>
                <w:sz w:val="16"/>
                <w:szCs w:val="16"/>
                <w:vertAlign w:val="subscript"/>
                <w:lang w:bidi="en-US"/>
              </w:rPr>
              <w:t>2</w:t>
            </w:r>
            <w:r w:rsidRPr="005060E0">
              <w:rPr>
                <w:bCs/>
                <w:color w:val="FFFFFF"/>
                <w:sz w:val="16"/>
                <w:szCs w:val="16"/>
                <w:lang w:bidi="en-US"/>
              </w:rPr>
              <w:t xml:space="preserve"> emissions </w:t>
            </w:r>
            <w:r w:rsidR="00C2053D" w:rsidRPr="005060E0">
              <w:rPr>
                <w:bCs/>
                <w:color w:val="FFFFFF"/>
                <w:sz w:val="16"/>
                <w:szCs w:val="16"/>
                <w:lang w:bidi="en-US"/>
              </w:rPr>
              <w:t>(tonnes</w:t>
            </w:r>
            <w:r w:rsidR="00D56B82" w:rsidRPr="005060E0">
              <w:rPr>
                <w:bCs/>
                <w:color w:val="FFFFFF"/>
                <w:sz w:val="16"/>
                <w:szCs w:val="16"/>
                <w:lang w:bidi="en-US"/>
              </w:rPr>
              <w:t>/year)</w:t>
            </w:r>
          </w:p>
        </w:tc>
      </w:tr>
      <w:tr w:rsidR="001559AA" w:rsidRPr="005060E0" w14:paraId="63A4120B" w14:textId="77777777" w:rsidTr="00F8686C">
        <w:trPr>
          <w:trHeight w:hRule="exact" w:val="369"/>
          <w:jc w:val="center"/>
        </w:trPr>
        <w:tc>
          <w:tcPr>
            <w:tcW w:w="2651" w:type="pct"/>
            <w:tcBorders>
              <w:top w:val="single" w:sz="4" w:space="0" w:color="606075"/>
              <w:left w:val="single" w:sz="4" w:space="0" w:color="606075"/>
              <w:bottom w:val="single" w:sz="4" w:space="0" w:color="606075"/>
              <w:right w:val="single" w:sz="4" w:space="0" w:color="606075"/>
            </w:tcBorders>
            <w:noWrap/>
            <w:vAlign w:val="center"/>
          </w:tcPr>
          <w:p w14:paraId="026162BB" w14:textId="0132142F" w:rsidR="001559AA" w:rsidRPr="005060E0" w:rsidRDefault="001559AA" w:rsidP="001559AA">
            <w:pPr>
              <w:tabs>
                <w:tab w:val="left" w:pos="6804"/>
              </w:tabs>
              <w:spacing w:before="60" w:after="60" w:line="240" w:lineRule="auto"/>
              <w:rPr>
                <w:rFonts w:eastAsia="Times New Roman" w:cstheme="majorHAnsi"/>
                <w:bCs/>
                <w:kern w:val="32"/>
                <w:sz w:val="16"/>
                <w:szCs w:val="16"/>
                <w:lang w:bidi="en-US"/>
              </w:rPr>
            </w:pPr>
            <w:r w:rsidRPr="005060E0">
              <w:rPr>
                <w:rFonts w:eastAsia="Times New Roman" w:cstheme="majorHAnsi"/>
                <w:bCs/>
                <w:kern w:val="32"/>
                <w:sz w:val="16"/>
                <w:szCs w:val="16"/>
                <w:lang w:bidi="en-US"/>
              </w:rPr>
              <w:t>NSW: Greater Sydney</w:t>
            </w:r>
          </w:p>
        </w:tc>
        <w:tc>
          <w:tcPr>
            <w:tcW w:w="2349" w:type="pct"/>
            <w:tcBorders>
              <w:top w:val="single" w:sz="4" w:space="0" w:color="606075"/>
              <w:left w:val="single" w:sz="4" w:space="0" w:color="606075"/>
              <w:bottom w:val="single" w:sz="4" w:space="0" w:color="606075"/>
              <w:right w:val="single" w:sz="4" w:space="0" w:color="606075"/>
            </w:tcBorders>
            <w:noWrap/>
            <w:vAlign w:val="center"/>
          </w:tcPr>
          <w:p w14:paraId="6D154279" w14:textId="28ACD580" w:rsidR="001559AA" w:rsidRPr="005060E0" w:rsidRDefault="00C2053D" w:rsidP="00F8686C">
            <w:pPr>
              <w:tabs>
                <w:tab w:val="left" w:pos="6804"/>
              </w:tabs>
              <w:spacing w:before="60" w:after="60" w:line="240" w:lineRule="auto"/>
              <w:ind w:right="1914"/>
              <w:jc w:val="right"/>
              <w:rPr>
                <w:rFonts w:eastAsia="Times New Roman" w:cstheme="majorHAnsi"/>
                <w:bCs/>
                <w:kern w:val="32"/>
                <w:sz w:val="16"/>
                <w:szCs w:val="16"/>
                <w:lang w:bidi="en-US"/>
              </w:rPr>
            </w:pPr>
            <w:r w:rsidRPr="005060E0">
              <w:rPr>
                <w:rFonts w:eastAsia="Times New Roman" w:cstheme="majorHAnsi"/>
                <w:bCs/>
                <w:kern w:val="32"/>
                <w:sz w:val="16"/>
                <w:szCs w:val="16"/>
                <w:lang w:bidi="en-US"/>
              </w:rPr>
              <w:t>190,000</w:t>
            </w:r>
          </w:p>
        </w:tc>
      </w:tr>
      <w:tr w:rsidR="001559AA" w:rsidRPr="005060E0" w14:paraId="6AC65948" w14:textId="77777777" w:rsidTr="00F8686C">
        <w:trPr>
          <w:trHeight w:hRule="exact" w:val="369"/>
          <w:jc w:val="center"/>
        </w:trPr>
        <w:tc>
          <w:tcPr>
            <w:tcW w:w="2651" w:type="pct"/>
            <w:tcBorders>
              <w:top w:val="single" w:sz="4" w:space="0" w:color="606075"/>
              <w:left w:val="single" w:sz="4" w:space="0" w:color="606075"/>
              <w:bottom w:val="single" w:sz="4" w:space="0" w:color="606075"/>
              <w:right w:val="single" w:sz="4" w:space="0" w:color="606075"/>
            </w:tcBorders>
            <w:noWrap/>
            <w:vAlign w:val="center"/>
          </w:tcPr>
          <w:p w14:paraId="7148FF58" w14:textId="570B31CF" w:rsidR="001559AA" w:rsidRPr="005060E0" w:rsidRDefault="001559AA" w:rsidP="001559AA">
            <w:pPr>
              <w:tabs>
                <w:tab w:val="left" w:pos="6804"/>
              </w:tabs>
              <w:spacing w:before="60" w:after="60" w:line="240" w:lineRule="auto"/>
              <w:rPr>
                <w:rFonts w:eastAsia="Times New Roman" w:cstheme="majorHAnsi"/>
                <w:bCs/>
                <w:kern w:val="32"/>
                <w:sz w:val="16"/>
                <w:szCs w:val="16"/>
                <w:lang w:bidi="en-US"/>
              </w:rPr>
            </w:pPr>
            <w:r w:rsidRPr="005060E0">
              <w:rPr>
                <w:rFonts w:eastAsia="Times New Roman" w:cstheme="majorHAnsi"/>
                <w:bCs/>
                <w:kern w:val="32"/>
                <w:sz w:val="16"/>
                <w:szCs w:val="16"/>
                <w:lang w:bidi="en-US"/>
              </w:rPr>
              <w:t>VIC: Port Phillip Region</w:t>
            </w:r>
          </w:p>
        </w:tc>
        <w:tc>
          <w:tcPr>
            <w:tcW w:w="2349" w:type="pct"/>
            <w:tcBorders>
              <w:top w:val="single" w:sz="4" w:space="0" w:color="606075"/>
              <w:left w:val="single" w:sz="4" w:space="0" w:color="606075"/>
              <w:bottom w:val="single" w:sz="4" w:space="0" w:color="606075"/>
              <w:right w:val="single" w:sz="4" w:space="0" w:color="606075"/>
            </w:tcBorders>
            <w:noWrap/>
            <w:vAlign w:val="center"/>
          </w:tcPr>
          <w:p w14:paraId="1878BBB9" w14:textId="491C1D85" w:rsidR="001559AA" w:rsidRPr="005060E0" w:rsidRDefault="00C2053D" w:rsidP="00F8686C">
            <w:pPr>
              <w:tabs>
                <w:tab w:val="left" w:pos="6804"/>
              </w:tabs>
              <w:spacing w:before="60" w:after="60" w:line="240" w:lineRule="auto"/>
              <w:ind w:right="1914"/>
              <w:jc w:val="right"/>
              <w:rPr>
                <w:rFonts w:eastAsia="Times New Roman" w:cstheme="majorHAnsi"/>
                <w:bCs/>
                <w:kern w:val="32"/>
                <w:sz w:val="16"/>
                <w:szCs w:val="16"/>
                <w:lang w:bidi="en-US"/>
              </w:rPr>
            </w:pPr>
            <w:r w:rsidRPr="005060E0">
              <w:rPr>
                <w:rFonts w:eastAsia="Times New Roman" w:cstheme="majorHAnsi"/>
                <w:bCs/>
                <w:kern w:val="32"/>
                <w:sz w:val="16"/>
                <w:szCs w:val="16"/>
                <w:lang w:bidi="en-US"/>
              </w:rPr>
              <w:t>54,000</w:t>
            </w:r>
          </w:p>
        </w:tc>
      </w:tr>
      <w:tr w:rsidR="001559AA" w:rsidRPr="005060E0" w14:paraId="3F667745" w14:textId="77777777" w:rsidTr="00F8686C">
        <w:trPr>
          <w:trHeight w:hRule="exact" w:val="369"/>
          <w:jc w:val="center"/>
        </w:trPr>
        <w:tc>
          <w:tcPr>
            <w:tcW w:w="2651" w:type="pct"/>
            <w:tcBorders>
              <w:top w:val="single" w:sz="4" w:space="0" w:color="606075"/>
              <w:left w:val="single" w:sz="4" w:space="0" w:color="606075"/>
              <w:bottom w:val="single" w:sz="4" w:space="0" w:color="606075"/>
              <w:right w:val="single" w:sz="4" w:space="0" w:color="606075"/>
            </w:tcBorders>
            <w:noWrap/>
            <w:vAlign w:val="center"/>
          </w:tcPr>
          <w:p w14:paraId="565C1E62" w14:textId="5898C2A5" w:rsidR="001559AA" w:rsidRPr="005060E0" w:rsidRDefault="001559AA" w:rsidP="001559AA">
            <w:pPr>
              <w:tabs>
                <w:tab w:val="left" w:pos="6804"/>
              </w:tabs>
              <w:spacing w:before="60" w:after="60" w:line="240" w:lineRule="auto"/>
              <w:rPr>
                <w:rFonts w:eastAsia="Times New Roman" w:cstheme="majorHAnsi"/>
                <w:bCs/>
                <w:kern w:val="32"/>
                <w:sz w:val="16"/>
                <w:szCs w:val="16"/>
                <w:lang w:bidi="en-US"/>
              </w:rPr>
            </w:pPr>
            <w:r w:rsidRPr="005060E0">
              <w:rPr>
                <w:rFonts w:eastAsia="Times New Roman" w:cstheme="majorHAnsi"/>
                <w:bCs/>
                <w:kern w:val="32"/>
                <w:sz w:val="16"/>
                <w:szCs w:val="16"/>
                <w:lang w:bidi="en-US"/>
              </w:rPr>
              <w:t>QLD: South-East Queensland</w:t>
            </w:r>
          </w:p>
        </w:tc>
        <w:tc>
          <w:tcPr>
            <w:tcW w:w="2349" w:type="pct"/>
            <w:tcBorders>
              <w:top w:val="single" w:sz="4" w:space="0" w:color="606075"/>
              <w:left w:val="single" w:sz="4" w:space="0" w:color="606075"/>
              <w:bottom w:val="single" w:sz="4" w:space="0" w:color="606075"/>
              <w:right w:val="single" w:sz="4" w:space="0" w:color="606075"/>
            </w:tcBorders>
            <w:noWrap/>
            <w:vAlign w:val="center"/>
          </w:tcPr>
          <w:p w14:paraId="27067FED" w14:textId="4D9B48E1" w:rsidR="001559AA" w:rsidRPr="005060E0" w:rsidRDefault="00C2053D" w:rsidP="00F8686C">
            <w:pPr>
              <w:tabs>
                <w:tab w:val="left" w:pos="6804"/>
              </w:tabs>
              <w:spacing w:before="60" w:after="60" w:line="240" w:lineRule="auto"/>
              <w:ind w:right="1914"/>
              <w:jc w:val="right"/>
              <w:rPr>
                <w:rFonts w:eastAsia="Times New Roman" w:cstheme="majorHAnsi"/>
                <w:bCs/>
                <w:kern w:val="32"/>
                <w:sz w:val="16"/>
                <w:szCs w:val="16"/>
                <w:lang w:bidi="en-US"/>
              </w:rPr>
            </w:pPr>
            <w:r w:rsidRPr="005060E0">
              <w:rPr>
                <w:rFonts w:eastAsia="Times New Roman" w:cstheme="majorHAnsi"/>
                <w:bCs/>
                <w:kern w:val="32"/>
                <w:sz w:val="16"/>
                <w:szCs w:val="16"/>
                <w:lang w:bidi="en-US"/>
              </w:rPr>
              <w:t>15,000</w:t>
            </w:r>
          </w:p>
        </w:tc>
      </w:tr>
      <w:tr w:rsidR="001559AA" w:rsidRPr="005060E0" w14:paraId="0444D622" w14:textId="77777777" w:rsidTr="00F8686C">
        <w:trPr>
          <w:trHeight w:hRule="exact" w:val="369"/>
          <w:jc w:val="center"/>
        </w:trPr>
        <w:tc>
          <w:tcPr>
            <w:tcW w:w="2651" w:type="pct"/>
            <w:tcBorders>
              <w:top w:val="single" w:sz="4" w:space="0" w:color="606075"/>
              <w:left w:val="single" w:sz="4" w:space="0" w:color="606075"/>
              <w:bottom w:val="single" w:sz="4" w:space="0" w:color="606075"/>
              <w:right w:val="single" w:sz="4" w:space="0" w:color="606075"/>
            </w:tcBorders>
            <w:noWrap/>
            <w:vAlign w:val="center"/>
          </w:tcPr>
          <w:p w14:paraId="58FA798B" w14:textId="55AD18CD" w:rsidR="001559AA" w:rsidRPr="005060E0" w:rsidRDefault="001559AA" w:rsidP="001559AA">
            <w:pPr>
              <w:tabs>
                <w:tab w:val="left" w:pos="6804"/>
              </w:tabs>
              <w:spacing w:before="60" w:after="60" w:line="240" w:lineRule="auto"/>
              <w:rPr>
                <w:rFonts w:eastAsia="Times New Roman" w:cstheme="majorHAnsi"/>
                <w:bCs/>
                <w:kern w:val="32"/>
                <w:sz w:val="16"/>
                <w:szCs w:val="16"/>
                <w:lang w:bidi="en-US"/>
              </w:rPr>
            </w:pPr>
            <w:r w:rsidRPr="005060E0">
              <w:rPr>
                <w:rFonts w:eastAsia="Times New Roman" w:cstheme="majorHAnsi"/>
                <w:bCs/>
                <w:kern w:val="32"/>
                <w:sz w:val="16"/>
                <w:szCs w:val="16"/>
                <w:lang w:bidi="en-US"/>
              </w:rPr>
              <w:t>SA: Adelaide</w:t>
            </w:r>
          </w:p>
        </w:tc>
        <w:tc>
          <w:tcPr>
            <w:tcW w:w="2349" w:type="pct"/>
            <w:tcBorders>
              <w:top w:val="single" w:sz="4" w:space="0" w:color="606075"/>
              <w:left w:val="single" w:sz="4" w:space="0" w:color="606075"/>
              <w:bottom w:val="single" w:sz="4" w:space="0" w:color="606075"/>
              <w:right w:val="single" w:sz="4" w:space="0" w:color="606075"/>
            </w:tcBorders>
            <w:noWrap/>
            <w:vAlign w:val="center"/>
          </w:tcPr>
          <w:p w14:paraId="1C159D6B" w14:textId="343372C3" w:rsidR="001559AA" w:rsidRPr="005060E0" w:rsidRDefault="00C2053D" w:rsidP="00F8686C">
            <w:pPr>
              <w:tabs>
                <w:tab w:val="left" w:pos="6804"/>
              </w:tabs>
              <w:spacing w:before="60" w:after="60" w:line="240" w:lineRule="auto"/>
              <w:ind w:right="1914"/>
              <w:jc w:val="right"/>
              <w:rPr>
                <w:rFonts w:eastAsia="Times New Roman" w:cstheme="majorHAnsi"/>
                <w:bCs/>
                <w:kern w:val="32"/>
                <w:sz w:val="16"/>
                <w:szCs w:val="16"/>
                <w:lang w:bidi="en-US"/>
              </w:rPr>
            </w:pPr>
            <w:r w:rsidRPr="005060E0">
              <w:rPr>
                <w:rFonts w:eastAsia="Times New Roman" w:cstheme="majorHAnsi"/>
                <w:bCs/>
                <w:kern w:val="32"/>
                <w:sz w:val="16"/>
                <w:szCs w:val="16"/>
                <w:lang w:bidi="en-US"/>
              </w:rPr>
              <w:t>1,800</w:t>
            </w:r>
          </w:p>
        </w:tc>
      </w:tr>
      <w:tr w:rsidR="001559AA" w:rsidRPr="005060E0" w14:paraId="0FA5EB5B" w14:textId="77777777" w:rsidTr="00F8686C">
        <w:trPr>
          <w:trHeight w:hRule="exact" w:val="369"/>
          <w:jc w:val="center"/>
        </w:trPr>
        <w:tc>
          <w:tcPr>
            <w:tcW w:w="2651" w:type="pct"/>
            <w:tcBorders>
              <w:top w:val="single" w:sz="4" w:space="0" w:color="606075"/>
              <w:left w:val="single" w:sz="4" w:space="0" w:color="606075"/>
              <w:bottom w:val="single" w:sz="4" w:space="0" w:color="606075"/>
              <w:right w:val="single" w:sz="4" w:space="0" w:color="606075"/>
            </w:tcBorders>
            <w:noWrap/>
            <w:vAlign w:val="center"/>
          </w:tcPr>
          <w:p w14:paraId="28552B1B" w14:textId="368CE470" w:rsidR="001559AA" w:rsidRPr="005060E0" w:rsidRDefault="001559AA" w:rsidP="001559AA">
            <w:pPr>
              <w:tabs>
                <w:tab w:val="left" w:pos="6804"/>
              </w:tabs>
              <w:spacing w:before="60" w:after="60" w:line="240" w:lineRule="auto"/>
              <w:rPr>
                <w:rFonts w:eastAsia="Times New Roman" w:cstheme="majorHAnsi"/>
                <w:bCs/>
                <w:kern w:val="32"/>
                <w:sz w:val="16"/>
                <w:szCs w:val="16"/>
                <w:lang w:bidi="en-US"/>
              </w:rPr>
            </w:pPr>
            <w:r w:rsidRPr="005060E0">
              <w:rPr>
                <w:rFonts w:eastAsia="Times New Roman" w:cstheme="majorHAnsi"/>
                <w:bCs/>
                <w:kern w:val="32"/>
                <w:sz w:val="16"/>
                <w:szCs w:val="16"/>
                <w:lang w:bidi="en-US"/>
              </w:rPr>
              <w:t>WA: Perth</w:t>
            </w:r>
          </w:p>
        </w:tc>
        <w:tc>
          <w:tcPr>
            <w:tcW w:w="2349" w:type="pct"/>
            <w:tcBorders>
              <w:top w:val="single" w:sz="4" w:space="0" w:color="606075"/>
              <w:left w:val="single" w:sz="4" w:space="0" w:color="606075"/>
              <w:bottom w:val="single" w:sz="4" w:space="0" w:color="606075"/>
              <w:right w:val="single" w:sz="4" w:space="0" w:color="606075"/>
            </w:tcBorders>
            <w:noWrap/>
            <w:vAlign w:val="center"/>
          </w:tcPr>
          <w:p w14:paraId="66636EFE" w14:textId="78C56880" w:rsidR="001559AA" w:rsidRPr="005060E0" w:rsidRDefault="00C2053D" w:rsidP="00F8686C">
            <w:pPr>
              <w:tabs>
                <w:tab w:val="left" w:pos="6804"/>
              </w:tabs>
              <w:spacing w:before="60" w:after="60" w:line="240" w:lineRule="auto"/>
              <w:ind w:right="1914"/>
              <w:jc w:val="right"/>
              <w:rPr>
                <w:rFonts w:eastAsia="Times New Roman" w:cstheme="majorHAnsi"/>
                <w:bCs/>
                <w:kern w:val="32"/>
                <w:sz w:val="16"/>
                <w:szCs w:val="16"/>
                <w:lang w:bidi="en-US"/>
              </w:rPr>
            </w:pPr>
            <w:r w:rsidRPr="005060E0">
              <w:rPr>
                <w:rFonts w:eastAsia="Times New Roman" w:cstheme="majorHAnsi"/>
                <w:bCs/>
                <w:kern w:val="32"/>
                <w:sz w:val="16"/>
                <w:szCs w:val="16"/>
                <w:lang w:bidi="en-US"/>
              </w:rPr>
              <w:t>8,500</w:t>
            </w:r>
          </w:p>
        </w:tc>
      </w:tr>
      <w:tr w:rsidR="001559AA" w:rsidRPr="005060E0" w14:paraId="176F25C0" w14:textId="77777777" w:rsidTr="00F8686C">
        <w:trPr>
          <w:trHeight w:hRule="exact" w:val="369"/>
          <w:jc w:val="center"/>
        </w:trPr>
        <w:tc>
          <w:tcPr>
            <w:tcW w:w="2651" w:type="pct"/>
            <w:tcBorders>
              <w:top w:val="single" w:sz="4" w:space="0" w:color="606075"/>
              <w:left w:val="single" w:sz="4" w:space="0" w:color="606075"/>
              <w:bottom w:val="single" w:sz="4" w:space="0" w:color="606075"/>
              <w:right w:val="single" w:sz="4" w:space="0" w:color="606075"/>
            </w:tcBorders>
            <w:noWrap/>
            <w:vAlign w:val="center"/>
          </w:tcPr>
          <w:p w14:paraId="2E15F746" w14:textId="41EB5CEB" w:rsidR="001559AA" w:rsidRPr="005060E0" w:rsidRDefault="001559AA" w:rsidP="001559AA">
            <w:pPr>
              <w:tabs>
                <w:tab w:val="left" w:pos="6804"/>
              </w:tabs>
              <w:spacing w:before="60" w:after="60" w:line="240" w:lineRule="auto"/>
              <w:rPr>
                <w:rFonts w:eastAsia="Times New Roman" w:cstheme="majorHAnsi"/>
                <w:bCs/>
                <w:kern w:val="32"/>
                <w:sz w:val="16"/>
                <w:szCs w:val="16"/>
                <w:lang w:bidi="en-US"/>
              </w:rPr>
            </w:pPr>
            <w:r w:rsidRPr="005060E0">
              <w:rPr>
                <w:rFonts w:eastAsia="Times New Roman" w:cstheme="majorHAnsi"/>
                <w:bCs/>
                <w:kern w:val="32"/>
                <w:sz w:val="16"/>
                <w:szCs w:val="16"/>
                <w:lang w:bidi="en-US"/>
              </w:rPr>
              <w:t>TAS: Hobart</w:t>
            </w:r>
          </w:p>
        </w:tc>
        <w:tc>
          <w:tcPr>
            <w:tcW w:w="2349" w:type="pct"/>
            <w:tcBorders>
              <w:top w:val="single" w:sz="4" w:space="0" w:color="606075"/>
              <w:left w:val="single" w:sz="4" w:space="0" w:color="606075"/>
              <w:bottom w:val="single" w:sz="4" w:space="0" w:color="606075"/>
              <w:right w:val="single" w:sz="4" w:space="0" w:color="606075"/>
            </w:tcBorders>
            <w:noWrap/>
            <w:vAlign w:val="center"/>
          </w:tcPr>
          <w:p w14:paraId="1BBC0742" w14:textId="39984618" w:rsidR="001559AA" w:rsidRPr="005060E0" w:rsidRDefault="00C2053D" w:rsidP="00F8686C">
            <w:pPr>
              <w:tabs>
                <w:tab w:val="left" w:pos="6804"/>
              </w:tabs>
              <w:spacing w:before="60" w:after="60" w:line="240" w:lineRule="auto"/>
              <w:ind w:right="1914"/>
              <w:jc w:val="right"/>
              <w:rPr>
                <w:rFonts w:eastAsia="Times New Roman" w:cstheme="majorHAnsi"/>
                <w:bCs/>
                <w:kern w:val="32"/>
                <w:sz w:val="16"/>
                <w:szCs w:val="16"/>
                <w:lang w:bidi="en-US"/>
              </w:rPr>
            </w:pPr>
            <w:r w:rsidRPr="005060E0">
              <w:rPr>
                <w:rFonts w:eastAsia="Times New Roman" w:cstheme="majorHAnsi"/>
                <w:bCs/>
                <w:kern w:val="32"/>
                <w:sz w:val="16"/>
                <w:szCs w:val="16"/>
                <w:lang w:bidi="en-US"/>
              </w:rPr>
              <w:t>1,100</w:t>
            </w:r>
          </w:p>
        </w:tc>
      </w:tr>
      <w:tr w:rsidR="001559AA" w:rsidRPr="005060E0" w14:paraId="7E7103D1" w14:textId="77777777" w:rsidTr="00F8686C">
        <w:trPr>
          <w:trHeight w:hRule="exact" w:val="369"/>
          <w:jc w:val="center"/>
        </w:trPr>
        <w:tc>
          <w:tcPr>
            <w:tcW w:w="2651" w:type="pct"/>
            <w:tcBorders>
              <w:top w:val="single" w:sz="4" w:space="0" w:color="606075"/>
              <w:left w:val="single" w:sz="4" w:space="0" w:color="606075"/>
              <w:bottom w:val="single" w:sz="4" w:space="0" w:color="606075"/>
              <w:right w:val="single" w:sz="4" w:space="0" w:color="606075"/>
            </w:tcBorders>
            <w:noWrap/>
            <w:vAlign w:val="center"/>
          </w:tcPr>
          <w:p w14:paraId="45DA51BB" w14:textId="68FE005D" w:rsidR="001559AA" w:rsidRPr="005060E0" w:rsidRDefault="001559AA" w:rsidP="001559AA">
            <w:pPr>
              <w:tabs>
                <w:tab w:val="left" w:pos="6804"/>
              </w:tabs>
              <w:spacing w:before="60" w:after="60" w:line="240" w:lineRule="auto"/>
              <w:rPr>
                <w:rFonts w:eastAsia="Times New Roman" w:cstheme="majorHAnsi"/>
                <w:bCs/>
                <w:kern w:val="32"/>
                <w:sz w:val="16"/>
                <w:szCs w:val="16"/>
                <w:lang w:bidi="en-US"/>
              </w:rPr>
            </w:pPr>
            <w:r w:rsidRPr="005060E0">
              <w:rPr>
                <w:rFonts w:eastAsia="Times New Roman" w:cstheme="majorHAnsi"/>
                <w:bCs/>
                <w:kern w:val="32"/>
                <w:sz w:val="16"/>
                <w:szCs w:val="16"/>
                <w:lang w:bidi="en-US"/>
              </w:rPr>
              <w:t>NT: Darwin</w:t>
            </w:r>
          </w:p>
        </w:tc>
        <w:tc>
          <w:tcPr>
            <w:tcW w:w="2349" w:type="pct"/>
            <w:tcBorders>
              <w:top w:val="single" w:sz="4" w:space="0" w:color="606075"/>
              <w:left w:val="single" w:sz="4" w:space="0" w:color="606075"/>
              <w:bottom w:val="single" w:sz="4" w:space="0" w:color="606075"/>
              <w:right w:val="single" w:sz="4" w:space="0" w:color="606075"/>
            </w:tcBorders>
            <w:noWrap/>
            <w:vAlign w:val="center"/>
          </w:tcPr>
          <w:p w14:paraId="637E46DA" w14:textId="6A0CDCF2" w:rsidR="001559AA" w:rsidRPr="005060E0" w:rsidRDefault="00C2053D" w:rsidP="00F8686C">
            <w:pPr>
              <w:tabs>
                <w:tab w:val="left" w:pos="6804"/>
              </w:tabs>
              <w:spacing w:before="60" w:after="60" w:line="240" w:lineRule="auto"/>
              <w:ind w:right="1914"/>
              <w:jc w:val="right"/>
              <w:rPr>
                <w:rFonts w:eastAsia="Times New Roman" w:cstheme="majorHAnsi"/>
                <w:bCs/>
                <w:kern w:val="32"/>
                <w:sz w:val="16"/>
                <w:szCs w:val="16"/>
                <w:lang w:bidi="en-US"/>
              </w:rPr>
            </w:pPr>
            <w:r w:rsidRPr="005060E0">
              <w:rPr>
                <w:rFonts w:eastAsia="Times New Roman" w:cstheme="majorHAnsi"/>
                <w:bCs/>
                <w:kern w:val="32"/>
                <w:sz w:val="16"/>
                <w:szCs w:val="16"/>
                <w:lang w:bidi="en-US"/>
              </w:rPr>
              <w:t>540</w:t>
            </w:r>
          </w:p>
        </w:tc>
      </w:tr>
      <w:tr w:rsidR="001559AA" w:rsidRPr="005060E0" w14:paraId="251722A1" w14:textId="77777777" w:rsidTr="00F8686C">
        <w:trPr>
          <w:trHeight w:hRule="exact" w:val="369"/>
          <w:jc w:val="center"/>
        </w:trPr>
        <w:tc>
          <w:tcPr>
            <w:tcW w:w="2651" w:type="pct"/>
            <w:tcBorders>
              <w:top w:val="single" w:sz="4" w:space="0" w:color="606075"/>
              <w:left w:val="single" w:sz="4" w:space="0" w:color="606075"/>
              <w:bottom w:val="single" w:sz="4" w:space="0" w:color="606075"/>
              <w:right w:val="single" w:sz="4" w:space="0" w:color="606075"/>
            </w:tcBorders>
            <w:noWrap/>
            <w:vAlign w:val="center"/>
            <w:hideMark/>
          </w:tcPr>
          <w:p w14:paraId="22676880" w14:textId="75DFA01F" w:rsidR="001559AA" w:rsidRPr="005060E0" w:rsidRDefault="001559AA" w:rsidP="001559AA">
            <w:pPr>
              <w:tabs>
                <w:tab w:val="left" w:pos="6804"/>
              </w:tabs>
              <w:spacing w:before="60" w:after="60" w:line="240" w:lineRule="auto"/>
              <w:rPr>
                <w:rFonts w:eastAsia="Times New Roman" w:cstheme="majorHAnsi"/>
                <w:bCs/>
                <w:kern w:val="32"/>
                <w:sz w:val="16"/>
                <w:szCs w:val="16"/>
                <w:lang w:bidi="en-US"/>
              </w:rPr>
            </w:pPr>
            <w:r w:rsidRPr="005060E0">
              <w:rPr>
                <w:rFonts w:eastAsia="Times New Roman" w:cstheme="majorHAnsi"/>
                <w:bCs/>
                <w:kern w:val="32"/>
                <w:sz w:val="16"/>
                <w:szCs w:val="16"/>
                <w:lang w:bidi="en-US"/>
              </w:rPr>
              <w:t>ACT: Canberra</w:t>
            </w:r>
          </w:p>
        </w:tc>
        <w:tc>
          <w:tcPr>
            <w:tcW w:w="2349" w:type="pct"/>
            <w:tcBorders>
              <w:top w:val="single" w:sz="4" w:space="0" w:color="606075"/>
              <w:left w:val="single" w:sz="4" w:space="0" w:color="606075"/>
              <w:bottom w:val="single" w:sz="4" w:space="0" w:color="606075"/>
              <w:right w:val="single" w:sz="4" w:space="0" w:color="606075"/>
            </w:tcBorders>
            <w:noWrap/>
            <w:vAlign w:val="center"/>
            <w:hideMark/>
          </w:tcPr>
          <w:p w14:paraId="7420B044" w14:textId="41FC49AE" w:rsidR="001559AA" w:rsidRPr="005060E0" w:rsidRDefault="00C2053D" w:rsidP="00F8686C">
            <w:pPr>
              <w:tabs>
                <w:tab w:val="left" w:pos="6804"/>
              </w:tabs>
              <w:spacing w:before="60" w:after="60" w:line="240" w:lineRule="auto"/>
              <w:ind w:right="1914"/>
              <w:jc w:val="right"/>
              <w:rPr>
                <w:rFonts w:eastAsia="Times New Roman" w:cstheme="majorHAnsi"/>
                <w:bCs/>
                <w:kern w:val="32"/>
                <w:sz w:val="16"/>
                <w:szCs w:val="16"/>
                <w:lang w:bidi="en-US"/>
              </w:rPr>
            </w:pPr>
            <w:r w:rsidRPr="005060E0">
              <w:rPr>
                <w:rFonts w:eastAsia="Times New Roman" w:cstheme="majorHAnsi"/>
                <w:bCs/>
                <w:kern w:val="32"/>
                <w:sz w:val="16"/>
                <w:szCs w:val="16"/>
                <w:lang w:bidi="en-US"/>
              </w:rPr>
              <w:t>350</w:t>
            </w:r>
          </w:p>
        </w:tc>
      </w:tr>
    </w:tbl>
    <w:p w14:paraId="4CE95710" w14:textId="6615ABE0" w:rsidR="00176DBC" w:rsidRPr="005060E0" w:rsidRDefault="00176DBC" w:rsidP="00F51ED1">
      <w:pPr>
        <w:spacing w:after="0" w:line="240" w:lineRule="auto"/>
      </w:pPr>
      <w:bookmarkStart w:id="98" w:name="_Toc479858895"/>
    </w:p>
    <w:p w14:paraId="390AB577" w14:textId="3E9CE9B5" w:rsidR="00B80970" w:rsidRPr="005060E0" w:rsidRDefault="007275CF" w:rsidP="0043533F">
      <w:pPr>
        <w:pStyle w:val="Heading2"/>
      </w:pPr>
      <w:bookmarkStart w:id="99" w:name="_Toc3278953"/>
      <w:r w:rsidRPr="005060E0">
        <w:t>H</w:t>
      </w:r>
      <w:r w:rsidR="00B80970" w:rsidRPr="005060E0">
        <w:t>ealth evidence</w:t>
      </w:r>
      <w:bookmarkEnd w:id="99"/>
    </w:p>
    <w:p w14:paraId="6AE063DB" w14:textId="2EE5DF3A" w:rsidR="00B80970" w:rsidRPr="005060E0" w:rsidRDefault="00B80970" w:rsidP="00B80970">
      <w:pPr>
        <w:spacing w:after="120" w:line="288" w:lineRule="auto"/>
        <w:rPr>
          <w:rFonts w:asciiTheme="minorHAnsi" w:hAnsiTheme="minorHAnsi" w:cstheme="minorHAnsi"/>
          <w:szCs w:val="20"/>
        </w:rPr>
      </w:pPr>
      <w:r w:rsidRPr="005060E0">
        <w:rPr>
          <w:rFonts w:asciiTheme="minorHAnsi" w:hAnsiTheme="minorHAnsi" w:cstheme="minorHAnsi"/>
          <w:szCs w:val="20"/>
        </w:rPr>
        <w:t xml:space="preserve">A </w:t>
      </w:r>
      <w:r w:rsidR="00A435FA" w:rsidRPr="005060E0">
        <w:rPr>
          <w:rFonts w:asciiTheme="minorHAnsi" w:hAnsiTheme="minorHAnsi" w:cstheme="minorHAnsi"/>
          <w:szCs w:val="20"/>
        </w:rPr>
        <w:t xml:space="preserve">detailed, up-to-date </w:t>
      </w:r>
      <w:r w:rsidRPr="005060E0">
        <w:rPr>
          <w:rFonts w:asciiTheme="minorHAnsi" w:hAnsiTheme="minorHAnsi" w:cstheme="minorHAnsi"/>
          <w:szCs w:val="20"/>
        </w:rPr>
        <w:t>review of the health effects of SO</w:t>
      </w:r>
      <w:r w:rsidRPr="005060E0">
        <w:rPr>
          <w:rFonts w:asciiTheme="minorHAnsi" w:hAnsiTheme="minorHAnsi" w:cstheme="minorHAnsi"/>
          <w:szCs w:val="20"/>
          <w:vertAlign w:val="subscript"/>
        </w:rPr>
        <w:t>2</w:t>
      </w:r>
      <w:r w:rsidRPr="005060E0">
        <w:rPr>
          <w:rFonts w:asciiTheme="minorHAnsi" w:hAnsiTheme="minorHAnsi" w:cstheme="minorHAnsi"/>
          <w:szCs w:val="20"/>
        </w:rPr>
        <w:t xml:space="preserve"> can be found in Appendix B, and the main findings are summarised below.</w:t>
      </w:r>
    </w:p>
    <w:p w14:paraId="3D63A94B" w14:textId="43B181B2" w:rsidR="00B80970" w:rsidRPr="005060E0" w:rsidRDefault="00B80970" w:rsidP="00B80970">
      <w:r w:rsidRPr="005060E0">
        <w:t>Since the adoption of the AAQ NEPM in 1998, there has been a large amount of research on short-term exposure to SO</w:t>
      </w:r>
      <w:r w:rsidRPr="005060E0">
        <w:rPr>
          <w:vertAlign w:val="subscript"/>
        </w:rPr>
        <w:t>2</w:t>
      </w:r>
      <w:r w:rsidRPr="005060E0">
        <w:t xml:space="preserve"> in ambient air, and this has been extensively reviewed (e.g. USEPA 2008; WHO 2013</w:t>
      </w:r>
      <w:r w:rsidR="00F8686C" w:rsidRPr="005060E0">
        <w:t>b</w:t>
      </w:r>
      <w:r w:rsidRPr="005060E0">
        <w:t>). The findings of recent studies have strengthened the evidence that the main health effects associated with SO</w:t>
      </w:r>
      <w:r w:rsidRPr="005060E0">
        <w:rPr>
          <w:vertAlign w:val="subscript"/>
        </w:rPr>
        <w:t>2</w:t>
      </w:r>
      <w:r w:rsidRPr="005060E0">
        <w:t xml:space="preserve"> are short-term effects on the respiratory system. Studies have found that exposure to SO</w:t>
      </w:r>
      <w:r w:rsidRPr="005060E0">
        <w:rPr>
          <w:vertAlign w:val="subscript"/>
        </w:rPr>
        <w:t>2</w:t>
      </w:r>
      <w:r w:rsidRPr="005060E0">
        <w:t xml:space="preserve"> for </w:t>
      </w:r>
      <w:r w:rsidR="00F8686C" w:rsidRPr="005060E0">
        <w:t>one</w:t>
      </w:r>
      <w:r w:rsidRPr="005060E0">
        <w:t xml:space="preserve"> hour to 24 hours is associated with increases in daily mortality and hospital admissions, mainly for respiratory causes. Increases in mortality have also been found with cardiovascular disease. Increases in emergency department attendances for children (&lt;15 years) with asthma have also been linked with exposure to SO</w:t>
      </w:r>
      <w:r w:rsidRPr="005060E0">
        <w:rPr>
          <w:vertAlign w:val="subscript"/>
        </w:rPr>
        <w:t>2</w:t>
      </w:r>
      <w:r w:rsidRPr="005060E0">
        <w:t xml:space="preserve">. Children, people over 65 years of age, and people with existing disease (respiratory, cardiovascular and asthma) are </w:t>
      </w:r>
      <w:r w:rsidR="00D80C09" w:rsidRPr="005060E0">
        <w:t>the groups</w:t>
      </w:r>
      <w:r w:rsidRPr="005060E0">
        <w:t xml:space="preserve"> that are most susceptible to the effects of SO</w:t>
      </w:r>
      <w:r w:rsidRPr="005060E0">
        <w:rPr>
          <w:vertAlign w:val="subscript"/>
        </w:rPr>
        <w:t>2</w:t>
      </w:r>
      <w:r w:rsidRPr="005060E0">
        <w:t>.</w:t>
      </w:r>
    </w:p>
    <w:p w14:paraId="63BEDEBD" w14:textId="3A9BD1CA" w:rsidR="00552EE5" w:rsidRPr="005060E0" w:rsidRDefault="00552EE5" w:rsidP="00A45578">
      <w:r w:rsidRPr="005060E0">
        <w:t>Since 1998 there have been a number of Australian studies linking exposure to SO</w:t>
      </w:r>
      <w:r w:rsidRPr="005060E0">
        <w:rPr>
          <w:vertAlign w:val="subscript"/>
        </w:rPr>
        <w:t>2</w:t>
      </w:r>
      <w:r w:rsidR="001B7EDE" w:rsidRPr="005060E0">
        <w:t xml:space="preserve"> with</w:t>
      </w:r>
      <w:r w:rsidRPr="005060E0">
        <w:t xml:space="preserve"> mortality and morbidity. The results of these studies have shown that the associations found in overseas studies</w:t>
      </w:r>
      <w:r w:rsidR="00F8686C" w:rsidRPr="005060E0">
        <w:t xml:space="preserve"> </w:t>
      </w:r>
      <w:r w:rsidRPr="005060E0">
        <w:t>have also been found in Australian cities, even though the SO</w:t>
      </w:r>
      <w:r w:rsidRPr="005060E0">
        <w:rPr>
          <w:vertAlign w:val="subscript"/>
        </w:rPr>
        <w:t>2</w:t>
      </w:r>
      <w:r w:rsidR="001B7EDE" w:rsidRPr="005060E0">
        <w:t xml:space="preserve"> levels measured</w:t>
      </w:r>
      <w:r w:rsidRPr="005060E0">
        <w:t xml:space="preserve"> in Australia are generally lower than tho</w:t>
      </w:r>
      <w:r w:rsidR="001B7EDE" w:rsidRPr="005060E0">
        <w:t>se in North America and Europe.</w:t>
      </w:r>
    </w:p>
    <w:bookmarkEnd w:id="98"/>
    <w:p w14:paraId="434BA6ED" w14:textId="5668C9A9" w:rsidR="008A06CF" w:rsidRPr="005060E0" w:rsidRDefault="00D56B82" w:rsidP="00D56B82">
      <w:pPr>
        <w:spacing w:after="120" w:line="288" w:lineRule="auto"/>
        <w:rPr>
          <w:rFonts w:asciiTheme="minorHAnsi" w:hAnsiTheme="minorHAnsi" w:cstheme="minorHAnsi"/>
          <w:szCs w:val="20"/>
        </w:rPr>
      </w:pPr>
      <w:r w:rsidRPr="005060E0">
        <w:rPr>
          <w:rFonts w:asciiTheme="minorHAnsi" w:hAnsiTheme="minorHAnsi" w:cstheme="minorHAnsi"/>
          <w:szCs w:val="20"/>
        </w:rPr>
        <w:t>The evidence for long-term health effects associated with SO</w:t>
      </w:r>
      <w:r w:rsidRPr="005060E0">
        <w:rPr>
          <w:rFonts w:asciiTheme="minorHAnsi" w:hAnsiTheme="minorHAnsi" w:cstheme="minorHAnsi"/>
          <w:szCs w:val="20"/>
          <w:vertAlign w:val="subscript"/>
        </w:rPr>
        <w:t>2</w:t>
      </w:r>
      <w:r w:rsidRPr="005060E0">
        <w:rPr>
          <w:rFonts w:asciiTheme="minorHAnsi" w:hAnsiTheme="minorHAnsi" w:cstheme="minorHAnsi"/>
          <w:szCs w:val="20"/>
        </w:rPr>
        <w:t xml:space="preserve"> is weak</w:t>
      </w:r>
      <w:r w:rsidR="005E5782" w:rsidRPr="005060E0">
        <w:rPr>
          <w:rFonts w:asciiTheme="minorHAnsi" w:hAnsiTheme="minorHAnsi" w:cstheme="minorHAnsi"/>
          <w:szCs w:val="20"/>
        </w:rPr>
        <w:t xml:space="preserve">, although the data are limited. </w:t>
      </w:r>
      <w:r w:rsidRPr="005060E0">
        <w:rPr>
          <w:rFonts w:asciiTheme="minorHAnsi" w:hAnsiTheme="minorHAnsi" w:cstheme="minorHAnsi"/>
          <w:szCs w:val="20"/>
        </w:rPr>
        <w:t>The lack of consistency across studies, inability to distinguish potential confounding by co-pollutants, and uncertainties regarding the geographic scale of analysis, limit the interpretation of a causal relationship (</w:t>
      </w:r>
      <w:r w:rsidR="00886AA9" w:rsidRPr="005060E0">
        <w:rPr>
          <w:rFonts w:asciiTheme="minorHAnsi" w:hAnsiTheme="minorHAnsi" w:cstheme="minorHAnsi"/>
          <w:szCs w:val="20"/>
        </w:rPr>
        <w:t>USEPA 2008</w:t>
      </w:r>
      <w:r w:rsidR="008A06CF" w:rsidRPr="005060E0">
        <w:rPr>
          <w:rFonts w:asciiTheme="minorHAnsi" w:hAnsiTheme="minorHAnsi" w:cstheme="minorHAnsi"/>
          <w:szCs w:val="20"/>
        </w:rPr>
        <w:t xml:space="preserve">). </w:t>
      </w:r>
      <w:r w:rsidRPr="005060E0">
        <w:rPr>
          <w:rFonts w:asciiTheme="minorHAnsi" w:hAnsiTheme="minorHAnsi" w:cstheme="minorHAnsi"/>
          <w:szCs w:val="20"/>
        </w:rPr>
        <w:t>A major consideration in evaluating SO</w:t>
      </w:r>
      <w:r w:rsidRPr="005060E0">
        <w:rPr>
          <w:rFonts w:asciiTheme="minorHAnsi" w:hAnsiTheme="minorHAnsi" w:cstheme="minorHAnsi"/>
          <w:szCs w:val="20"/>
          <w:vertAlign w:val="subscript"/>
        </w:rPr>
        <w:t>2</w:t>
      </w:r>
      <w:r w:rsidRPr="005060E0">
        <w:rPr>
          <w:rFonts w:asciiTheme="minorHAnsi" w:hAnsiTheme="minorHAnsi" w:cstheme="minorHAnsi"/>
          <w:szCs w:val="20"/>
        </w:rPr>
        <w:t>-related health effects and long-term exposure is the high correlation, and potential confounding, among the co-pollutant levels observed, particularly between long-term average particle concentrations and SO</w:t>
      </w:r>
      <w:r w:rsidRPr="005060E0">
        <w:rPr>
          <w:rFonts w:asciiTheme="minorHAnsi" w:hAnsiTheme="minorHAnsi" w:cstheme="minorHAnsi"/>
          <w:szCs w:val="20"/>
          <w:vertAlign w:val="subscript"/>
        </w:rPr>
        <w:t>2</w:t>
      </w:r>
      <w:r w:rsidRPr="005060E0">
        <w:rPr>
          <w:rFonts w:asciiTheme="minorHAnsi" w:hAnsiTheme="minorHAnsi" w:cstheme="minorHAnsi"/>
          <w:szCs w:val="20"/>
        </w:rPr>
        <w:t>.</w:t>
      </w:r>
    </w:p>
    <w:p w14:paraId="2D0BCEDE" w14:textId="6626302C" w:rsidR="00D17C37" w:rsidRPr="005060E0" w:rsidRDefault="00733F81" w:rsidP="0043533F">
      <w:pPr>
        <w:pStyle w:val="Heading2"/>
      </w:pPr>
      <w:bookmarkStart w:id="100" w:name="_Toc3278954"/>
      <w:r w:rsidRPr="005060E0">
        <w:t>World Health Organization</w:t>
      </w:r>
      <w:r w:rsidR="00E251DF" w:rsidRPr="005060E0">
        <w:t xml:space="preserve"> guidelines</w:t>
      </w:r>
      <w:bookmarkEnd w:id="100"/>
    </w:p>
    <w:p w14:paraId="161FD931" w14:textId="1E838484" w:rsidR="00D0602D" w:rsidRPr="005060E0" w:rsidRDefault="00C334DB" w:rsidP="00D86E84">
      <w:pPr>
        <w:spacing w:after="360" w:line="288" w:lineRule="auto"/>
      </w:pPr>
      <w:r w:rsidRPr="005060E0">
        <w:rPr>
          <w:rFonts w:asciiTheme="minorHAnsi" w:hAnsiTheme="minorHAnsi" w:cstheme="minorHAnsi"/>
          <w:szCs w:val="20"/>
        </w:rPr>
        <w:t>The current WHO guidelines for SO</w:t>
      </w:r>
      <w:r w:rsidRPr="005060E0">
        <w:rPr>
          <w:rFonts w:asciiTheme="minorHAnsi" w:hAnsiTheme="minorHAnsi" w:cstheme="minorHAnsi"/>
          <w:szCs w:val="20"/>
          <w:vertAlign w:val="subscript"/>
        </w:rPr>
        <w:t>2</w:t>
      </w:r>
      <w:r w:rsidR="00BF7E9F" w:rsidRPr="005060E0">
        <w:rPr>
          <w:rFonts w:asciiTheme="minorHAnsi" w:hAnsiTheme="minorHAnsi" w:cstheme="minorHAnsi"/>
          <w:szCs w:val="20"/>
        </w:rPr>
        <w:t xml:space="preserve">, as defined in the 2005 global update (WHO 2006), </w:t>
      </w:r>
      <w:r w:rsidRPr="005060E0">
        <w:rPr>
          <w:rFonts w:asciiTheme="minorHAnsi" w:hAnsiTheme="minorHAnsi" w:cstheme="minorHAnsi"/>
          <w:szCs w:val="20"/>
        </w:rPr>
        <w:t xml:space="preserve">are given in </w:t>
      </w:r>
      <w:r w:rsidRPr="005060E0">
        <w:rPr>
          <w:rFonts w:asciiTheme="minorHAnsi" w:hAnsiTheme="minorHAnsi" w:cstheme="minorHAnsi"/>
          <w:szCs w:val="20"/>
        </w:rPr>
        <w:fldChar w:fldCharType="begin"/>
      </w:r>
      <w:r w:rsidRPr="005060E0">
        <w:rPr>
          <w:rFonts w:asciiTheme="minorHAnsi" w:hAnsiTheme="minorHAnsi" w:cstheme="minorHAnsi"/>
          <w:szCs w:val="20"/>
        </w:rPr>
        <w:instrText xml:space="preserve"> REF _Ref506049303 \h </w:instrText>
      </w:r>
      <w:r w:rsidRPr="005060E0">
        <w:rPr>
          <w:rFonts w:asciiTheme="minorHAnsi" w:hAnsiTheme="minorHAnsi" w:cstheme="minorHAnsi"/>
          <w:szCs w:val="20"/>
        </w:rPr>
      </w:r>
      <w:r w:rsidRPr="005060E0">
        <w:rPr>
          <w:rFonts w:asciiTheme="minorHAnsi" w:hAnsiTheme="minorHAnsi" w:cstheme="minorHAnsi"/>
          <w:szCs w:val="20"/>
        </w:rPr>
        <w:fldChar w:fldCharType="separate"/>
      </w:r>
      <w:r w:rsidR="00F2067C" w:rsidRPr="005060E0">
        <w:t>Table </w:t>
      </w:r>
      <w:r w:rsidR="00F2067C">
        <w:rPr>
          <w:noProof/>
        </w:rPr>
        <w:t>6</w:t>
      </w:r>
      <w:r w:rsidR="00F2067C" w:rsidRPr="005060E0">
        <w:noBreakHyphen/>
      </w:r>
      <w:r w:rsidR="00F2067C">
        <w:rPr>
          <w:noProof/>
        </w:rPr>
        <w:t>2</w:t>
      </w:r>
      <w:r w:rsidRPr="005060E0">
        <w:rPr>
          <w:rFonts w:asciiTheme="minorHAnsi" w:hAnsiTheme="minorHAnsi" w:cstheme="minorHAnsi"/>
          <w:szCs w:val="20"/>
        </w:rPr>
        <w:fldChar w:fldCharType="end"/>
      </w:r>
      <w:r w:rsidRPr="005060E0">
        <w:rPr>
          <w:rFonts w:asciiTheme="minorHAnsi" w:hAnsiTheme="minorHAnsi" w:cstheme="minorHAnsi"/>
          <w:szCs w:val="20"/>
        </w:rPr>
        <w:t>.</w:t>
      </w:r>
      <w:r w:rsidR="00D0602D" w:rsidRPr="005060E0">
        <w:rPr>
          <w:rFonts w:asciiTheme="minorHAnsi" w:hAnsiTheme="minorHAnsi" w:cstheme="minorHAnsi"/>
          <w:szCs w:val="20"/>
        </w:rPr>
        <w:t xml:space="preserve"> WHO currently has SO</w:t>
      </w:r>
      <w:r w:rsidR="00D0602D" w:rsidRPr="005060E0">
        <w:rPr>
          <w:rFonts w:asciiTheme="minorHAnsi" w:hAnsiTheme="minorHAnsi" w:cstheme="minorHAnsi"/>
          <w:szCs w:val="20"/>
          <w:vertAlign w:val="subscript"/>
        </w:rPr>
        <w:t>2</w:t>
      </w:r>
      <w:r w:rsidR="00D0602D" w:rsidRPr="005060E0">
        <w:rPr>
          <w:rFonts w:asciiTheme="minorHAnsi" w:hAnsiTheme="minorHAnsi" w:cstheme="minorHAnsi"/>
          <w:szCs w:val="20"/>
        </w:rPr>
        <w:t xml:space="preserve"> guidelines for 10-minute and 24-hour averaging periods only.</w:t>
      </w:r>
      <w:r w:rsidR="00D0602D" w:rsidRPr="005060E0">
        <w:t xml:space="preserve"> Air quality data in Australia </w:t>
      </w:r>
      <w:r w:rsidR="00EC41A5" w:rsidRPr="005060E0">
        <w:t xml:space="preserve">and </w:t>
      </w:r>
      <w:r w:rsidR="00D0602D" w:rsidRPr="005060E0">
        <w:t>in other leading countries indicate that, in general, SO</w:t>
      </w:r>
      <w:r w:rsidR="00D0602D" w:rsidRPr="005060E0">
        <w:rPr>
          <w:vertAlign w:val="subscript"/>
        </w:rPr>
        <w:t>2</w:t>
      </w:r>
      <w:r w:rsidR="00D0602D" w:rsidRPr="005060E0">
        <w:t xml:space="preserve"> levels are low, with short-term peaks only experienced at locations close to major sources of SO</w:t>
      </w:r>
      <w:r w:rsidR="00D0602D" w:rsidRPr="005060E0">
        <w:rPr>
          <w:vertAlign w:val="subscript"/>
        </w:rPr>
        <w:t>2</w:t>
      </w:r>
      <w:r w:rsidR="00D0602D" w:rsidRPr="005060E0">
        <w:t>. This has led a number of international agencies to not set a 10-minute SO</w:t>
      </w:r>
      <w:r w:rsidR="00D0602D" w:rsidRPr="005060E0">
        <w:rPr>
          <w:vertAlign w:val="subscript"/>
        </w:rPr>
        <w:t>2</w:t>
      </w:r>
      <w:r w:rsidR="00D0602D" w:rsidRPr="005060E0">
        <w:t xml:space="preserve"> standard. </w:t>
      </w:r>
      <w:r w:rsidR="00D0602D" w:rsidRPr="005060E0">
        <w:rPr>
          <w:rFonts w:asciiTheme="minorHAnsi" w:hAnsiTheme="minorHAnsi" w:cstheme="minorHAnsi"/>
          <w:szCs w:val="20"/>
        </w:rPr>
        <w:t>The global update reduced the 24-hour guideline from 125 to 20</w:t>
      </w:r>
      <w:r w:rsidR="0030109C" w:rsidRPr="005060E0">
        <w:rPr>
          <w:rFonts w:asciiTheme="minorHAnsi" w:hAnsiTheme="minorHAnsi" w:cstheme="minorHAnsi"/>
          <w:szCs w:val="20"/>
        </w:rPr>
        <w:t> </w:t>
      </w:r>
      <w:r w:rsidR="00D0602D" w:rsidRPr="005060E0">
        <w:rPr>
          <w:rFonts w:asciiTheme="minorHAnsi" w:hAnsiTheme="minorHAnsi" w:cstheme="minorHAnsi"/>
          <w:szCs w:val="20"/>
        </w:rPr>
        <w:t>μg/m</w:t>
      </w:r>
      <w:r w:rsidR="00D0602D" w:rsidRPr="005060E0">
        <w:rPr>
          <w:rFonts w:asciiTheme="minorHAnsi" w:hAnsiTheme="minorHAnsi" w:cstheme="minorHAnsi"/>
          <w:szCs w:val="20"/>
          <w:vertAlign w:val="superscript"/>
        </w:rPr>
        <w:t>3</w:t>
      </w:r>
      <w:r w:rsidR="00D0602D" w:rsidRPr="005060E0">
        <w:rPr>
          <w:rFonts w:asciiTheme="minorHAnsi" w:hAnsiTheme="minorHAnsi" w:cstheme="minorHAnsi"/>
          <w:szCs w:val="20"/>
        </w:rPr>
        <w:t xml:space="preserve"> to reflect evidence showing that health effects were associated with much lower levels of SO</w:t>
      </w:r>
      <w:r w:rsidR="00D0602D" w:rsidRPr="005060E0">
        <w:rPr>
          <w:rFonts w:asciiTheme="minorHAnsi" w:hAnsiTheme="minorHAnsi" w:cstheme="minorHAnsi"/>
          <w:szCs w:val="20"/>
          <w:vertAlign w:val="subscript"/>
        </w:rPr>
        <w:t>2</w:t>
      </w:r>
      <w:r w:rsidR="00D0602D" w:rsidRPr="005060E0">
        <w:rPr>
          <w:rFonts w:asciiTheme="minorHAnsi" w:hAnsiTheme="minorHAnsi" w:cstheme="minorHAnsi"/>
          <w:szCs w:val="20"/>
        </w:rPr>
        <w:t xml:space="preserve"> than previously found.</w:t>
      </w:r>
      <w:r w:rsidR="00D0602D" w:rsidRPr="005060E0">
        <w:t xml:space="preserve"> </w:t>
      </w:r>
      <w:r w:rsidR="0030109C" w:rsidRPr="005060E0">
        <w:t xml:space="preserve">The </w:t>
      </w:r>
      <w:r w:rsidR="00D0602D" w:rsidRPr="005060E0">
        <w:rPr>
          <w:rFonts w:asciiTheme="minorHAnsi" w:hAnsiTheme="minorHAnsi" w:cstheme="minorHAnsi"/>
          <w:szCs w:val="20"/>
        </w:rPr>
        <w:t>WHO noted than an annual guideline was not needed, since compliance with the 24-hour level will assure low annual average levels.</w:t>
      </w:r>
      <w:r w:rsidR="00D0602D" w:rsidRPr="005060E0">
        <w:t xml:space="preserve"> </w:t>
      </w:r>
      <w:r w:rsidR="00D0602D" w:rsidRPr="005060E0">
        <w:rPr>
          <w:rFonts w:asciiTheme="minorHAnsi" w:hAnsiTheme="minorHAnsi" w:cstheme="minorHAnsi"/>
          <w:szCs w:val="20"/>
        </w:rPr>
        <w:t>The REVIHAAP study (WHO 2013</w:t>
      </w:r>
      <w:r w:rsidR="000F38E2" w:rsidRPr="005060E0">
        <w:rPr>
          <w:rFonts w:asciiTheme="minorHAnsi" w:hAnsiTheme="minorHAnsi" w:cstheme="minorHAnsi"/>
          <w:szCs w:val="20"/>
        </w:rPr>
        <w:t>b</w:t>
      </w:r>
      <w:r w:rsidR="00D0602D" w:rsidRPr="005060E0">
        <w:rPr>
          <w:rFonts w:asciiTheme="minorHAnsi" w:hAnsiTheme="minorHAnsi" w:cstheme="minorHAnsi"/>
          <w:szCs w:val="20"/>
        </w:rPr>
        <w:t xml:space="preserve">) did not recommend any change to the WHO guidelines for </w:t>
      </w:r>
      <w:r w:rsidR="001F672E" w:rsidRPr="005060E0">
        <w:rPr>
          <w:rFonts w:asciiTheme="minorHAnsi" w:hAnsiTheme="minorHAnsi" w:cstheme="minorHAnsi"/>
          <w:szCs w:val="20"/>
        </w:rPr>
        <w:t>SO</w:t>
      </w:r>
      <w:r w:rsidR="001F672E" w:rsidRPr="005060E0">
        <w:rPr>
          <w:rFonts w:asciiTheme="minorHAnsi" w:hAnsiTheme="minorHAnsi" w:cstheme="minorHAnsi"/>
          <w:szCs w:val="20"/>
          <w:vertAlign w:val="subscript"/>
        </w:rPr>
        <w:t>2</w:t>
      </w:r>
      <w:r w:rsidR="001F672E" w:rsidRPr="005060E0">
        <w:rPr>
          <w:rFonts w:asciiTheme="minorHAnsi" w:hAnsiTheme="minorHAnsi" w:cstheme="minorHAnsi"/>
          <w:szCs w:val="20"/>
        </w:rPr>
        <w:t xml:space="preserve"> but</w:t>
      </w:r>
      <w:r w:rsidR="00D0602D" w:rsidRPr="005060E0">
        <w:rPr>
          <w:rFonts w:asciiTheme="minorHAnsi" w:hAnsiTheme="minorHAnsi" w:cstheme="minorHAnsi"/>
          <w:szCs w:val="20"/>
        </w:rPr>
        <w:t xml:space="preserve"> indicated that the evidence should be revisited.</w:t>
      </w:r>
    </w:p>
    <w:p w14:paraId="668C6C9B" w14:textId="16DD4226" w:rsidR="00A435FA" w:rsidRPr="005060E0" w:rsidRDefault="00A435FA" w:rsidP="00A435FA">
      <w:pPr>
        <w:pStyle w:val="PBTablecaption"/>
      </w:pPr>
      <w:bookmarkStart w:id="101" w:name="_Ref506049303"/>
      <w:bookmarkStart w:id="102" w:name="_Toc508305347"/>
      <w:r w:rsidRPr="005060E0">
        <w:t>Table</w:t>
      </w:r>
      <w:r w:rsidR="0030109C" w:rsidRPr="005060E0">
        <w:t> </w:t>
      </w:r>
      <w:r w:rsidR="009863AA" w:rsidRPr="005060E0">
        <w:rPr>
          <w:noProof/>
        </w:rPr>
        <w:fldChar w:fldCharType="begin"/>
      </w:r>
      <w:r w:rsidR="009863AA" w:rsidRPr="005060E0">
        <w:rPr>
          <w:noProof/>
        </w:rPr>
        <w:instrText xml:space="preserve"> STYLEREF 1 \s </w:instrText>
      </w:r>
      <w:r w:rsidR="009863AA" w:rsidRPr="005060E0">
        <w:rPr>
          <w:noProof/>
        </w:rPr>
        <w:fldChar w:fldCharType="separate"/>
      </w:r>
      <w:r w:rsidR="00F2067C">
        <w:rPr>
          <w:noProof/>
        </w:rPr>
        <w:t>6</w:t>
      </w:r>
      <w:r w:rsidR="009863AA" w:rsidRPr="005060E0">
        <w:rPr>
          <w:noProof/>
        </w:rPr>
        <w:fldChar w:fldCharType="end"/>
      </w:r>
      <w:r w:rsidRPr="005060E0">
        <w:noBreakHyphen/>
      </w:r>
      <w:r w:rsidR="009863AA" w:rsidRPr="005060E0">
        <w:rPr>
          <w:noProof/>
        </w:rPr>
        <w:fldChar w:fldCharType="begin"/>
      </w:r>
      <w:r w:rsidR="009863AA" w:rsidRPr="005060E0">
        <w:rPr>
          <w:noProof/>
        </w:rPr>
        <w:instrText xml:space="preserve"> SEQ Table \* ARABIC \s 1 </w:instrText>
      </w:r>
      <w:r w:rsidR="009863AA" w:rsidRPr="005060E0">
        <w:rPr>
          <w:noProof/>
        </w:rPr>
        <w:fldChar w:fldCharType="separate"/>
      </w:r>
      <w:r w:rsidR="00F2067C">
        <w:rPr>
          <w:noProof/>
        </w:rPr>
        <w:t>2</w:t>
      </w:r>
      <w:r w:rsidR="009863AA" w:rsidRPr="005060E0">
        <w:rPr>
          <w:noProof/>
        </w:rPr>
        <w:fldChar w:fldCharType="end"/>
      </w:r>
      <w:bookmarkEnd w:id="101"/>
      <w:r w:rsidR="00C334DB" w:rsidRPr="005060E0">
        <w:t>: Current WHO guidelines</w:t>
      </w:r>
      <w:r w:rsidRPr="005060E0">
        <w:t xml:space="preserve"> for SO</w:t>
      </w:r>
      <w:r w:rsidRPr="005060E0">
        <w:rPr>
          <w:vertAlign w:val="subscript"/>
        </w:rPr>
        <w:t>2</w:t>
      </w:r>
      <w:r w:rsidR="00C334DB" w:rsidRPr="005060E0">
        <w:t xml:space="preserve"> (WHO 2006</w:t>
      </w:r>
      <w:r w:rsidRPr="005060E0">
        <w:t>)</w:t>
      </w:r>
      <w:bookmarkEnd w:id="102"/>
    </w:p>
    <w:tbl>
      <w:tblPr>
        <w:tblStyle w:val="LightList-Accent11"/>
        <w:tblW w:w="5000" w:type="pct"/>
        <w:tblBorders>
          <w:top w:val="single" w:sz="4" w:space="0" w:color="606372" w:themeColor="text2"/>
          <w:left w:val="single" w:sz="4" w:space="0" w:color="606372" w:themeColor="text2"/>
          <w:bottom w:val="single" w:sz="4" w:space="0" w:color="606372" w:themeColor="text2"/>
          <w:right w:val="single" w:sz="4" w:space="0" w:color="606372" w:themeColor="text2"/>
          <w:insideH w:val="single" w:sz="4" w:space="0" w:color="606372" w:themeColor="text2"/>
          <w:insideV w:val="single" w:sz="4" w:space="0" w:color="606372" w:themeColor="text2"/>
        </w:tblBorders>
        <w:tblLook w:val="04A0" w:firstRow="1" w:lastRow="0" w:firstColumn="1" w:lastColumn="0" w:noHBand="0" w:noVBand="1"/>
      </w:tblPr>
      <w:tblGrid>
        <w:gridCol w:w="1416"/>
        <w:gridCol w:w="998"/>
        <w:gridCol w:w="920"/>
        <w:gridCol w:w="924"/>
        <w:gridCol w:w="3999"/>
        <w:gridCol w:w="1371"/>
      </w:tblGrid>
      <w:tr w:rsidR="003C6A7A" w:rsidRPr="005060E0" w14:paraId="63AF8F1C" w14:textId="7C99ADB1" w:rsidTr="003C6A7A">
        <w:trPr>
          <w:cnfStyle w:val="100000000000" w:firstRow="1" w:lastRow="0" w:firstColumn="0" w:lastColumn="0" w:oddVBand="0" w:evenVBand="0" w:oddHBand="0" w:evenHBand="0" w:firstRowFirstColumn="0" w:firstRowLastColumn="0" w:lastRowFirstColumn="0" w:lastRowLastColumn="0"/>
          <w:trHeight w:hRule="exact" w:val="340"/>
          <w:tblHeader/>
        </w:trPr>
        <w:tc>
          <w:tcPr>
            <w:cnfStyle w:val="001000000000" w:firstRow="0" w:lastRow="0" w:firstColumn="1" w:lastColumn="0" w:oddVBand="0" w:evenVBand="0" w:oddHBand="0" w:evenHBand="0" w:firstRowFirstColumn="0" w:firstRowLastColumn="0" w:lastRowFirstColumn="0" w:lastRowLastColumn="0"/>
            <w:tcW w:w="735" w:type="pct"/>
            <w:vMerge w:val="restart"/>
            <w:shd w:val="clear" w:color="auto" w:fill="606075"/>
            <w:vAlign w:val="center"/>
          </w:tcPr>
          <w:p w14:paraId="342F66A1" w14:textId="69688B6D" w:rsidR="003C6A7A" w:rsidRPr="005060E0" w:rsidRDefault="006A33BD" w:rsidP="00C334DB">
            <w:pPr>
              <w:spacing w:before="60" w:after="60" w:line="240" w:lineRule="auto"/>
              <w:jc w:val="center"/>
              <w:rPr>
                <w:rFonts w:cs="Arial"/>
                <w:b w:val="0"/>
                <w:color w:val="FFFFFF" w:themeColor="background1"/>
                <w:sz w:val="16"/>
                <w:szCs w:val="16"/>
                <w:lang w:val="en-AU"/>
              </w:rPr>
            </w:pPr>
            <w:r w:rsidRPr="005060E0">
              <w:rPr>
                <w:rFonts w:cs="Arial"/>
                <w:b w:val="0"/>
                <w:color w:val="FFFFFF" w:themeColor="background1"/>
                <w:sz w:val="16"/>
                <w:szCs w:val="16"/>
                <w:lang w:val="en-AU"/>
              </w:rPr>
              <w:t>Agency</w:t>
            </w:r>
          </w:p>
        </w:tc>
        <w:tc>
          <w:tcPr>
            <w:tcW w:w="518" w:type="pct"/>
            <w:vMerge w:val="restart"/>
            <w:shd w:val="clear" w:color="auto" w:fill="606075"/>
            <w:vAlign w:val="center"/>
          </w:tcPr>
          <w:p w14:paraId="1980ECAE" w14:textId="77777777" w:rsidR="003C6A7A" w:rsidRPr="005060E0" w:rsidRDefault="003C6A7A" w:rsidP="00C334DB">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Averaging period</w:t>
            </w:r>
          </w:p>
        </w:tc>
        <w:tc>
          <w:tcPr>
            <w:tcW w:w="958" w:type="pct"/>
            <w:gridSpan w:val="2"/>
            <w:shd w:val="clear" w:color="auto" w:fill="606075"/>
            <w:vAlign w:val="center"/>
          </w:tcPr>
          <w:p w14:paraId="02049FEA" w14:textId="35582DA2" w:rsidR="003C6A7A" w:rsidRPr="005060E0" w:rsidRDefault="006A33BD" w:rsidP="00C334DB">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G</w:t>
            </w:r>
            <w:r w:rsidR="003C6A7A" w:rsidRPr="005060E0">
              <w:rPr>
                <w:rFonts w:cs="Arial"/>
                <w:b w:val="0"/>
                <w:color w:val="FFFFFF" w:themeColor="background1"/>
                <w:sz w:val="16"/>
                <w:szCs w:val="16"/>
                <w:lang w:val="en-AU"/>
              </w:rPr>
              <w:t>uideline</w:t>
            </w:r>
          </w:p>
        </w:tc>
        <w:tc>
          <w:tcPr>
            <w:tcW w:w="2077" w:type="pct"/>
            <w:vMerge w:val="restart"/>
            <w:shd w:val="clear" w:color="auto" w:fill="606075"/>
            <w:vAlign w:val="center"/>
          </w:tcPr>
          <w:p w14:paraId="30706A6C" w14:textId="77777777" w:rsidR="003C6A7A" w:rsidRPr="005060E0" w:rsidRDefault="003C6A7A" w:rsidP="00C334DB">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Form of standard</w:t>
            </w:r>
          </w:p>
        </w:tc>
        <w:tc>
          <w:tcPr>
            <w:tcW w:w="712" w:type="pct"/>
            <w:vMerge w:val="restart"/>
            <w:shd w:val="clear" w:color="auto" w:fill="606075"/>
            <w:vAlign w:val="center"/>
          </w:tcPr>
          <w:p w14:paraId="2EA94D39" w14:textId="2D8B46C7" w:rsidR="003C6A7A" w:rsidRPr="005060E0" w:rsidRDefault="003C6A7A" w:rsidP="003C6A7A">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Allowable exceedances</w:t>
            </w:r>
          </w:p>
        </w:tc>
      </w:tr>
      <w:tr w:rsidR="003C6A7A" w:rsidRPr="005060E0" w14:paraId="101B4A9D" w14:textId="3004492B" w:rsidTr="00D5676E">
        <w:trPr>
          <w:cnfStyle w:val="100000000000" w:firstRow="1" w:lastRow="0" w:firstColumn="0" w:lastColumn="0" w:oddVBand="0" w:evenVBand="0" w:oddHBand="0" w:evenHBand="0" w:firstRowFirstColumn="0" w:firstRowLastColumn="0" w:lastRowFirstColumn="0" w:lastRowLastColumn="0"/>
          <w:trHeight w:hRule="exact" w:val="340"/>
          <w:tblHeader/>
        </w:trPr>
        <w:tc>
          <w:tcPr>
            <w:cnfStyle w:val="001000000000" w:firstRow="0" w:lastRow="0" w:firstColumn="1" w:lastColumn="0" w:oddVBand="0" w:evenVBand="0" w:oddHBand="0" w:evenHBand="0" w:firstRowFirstColumn="0" w:firstRowLastColumn="0" w:lastRowFirstColumn="0" w:lastRowLastColumn="0"/>
            <w:tcW w:w="735" w:type="pct"/>
            <w:vMerge/>
            <w:tcBorders>
              <w:bottom w:val="single" w:sz="4" w:space="0" w:color="606372" w:themeColor="text2"/>
            </w:tcBorders>
            <w:shd w:val="clear" w:color="auto" w:fill="606075"/>
            <w:vAlign w:val="center"/>
          </w:tcPr>
          <w:p w14:paraId="0058DFA1" w14:textId="77777777" w:rsidR="003C6A7A" w:rsidRPr="005060E0" w:rsidRDefault="003C6A7A" w:rsidP="00C334DB">
            <w:pPr>
              <w:spacing w:before="60" w:after="60" w:line="240" w:lineRule="auto"/>
              <w:jc w:val="center"/>
              <w:rPr>
                <w:rFonts w:cs="Arial"/>
                <w:b w:val="0"/>
                <w:color w:val="FFFFFF" w:themeColor="background1"/>
                <w:sz w:val="16"/>
                <w:szCs w:val="16"/>
                <w:lang w:val="en-AU"/>
              </w:rPr>
            </w:pPr>
          </w:p>
        </w:tc>
        <w:tc>
          <w:tcPr>
            <w:tcW w:w="518" w:type="pct"/>
            <w:vMerge/>
            <w:tcBorders>
              <w:bottom w:val="single" w:sz="4" w:space="0" w:color="606372" w:themeColor="text2"/>
            </w:tcBorders>
            <w:shd w:val="clear" w:color="auto" w:fill="606075"/>
            <w:vAlign w:val="center"/>
          </w:tcPr>
          <w:p w14:paraId="6C87C7E7" w14:textId="77777777" w:rsidR="003C6A7A" w:rsidRPr="005060E0" w:rsidRDefault="003C6A7A" w:rsidP="00C334DB">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p>
        </w:tc>
        <w:tc>
          <w:tcPr>
            <w:tcW w:w="478" w:type="pct"/>
            <w:tcBorders>
              <w:bottom w:val="single" w:sz="4" w:space="0" w:color="606372" w:themeColor="text2"/>
            </w:tcBorders>
            <w:shd w:val="clear" w:color="auto" w:fill="606075"/>
            <w:vAlign w:val="center"/>
          </w:tcPr>
          <w:p w14:paraId="300CCD66" w14:textId="5A5DF830" w:rsidR="003C6A7A" w:rsidRPr="005060E0" w:rsidRDefault="003C6A7A" w:rsidP="00C334DB">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ppb</w:t>
            </w:r>
          </w:p>
        </w:tc>
        <w:tc>
          <w:tcPr>
            <w:tcW w:w="480" w:type="pct"/>
            <w:tcBorders>
              <w:bottom w:val="single" w:sz="4" w:space="0" w:color="606372" w:themeColor="text2"/>
            </w:tcBorders>
            <w:shd w:val="clear" w:color="auto" w:fill="606075"/>
            <w:vAlign w:val="center"/>
          </w:tcPr>
          <w:p w14:paraId="76309A3E" w14:textId="5ACBDD33" w:rsidR="003C6A7A" w:rsidRPr="005060E0" w:rsidRDefault="003C6A7A" w:rsidP="00C334DB">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µg/m</w:t>
            </w:r>
            <w:r w:rsidRPr="005060E0">
              <w:rPr>
                <w:rFonts w:cs="Arial"/>
                <w:b w:val="0"/>
                <w:color w:val="FFFFFF" w:themeColor="background1"/>
                <w:sz w:val="16"/>
                <w:szCs w:val="16"/>
                <w:vertAlign w:val="superscript"/>
                <w:lang w:val="en-AU"/>
              </w:rPr>
              <w:t>3</w:t>
            </w:r>
          </w:p>
        </w:tc>
        <w:tc>
          <w:tcPr>
            <w:tcW w:w="2077" w:type="pct"/>
            <w:vMerge/>
            <w:tcBorders>
              <w:bottom w:val="single" w:sz="4" w:space="0" w:color="606372" w:themeColor="text2"/>
            </w:tcBorders>
            <w:shd w:val="clear" w:color="auto" w:fill="606075"/>
            <w:vAlign w:val="center"/>
          </w:tcPr>
          <w:p w14:paraId="53E4EB14" w14:textId="77777777" w:rsidR="003C6A7A" w:rsidRPr="005060E0" w:rsidRDefault="003C6A7A" w:rsidP="00C334DB">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p>
        </w:tc>
        <w:tc>
          <w:tcPr>
            <w:tcW w:w="712" w:type="pct"/>
            <w:vMerge/>
            <w:tcBorders>
              <w:bottom w:val="single" w:sz="4" w:space="0" w:color="606372" w:themeColor="text2"/>
            </w:tcBorders>
            <w:shd w:val="clear" w:color="auto" w:fill="606075"/>
          </w:tcPr>
          <w:p w14:paraId="2F77B8B6" w14:textId="77777777" w:rsidR="003C6A7A" w:rsidRPr="005060E0" w:rsidRDefault="003C6A7A" w:rsidP="00C334DB">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p>
        </w:tc>
      </w:tr>
      <w:tr w:rsidR="00D5676E" w:rsidRPr="005060E0" w14:paraId="55BF18E6" w14:textId="1EF5D98A" w:rsidTr="006A33B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735" w:type="pct"/>
            <w:vMerge w:val="restart"/>
            <w:tcBorders>
              <w:top w:val="none" w:sz="0" w:space="0" w:color="auto"/>
              <w:left w:val="none" w:sz="0" w:space="0" w:color="auto"/>
              <w:bottom w:val="none" w:sz="0" w:space="0" w:color="auto"/>
            </w:tcBorders>
            <w:vAlign w:val="center"/>
          </w:tcPr>
          <w:p w14:paraId="1743B0AC" w14:textId="77777777" w:rsidR="00D5676E" w:rsidRPr="005060E0" w:rsidRDefault="00D5676E" w:rsidP="00D5676E">
            <w:pPr>
              <w:spacing w:before="60" w:after="60" w:line="240" w:lineRule="auto"/>
              <w:jc w:val="center"/>
              <w:rPr>
                <w:rFonts w:cs="Arial"/>
                <w:b w:val="0"/>
                <w:sz w:val="16"/>
                <w:szCs w:val="16"/>
                <w:lang w:val="en-AU"/>
              </w:rPr>
            </w:pPr>
            <w:r w:rsidRPr="005060E0">
              <w:rPr>
                <w:rFonts w:cs="Arial"/>
                <w:b w:val="0"/>
                <w:sz w:val="16"/>
                <w:szCs w:val="16"/>
                <w:lang w:val="en-AU"/>
              </w:rPr>
              <w:t>WHO</w:t>
            </w:r>
          </w:p>
        </w:tc>
        <w:tc>
          <w:tcPr>
            <w:tcW w:w="518" w:type="pct"/>
            <w:tcBorders>
              <w:top w:val="none" w:sz="0" w:space="0" w:color="auto"/>
              <w:bottom w:val="dotted" w:sz="4" w:space="0" w:color="606072"/>
            </w:tcBorders>
            <w:vAlign w:val="center"/>
          </w:tcPr>
          <w:p w14:paraId="3CEEA041" w14:textId="079AB4F8" w:rsidR="00D5676E" w:rsidRPr="005060E0" w:rsidRDefault="00D5676E" w:rsidP="00D5676E">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10-minute</w:t>
            </w:r>
          </w:p>
        </w:tc>
        <w:tc>
          <w:tcPr>
            <w:tcW w:w="478" w:type="pct"/>
            <w:tcBorders>
              <w:top w:val="none" w:sz="0" w:space="0" w:color="auto"/>
              <w:bottom w:val="dotted" w:sz="4" w:space="0" w:color="606072"/>
            </w:tcBorders>
            <w:vAlign w:val="center"/>
          </w:tcPr>
          <w:p w14:paraId="4493E057" w14:textId="4FC62833" w:rsidR="00D5676E" w:rsidRPr="005060E0" w:rsidRDefault="00155B6D" w:rsidP="00D5676E">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175</w:t>
            </w:r>
          </w:p>
        </w:tc>
        <w:tc>
          <w:tcPr>
            <w:tcW w:w="480" w:type="pct"/>
            <w:tcBorders>
              <w:top w:val="none" w:sz="0" w:space="0" w:color="auto"/>
              <w:bottom w:val="dotted" w:sz="4" w:space="0" w:color="606072"/>
            </w:tcBorders>
            <w:vAlign w:val="center"/>
          </w:tcPr>
          <w:p w14:paraId="2DA66C6E" w14:textId="5C164A7B" w:rsidR="00D5676E" w:rsidRPr="005060E0" w:rsidRDefault="00D5676E" w:rsidP="00D5676E">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500</w:t>
            </w:r>
          </w:p>
        </w:tc>
        <w:tc>
          <w:tcPr>
            <w:tcW w:w="2077" w:type="pct"/>
            <w:tcBorders>
              <w:top w:val="none" w:sz="0" w:space="0" w:color="auto"/>
              <w:bottom w:val="dotted" w:sz="4" w:space="0" w:color="606072"/>
            </w:tcBorders>
            <w:vAlign w:val="center"/>
          </w:tcPr>
          <w:p w14:paraId="1679B26F" w14:textId="14202EF7" w:rsidR="00D5676E" w:rsidRPr="005060E0" w:rsidRDefault="000F38E2" w:rsidP="00D5676E">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w:t>
            </w:r>
          </w:p>
        </w:tc>
        <w:tc>
          <w:tcPr>
            <w:tcW w:w="712" w:type="pct"/>
            <w:tcBorders>
              <w:top w:val="none" w:sz="0" w:space="0" w:color="auto"/>
              <w:bottom w:val="dotted" w:sz="4" w:space="0" w:color="606072"/>
              <w:right w:val="none" w:sz="0" w:space="0" w:color="auto"/>
            </w:tcBorders>
          </w:tcPr>
          <w:p w14:paraId="58A7382E" w14:textId="3A68355E" w:rsidR="00D5676E" w:rsidRPr="005060E0" w:rsidRDefault="00D5676E" w:rsidP="00D5676E">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None</w:t>
            </w:r>
          </w:p>
        </w:tc>
      </w:tr>
      <w:tr w:rsidR="00D5676E" w:rsidRPr="005060E0" w14:paraId="1EF18F6B" w14:textId="22232DA1" w:rsidTr="006A33BD">
        <w:trPr>
          <w:trHeight w:hRule="exact" w:val="340"/>
        </w:trPr>
        <w:tc>
          <w:tcPr>
            <w:cnfStyle w:val="001000000000" w:firstRow="0" w:lastRow="0" w:firstColumn="1" w:lastColumn="0" w:oddVBand="0" w:evenVBand="0" w:oddHBand="0" w:evenHBand="0" w:firstRowFirstColumn="0" w:firstRowLastColumn="0" w:lastRowFirstColumn="0" w:lastRowLastColumn="0"/>
            <w:tcW w:w="735" w:type="pct"/>
            <w:vMerge/>
            <w:tcBorders>
              <w:top w:val="single" w:sz="4" w:space="0" w:color="606372" w:themeColor="text2"/>
              <w:left w:val="single" w:sz="4" w:space="0" w:color="606372" w:themeColor="text2"/>
              <w:bottom w:val="single" w:sz="4" w:space="0" w:color="606372" w:themeColor="text2"/>
            </w:tcBorders>
            <w:vAlign w:val="center"/>
          </w:tcPr>
          <w:p w14:paraId="42756CF7" w14:textId="77777777" w:rsidR="00D5676E" w:rsidRPr="005060E0" w:rsidRDefault="00D5676E" w:rsidP="00D5676E">
            <w:pPr>
              <w:spacing w:before="60" w:after="60" w:line="240" w:lineRule="auto"/>
              <w:jc w:val="center"/>
              <w:rPr>
                <w:rFonts w:cs="Arial"/>
                <w:b w:val="0"/>
                <w:sz w:val="16"/>
                <w:szCs w:val="16"/>
                <w:lang w:val="en-AU"/>
              </w:rPr>
            </w:pPr>
          </w:p>
        </w:tc>
        <w:tc>
          <w:tcPr>
            <w:tcW w:w="518" w:type="pct"/>
            <w:tcBorders>
              <w:top w:val="dotted" w:sz="4" w:space="0" w:color="606072"/>
              <w:bottom w:val="single" w:sz="4" w:space="0" w:color="606372" w:themeColor="text2"/>
            </w:tcBorders>
            <w:vAlign w:val="center"/>
          </w:tcPr>
          <w:p w14:paraId="2DE21945" w14:textId="37D7BC94" w:rsidR="00D5676E" w:rsidRPr="005060E0" w:rsidRDefault="00D5676E" w:rsidP="00D5676E">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24-hour</w:t>
            </w:r>
          </w:p>
        </w:tc>
        <w:tc>
          <w:tcPr>
            <w:tcW w:w="478" w:type="pct"/>
            <w:tcBorders>
              <w:top w:val="dotted" w:sz="4" w:space="0" w:color="606072"/>
              <w:bottom w:val="single" w:sz="4" w:space="0" w:color="606372" w:themeColor="text2"/>
            </w:tcBorders>
            <w:vAlign w:val="center"/>
          </w:tcPr>
          <w:p w14:paraId="70F42F99" w14:textId="6A6A42E5" w:rsidR="00D5676E" w:rsidRPr="005060E0" w:rsidRDefault="00D5676E" w:rsidP="00D5676E">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7</w:t>
            </w:r>
          </w:p>
        </w:tc>
        <w:tc>
          <w:tcPr>
            <w:tcW w:w="480" w:type="pct"/>
            <w:tcBorders>
              <w:top w:val="dotted" w:sz="4" w:space="0" w:color="606072"/>
              <w:bottom w:val="single" w:sz="4" w:space="0" w:color="606372" w:themeColor="text2"/>
            </w:tcBorders>
            <w:vAlign w:val="center"/>
          </w:tcPr>
          <w:p w14:paraId="55F0483A" w14:textId="09952FD3" w:rsidR="00D5676E" w:rsidRPr="005060E0" w:rsidRDefault="00D5676E" w:rsidP="00D5676E">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20</w:t>
            </w:r>
          </w:p>
        </w:tc>
        <w:tc>
          <w:tcPr>
            <w:tcW w:w="2077" w:type="pct"/>
            <w:tcBorders>
              <w:top w:val="dotted" w:sz="4" w:space="0" w:color="606072"/>
              <w:bottom w:val="single" w:sz="4" w:space="0" w:color="606372" w:themeColor="text2"/>
            </w:tcBorders>
            <w:vAlign w:val="center"/>
          </w:tcPr>
          <w:p w14:paraId="3DB68AA4" w14:textId="3FF84B5F" w:rsidR="00D5676E" w:rsidRPr="005060E0" w:rsidRDefault="000F38E2" w:rsidP="00D5676E">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w:t>
            </w:r>
          </w:p>
        </w:tc>
        <w:tc>
          <w:tcPr>
            <w:tcW w:w="712" w:type="pct"/>
            <w:tcBorders>
              <w:top w:val="dotted" w:sz="4" w:space="0" w:color="606072"/>
              <w:bottom w:val="single" w:sz="4" w:space="0" w:color="606372" w:themeColor="text2"/>
              <w:right w:val="single" w:sz="4" w:space="0" w:color="606372" w:themeColor="text2"/>
            </w:tcBorders>
          </w:tcPr>
          <w:p w14:paraId="3A9A4910" w14:textId="623ADDB7" w:rsidR="00D5676E" w:rsidRPr="005060E0" w:rsidRDefault="00D5676E" w:rsidP="00D5676E">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None</w:t>
            </w:r>
          </w:p>
        </w:tc>
      </w:tr>
    </w:tbl>
    <w:p w14:paraId="24EE8CDA" w14:textId="142B34BF" w:rsidR="00D0602D" w:rsidRPr="005060E0" w:rsidRDefault="00D0602D" w:rsidP="00866C2D">
      <w:pPr>
        <w:spacing w:after="0" w:line="240" w:lineRule="auto"/>
      </w:pPr>
    </w:p>
    <w:p w14:paraId="3C3608A5" w14:textId="54FB441C" w:rsidR="0077300B" w:rsidRPr="005060E0" w:rsidRDefault="007275CF" w:rsidP="0043533F">
      <w:pPr>
        <w:pStyle w:val="Heading2"/>
      </w:pPr>
      <w:bookmarkStart w:id="103" w:name="_Ref504386176"/>
      <w:bookmarkStart w:id="104" w:name="_Toc3278955"/>
      <w:r w:rsidRPr="005060E0">
        <w:t>A</w:t>
      </w:r>
      <w:r w:rsidR="0077300B" w:rsidRPr="005060E0">
        <w:t>ir quality standards</w:t>
      </w:r>
      <w:bookmarkEnd w:id="103"/>
      <w:r w:rsidR="003B47C6" w:rsidRPr="005060E0">
        <w:t xml:space="preserve"> </w:t>
      </w:r>
      <w:r w:rsidRPr="005060E0">
        <w:t xml:space="preserve">in </w:t>
      </w:r>
      <w:r w:rsidR="007116E3" w:rsidRPr="005060E0">
        <w:t>other leading countries</w:t>
      </w:r>
      <w:bookmarkEnd w:id="104"/>
    </w:p>
    <w:p w14:paraId="10B618E1" w14:textId="04D2D86D" w:rsidR="00B71847" w:rsidRPr="005060E0" w:rsidRDefault="0077300B" w:rsidP="00B71847">
      <w:pPr>
        <w:rPr>
          <w:szCs w:val="20"/>
        </w:rPr>
      </w:pPr>
      <w:r w:rsidRPr="005060E0">
        <w:rPr>
          <w:szCs w:val="20"/>
        </w:rPr>
        <w:t>The current international standards</w:t>
      </w:r>
      <w:r w:rsidR="000F38E2" w:rsidRPr="005060E0">
        <w:rPr>
          <w:szCs w:val="20"/>
        </w:rPr>
        <w:t xml:space="preserve"> for SO</w:t>
      </w:r>
      <w:r w:rsidR="000F38E2" w:rsidRPr="005060E0">
        <w:rPr>
          <w:szCs w:val="20"/>
          <w:vertAlign w:val="subscript"/>
        </w:rPr>
        <w:t>2</w:t>
      </w:r>
      <w:r w:rsidRPr="005060E0">
        <w:rPr>
          <w:szCs w:val="20"/>
        </w:rPr>
        <w:t xml:space="preserve"> derived to protect human health are summarised in </w:t>
      </w:r>
      <w:r w:rsidRPr="005060E0">
        <w:rPr>
          <w:szCs w:val="20"/>
        </w:rPr>
        <w:fldChar w:fldCharType="begin"/>
      </w:r>
      <w:r w:rsidRPr="005060E0">
        <w:rPr>
          <w:szCs w:val="20"/>
        </w:rPr>
        <w:instrText xml:space="preserve"> REF _Ref478565824 \h  \* MERGEFORMAT </w:instrText>
      </w:r>
      <w:r w:rsidRPr="005060E0">
        <w:rPr>
          <w:szCs w:val="20"/>
        </w:rPr>
      </w:r>
      <w:r w:rsidRPr="005060E0">
        <w:rPr>
          <w:szCs w:val="20"/>
        </w:rPr>
        <w:fldChar w:fldCharType="separate"/>
      </w:r>
      <w:r w:rsidR="00F2067C" w:rsidRPr="00F2067C">
        <w:rPr>
          <w:szCs w:val="20"/>
        </w:rPr>
        <w:t xml:space="preserve">Table </w:t>
      </w:r>
      <w:r w:rsidR="00F2067C" w:rsidRPr="00F2067C">
        <w:rPr>
          <w:noProof/>
          <w:szCs w:val="20"/>
        </w:rPr>
        <w:t>6</w:t>
      </w:r>
      <w:r w:rsidR="00F2067C" w:rsidRPr="00F2067C">
        <w:rPr>
          <w:noProof/>
          <w:szCs w:val="20"/>
        </w:rPr>
        <w:noBreakHyphen/>
        <w:t>3</w:t>
      </w:r>
      <w:r w:rsidRPr="005060E0">
        <w:rPr>
          <w:szCs w:val="20"/>
        </w:rPr>
        <w:fldChar w:fldCharType="end"/>
      </w:r>
      <w:r w:rsidR="00645F89" w:rsidRPr="005060E0">
        <w:rPr>
          <w:szCs w:val="20"/>
        </w:rPr>
        <w:t>, with t</w:t>
      </w:r>
      <w:r w:rsidRPr="005060E0">
        <w:rPr>
          <w:szCs w:val="20"/>
        </w:rPr>
        <w:t xml:space="preserve">he current </w:t>
      </w:r>
      <w:r w:rsidR="00645F89" w:rsidRPr="005060E0">
        <w:rPr>
          <w:szCs w:val="20"/>
        </w:rPr>
        <w:t xml:space="preserve">Australian (AAQ </w:t>
      </w:r>
      <w:r w:rsidRPr="005060E0">
        <w:rPr>
          <w:szCs w:val="20"/>
        </w:rPr>
        <w:t>NEPM</w:t>
      </w:r>
      <w:r w:rsidR="00645F89" w:rsidRPr="005060E0">
        <w:rPr>
          <w:szCs w:val="20"/>
        </w:rPr>
        <w:t>)</w:t>
      </w:r>
      <w:r w:rsidRPr="005060E0">
        <w:rPr>
          <w:szCs w:val="20"/>
        </w:rPr>
        <w:t xml:space="preserve"> standards </w:t>
      </w:r>
      <w:r w:rsidR="00B71847" w:rsidRPr="005060E0">
        <w:rPr>
          <w:szCs w:val="20"/>
        </w:rPr>
        <w:t>shown for comparison. It can be seen that for the 1-hour averaging period in particular, a wide range of values are in use.</w:t>
      </w:r>
    </w:p>
    <w:p w14:paraId="4C625070" w14:textId="32166115" w:rsidR="00B71847" w:rsidRPr="005060E0" w:rsidRDefault="00FE23DB" w:rsidP="003D2884">
      <w:pPr>
        <w:spacing w:after="360"/>
      </w:pPr>
      <w:r w:rsidRPr="005060E0">
        <w:rPr>
          <w:szCs w:val="20"/>
        </w:rPr>
        <w:t xml:space="preserve">The numerical values of the AAQ </w:t>
      </w:r>
      <w:r w:rsidR="00645F89" w:rsidRPr="005060E0">
        <w:rPr>
          <w:szCs w:val="20"/>
        </w:rPr>
        <w:t xml:space="preserve">NEPM standards </w:t>
      </w:r>
      <w:r w:rsidR="00B71847" w:rsidRPr="005060E0">
        <w:rPr>
          <w:szCs w:val="20"/>
        </w:rPr>
        <w:t>are high</w:t>
      </w:r>
      <w:r w:rsidR="00645F89" w:rsidRPr="005060E0">
        <w:rPr>
          <w:szCs w:val="20"/>
        </w:rPr>
        <w:t>er</w:t>
      </w:r>
      <w:r w:rsidR="00EB28AE" w:rsidRPr="005060E0">
        <w:rPr>
          <w:rStyle w:val="FootnoteReference"/>
          <w:szCs w:val="20"/>
        </w:rPr>
        <w:footnoteReference w:id="24"/>
      </w:r>
      <w:r w:rsidR="00645F89" w:rsidRPr="005060E0">
        <w:rPr>
          <w:szCs w:val="20"/>
        </w:rPr>
        <w:t xml:space="preserve"> than those in </w:t>
      </w:r>
      <w:r w:rsidR="007116E3" w:rsidRPr="005060E0">
        <w:rPr>
          <w:szCs w:val="20"/>
        </w:rPr>
        <w:t>other leading countries</w:t>
      </w:r>
      <w:r w:rsidR="00EB28AE" w:rsidRPr="005060E0">
        <w:rPr>
          <w:szCs w:val="20"/>
        </w:rPr>
        <w:t xml:space="preserve">, which is </w:t>
      </w:r>
      <w:r w:rsidR="0077300B" w:rsidRPr="005060E0">
        <w:rPr>
          <w:szCs w:val="20"/>
        </w:rPr>
        <w:t xml:space="preserve">due </w:t>
      </w:r>
      <w:r w:rsidR="00645F89" w:rsidRPr="005060E0">
        <w:rPr>
          <w:szCs w:val="20"/>
        </w:rPr>
        <w:t xml:space="preserve">in part </w:t>
      </w:r>
      <w:r w:rsidR="0077300B" w:rsidRPr="005060E0">
        <w:rPr>
          <w:szCs w:val="20"/>
        </w:rPr>
        <w:t>to the change in the understanding of the health effects of SO</w:t>
      </w:r>
      <w:r w:rsidR="0077300B" w:rsidRPr="005060E0">
        <w:rPr>
          <w:szCs w:val="20"/>
          <w:vertAlign w:val="subscript"/>
        </w:rPr>
        <w:t>2</w:t>
      </w:r>
      <w:r w:rsidR="00EB28AE" w:rsidRPr="005060E0">
        <w:rPr>
          <w:szCs w:val="20"/>
        </w:rPr>
        <w:t xml:space="preserve"> since </w:t>
      </w:r>
      <w:r w:rsidR="0077300B" w:rsidRPr="005060E0">
        <w:rPr>
          <w:szCs w:val="20"/>
        </w:rPr>
        <w:t xml:space="preserve">the </w:t>
      </w:r>
      <w:r w:rsidR="00EB28AE" w:rsidRPr="005060E0">
        <w:rPr>
          <w:szCs w:val="20"/>
        </w:rPr>
        <w:t>AAQ NEPM was</w:t>
      </w:r>
      <w:r w:rsidR="0077300B" w:rsidRPr="005060E0">
        <w:rPr>
          <w:szCs w:val="20"/>
        </w:rPr>
        <w:t xml:space="preserve"> introduced</w:t>
      </w:r>
      <w:r w:rsidR="00EB28AE" w:rsidRPr="005060E0">
        <w:rPr>
          <w:szCs w:val="20"/>
        </w:rPr>
        <w:t xml:space="preserve"> in 1998</w:t>
      </w:r>
      <w:r w:rsidR="0077300B" w:rsidRPr="005060E0">
        <w:rPr>
          <w:szCs w:val="20"/>
        </w:rPr>
        <w:t>.</w:t>
      </w:r>
      <w:r w:rsidR="00645F89" w:rsidRPr="005060E0">
        <w:rPr>
          <w:szCs w:val="20"/>
        </w:rPr>
        <w:t xml:space="preserve"> </w:t>
      </w:r>
      <w:r w:rsidR="00355B88" w:rsidRPr="005060E0">
        <w:t>The AAQ NEPM standards were based on the understan</w:t>
      </w:r>
      <w:r w:rsidR="00EB28AE" w:rsidRPr="005060E0">
        <w:t xml:space="preserve">ding </w:t>
      </w:r>
      <w:r w:rsidR="00355B88" w:rsidRPr="005060E0">
        <w:t xml:space="preserve">at the time. International agencies have since reviewed their standards for </w:t>
      </w:r>
      <w:r w:rsidR="0062453C" w:rsidRPr="005060E0">
        <w:t>SO</w:t>
      </w:r>
      <w:r w:rsidR="0062453C" w:rsidRPr="005060E0">
        <w:rPr>
          <w:vertAlign w:val="subscript"/>
        </w:rPr>
        <w:t>2</w:t>
      </w:r>
      <w:r w:rsidR="0062453C" w:rsidRPr="005060E0">
        <w:t xml:space="preserve"> and</w:t>
      </w:r>
      <w:r w:rsidR="00EB28AE" w:rsidRPr="005060E0">
        <w:t xml:space="preserve"> have adopted more stringent approaches</w:t>
      </w:r>
      <w:r w:rsidR="00355B88" w:rsidRPr="005060E0">
        <w:t xml:space="preserve"> to reflect the developing understan</w:t>
      </w:r>
      <w:r w:rsidR="00EB28AE" w:rsidRPr="005060E0">
        <w:t xml:space="preserve">ding of </w:t>
      </w:r>
      <w:r w:rsidR="00355B88" w:rsidRPr="005060E0">
        <w:t>health effects.</w:t>
      </w:r>
      <w:r w:rsidR="00355B88" w:rsidRPr="005060E0">
        <w:rPr>
          <w:szCs w:val="20"/>
        </w:rPr>
        <w:t xml:space="preserve"> </w:t>
      </w:r>
      <w:r w:rsidR="00B71847" w:rsidRPr="005060E0">
        <w:t>This means that the Australian standards are not consistent with international benchmarks</w:t>
      </w:r>
      <w:r w:rsidR="000F38E2" w:rsidRPr="005060E0">
        <w:t>,</w:t>
      </w:r>
      <w:r w:rsidR="00B71847" w:rsidRPr="005060E0">
        <w:t xml:space="preserve"> which have been set to protect human health in countries that have much higher levels of SO</w:t>
      </w:r>
      <w:r w:rsidR="00B71847" w:rsidRPr="005060E0">
        <w:rPr>
          <w:vertAlign w:val="subscript"/>
        </w:rPr>
        <w:t>2</w:t>
      </w:r>
      <w:r w:rsidR="00B71847" w:rsidRPr="005060E0">
        <w:t>, and therefore compliance with the standards would be more difficult than in Australian cities. The focus in setting these standards internationally has been protection of human health and reducing the risk to the health of the population posed by exposure to SO</w:t>
      </w:r>
      <w:r w:rsidR="00B71847" w:rsidRPr="005060E0">
        <w:rPr>
          <w:vertAlign w:val="subscript"/>
        </w:rPr>
        <w:t>2</w:t>
      </w:r>
      <w:r w:rsidR="00B71847" w:rsidRPr="005060E0">
        <w:t>.</w:t>
      </w:r>
    </w:p>
    <w:p w14:paraId="0AD35B11" w14:textId="621099D8" w:rsidR="0077300B" w:rsidRPr="005060E0" w:rsidRDefault="0077300B" w:rsidP="00CD0949">
      <w:pPr>
        <w:pStyle w:val="PBTablecaption"/>
      </w:pPr>
      <w:bookmarkStart w:id="105" w:name="_Ref478565824"/>
      <w:bookmarkStart w:id="106" w:name="_Toc479201792"/>
      <w:bookmarkStart w:id="107" w:name="_Toc508305348"/>
      <w:r w:rsidRPr="005060E0">
        <w:t xml:space="preserve">Table </w:t>
      </w:r>
      <w:r w:rsidR="009863AA" w:rsidRPr="005060E0">
        <w:rPr>
          <w:noProof/>
        </w:rPr>
        <w:fldChar w:fldCharType="begin"/>
      </w:r>
      <w:r w:rsidR="009863AA" w:rsidRPr="005060E0">
        <w:rPr>
          <w:noProof/>
        </w:rPr>
        <w:instrText xml:space="preserve"> STYLEREF 1 \s </w:instrText>
      </w:r>
      <w:r w:rsidR="009863AA" w:rsidRPr="005060E0">
        <w:rPr>
          <w:noProof/>
        </w:rPr>
        <w:fldChar w:fldCharType="separate"/>
      </w:r>
      <w:r w:rsidR="00F2067C">
        <w:rPr>
          <w:noProof/>
        </w:rPr>
        <w:t>6</w:t>
      </w:r>
      <w:r w:rsidR="009863AA" w:rsidRPr="005060E0">
        <w:rPr>
          <w:noProof/>
        </w:rPr>
        <w:fldChar w:fldCharType="end"/>
      </w:r>
      <w:r w:rsidRPr="005060E0">
        <w:noBreakHyphen/>
      </w:r>
      <w:r w:rsidR="009863AA" w:rsidRPr="005060E0">
        <w:rPr>
          <w:noProof/>
        </w:rPr>
        <w:fldChar w:fldCharType="begin"/>
      </w:r>
      <w:r w:rsidR="009863AA" w:rsidRPr="005060E0">
        <w:rPr>
          <w:noProof/>
        </w:rPr>
        <w:instrText xml:space="preserve"> SEQ Table \* ARABIC \s 1 </w:instrText>
      </w:r>
      <w:r w:rsidR="009863AA" w:rsidRPr="005060E0">
        <w:rPr>
          <w:noProof/>
        </w:rPr>
        <w:fldChar w:fldCharType="separate"/>
      </w:r>
      <w:r w:rsidR="00F2067C">
        <w:rPr>
          <w:noProof/>
        </w:rPr>
        <w:t>3</w:t>
      </w:r>
      <w:r w:rsidR="009863AA" w:rsidRPr="005060E0">
        <w:rPr>
          <w:noProof/>
        </w:rPr>
        <w:fldChar w:fldCharType="end"/>
      </w:r>
      <w:bookmarkEnd w:id="105"/>
      <w:r w:rsidRPr="005060E0">
        <w:t>: International standards for SO</w:t>
      </w:r>
      <w:r w:rsidRPr="005060E0">
        <w:rPr>
          <w:vertAlign w:val="subscript"/>
        </w:rPr>
        <w:t>2</w:t>
      </w:r>
      <w:bookmarkEnd w:id="106"/>
      <w:bookmarkEnd w:id="107"/>
    </w:p>
    <w:tbl>
      <w:tblPr>
        <w:tblStyle w:val="LightList-Accent11"/>
        <w:tblW w:w="5000" w:type="pct"/>
        <w:tblBorders>
          <w:top w:val="single" w:sz="4" w:space="0" w:color="606372" w:themeColor="text2"/>
          <w:left w:val="single" w:sz="4" w:space="0" w:color="606372" w:themeColor="text2"/>
          <w:bottom w:val="single" w:sz="4" w:space="0" w:color="606372" w:themeColor="text2"/>
          <w:right w:val="single" w:sz="4" w:space="0" w:color="606372" w:themeColor="text2"/>
          <w:insideH w:val="single" w:sz="4" w:space="0" w:color="606372" w:themeColor="text2"/>
          <w:insideV w:val="single" w:sz="4" w:space="0" w:color="606372" w:themeColor="text2"/>
        </w:tblBorders>
        <w:tblLook w:val="04A0" w:firstRow="1" w:lastRow="0" w:firstColumn="1" w:lastColumn="0" w:noHBand="0" w:noVBand="1"/>
      </w:tblPr>
      <w:tblGrid>
        <w:gridCol w:w="1061"/>
        <w:gridCol w:w="1569"/>
        <w:gridCol w:w="1171"/>
        <w:gridCol w:w="1171"/>
        <w:gridCol w:w="3102"/>
        <w:gridCol w:w="1554"/>
      </w:tblGrid>
      <w:tr w:rsidR="0035346E" w:rsidRPr="005060E0" w14:paraId="0B3C4310" w14:textId="3962D5C1" w:rsidTr="000704F3">
        <w:trPr>
          <w:cnfStyle w:val="100000000000" w:firstRow="1" w:lastRow="0" w:firstColumn="0" w:lastColumn="0" w:oddVBand="0" w:evenVBand="0" w:oddHBand="0" w:evenHBand="0" w:firstRowFirstColumn="0" w:firstRowLastColumn="0" w:lastRowFirstColumn="0" w:lastRowLastColumn="0"/>
          <w:trHeight w:hRule="exact" w:val="340"/>
          <w:tblHeader/>
        </w:trPr>
        <w:tc>
          <w:tcPr>
            <w:cnfStyle w:val="001000000000" w:firstRow="0" w:lastRow="0" w:firstColumn="1" w:lastColumn="0" w:oddVBand="0" w:evenVBand="0" w:oddHBand="0" w:evenHBand="0" w:firstRowFirstColumn="0" w:firstRowLastColumn="0" w:lastRowFirstColumn="0" w:lastRowLastColumn="0"/>
            <w:tcW w:w="551" w:type="pct"/>
            <w:vMerge w:val="restart"/>
            <w:shd w:val="clear" w:color="auto" w:fill="606075"/>
            <w:vAlign w:val="center"/>
          </w:tcPr>
          <w:p w14:paraId="081F9BA9" w14:textId="3EC0BC3D" w:rsidR="003C6A7A" w:rsidRPr="005060E0" w:rsidRDefault="00244865" w:rsidP="00244865">
            <w:pPr>
              <w:widowControl w:val="0"/>
              <w:spacing w:after="0" w:line="240" w:lineRule="auto"/>
              <w:jc w:val="center"/>
              <w:rPr>
                <w:rFonts w:cs="Arial"/>
                <w:b w:val="0"/>
                <w:color w:val="FFFFFF" w:themeColor="background1"/>
                <w:sz w:val="16"/>
                <w:szCs w:val="16"/>
                <w:lang w:val="en-AU"/>
              </w:rPr>
            </w:pPr>
            <w:r w:rsidRPr="005060E0">
              <w:rPr>
                <w:rFonts w:cs="Arial"/>
                <w:b w:val="0"/>
                <w:color w:val="FFFFFF" w:themeColor="background1"/>
                <w:sz w:val="16"/>
                <w:szCs w:val="16"/>
                <w:lang w:val="en-AU"/>
              </w:rPr>
              <w:t>Averaging period</w:t>
            </w:r>
          </w:p>
        </w:tc>
        <w:tc>
          <w:tcPr>
            <w:tcW w:w="815" w:type="pct"/>
            <w:vMerge w:val="restart"/>
            <w:shd w:val="clear" w:color="auto" w:fill="606075"/>
            <w:vAlign w:val="center"/>
          </w:tcPr>
          <w:p w14:paraId="3FA3569F" w14:textId="67954B4A" w:rsidR="003C6A7A" w:rsidRPr="005060E0" w:rsidRDefault="003832E7" w:rsidP="0024486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C</w:t>
            </w:r>
            <w:r w:rsidR="00244865" w:rsidRPr="005060E0">
              <w:rPr>
                <w:rFonts w:cs="Arial"/>
                <w:b w:val="0"/>
                <w:color w:val="FFFFFF" w:themeColor="background1"/>
                <w:sz w:val="16"/>
                <w:szCs w:val="16"/>
                <w:lang w:val="en-AU"/>
              </w:rPr>
              <w:t>ountry</w:t>
            </w:r>
          </w:p>
        </w:tc>
        <w:tc>
          <w:tcPr>
            <w:tcW w:w="1216" w:type="pct"/>
            <w:gridSpan w:val="2"/>
            <w:shd w:val="clear" w:color="auto" w:fill="606075"/>
            <w:vAlign w:val="center"/>
          </w:tcPr>
          <w:p w14:paraId="783EDC63" w14:textId="26FB5AE4" w:rsidR="003C6A7A" w:rsidRPr="005060E0" w:rsidRDefault="003832E7" w:rsidP="0024486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Standard</w:t>
            </w:r>
            <w:r w:rsidR="00D80C09" w:rsidRPr="005060E0">
              <w:rPr>
                <w:rFonts w:cs="Arial"/>
                <w:b w:val="0"/>
                <w:color w:val="FFFFFF" w:themeColor="background1"/>
                <w:sz w:val="16"/>
                <w:szCs w:val="16"/>
                <w:vertAlign w:val="superscript"/>
                <w:lang w:val="en-AU"/>
              </w:rPr>
              <w:t>(a)</w:t>
            </w:r>
          </w:p>
        </w:tc>
        <w:tc>
          <w:tcPr>
            <w:tcW w:w="1611" w:type="pct"/>
            <w:vMerge w:val="restart"/>
            <w:shd w:val="clear" w:color="auto" w:fill="606075"/>
            <w:vAlign w:val="center"/>
          </w:tcPr>
          <w:p w14:paraId="1E99BEDF" w14:textId="77777777" w:rsidR="003C6A7A" w:rsidRPr="005060E0" w:rsidRDefault="003C6A7A" w:rsidP="0024486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Form of standard</w:t>
            </w:r>
          </w:p>
        </w:tc>
        <w:tc>
          <w:tcPr>
            <w:tcW w:w="807" w:type="pct"/>
            <w:vMerge w:val="restart"/>
            <w:shd w:val="clear" w:color="auto" w:fill="606075"/>
            <w:vAlign w:val="center"/>
          </w:tcPr>
          <w:p w14:paraId="1FAF11FA" w14:textId="2DBA803E" w:rsidR="003C6A7A" w:rsidRPr="005060E0" w:rsidRDefault="003C6A7A" w:rsidP="0024486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Allowable exceedances</w:t>
            </w:r>
          </w:p>
        </w:tc>
      </w:tr>
      <w:tr w:rsidR="00244865" w:rsidRPr="005060E0" w14:paraId="5C5B6778" w14:textId="1A515487" w:rsidTr="000704F3">
        <w:trPr>
          <w:cnfStyle w:val="100000000000" w:firstRow="1" w:lastRow="0" w:firstColumn="0" w:lastColumn="0" w:oddVBand="0" w:evenVBand="0" w:oddHBand="0" w:evenHBand="0" w:firstRowFirstColumn="0" w:firstRowLastColumn="0" w:lastRowFirstColumn="0" w:lastRowLastColumn="0"/>
          <w:trHeight w:hRule="exact" w:val="340"/>
          <w:tblHeader/>
        </w:trPr>
        <w:tc>
          <w:tcPr>
            <w:cnfStyle w:val="001000000000" w:firstRow="0" w:lastRow="0" w:firstColumn="1" w:lastColumn="0" w:oddVBand="0" w:evenVBand="0" w:oddHBand="0" w:evenHBand="0" w:firstRowFirstColumn="0" w:firstRowLastColumn="0" w:lastRowFirstColumn="0" w:lastRowLastColumn="0"/>
            <w:tcW w:w="551" w:type="pct"/>
            <w:vMerge/>
            <w:tcBorders>
              <w:bottom w:val="single" w:sz="4" w:space="0" w:color="606372" w:themeColor="text2"/>
            </w:tcBorders>
            <w:shd w:val="clear" w:color="auto" w:fill="606075"/>
            <w:vAlign w:val="center"/>
          </w:tcPr>
          <w:p w14:paraId="21E56C52" w14:textId="77777777" w:rsidR="003C6A7A" w:rsidRPr="005060E0" w:rsidRDefault="003C6A7A" w:rsidP="00244865">
            <w:pPr>
              <w:widowControl w:val="0"/>
              <w:spacing w:after="0" w:line="240" w:lineRule="auto"/>
              <w:jc w:val="center"/>
              <w:rPr>
                <w:rFonts w:cs="Arial"/>
                <w:b w:val="0"/>
                <w:color w:val="FFFFFF" w:themeColor="background1"/>
                <w:sz w:val="16"/>
                <w:szCs w:val="16"/>
                <w:lang w:val="en-AU"/>
              </w:rPr>
            </w:pPr>
          </w:p>
        </w:tc>
        <w:tc>
          <w:tcPr>
            <w:tcW w:w="815" w:type="pct"/>
            <w:vMerge/>
            <w:tcBorders>
              <w:bottom w:val="single" w:sz="4" w:space="0" w:color="606372" w:themeColor="text2"/>
            </w:tcBorders>
            <w:shd w:val="clear" w:color="auto" w:fill="606075"/>
            <w:vAlign w:val="center"/>
          </w:tcPr>
          <w:p w14:paraId="79793F68" w14:textId="77777777" w:rsidR="003C6A7A" w:rsidRPr="005060E0" w:rsidRDefault="003C6A7A" w:rsidP="0024486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p>
        </w:tc>
        <w:tc>
          <w:tcPr>
            <w:tcW w:w="608" w:type="pct"/>
            <w:tcBorders>
              <w:bottom w:val="single" w:sz="4" w:space="0" w:color="606372" w:themeColor="text2"/>
            </w:tcBorders>
            <w:shd w:val="clear" w:color="auto" w:fill="606075"/>
            <w:vAlign w:val="center"/>
          </w:tcPr>
          <w:p w14:paraId="3B826CC5" w14:textId="77777777" w:rsidR="003C6A7A" w:rsidRPr="005060E0" w:rsidRDefault="003C6A7A" w:rsidP="0024486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ppb</w:t>
            </w:r>
          </w:p>
        </w:tc>
        <w:tc>
          <w:tcPr>
            <w:tcW w:w="608" w:type="pct"/>
            <w:tcBorders>
              <w:bottom w:val="single" w:sz="4" w:space="0" w:color="606372" w:themeColor="text2"/>
            </w:tcBorders>
            <w:shd w:val="clear" w:color="auto" w:fill="606075"/>
            <w:vAlign w:val="center"/>
          </w:tcPr>
          <w:p w14:paraId="1593A24D" w14:textId="77777777" w:rsidR="003C6A7A" w:rsidRPr="005060E0" w:rsidRDefault="003C6A7A" w:rsidP="0024486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µg/m</w:t>
            </w:r>
            <w:r w:rsidRPr="005060E0">
              <w:rPr>
                <w:rFonts w:cs="Arial"/>
                <w:b w:val="0"/>
                <w:color w:val="FFFFFF" w:themeColor="background1"/>
                <w:sz w:val="16"/>
                <w:szCs w:val="16"/>
                <w:vertAlign w:val="superscript"/>
                <w:lang w:val="en-AU"/>
              </w:rPr>
              <w:t>3</w:t>
            </w:r>
          </w:p>
        </w:tc>
        <w:tc>
          <w:tcPr>
            <w:tcW w:w="1611" w:type="pct"/>
            <w:vMerge/>
            <w:tcBorders>
              <w:bottom w:val="single" w:sz="4" w:space="0" w:color="606372" w:themeColor="text2"/>
            </w:tcBorders>
            <w:shd w:val="clear" w:color="auto" w:fill="606075"/>
            <w:vAlign w:val="center"/>
          </w:tcPr>
          <w:p w14:paraId="5BC62A8E" w14:textId="77777777" w:rsidR="003C6A7A" w:rsidRPr="005060E0" w:rsidRDefault="003C6A7A" w:rsidP="0024486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p>
        </w:tc>
        <w:tc>
          <w:tcPr>
            <w:tcW w:w="807" w:type="pct"/>
            <w:vMerge/>
            <w:tcBorders>
              <w:bottom w:val="single" w:sz="4" w:space="0" w:color="606372" w:themeColor="text2"/>
            </w:tcBorders>
            <w:shd w:val="clear" w:color="auto" w:fill="606075"/>
          </w:tcPr>
          <w:p w14:paraId="3D247511" w14:textId="77777777" w:rsidR="003C6A7A" w:rsidRPr="005060E0" w:rsidRDefault="003C6A7A" w:rsidP="0024486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p>
        </w:tc>
      </w:tr>
      <w:tr w:rsidR="00D5676E" w:rsidRPr="005060E0" w14:paraId="5E11CDB8" w14:textId="77777777" w:rsidTr="000704F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1" w:type="pct"/>
            <w:tcBorders>
              <w:top w:val="single" w:sz="4" w:space="0" w:color="606372" w:themeColor="text2"/>
              <w:left w:val="single" w:sz="4" w:space="0" w:color="606372" w:themeColor="text2"/>
              <w:bottom w:val="single" w:sz="4" w:space="0" w:color="606372" w:themeColor="text2"/>
            </w:tcBorders>
            <w:vAlign w:val="center"/>
          </w:tcPr>
          <w:p w14:paraId="40BBFFEF" w14:textId="787407D6" w:rsidR="00D5676E" w:rsidRPr="005060E0" w:rsidRDefault="00D5676E" w:rsidP="00D5676E">
            <w:pPr>
              <w:widowControl w:val="0"/>
              <w:spacing w:after="0" w:line="240" w:lineRule="auto"/>
              <w:jc w:val="center"/>
              <w:rPr>
                <w:rFonts w:cs="Arial"/>
                <w:b w:val="0"/>
                <w:sz w:val="16"/>
                <w:szCs w:val="16"/>
                <w:lang w:val="en-AU"/>
              </w:rPr>
            </w:pPr>
            <w:r w:rsidRPr="005060E0">
              <w:rPr>
                <w:rFonts w:cs="Arial"/>
                <w:b w:val="0"/>
                <w:sz w:val="16"/>
                <w:szCs w:val="16"/>
                <w:lang w:val="en-AU"/>
              </w:rPr>
              <w:t>15-minute</w:t>
            </w:r>
          </w:p>
        </w:tc>
        <w:tc>
          <w:tcPr>
            <w:tcW w:w="815" w:type="pct"/>
            <w:tcBorders>
              <w:top w:val="single" w:sz="4" w:space="0" w:color="606372" w:themeColor="text2"/>
              <w:bottom w:val="single" w:sz="4" w:space="0" w:color="606372" w:themeColor="text2"/>
            </w:tcBorders>
            <w:shd w:val="clear" w:color="auto" w:fill="auto"/>
            <w:vAlign w:val="center"/>
          </w:tcPr>
          <w:p w14:paraId="07564965" w14:textId="165D84D2" w:rsidR="00D5676E" w:rsidRPr="005060E0" w:rsidRDefault="00D5676E"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United Kingdom</w:t>
            </w:r>
          </w:p>
        </w:tc>
        <w:tc>
          <w:tcPr>
            <w:tcW w:w="608" w:type="pct"/>
            <w:tcBorders>
              <w:top w:val="single" w:sz="4" w:space="0" w:color="606372" w:themeColor="text2"/>
              <w:bottom w:val="single" w:sz="4" w:space="0" w:color="606372" w:themeColor="text2"/>
              <w:right w:val="dotted" w:sz="4" w:space="0" w:color="606072"/>
            </w:tcBorders>
            <w:shd w:val="clear" w:color="auto" w:fill="auto"/>
            <w:vAlign w:val="center"/>
          </w:tcPr>
          <w:p w14:paraId="144A6BCE" w14:textId="1CBD2B4E" w:rsidR="00D5676E" w:rsidRPr="005060E0" w:rsidRDefault="00D5676E"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94</w:t>
            </w:r>
          </w:p>
        </w:tc>
        <w:tc>
          <w:tcPr>
            <w:tcW w:w="608" w:type="pct"/>
            <w:tcBorders>
              <w:top w:val="single" w:sz="4" w:space="0" w:color="606372" w:themeColor="text2"/>
              <w:left w:val="dotted" w:sz="4" w:space="0" w:color="606072"/>
              <w:bottom w:val="single" w:sz="4" w:space="0" w:color="606372" w:themeColor="text2"/>
            </w:tcBorders>
            <w:shd w:val="clear" w:color="auto" w:fill="auto"/>
            <w:vAlign w:val="center"/>
          </w:tcPr>
          <w:p w14:paraId="06167596" w14:textId="20331FF6" w:rsidR="00D5676E" w:rsidRPr="005060E0" w:rsidRDefault="00D5676E"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266</w:t>
            </w:r>
          </w:p>
        </w:tc>
        <w:tc>
          <w:tcPr>
            <w:tcW w:w="1611" w:type="pct"/>
            <w:tcBorders>
              <w:top w:val="single" w:sz="4" w:space="0" w:color="606372" w:themeColor="text2"/>
              <w:bottom w:val="single" w:sz="4" w:space="0" w:color="606372" w:themeColor="text2"/>
              <w:right w:val="single" w:sz="4" w:space="0" w:color="606372" w:themeColor="text2"/>
            </w:tcBorders>
            <w:shd w:val="clear" w:color="auto" w:fill="auto"/>
            <w:vAlign w:val="center"/>
          </w:tcPr>
          <w:p w14:paraId="26A9B45D" w14:textId="06AA2845" w:rsidR="00D5676E" w:rsidRPr="005060E0" w:rsidRDefault="000F38E2"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w:t>
            </w:r>
          </w:p>
        </w:tc>
        <w:tc>
          <w:tcPr>
            <w:tcW w:w="807" w:type="pct"/>
            <w:tcBorders>
              <w:top w:val="single" w:sz="4" w:space="0" w:color="606372" w:themeColor="text2"/>
              <w:bottom w:val="single" w:sz="4" w:space="0" w:color="606372" w:themeColor="text2"/>
              <w:right w:val="single" w:sz="4" w:space="0" w:color="606372" w:themeColor="text2"/>
            </w:tcBorders>
            <w:shd w:val="clear" w:color="auto" w:fill="auto"/>
            <w:vAlign w:val="center"/>
          </w:tcPr>
          <w:p w14:paraId="57792874" w14:textId="18F7EABC" w:rsidR="00D5676E" w:rsidRPr="005060E0" w:rsidRDefault="00D5676E"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35</w:t>
            </w:r>
            <w:r w:rsidR="00B67484" w:rsidRPr="005060E0">
              <w:rPr>
                <w:rFonts w:cs="Arial"/>
                <w:sz w:val="16"/>
                <w:szCs w:val="16"/>
                <w:lang w:val="en-AU"/>
              </w:rPr>
              <w:t xml:space="preserve"> times per year</w:t>
            </w:r>
          </w:p>
        </w:tc>
      </w:tr>
      <w:tr w:rsidR="00D5676E" w:rsidRPr="005060E0" w14:paraId="65486D4F" w14:textId="77777777" w:rsidTr="000704F3">
        <w:trPr>
          <w:trHeight w:val="397"/>
        </w:trPr>
        <w:tc>
          <w:tcPr>
            <w:cnfStyle w:val="001000000000" w:firstRow="0" w:lastRow="0" w:firstColumn="1" w:lastColumn="0" w:oddVBand="0" w:evenVBand="0" w:oddHBand="0" w:evenHBand="0" w:firstRowFirstColumn="0" w:firstRowLastColumn="0" w:lastRowFirstColumn="0" w:lastRowLastColumn="0"/>
            <w:tcW w:w="551" w:type="pct"/>
            <w:vMerge w:val="restart"/>
            <w:tcBorders>
              <w:top w:val="single" w:sz="4" w:space="0" w:color="606372" w:themeColor="text2"/>
              <w:left w:val="single" w:sz="4" w:space="0" w:color="606372" w:themeColor="text2"/>
            </w:tcBorders>
            <w:vAlign w:val="center"/>
          </w:tcPr>
          <w:p w14:paraId="6C0DF50A" w14:textId="70A25D45" w:rsidR="00D5676E" w:rsidRPr="005060E0" w:rsidRDefault="00D5676E" w:rsidP="00D5676E">
            <w:pPr>
              <w:widowControl w:val="0"/>
              <w:spacing w:after="0" w:line="240" w:lineRule="auto"/>
              <w:jc w:val="center"/>
              <w:rPr>
                <w:rFonts w:cs="Arial"/>
                <w:b w:val="0"/>
                <w:sz w:val="16"/>
                <w:szCs w:val="16"/>
                <w:lang w:val="en-AU"/>
              </w:rPr>
            </w:pPr>
            <w:r w:rsidRPr="005060E0">
              <w:rPr>
                <w:rFonts w:cs="Arial"/>
                <w:b w:val="0"/>
                <w:sz w:val="16"/>
                <w:szCs w:val="16"/>
                <w:lang w:val="en-AU"/>
              </w:rPr>
              <w:t>1-hour</w:t>
            </w:r>
          </w:p>
        </w:tc>
        <w:tc>
          <w:tcPr>
            <w:tcW w:w="815" w:type="pct"/>
            <w:tcBorders>
              <w:top w:val="single" w:sz="4" w:space="0" w:color="606372" w:themeColor="text2"/>
              <w:bottom w:val="dotted" w:sz="4" w:space="0" w:color="606372" w:themeColor="text2"/>
            </w:tcBorders>
            <w:shd w:val="clear" w:color="auto" w:fill="DEDFE3" w:themeFill="text2" w:themeFillTint="33"/>
            <w:vAlign w:val="center"/>
          </w:tcPr>
          <w:p w14:paraId="6E7E81BB" w14:textId="10FD17ED" w:rsidR="00D5676E" w:rsidRPr="005060E0" w:rsidRDefault="00D5676E" w:rsidP="00D5676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Australia</w:t>
            </w:r>
          </w:p>
        </w:tc>
        <w:tc>
          <w:tcPr>
            <w:tcW w:w="608" w:type="pct"/>
            <w:tcBorders>
              <w:top w:val="single" w:sz="4" w:space="0" w:color="606372" w:themeColor="text2"/>
              <w:bottom w:val="dotted" w:sz="4" w:space="0" w:color="606372" w:themeColor="text2"/>
              <w:right w:val="dotted" w:sz="4" w:space="0" w:color="606072"/>
            </w:tcBorders>
            <w:shd w:val="clear" w:color="auto" w:fill="DEDFE3" w:themeFill="text2" w:themeFillTint="33"/>
            <w:vAlign w:val="center"/>
          </w:tcPr>
          <w:p w14:paraId="0643E1F1" w14:textId="588B9F89" w:rsidR="00D5676E" w:rsidRPr="005060E0" w:rsidRDefault="00D5676E" w:rsidP="00D5676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200</w:t>
            </w:r>
          </w:p>
        </w:tc>
        <w:tc>
          <w:tcPr>
            <w:tcW w:w="608" w:type="pct"/>
            <w:tcBorders>
              <w:top w:val="single" w:sz="4" w:space="0" w:color="606372" w:themeColor="text2"/>
              <w:left w:val="dotted" w:sz="4" w:space="0" w:color="606072"/>
              <w:bottom w:val="dotted" w:sz="4" w:space="0" w:color="606372" w:themeColor="text2"/>
            </w:tcBorders>
            <w:shd w:val="clear" w:color="auto" w:fill="DEDFE3" w:themeFill="text2" w:themeFillTint="33"/>
            <w:vAlign w:val="center"/>
          </w:tcPr>
          <w:p w14:paraId="753F8987" w14:textId="15A93DBB" w:rsidR="00D5676E" w:rsidRPr="005060E0" w:rsidRDefault="00D80C09" w:rsidP="00D5676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6"/>
                <w:szCs w:val="16"/>
                <w:lang w:val="en-AU"/>
              </w:rPr>
            </w:pPr>
            <w:r w:rsidRPr="005060E0">
              <w:rPr>
                <w:rFonts w:cs="Arial"/>
                <w:i/>
                <w:sz w:val="16"/>
                <w:szCs w:val="16"/>
                <w:lang w:val="en-AU"/>
              </w:rPr>
              <w:t>572</w:t>
            </w:r>
          </w:p>
        </w:tc>
        <w:tc>
          <w:tcPr>
            <w:tcW w:w="1611" w:type="pct"/>
            <w:tcBorders>
              <w:top w:val="single" w:sz="4" w:space="0" w:color="606372" w:themeColor="text2"/>
              <w:bottom w:val="dotted" w:sz="4" w:space="0" w:color="606372" w:themeColor="text2"/>
              <w:right w:val="single" w:sz="4" w:space="0" w:color="606372" w:themeColor="text2"/>
            </w:tcBorders>
            <w:shd w:val="clear" w:color="auto" w:fill="DEDFE3" w:themeFill="text2" w:themeFillTint="33"/>
            <w:vAlign w:val="center"/>
          </w:tcPr>
          <w:p w14:paraId="218BFBFA" w14:textId="77777777" w:rsidR="00D5676E" w:rsidRPr="005060E0" w:rsidRDefault="00D5676E" w:rsidP="00D5676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p>
        </w:tc>
        <w:tc>
          <w:tcPr>
            <w:tcW w:w="807" w:type="pct"/>
            <w:tcBorders>
              <w:top w:val="single" w:sz="4" w:space="0" w:color="606372" w:themeColor="text2"/>
              <w:bottom w:val="dotted" w:sz="4" w:space="0" w:color="606372" w:themeColor="text2"/>
              <w:right w:val="single" w:sz="4" w:space="0" w:color="606372" w:themeColor="text2"/>
            </w:tcBorders>
            <w:shd w:val="clear" w:color="auto" w:fill="DEDFE3" w:themeFill="text2" w:themeFillTint="33"/>
            <w:vAlign w:val="center"/>
          </w:tcPr>
          <w:p w14:paraId="124E6A15" w14:textId="7F742CB2" w:rsidR="00D5676E" w:rsidRPr="005060E0" w:rsidRDefault="00D5676E" w:rsidP="00D5676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1 day per year</w:t>
            </w:r>
          </w:p>
        </w:tc>
      </w:tr>
      <w:tr w:rsidR="00D5676E" w:rsidRPr="005060E0" w14:paraId="27C1ED1F" w14:textId="77777777" w:rsidTr="000704F3">
        <w:trPr>
          <w:cnfStyle w:val="000000100000" w:firstRow="0" w:lastRow="0" w:firstColumn="0" w:lastColumn="0" w:oddVBand="0" w:evenVBand="0" w:oddHBand="1" w:evenHBand="0" w:firstRowFirstColumn="0" w:firstRowLastColumn="0" w:lastRowFirstColumn="0" w:lastRowLastColumn="0"/>
          <w:trHeight w:hRule="exact" w:val="624"/>
        </w:trPr>
        <w:tc>
          <w:tcPr>
            <w:cnfStyle w:val="001000000000" w:firstRow="0" w:lastRow="0" w:firstColumn="1" w:lastColumn="0" w:oddVBand="0" w:evenVBand="0" w:oddHBand="0" w:evenHBand="0" w:firstRowFirstColumn="0" w:firstRowLastColumn="0" w:lastRowFirstColumn="0" w:lastRowLastColumn="0"/>
            <w:tcW w:w="551" w:type="pct"/>
            <w:vMerge/>
            <w:tcBorders>
              <w:top w:val="single" w:sz="4" w:space="0" w:color="606372" w:themeColor="text2"/>
              <w:left w:val="single" w:sz="4" w:space="0" w:color="606372" w:themeColor="text2"/>
              <w:bottom w:val="single" w:sz="4" w:space="0" w:color="606372" w:themeColor="text2"/>
            </w:tcBorders>
            <w:vAlign w:val="center"/>
          </w:tcPr>
          <w:p w14:paraId="1BEFF3A7" w14:textId="77777777" w:rsidR="00D5676E" w:rsidRPr="005060E0" w:rsidRDefault="00D5676E" w:rsidP="00D5676E">
            <w:pPr>
              <w:widowControl w:val="0"/>
              <w:spacing w:after="0" w:line="240" w:lineRule="auto"/>
              <w:jc w:val="center"/>
              <w:rPr>
                <w:rFonts w:cs="Arial"/>
                <w:b w:val="0"/>
                <w:sz w:val="16"/>
                <w:szCs w:val="16"/>
                <w:lang w:val="en-AU"/>
              </w:rPr>
            </w:pPr>
          </w:p>
        </w:tc>
        <w:tc>
          <w:tcPr>
            <w:tcW w:w="815" w:type="pct"/>
            <w:tcBorders>
              <w:top w:val="dotted" w:sz="4" w:space="0" w:color="606372" w:themeColor="text2"/>
              <w:bottom w:val="dotted" w:sz="4" w:space="0" w:color="606372" w:themeColor="text2"/>
            </w:tcBorders>
            <w:shd w:val="clear" w:color="auto" w:fill="auto"/>
            <w:vAlign w:val="center"/>
          </w:tcPr>
          <w:p w14:paraId="5F6307A9" w14:textId="26E3B861" w:rsidR="00D5676E" w:rsidRPr="005060E0" w:rsidRDefault="00D5676E"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US (USEPA)</w:t>
            </w:r>
          </w:p>
        </w:tc>
        <w:tc>
          <w:tcPr>
            <w:tcW w:w="608" w:type="pct"/>
            <w:tcBorders>
              <w:top w:val="dotted" w:sz="4" w:space="0" w:color="606372" w:themeColor="text2"/>
              <w:bottom w:val="dotted" w:sz="4" w:space="0" w:color="606372" w:themeColor="text2"/>
              <w:right w:val="dotted" w:sz="4" w:space="0" w:color="606072"/>
            </w:tcBorders>
            <w:shd w:val="clear" w:color="auto" w:fill="auto"/>
            <w:vAlign w:val="center"/>
          </w:tcPr>
          <w:p w14:paraId="7529CEDC" w14:textId="092523B4" w:rsidR="00D5676E" w:rsidRPr="005060E0" w:rsidRDefault="00D5676E"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75</w:t>
            </w:r>
          </w:p>
        </w:tc>
        <w:tc>
          <w:tcPr>
            <w:tcW w:w="608" w:type="pct"/>
            <w:tcBorders>
              <w:top w:val="dotted" w:sz="4" w:space="0" w:color="606372" w:themeColor="text2"/>
              <w:left w:val="dotted" w:sz="4" w:space="0" w:color="606072"/>
              <w:bottom w:val="dotted" w:sz="4" w:space="0" w:color="606372" w:themeColor="text2"/>
            </w:tcBorders>
            <w:shd w:val="clear" w:color="auto" w:fill="auto"/>
            <w:vAlign w:val="center"/>
          </w:tcPr>
          <w:p w14:paraId="5FF1C069" w14:textId="7780CA6D" w:rsidR="00D5676E" w:rsidRPr="005060E0" w:rsidRDefault="00D80C09"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6"/>
                <w:szCs w:val="16"/>
                <w:lang w:val="en-AU"/>
              </w:rPr>
            </w:pPr>
            <w:r w:rsidRPr="005060E0">
              <w:rPr>
                <w:rFonts w:cs="Arial"/>
                <w:i/>
                <w:sz w:val="16"/>
                <w:szCs w:val="16"/>
                <w:lang w:val="en-AU"/>
              </w:rPr>
              <w:t>214</w:t>
            </w:r>
          </w:p>
        </w:tc>
        <w:tc>
          <w:tcPr>
            <w:tcW w:w="1611" w:type="pct"/>
            <w:tcBorders>
              <w:top w:val="dotted" w:sz="4" w:space="0" w:color="606372" w:themeColor="text2"/>
              <w:bottom w:val="dotted" w:sz="4" w:space="0" w:color="606372" w:themeColor="text2"/>
              <w:right w:val="single" w:sz="4" w:space="0" w:color="606372" w:themeColor="text2"/>
            </w:tcBorders>
            <w:shd w:val="clear" w:color="auto" w:fill="auto"/>
            <w:vAlign w:val="center"/>
          </w:tcPr>
          <w:p w14:paraId="586F6AF6" w14:textId="70D76849" w:rsidR="00D5676E" w:rsidRPr="005060E0" w:rsidRDefault="00D5676E"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99</w:t>
            </w:r>
            <w:r w:rsidRPr="005060E0">
              <w:rPr>
                <w:rFonts w:cs="Arial"/>
                <w:sz w:val="16"/>
                <w:szCs w:val="16"/>
                <w:vertAlign w:val="superscript"/>
                <w:lang w:val="en-AU"/>
              </w:rPr>
              <w:t>th</w:t>
            </w:r>
            <w:r w:rsidRPr="005060E0">
              <w:rPr>
                <w:rFonts w:cs="Arial"/>
                <w:sz w:val="16"/>
                <w:szCs w:val="16"/>
                <w:lang w:val="en-AU"/>
              </w:rPr>
              <w:t xml:space="preserve"> percentile of 1-hour daily maximum concentrations averaged over 3 years</w:t>
            </w:r>
          </w:p>
        </w:tc>
        <w:tc>
          <w:tcPr>
            <w:tcW w:w="807" w:type="pct"/>
            <w:tcBorders>
              <w:top w:val="dotted" w:sz="4" w:space="0" w:color="606372" w:themeColor="text2"/>
              <w:bottom w:val="dotted" w:sz="4" w:space="0" w:color="606372" w:themeColor="text2"/>
              <w:right w:val="single" w:sz="4" w:space="0" w:color="606372" w:themeColor="text2"/>
            </w:tcBorders>
            <w:shd w:val="clear" w:color="auto" w:fill="auto"/>
            <w:vAlign w:val="center"/>
          </w:tcPr>
          <w:p w14:paraId="45675202" w14:textId="579B4E41" w:rsidR="00D5676E" w:rsidRPr="005060E0" w:rsidRDefault="00D5676E"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None</w:t>
            </w:r>
            <w:r w:rsidR="00D80C09" w:rsidRPr="005060E0">
              <w:rPr>
                <w:rFonts w:cs="Arial"/>
                <w:sz w:val="16"/>
                <w:szCs w:val="16"/>
                <w:vertAlign w:val="superscript"/>
                <w:lang w:val="en-AU"/>
              </w:rPr>
              <w:t>(d</w:t>
            </w:r>
            <w:r w:rsidR="008E11C7" w:rsidRPr="005060E0">
              <w:rPr>
                <w:rFonts w:cs="Arial"/>
                <w:sz w:val="16"/>
                <w:szCs w:val="16"/>
                <w:vertAlign w:val="superscript"/>
                <w:lang w:val="en-AU"/>
              </w:rPr>
              <w:t>)</w:t>
            </w:r>
          </w:p>
        </w:tc>
      </w:tr>
      <w:tr w:rsidR="00D5676E" w:rsidRPr="005060E0" w14:paraId="5907A65A" w14:textId="77777777" w:rsidTr="000704F3">
        <w:trPr>
          <w:trHeight w:hRule="exact" w:val="624"/>
        </w:trPr>
        <w:tc>
          <w:tcPr>
            <w:cnfStyle w:val="001000000000" w:firstRow="0" w:lastRow="0" w:firstColumn="1" w:lastColumn="0" w:oddVBand="0" w:evenVBand="0" w:oddHBand="0" w:evenHBand="0" w:firstRowFirstColumn="0" w:firstRowLastColumn="0" w:lastRowFirstColumn="0" w:lastRowLastColumn="0"/>
            <w:tcW w:w="551" w:type="pct"/>
            <w:vMerge/>
            <w:tcBorders>
              <w:left w:val="single" w:sz="4" w:space="0" w:color="606372" w:themeColor="text2"/>
            </w:tcBorders>
            <w:vAlign w:val="center"/>
          </w:tcPr>
          <w:p w14:paraId="45CDB6C8" w14:textId="77777777" w:rsidR="00D5676E" w:rsidRPr="005060E0" w:rsidRDefault="00D5676E" w:rsidP="00D5676E">
            <w:pPr>
              <w:widowControl w:val="0"/>
              <w:spacing w:after="0" w:line="240" w:lineRule="auto"/>
              <w:jc w:val="center"/>
              <w:rPr>
                <w:rFonts w:cs="Arial"/>
                <w:b w:val="0"/>
                <w:sz w:val="16"/>
                <w:szCs w:val="16"/>
                <w:lang w:val="en-AU"/>
              </w:rPr>
            </w:pPr>
          </w:p>
        </w:tc>
        <w:tc>
          <w:tcPr>
            <w:tcW w:w="815" w:type="pct"/>
            <w:tcBorders>
              <w:top w:val="dotted" w:sz="4" w:space="0" w:color="606372" w:themeColor="text2"/>
              <w:bottom w:val="dotted" w:sz="4" w:space="0" w:color="606372" w:themeColor="text2"/>
            </w:tcBorders>
            <w:shd w:val="clear" w:color="auto" w:fill="auto"/>
            <w:vAlign w:val="center"/>
          </w:tcPr>
          <w:p w14:paraId="7FE9E806" w14:textId="368943CE" w:rsidR="00D5676E" w:rsidRPr="005060E0" w:rsidRDefault="00D5676E" w:rsidP="00D5676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Canada</w:t>
            </w:r>
          </w:p>
        </w:tc>
        <w:tc>
          <w:tcPr>
            <w:tcW w:w="608" w:type="pct"/>
            <w:tcBorders>
              <w:top w:val="dotted" w:sz="4" w:space="0" w:color="606372" w:themeColor="text2"/>
              <w:bottom w:val="dotted" w:sz="4" w:space="0" w:color="606372" w:themeColor="text2"/>
              <w:right w:val="dotted" w:sz="4" w:space="0" w:color="606072"/>
            </w:tcBorders>
            <w:shd w:val="clear" w:color="auto" w:fill="auto"/>
            <w:vAlign w:val="center"/>
          </w:tcPr>
          <w:p w14:paraId="4B77386C" w14:textId="31F8B623" w:rsidR="00D5676E" w:rsidRPr="005060E0" w:rsidRDefault="00D5676E" w:rsidP="00D5676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70</w:t>
            </w:r>
            <w:r w:rsidR="00D80C09" w:rsidRPr="005060E0">
              <w:rPr>
                <w:rFonts w:cs="Arial"/>
                <w:sz w:val="16"/>
                <w:szCs w:val="16"/>
                <w:vertAlign w:val="superscript"/>
                <w:lang w:val="en-AU"/>
              </w:rPr>
              <w:t>(b</w:t>
            </w:r>
            <w:r w:rsidRPr="005060E0">
              <w:rPr>
                <w:rFonts w:cs="Arial"/>
                <w:sz w:val="16"/>
                <w:szCs w:val="16"/>
                <w:vertAlign w:val="superscript"/>
                <w:lang w:val="en-AU"/>
              </w:rPr>
              <w:t>)</w:t>
            </w:r>
            <w:r w:rsidRPr="005060E0">
              <w:rPr>
                <w:rFonts w:cs="Arial"/>
                <w:sz w:val="16"/>
                <w:szCs w:val="16"/>
                <w:lang w:val="en-AU"/>
              </w:rPr>
              <w:t>, 65</w:t>
            </w:r>
            <w:r w:rsidR="00D80C09" w:rsidRPr="005060E0">
              <w:rPr>
                <w:rFonts w:cs="Arial"/>
                <w:sz w:val="16"/>
                <w:szCs w:val="16"/>
                <w:vertAlign w:val="superscript"/>
                <w:lang w:val="en-AU"/>
              </w:rPr>
              <w:t>(c</w:t>
            </w:r>
            <w:r w:rsidRPr="005060E0">
              <w:rPr>
                <w:rFonts w:cs="Arial"/>
                <w:sz w:val="16"/>
                <w:szCs w:val="16"/>
                <w:vertAlign w:val="superscript"/>
                <w:lang w:val="en-AU"/>
              </w:rPr>
              <w:t>)</w:t>
            </w:r>
          </w:p>
        </w:tc>
        <w:tc>
          <w:tcPr>
            <w:tcW w:w="608" w:type="pct"/>
            <w:tcBorders>
              <w:top w:val="dotted" w:sz="4" w:space="0" w:color="606372" w:themeColor="text2"/>
              <w:left w:val="dotted" w:sz="4" w:space="0" w:color="606072"/>
              <w:bottom w:val="dotted" w:sz="4" w:space="0" w:color="606372" w:themeColor="text2"/>
            </w:tcBorders>
            <w:shd w:val="clear" w:color="auto" w:fill="auto"/>
            <w:vAlign w:val="center"/>
          </w:tcPr>
          <w:p w14:paraId="37BC6605" w14:textId="21F34D2A" w:rsidR="00D5676E" w:rsidRPr="005060E0" w:rsidRDefault="00D80C09" w:rsidP="00D5676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i/>
                <w:sz w:val="16"/>
                <w:szCs w:val="16"/>
                <w:lang w:val="en-AU"/>
              </w:rPr>
              <w:t>200</w:t>
            </w:r>
            <w:r w:rsidRPr="005060E0">
              <w:rPr>
                <w:rFonts w:cs="Arial"/>
                <w:sz w:val="16"/>
                <w:szCs w:val="16"/>
                <w:lang w:val="en-AU"/>
              </w:rPr>
              <w:t xml:space="preserve">, </w:t>
            </w:r>
            <w:r w:rsidRPr="005060E0">
              <w:rPr>
                <w:rFonts w:cs="Arial"/>
                <w:i/>
                <w:sz w:val="16"/>
                <w:szCs w:val="16"/>
                <w:lang w:val="en-AU"/>
              </w:rPr>
              <w:t>186</w:t>
            </w:r>
          </w:p>
        </w:tc>
        <w:tc>
          <w:tcPr>
            <w:tcW w:w="1611" w:type="pct"/>
            <w:tcBorders>
              <w:top w:val="dotted" w:sz="4" w:space="0" w:color="606372" w:themeColor="text2"/>
              <w:bottom w:val="dotted" w:sz="4" w:space="0" w:color="606372" w:themeColor="text2"/>
              <w:right w:val="single" w:sz="4" w:space="0" w:color="606372" w:themeColor="text2"/>
            </w:tcBorders>
            <w:shd w:val="clear" w:color="auto" w:fill="auto"/>
            <w:vAlign w:val="center"/>
          </w:tcPr>
          <w:p w14:paraId="51A29F0A" w14:textId="1973359B" w:rsidR="00D5676E" w:rsidRPr="005060E0" w:rsidRDefault="00D5676E" w:rsidP="00D5676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3 year average of annual 99</w:t>
            </w:r>
            <w:r w:rsidRPr="005060E0">
              <w:rPr>
                <w:rFonts w:cs="Arial"/>
                <w:sz w:val="16"/>
                <w:szCs w:val="16"/>
                <w:vertAlign w:val="superscript"/>
                <w:lang w:val="en-AU"/>
              </w:rPr>
              <w:t>th</w:t>
            </w:r>
            <w:r w:rsidRPr="005060E0">
              <w:rPr>
                <w:rFonts w:cs="Arial"/>
                <w:sz w:val="16"/>
                <w:szCs w:val="16"/>
                <w:lang w:val="en-AU"/>
              </w:rPr>
              <w:t xml:space="preserve"> percentile of the daily maximum 1-hour values</w:t>
            </w:r>
          </w:p>
        </w:tc>
        <w:tc>
          <w:tcPr>
            <w:tcW w:w="807" w:type="pct"/>
            <w:tcBorders>
              <w:top w:val="dotted" w:sz="4" w:space="0" w:color="606372" w:themeColor="text2"/>
              <w:bottom w:val="dotted" w:sz="4" w:space="0" w:color="606372" w:themeColor="text2"/>
              <w:right w:val="single" w:sz="4" w:space="0" w:color="606372" w:themeColor="text2"/>
            </w:tcBorders>
            <w:shd w:val="clear" w:color="auto" w:fill="auto"/>
            <w:vAlign w:val="center"/>
          </w:tcPr>
          <w:p w14:paraId="66BC1893" w14:textId="42CCFF8C" w:rsidR="00D5676E" w:rsidRPr="005060E0" w:rsidRDefault="00D5676E" w:rsidP="00D5676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None</w:t>
            </w:r>
            <w:r w:rsidR="00D80C09" w:rsidRPr="005060E0">
              <w:rPr>
                <w:rFonts w:cs="Arial"/>
                <w:sz w:val="16"/>
                <w:szCs w:val="16"/>
                <w:vertAlign w:val="superscript"/>
                <w:lang w:val="en-AU"/>
              </w:rPr>
              <w:t>(d</w:t>
            </w:r>
            <w:r w:rsidR="008E11C7" w:rsidRPr="005060E0">
              <w:rPr>
                <w:rFonts w:cs="Arial"/>
                <w:sz w:val="16"/>
                <w:szCs w:val="16"/>
                <w:vertAlign w:val="superscript"/>
                <w:lang w:val="en-AU"/>
              </w:rPr>
              <w:t>)</w:t>
            </w:r>
          </w:p>
        </w:tc>
      </w:tr>
      <w:tr w:rsidR="00D5676E" w:rsidRPr="005060E0" w14:paraId="3920CAB0" w14:textId="77777777" w:rsidTr="000704F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1" w:type="pct"/>
            <w:vMerge/>
            <w:tcBorders>
              <w:top w:val="single" w:sz="4" w:space="0" w:color="606372" w:themeColor="text2"/>
              <w:left w:val="single" w:sz="4" w:space="0" w:color="606372" w:themeColor="text2"/>
              <w:bottom w:val="single" w:sz="4" w:space="0" w:color="606372" w:themeColor="text2"/>
            </w:tcBorders>
            <w:vAlign w:val="center"/>
          </w:tcPr>
          <w:p w14:paraId="1585BA91" w14:textId="77777777" w:rsidR="00D5676E" w:rsidRPr="005060E0" w:rsidRDefault="00D5676E" w:rsidP="00D5676E">
            <w:pPr>
              <w:widowControl w:val="0"/>
              <w:spacing w:after="0" w:line="240" w:lineRule="auto"/>
              <w:jc w:val="center"/>
              <w:rPr>
                <w:rFonts w:cs="Arial"/>
                <w:b w:val="0"/>
                <w:sz w:val="16"/>
                <w:szCs w:val="16"/>
                <w:lang w:val="en-AU"/>
              </w:rPr>
            </w:pPr>
          </w:p>
        </w:tc>
        <w:tc>
          <w:tcPr>
            <w:tcW w:w="815" w:type="pct"/>
            <w:tcBorders>
              <w:top w:val="dotted" w:sz="4" w:space="0" w:color="606372" w:themeColor="text2"/>
              <w:bottom w:val="dotted" w:sz="4" w:space="0" w:color="606372" w:themeColor="text2"/>
            </w:tcBorders>
            <w:shd w:val="clear" w:color="auto" w:fill="auto"/>
            <w:vAlign w:val="center"/>
          </w:tcPr>
          <w:p w14:paraId="4653076B" w14:textId="60BF4968" w:rsidR="00D5676E" w:rsidRPr="005060E0" w:rsidRDefault="00D5676E"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European Union</w:t>
            </w:r>
          </w:p>
        </w:tc>
        <w:tc>
          <w:tcPr>
            <w:tcW w:w="608" w:type="pct"/>
            <w:tcBorders>
              <w:top w:val="dotted" w:sz="4" w:space="0" w:color="606372" w:themeColor="text2"/>
              <w:bottom w:val="dotted" w:sz="4" w:space="0" w:color="606372" w:themeColor="text2"/>
              <w:right w:val="dotted" w:sz="4" w:space="0" w:color="606072"/>
            </w:tcBorders>
            <w:shd w:val="clear" w:color="auto" w:fill="auto"/>
            <w:vAlign w:val="center"/>
          </w:tcPr>
          <w:p w14:paraId="7A507D4B" w14:textId="256FFE10" w:rsidR="00D5676E" w:rsidRPr="005060E0" w:rsidRDefault="00D5676E"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124</w:t>
            </w:r>
          </w:p>
        </w:tc>
        <w:tc>
          <w:tcPr>
            <w:tcW w:w="608" w:type="pct"/>
            <w:tcBorders>
              <w:top w:val="dotted" w:sz="4" w:space="0" w:color="606372" w:themeColor="text2"/>
              <w:left w:val="dotted" w:sz="4" w:space="0" w:color="606072"/>
              <w:bottom w:val="dotted" w:sz="4" w:space="0" w:color="606372" w:themeColor="text2"/>
            </w:tcBorders>
            <w:shd w:val="clear" w:color="auto" w:fill="auto"/>
            <w:vAlign w:val="center"/>
          </w:tcPr>
          <w:p w14:paraId="7CE395E3" w14:textId="54727923" w:rsidR="00D5676E" w:rsidRPr="005060E0" w:rsidRDefault="00D5676E"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350</w:t>
            </w:r>
          </w:p>
        </w:tc>
        <w:tc>
          <w:tcPr>
            <w:tcW w:w="1611" w:type="pct"/>
            <w:tcBorders>
              <w:top w:val="dotted" w:sz="4" w:space="0" w:color="606372" w:themeColor="text2"/>
              <w:bottom w:val="dotted" w:sz="4" w:space="0" w:color="606372" w:themeColor="text2"/>
              <w:right w:val="single" w:sz="4" w:space="0" w:color="606372" w:themeColor="text2"/>
            </w:tcBorders>
            <w:shd w:val="clear" w:color="auto" w:fill="auto"/>
            <w:vAlign w:val="center"/>
          </w:tcPr>
          <w:p w14:paraId="41FA182E" w14:textId="13B2D26D" w:rsidR="00D5676E" w:rsidRPr="005060E0" w:rsidRDefault="000F38E2"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w:t>
            </w:r>
          </w:p>
        </w:tc>
        <w:tc>
          <w:tcPr>
            <w:tcW w:w="807" w:type="pct"/>
            <w:tcBorders>
              <w:top w:val="dotted" w:sz="4" w:space="0" w:color="606372" w:themeColor="text2"/>
              <w:bottom w:val="dotted" w:sz="4" w:space="0" w:color="606372" w:themeColor="text2"/>
              <w:right w:val="single" w:sz="4" w:space="0" w:color="606372" w:themeColor="text2"/>
            </w:tcBorders>
            <w:shd w:val="clear" w:color="auto" w:fill="auto"/>
            <w:vAlign w:val="center"/>
          </w:tcPr>
          <w:p w14:paraId="327E7A26" w14:textId="32F665B1" w:rsidR="00D5676E" w:rsidRPr="005060E0" w:rsidRDefault="00D5676E"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24</w:t>
            </w:r>
            <w:r w:rsidR="00A052EF" w:rsidRPr="005060E0">
              <w:rPr>
                <w:rFonts w:cs="Arial"/>
                <w:sz w:val="16"/>
                <w:szCs w:val="16"/>
                <w:lang w:val="en-AU"/>
              </w:rPr>
              <w:t xml:space="preserve"> times per year</w:t>
            </w:r>
          </w:p>
        </w:tc>
      </w:tr>
      <w:tr w:rsidR="00D5676E" w:rsidRPr="005060E0" w14:paraId="3F0D4144" w14:textId="77777777" w:rsidTr="000704F3">
        <w:trPr>
          <w:trHeight w:val="397"/>
        </w:trPr>
        <w:tc>
          <w:tcPr>
            <w:cnfStyle w:val="001000000000" w:firstRow="0" w:lastRow="0" w:firstColumn="1" w:lastColumn="0" w:oddVBand="0" w:evenVBand="0" w:oddHBand="0" w:evenHBand="0" w:firstRowFirstColumn="0" w:firstRowLastColumn="0" w:lastRowFirstColumn="0" w:lastRowLastColumn="0"/>
            <w:tcW w:w="551" w:type="pct"/>
            <w:vMerge/>
            <w:tcBorders>
              <w:left w:val="single" w:sz="4" w:space="0" w:color="606372" w:themeColor="text2"/>
            </w:tcBorders>
            <w:vAlign w:val="center"/>
          </w:tcPr>
          <w:p w14:paraId="3A0C9555" w14:textId="77777777" w:rsidR="00D5676E" w:rsidRPr="005060E0" w:rsidRDefault="00D5676E" w:rsidP="00D5676E">
            <w:pPr>
              <w:widowControl w:val="0"/>
              <w:spacing w:after="0" w:line="240" w:lineRule="auto"/>
              <w:jc w:val="center"/>
              <w:rPr>
                <w:rFonts w:cs="Arial"/>
                <w:b w:val="0"/>
                <w:sz w:val="16"/>
                <w:szCs w:val="16"/>
                <w:lang w:val="en-AU"/>
              </w:rPr>
            </w:pPr>
          </w:p>
        </w:tc>
        <w:tc>
          <w:tcPr>
            <w:tcW w:w="815" w:type="pct"/>
            <w:tcBorders>
              <w:top w:val="dotted" w:sz="4" w:space="0" w:color="606372" w:themeColor="text2"/>
              <w:bottom w:val="dotted" w:sz="4" w:space="0" w:color="606372" w:themeColor="text2"/>
            </w:tcBorders>
            <w:shd w:val="clear" w:color="auto" w:fill="auto"/>
            <w:vAlign w:val="center"/>
          </w:tcPr>
          <w:p w14:paraId="0FC9BE17" w14:textId="3B15B441" w:rsidR="00D5676E" w:rsidRPr="005060E0" w:rsidRDefault="00D5676E" w:rsidP="00D5676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United Kingdom</w:t>
            </w:r>
          </w:p>
        </w:tc>
        <w:tc>
          <w:tcPr>
            <w:tcW w:w="608" w:type="pct"/>
            <w:tcBorders>
              <w:top w:val="dotted" w:sz="4" w:space="0" w:color="606372" w:themeColor="text2"/>
              <w:bottom w:val="dotted" w:sz="4" w:space="0" w:color="606372" w:themeColor="text2"/>
              <w:right w:val="dotted" w:sz="4" w:space="0" w:color="606072"/>
            </w:tcBorders>
            <w:shd w:val="clear" w:color="auto" w:fill="auto"/>
            <w:vAlign w:val="center"/>
          </w:tcPr>
          <w:p w14:paraId="498E3486" w14:textId="4AB0FE00" w:rsidR="00D5676E" w:rsidRPr="005060E0" w:rsidRDefault="00D5676E" w:rsidP="00D5676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124</w:t>
            </w:r>
          </w:p>
        </w:tc>
        <w:tc>
          <w:tcPr>
            <w:tcW w:w="608" w:type="pct"/>
            <w:tcBorders>
              <w:top w:val="dotted" w:sz="4" w:space="0" w:color="606372" w:themeColor="text2"/>
              <w:left w:val="dotted" w:sz="4" w:space="0" w:color="606072"/>
              <w:bottom w:val="dotted" w:sz="4" w:space="0" w:color="606372" w:themeColor="text2"/>
            </w:tcBorders>
            <w:shd w:val="clear" w:color="auto" w:fill="auto"/>
            <w:vAlign w:val="center"/>
          </w:tcPr>
          <w:p w14:paraId="6F81CD0C" w14:textId="030D1E6B" w:rsidR="00D5676E" w:rsidRPr="005060E0" w:rsidRDefault="00D5676E" w:rsidP="00D5676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350</w:t>
            </w:r>
          </w:p>
        </w:tc>
        <w:tc>
          <w:tcPr>
            <w:tcW w:w="1611" w:type="pct"/>
            <w:tcBorders>
              <w:top w:val="dotted" w:sz="4" w:space="0" w:color="606372" w:themeColor="text2"/>
              <w:bottom w:val="dotted" w:sz="4" w:space="0" w:color="606372" w:themeColor="text2"/>
              <w:right w:val="single" w:sz="4" w:space="0" w:color="606372" w:themeColor="text2"/>
            </w:tcBorders>
            <w:shd w:val="clear" w:color="auto" w:fill="auto"/>
            <w:vAlign w:val="center"/>
          </w:tcPr>
          <w:p w14:paraId="61A4336D" w14:textId="7000BEF3" w:rsidR="00D5676E" w:rsidRPr="005060E0" w:rsidRDefault="000F38E2" w:rsidP="00D5676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w:t>
            </w:r>
          </w:p>
        </w:tc>
        <w:tc>
          <w:tcPr>
            <w:tcW w:w="807" w:type="pct"/>
            <w:tcBorders>
              <w:top w:val="dotted" w:sz="4" w:space="0" w:color="606372" w:themeColor="text2"/>
              <w:bottom w:val="dotted" w:sz="4" w:space="0" w:color="606372" w:themeColor="text2"/>
              <w:right w:val="single" w:sz="4" w:space="0" w:color="606372" w:themeColor="text2"/>
            </w:tcBorders>
            <w:shd w:val="clear" w:color="auto" w:fill="auto"/>
            <w:vAlign w:val="center"/>
          </w:tcPr>
          <w:p w14:paraId="7355D65A" w14:textId="305F733D" w:rsidR="00D5676E" w:rsidRPr="005060E0" w:rsidRDefault="00D5676E" w:rsidP="00D5676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24</w:t>
            </w:r>
            <w:r w:rsidR="00A052EF" w:rsidRPr="005060E0">
              <w:rPr>
                <w:rFonts w:cs="Arial"/>
                <w:sz w:val="16"/>
                <w:szCs w:val="16"/>
                <w:lang w:val="en-AU"/>
              </w:rPr>
              <w:t xml:space="preserve"> times per year</w:t>
            </w:r>
          </w:p>
        </w:tc>
      </w:tr>
      <w:tr w:rsidR="00D5676E" w:rsidRPr="005060E0" w14:paraId="5DA92356" w14:textId="77777777" w:rsidTr="000704F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1" w:type="pct"/>
            <w:vMerge/>
            <w:tcBorders>
              <w:top w:val="single" w:sz="4" w:space="0" w:color="606372" w:themeColor="text2"/>
              <w:left w:val="single" w:sz="4" w:space="0" w:color="606372" w:themeColor="text2"/>
              <w:bottom w:val="single" w:sz="4" w:space="0" w:color="606372" w:themeColor="text2"/>
            </w:tcBorders>
            <w:vAlign w:val="center"/>
          </w:tcPr>
          <w:p w14:paraId="7A8DB03B" w14:textId="77777777" w:rsidR="00D5676E" w:rsidRPr="005060E0" w:rsidRDefault="00D5676E" w:rsidP="00D5676E">
            <w:pPr>
              <w:widowControl w:val="0"/>
              <w:spacing w:after="0" w:line="240" w:lineRule="auto"/>
              <w:jc w:val="center"/>
              <w:rPr>
                <w:rFonts w:cs="Arial"/>
                <w:b w:val="0"/>
                <w:sz w:val="16"/>
                <w:szCs w:val="16"/>
                <w:lang w:val="en-AU"/>
              </w:rPr>
            </w:pPr>
          </w:p>
        </w:tc>
        <w:tc>
          <w:tcPr>
            <w:tcW w:w="815" w:type="pct"/>
            <w:tcBorders>
              <w:top w:val="dotted" w:sz="4" w:space="0" w:color="606372" w:themeColor="text2"/>
              <w:bottom w:val="dotted" w:sz="4" w:space="0" w:color="606372" w:themeColor="text2"/>
            </w:tcBorders>
            <w:shd w:val="clear" w:color="auto" w:fill="auto"/>
            <w:vAlign w:val="center"/>
          </w:tcPr>
          <w:p w14:paraId="28AEC22B" w14:textId="70F6D25F" w:rsidR="00D5676E" w:rsidRPr="005060E0" w:rsidRDefault="00D5676E"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New Zealand</w:t>
            </w:r>
            <w:r w:rsidR="00A00F75" w:rsidRPr="00A00F75">
              <w:rPr>
                <w:rFonts w:cs="Arial"/>
                <w:sz w:val="16"/>
                <w:szCs w:val="16"/>
                <w:vertAlign w:val="superscript"/>
                <w:lang w:val="en-AU"/>
              </w:rPr>
              <w:t>(e)</w:t>
            </w:r>
          </w:p>
        </w:tc>
        <w:tc>
          <w:tcPr>
            <w:tcW w:w="608" w:type="pct"/>
            <w:tcBorders>
              <w:top w:val="dotted" w:sz="4" w:space="0" w:color="606372" w:themeColor="text2"/>
              <w:bottom w:val="dotted" w:sz="4" w:space="0" w:color="606372" w:themeColor="text2"/>
              <w:right w:val="dotted" w:sz="4" w:space="0" w:color="606072"/>
            </w:tcBorders>
            <w:shd w:val="clear" w:color="auto" w:fill="auto"/>
            <w:vAlign w:val="center"/>
          </w:tcPr>
          <w:p w14:paraId="535BB37A" w14:textId="39D9F5F3" w:rsidR="00D5676E" w:rsidRPr="005060E0" w:rsidRDefault="00D5676E"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124</w:t>
            </w:r>
          </w:p>
        </w:tc>
        <w:tc>
          <w:tcPr>
            <w:tcW w:w="608" w:type="pct"/>
            <w:tcBorders>
              <w:top w:val="dotted" w:sz="4" w:space="0" w:color="606372" w:themeColor="text2"/>
              <w:left w:val="dotted" w:sz="4" w:space="0" w:color="606072"/>
              <w:bottom w:val="dotted" w:sz="4" w:space="0" w:color="606372" w:themeColor="text2"/>
            </w:tcBorders>
            <w:shd w:val="clear" w:color="auto" w:fill="auto"/>
            <w:vAlign w:val="center"/>
          </w:tcPr>
          <w:p w14:paraId="00013095" w14:textId="79BD4A82" w:rsidR="00D5676E" w:rsidRPr="005060E0" w:rsidRDefault="00D5676E"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350</w:t>
            </w:r>
          </w:p>
        </w:tc>
        <w:tc>
          <w:tcPr>
            <w:tcW w:w="1611" w:type="pct"/>
            <w:tcBorders>
              <w:top w:val="dotted" w:sz="4" w:space="0" w:color="606372" w:themeColor="text2"/>
              <w:bottom w:val="dotted" w:sz="4" w:space="0" w:color="606372" w:themeColor="text2"/>
              <w:right w:val="single" w:sz="4" w:space="0" w:color="606372" w:themeColor="text2"/>
            </w:tcBorders>
            <w:shd w:val="clear" w:color="auto" w:fill="auto"/>
            <w:vAlign w:val="center"/>
          </w:tcPr>
          <w:p w14:paraId="48B16EC3" w14:textId="0DE6D03F" w:rsidR="00D5676E" w:rsidRPr="005060E0" w:rsidRDefault="000F38E2"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w:t>
            </w:r>
          </w:p>
        </w:tc>
        <w:tc>
          <w:tcPr>
            <w:tcW w:w="807" w:type="pct"/>
            <w:tcBorders>
              <w:top w:val="dotted" w:sz="4" w:space="0" w:color="606372" w:themeColor="text2"/>
              <w:bottom w:val="dotted" w:sz="4" w:space="0" w:color="606372" w:themeColor="text2"/>
              <w:right w:val="single" w:sz="4" w:space="0" w:color="606372" w:themeColor="text2"/>
            </w:tcBorders>
            <w:shd w:val="clear" w:color="auto" w:fill="auto"/>
            <w:vAlign w:val="center"/>
          </w:tcPr>
          <w:p w14:paraId="59F3163E" w14:textId="6DF7E9ED" w:rsidR="00D5676E" w:rsidRPr="005060E0" w:rsidRDefault="00D5676E"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9</w:t>
            </w:r>
            <w:r w:rsidR="00791B54" w:rsidRPr="005060E0">
              <w:rPr>
                <w:rFonts w:cs="Arial"/>
                <w:sz w:val="16"/>
                <w:szCs w:val="16"/>
                <w:lang w:val="en-AU"/>
              </w:rPr>
              <w:t xml:space="preserve"> times per year</w:t>
            </w:r>
          </w:p>
        </w:tc>
      </w:tr>
      <w:tr w:rsidR="00D5676E" w:rsidRPr="005060E0" w14:paraId="7AC495D6" w14:textId="77777777" w:rsidTr="000704F3">
        <w:trPr>
          <w:trHeight w:val="397"/>
        </w:trPr>
        <w:tc>
          <w:tcPr>
            <w:cnfStyle w:val="001000000000" w:firstRow="0" w:lastRow="0" w:firstColumn="1" w:lastColumn="0" w:oddVBand="0" w:evenVBand="0" w:oddHBand="0" w:evenHBand="0" w:firstRowFirstColumn="0" w:firstRowLastColumn="0" w:lastRowFirstColumn="0" w:lastRowLastColumn="0"/>
            <w:tcW w:w="551" w:type="pct"/>
            <w:vMerge/>
            <w:tcBorders>
              <w:left w:val="single" w:sz="4" w:space="0" w:color="606372" w:themeColor="text2"/>
              <w:bottom w:val="single" w:sz="4" w:space="0" w:color="606372" w:themeColor="text2"/>
            </w:tcBorders>
            <w:vAlign w:val="center"/>
          </w:tcPr>
          <w:p w14:paraId="55B2824C" w14:textId="77777777" w:rsidR="00D5676E" w:rsidRPr="005060E0" w:rsidRDefault="00D5676E" w:rsidP="00D5676E">
            <w:pPr>
              <w:widowControl w:val="0"/>
              <w:spacing w:after="0" w:line="240" w:lineRule="auto"/>
              <w:jc w:val="center"/>
              <w:rPr>
                <w:rFonts w:cs="Arial"/>
                <w:b w:val="0"/>
                <w:sz w:val="16"/>
                <w:szCs w:val="16"/>
                <w:lang w:val="en-AU"/>
              </w:rPr>
            </w:pPr>
          </w:p>
        </w:tc>
        <w:tc>
          <w:tcPr>
            <w:tcW w:w="815" w:type="pct"/>
            <w:tcBorders>
              <w:top w:val="dotted" w:sz="4" w:space="0" w:color="606372" w:themeColor="text2"/>
              <w:bottom w:val="single" w:sz="4" w:space="0" w:color="606372" w:themeColor="text2"/>
            </w:tcBorders>
            <w:shd w:val="clear" w:color="auto" w:fill="auto"/>
            <w:vAlign w:val="center"/>
          </w:tcPr>
          <w:p w14:paraId="3C3D74C0" w14:textId="75C94209" w:rsidR="00D5676E" w:rsidRPr="005060E0" w:rsidRDefault="00D5676E" w:rsidP="00D5676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New Zealand</w:t>
            </w:r>
            <w:r w:rsidR="00A00F75" w:rsidRPr="00A00F75">
              <w:rPr>
                <w:rFonts w:cs="Arial"/>
                <w:sz w:val="16"/>
                <w:szCs w:val="16"/>
                <w:vertAlign w:val="superscript"/>
                <w:lang w:val="en-AU"/>
              </w:rPr>
              <w:t>(e)</w:t>
            </w:r>
          </w:p>
        </w:tc>
        <w:tc>
          <w:tcPr>
            <w:tcW w:w="608" w:type="pct"/>
            <w:tcBorders>
              <w:top w:val="dotted" w:sz="4" w:space="0" w:color="606372" w:themeColor="text2"/>
              <w:bottom w:val="single" w:sz="4" w:space="0" w:color="606372" w:themeColor="text2"/>
              <w:right w:val="dotted" w:sz="4" w:space="0" w:color="606072"/>
            </w:tcBorders>
            <w:shd w:val="clear" w:color="auto" w:fill="auto"/>
            <w:vAlign w:val="center"/>
          </w:tcPr>
          <w:p w14:paraId="1CB4CD1B" w14:textId="6215539A" w:rsidR="00D5676E" w:rsidRPr="005060E0" w:rsidRDefault="00D5676E" w:rsidP="00D5676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177</w:t>
            </w:r>
          </w:p>
        </w:tc>
        <w:tc>
          <w:tcPr>
            <w:tcW w:w="608" w:type="pct"/>
            <w:tcBorders>
              <w:top w:val="dotted" w:sz="4" w:space="0" w:color="606372" w:themeColor="text2"/>
              <w:left w:val="dotted" w:sz="4" w:space="0" w:color="606072"/>
              <w:bottom w:val="single" w:sz="4" w:space="0" w:color="606372" w:themeColor="text2"/>
            </w:tcBorders>
            <w:shd w:val="clear" w:color="auto" w:fill="auto"/>
            <w:vAlign w:val="center"/>
          </w:tcPr>
          <w:p w14:paraId="5F2D591A" w14:textId="67351468" w:rsidR="00D5676E" w:rsidRPr="005060E0" w:rsidRDefault="00D5676E" w:rsidP="00D5676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570</w:t>
            </w:r>
          </w:p>
        </w:tc>
        <w:tc>
          <w:tcPr>
            <w:tcW w:w="1611" w:type="pct"/>
            <w:tcBorders>
              <w:top w:val="dotted" w:sz="4" w:space="0" w:color="606372" w:themeColor="text2"/>
              <w:bottom w:val="single" w:sz="4" w:space="0" w:color="606372" w:themeColor="text2"/>
              <w:right w:val="single" w:sz="4" w:space="0" w:color="606372" w:themeColor="text2"/>
            </w:tcBorders>
            <w:shd w:val="clear" w:color="auto" w:fill="auto"/>
            <w:vAlign w:val="center"/>
          </w:tcPr>
          <w:p w14:paraId="69C0218B" w14:textId="40B3DE03" w:rsidR="00D5676E" w:rsidRPr="005060E0" w:rsidRDefault="000F38E2" w:rsidP="00D5676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w:t>
            </w:r>
          </w:p>
        </w:tc>
        <w:tc>
          <w:tcPr>
            <w:tcW w:w="807" w:type="pct"/>
            <w:tcBorders>
              <w:top w:val="dotted" w:sz="4" w:space="0" w:color="606372" w:themeColor="text2"/>
              <w:bottom w:val="single" w:sz="4" w:space="0" w:color="606372" w:themeColor="text2"/>
              <w:right w:val="single" w:sz="4" w:space="0" w:color="606372" w:themeColor="text2"/>
            </w:tcBorders>
            <w:shd w:val="clear" w:color="auto" w:fill="auto"/>
            <w:vAlign w:val="center"/>
          </w:tcPr>
          <w:p w14:paraId="0AD3CF4E" w14:textId="77AE7212" w:rsidR="00D5676E" w:rsidRPr="005060E0" w:rsidRDefault="009B7E60" w:rsidP="00D5676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None</w:t>
            </w:r>
          </w:p>
        </w:tc>
      </w:tr>
      <w:tr w:rsidR="00D5676E" w:rsidRPr="005060E0" w14:paraId="47353760" w14:textId="77777777" w:rsidTr="000704F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1" w:type="pct"/>
            <w:vMerge w:val="restart"/>
            <w:tcBorders>
              <w:top w:val="single" w:sz="4" w:space="0" w:color="606372" w:themeColor="text2"/>
              <w:left w:val="single" w:sz="4" w:space="0" w:color="606372" w:themeColor="text2"/>
              <w:bottom w:val="single" w:sz="4" w:space="0" w:color="606372" w:themeColor="text2"/>
            </w:tcBorders>
            <w:vAlign w:val="center"/>
          </w:tcPr>
          <w:p w14:paraId="62B51CEA" w14:textId="40E8FC18" w:rsidR="00D5676E" w:rsidRPr="005060E0" w:rsidRDefault="00D5676E" w:rsidP="00D5676E">
            <w:pPr>
              <w:widowControl w:val="0"/>
              <w:spacing w:after="0" w:line="240" w:lineRule="auto"/>
              <w:jc w:val="center"/>
              <w:rPr>
                <w:rFonts w:cs="Arial"/>
                <w:b w:val="0"/>
                <w:sz w:val="16"/>
                <w:szCs w:val="16"/>
                <w:lang w:val="en-AU"/>
              </w:rPr>
            </w:pPr>
            <w:r w:rsidRPr="005060E0">
              <w:rPr>
                <w:rFonts w:cs="Arial"/>
                <w:b w:val="0"/>
                <w:sz w:val="16"/>
                <w:szCs w:val="16"/>
                <w:lang w:val="en-AU"/>
              </w:rPr>
              <w:t>24-hour</w:t>
            </w:r>
          </w:p>
        </w:tc>
        <w:tc>
          <w:tcPr>
            <w:tcW w:w="815" w:type="pct"/>
            <w:tcBorders>
              <w:top w:val="single" w:sz="4" w:space="0" w:color="606372" w:themeColor="text2"/>
              <w:bottom w:val="dotted" w:sz="4" w:space="0" w:color="606372" w:themeColor="text2"/>
            </w:tcBorders>
            <w:shd w:val="clear" w:color="auto" w:fill="DEDFE3" w:themeFill="text2" w:themeFillTint="33"/>
            <w:vAlign w:val="center"/>
          </w:tcPr>
          <w:p w14:paraId="592325AE" w14:textId="295AF24A" w:rsidR="00D5676E" w:rsidRPr="005060E0" w:rsidRDefault="00D5676E"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Australia</w:t>
            </w:r>
          </w:p>
        </w:tc>
        <w:tc>
          <w:tcPr>
            <w:tcW w:w="608" w:type="pct"/>
            <w:tcBorders>
              <w:top w:val="single" w:sz="4" w:space="0" w:color="606372" w:themeColor="text2"/>
              <w:bottom w:val="dotted" w:sz="4" w:space="0" w:color="606372" w:themeColor="text2"/>
              <w:right w:val="dotted" w:sz="4" w:space="0" w:color="606072"/>
            </w:tcBorders>
            <w:shd w:val="clear" w:color="auto" w:fill="DEDFE3" w:themeFill="text2" w:themeFillTint="33"/>
            <w:vAlign w:val="center"/>
          </w:tcPr>
          <w:p w14:paraId="34697AE6" w14:textId="210DC6B8" w:rsidR="00D5676E" w:rsidRPr="005060E0" w:rsidRDefault="00D5676E"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80</w:t>
            </w:r>
          </w:p>
        </w:tc>
        <w:tc>
          <w:tcPr>
            <w:tcW w:w="608" w:type="pct"/>
            <w:tcBorders>
              <w:top w:val="single" w:sz="4" w:space="0" w:color="606372" w:themeColor="text2"/>
              <w:left w:val="dotted" w:sz="4" w:space="0" w:color="606072"/>
              <w:bottom w:val="dotted" w:sz="4" w:space="0" w:color="606372" w:themeColor="text2"/>
            </w:tcBorders>
            <w:shd w:val="clear" w:color="auto" w:fill="DEDFE3" w:themeFill="text2" w:themeFillTint="33"/>
            <w:vAlign w:val="center"/>
          </w:tcPr>
          <w:p w14:paraId="4D9C989B" w14:textId="607CC77C" w:rsidR="00D5676E" w:rsidRPr="005060E0" w:rsidRDefault="00D80C09"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2</w:t>
            </w:r>
            <w:r w:rsidRPr="005060E0">
              <w:rPr>
                <w:rFonts w:cs="Arial"/>
                <w:i/>
                <w:sz w:val="16"/>
                <w:szCs w:val="16"/>
                <w:lang w:val="en-AU"/>
              </w:rPr>
              <w:t>29</w:t>
            </w:r>
          </w:p>
        </w:tc>
        <w:tc>
          <w:tcPr>
            <w:tcW w:w="1611" w:type="pct"/>
            <w:tcBorders>
              <w:top w:val="single" w:sz="4" w:space="0" w:color="606372" w:themeColor="text2"/>
              <w:bottom w:val="dotted" w:sz="4" w:space="0" w:color="606372" w:themeColor="text2"/>
              <w:right w:val="single" w:sz="4" w:space="0" w:color="606372" w:themeColor="text2"/>
            </w:tcBorders>
            <w:shd w:val="clear" w:color="auto" w:fill="DEDFE3" w:themeFill="text2" w:themeFillTint="33"/>
            <w:vAlign w:val="center"/>
          </w:tcPr>
          <w:p w14:paraId="0B973DFD" w14:textId="77777777" w:rsidR="00D5676E" w:rsidRPr="005060E0" w:rsidRDefault="00D5676E"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p>
        </w:tc>
        <w:tc>
          <w:tcPr>
            <w:tcW w:w="807" w:type="pct"/>
            <w:tcBorders>
              <w:top w:val="single" w:sz="4" w:space="0" w:color="606372" w:themeColor="text2"/>
              <w:bottom w:val="dotted" w:sz="4" w:space="0" w:color="606372" w:themeColor="text2"/>
              <w:right w:val="single" w:sz="4" w:space="0" w:color="606372" w:themeColor="text2"/>
            </w:tcBorders>
            <w:shd w:val="clear" w:color="auto" w:fill="DEDFE3" w:themeFill="text2" w:themeFillTint="33"/>
            <w:vAlign w:val="center"/>
          </w:tcPr>
          <w:p w14:paraId="4431D7EB" w14:textId="288D3F69" w:rsidR="00D5676E" w:rsidRPr="005060E0" w:rsidRDefault="00D5676E"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1 day per year</w:t>
            </w:r>
          </w:p>
        </w:tc>
      </w:tr>
      <w:tr w:rsidR="00D5676E" w:rsidRPr="005060E0" w14:paraId="20AA7024" w14:textId="77777777" w:rsidTr="000704F3">
        <w:trPr>
          <w:trHeight w:val="397"/>
        </w:trPr>
        <w:tc>
          <w:tcPr>
            <w:cnfStyle w:val="001000000000" w:firstRow="0" w:lastRow="0" w:firstColumn="1" w:lastColumn="0" w:oddVBand="0" w:evenVBand="0" w:oddHBand="0" w:evenHBand="0" w:firstRowFirstColumn="0" w:firstRowLastColumn="0" w:lastRowFirstColumn="0" w:lastRowLastColumn="0"/>
            <w:tcW w:w="551" w:type="pct"/>
            <w:vMerge/>
            <w:tcBorders>
              <w:left w:val="single" w:sz="4" w:space="0" w:color="606372" w:themeColor="text2"/>
            </w:tcBorders>
            <w:vAlign w:val="center"/>
          </w:tcPr>
          <w:p w14:paraId="26966D0E" w14:textId="77777777" w:rsidR="00D5676E" w:rsidRPr="005060E0" w:rsidRDefault="00D5676E" w:rsidP="00D5676E">
            <w:pPr>
              <w:widowControl w:val="0"/>
              <w:spacing w:after="0" w:line="240" w:lineRule="auto"/>
              <w:jc w:val="center"/>
              <w:rPr>
                <w:rFonts w:cs="Arial"/>
                <w:b w:val="0"/>
                <w:sz w:val="16"/>
                <w:szCs w:val="16"/>
                <w:lang w:val="en-AU"/>
              </w:rPr>
            </w:pPr>
          </w:p>
        </w:tc>
        <w:tc>
          <w:tcPr>
            <w:tcW w:w="815" w:type="pct"/>
            <w:tcBorders>
              <w:top w:val="dotted" w:sz="4" w:space="0" w:color="606372" w:themeColor="text2"/>
              <w:bottom w:val="dotted" w:sz="4" w:space="0" w:color="606372" w:themeColor="text2"/>
            </w:tcBorders>
            <w:shd w:val="clear" w:color="auto" w:fill="auto"/>
            <w:vAlign w:val="center"/>
          </w:tcPr>
          <w:p w14:paraId="73E28780" w14:textId="4DC66C52" w:rsidR="00D5676E" w:rsidRPr="005060E0" w:rsidRDefault="00D5676E" w:rsidP="00D5676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European Union</w:t>
            </w:r>
          </w:p>
        </w:tc>
        <w:tc>
          <w:tcPr>
            <w:tcW w:w="608" w:type="pct"/>
            <w:tcBorders>
              <w:top w:val="dotted" w:sz="4" w:space="0" w:color="606372" w:themeColor="text2"/>
              <w:bottom w:val="dotted" w:sz="4" w:space="0" w:color="606372" w:themeColor="text2"/>
              <w:right w:val="dotted" w:sz="4" w:space="0" w:color="606072"/>
            </w:tcBorders>
            <w:shd w:val="clear" w:color="auto" w:fill="auto"/>
            <w:vAlign w:val="center"/>
          </w:tcPr>
          <w:p w14:paraId="54753C66" w14:textId="50366313" w:rsidR="00D5676E" w:rsidRPr="005060E0" w:rsidRDefault="00D5676E" w:rsidP="00D5676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44</w:t>
            </w:r>
          </w:p>
        </w:tc>
        <w:tc>
          <w:tcPr>
            <w:tcW w:w="608" w:type="pct"/>
            <w:tcBorders>
              <w:top w:val="dotted" w:sz="4" w:space="0" w:color="606372" w:themeColor="text2"/>
              <w:left w:val="dotted" w:sz="4" w:space="0" w:color="606072"/>
              <w:bottom w:val="dotted" w:sz="4" w:space="0" w:color="606372" w:themeColor="text2"/>
            </w:tcBorders>
            <w:shd w:val="clear" w:color="auto" w:fill="auto"/>
            <w:vAlign w:val="center"/>
          </w:tcPr>
          <w:p w14:paraId="309AFB7C" w14:textId="5183AF36" w:rsidR="00D5676E" w:rsidRPr="005060E0" w:rsidRDefault="00D5676E" w:rsidP="00D5676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125</w:t>
            </w:r>
          </w:p>
        </w:tc>
        <w:tc>
          <w:tcPr>
            <w:tcW w:w="1611" w:type="pct"/>
            <w:tcBorders>
              <w:top w:val="dotted" w:sz="4" w:space="0" w:color="606372" w:themeColor="text2"/>
              <w:bottom w:val="dotted" w:sz="4" w:space="0" w:color="606372" w:themeColor="text2"/>
              <w:right w:val="single" w:sz="4" w:space="0" w:color="606372" w:themeColor="text2"/>
            </w:tcBorders>
            <w:shd w:val="clear" w:color="auto" w:fill="auto"/>
            <w:vAlign w:val="center"/>
          </w:tcPr>
          <w:p w14:paraId="44AE8323" w14:textId="23B9D722" w:rsidR="00D5676E" w:rsidRPr="005060E0" w:rsidRDefault="000F38E2" w:rsidP="00D5676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w:t>
            </w:r>
          </w:p>
        </w:tc>
        <w:tc>
          <w:tcPr>
            <w:tcW w:w="807" w:type="pct"/>
            <w:tcBorders>
              <w:top w:val="dotted" w:sz="4" w:space="0" w:color="606372" w:themeColor="text2"/>
              <w:bottom w:val="dotted" w:sz="4" w:space="0" w:color="606372" w:themeColor="text2"/>
              <w:right w:val="single" w:sz="4" w:space="0" w:color="606372" w:themeColor="text2"/>
            </w:tcBorders>
            <w:shd w:val="clear" w:color="auto" w:fill="auto"/>
            <w:vAlign w:val="center"/>
          </w:tcPr>
          <w:p w14:paraId="75E9AD4E" w14:textId="49571645" w:rsidR="00D5676E" w:rsidRPr="005060E0" w:rsidRDefault="00D5676E" w:rsidP="00D5676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3</w:t>
            </w:r>
            <w:r w:rsidR="00A052EF" w:rsidRPr="005060E0">
              <w:rPr>
                <w:rFonts w:cs="Arial"/>
                <w:sz w:val="16"/>
                <w:szCs w:val="16"/>
                <w:lang w:val="en-AU"/>
              </w:rPr>
              <w:t xml:space="preserve"> days per year</w:t>
            </w:r>
          </w:p>
        </w:tc>
      </w:tr>
      <w:tr w:rsidR="00D5676E" w:rsidRPr="005060E0" w14:paraId="219D0EF2" w14:textId="77777777" w:rsidTr="000704F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1" w:type="pct"/>
            <w:vMerge/>
            <w:tcBorders>
              <w:top w:val="single" w:sz="4" w:space="0" w:color="606372" w:themeColor="text2"/>
              <w:left w:val="single" w:sz="4" w:space="0" w:color="606372" w:themeColor="text2"/>
              <w:bottom w:val="single" w:sz="4" w:space="0" w:color="606372" w:themeColor="text2"/>
            </w:tcBorders>
            <w:vAlign w:val="center"/>
          </w:tcPr>
          <w:p w14:paraId="459CD0A5" w14:textId="77777777" w:rsidR="00D5676E" w:rsidRPr="005060E0" w:rsidRDefault="00D5676E" w:rsidP="00D5676E">
            <w:pPr>
              <w:widowControl w:val="0"/>
              <w:spacing w:after="0" w:line="240" w:lineRule="auto"/>
              <w:jc w:val="center"/>
              <w:rPr>
                <w:rFonts w:cs="Arial"/>
                <w:b w:val="0"/>
                <w:sz w:val="16"/>
                <w:szCs w:val="16"/>
                <w:lang w:val="en-AU"/>
              </w:rPr>
            </w:pPr>
          </w:p>
        </w:tc>
        <w:tc>
          <w:tcPr>
            <w:tcW w:w="815" w:type="pct"/>
            <w:tcBorders>
              <w:top w:val="dotted" w:sz="4" w:space="0" w:color="606372" w:themeColor="text2"/>
              <w:bottom w:val="single" w:sz="4" w:space="0" w:color="606372" w:themeColor="text2"/>
            </w:tcBorders>
            <w:shd w:val="clear" w:color="auto" w:fill="auto"/>
            <w:vAlign w:val="center"/>
          </w:tcPr>
          <w:p w14:paraId="2BFD334B" w14:textId="0AB8DB1E" w:rsidR="00D5676E" w:rsidRPr="005060E0" w:rsidRDefault="00D5676E"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United Kingdom</w:t>
            </w:r>
          </w:p>
        </w:tc>
        <w:tc>
          <w:tcPr>
            <w:tcW w:w="608" w:type="pct"/>
            <w:tcBorders>
              <w:top w:val="dotted" w:sz="4" w:space="0" w:color="606372" w:themeColor="text2"/>
              <w:bottom w:val="single" w:sz="4" w:space="0" w:color="606372" w:themeColor="text2"/>
              <w:right w:val="dotted" w:sz="4" w:space="0" w:color="606072"/>
            </w:tcBorders>
            <w:shd w:val="clear" w:color="auto" w:fill="auto"/>
            <w:vAlign w:val="center"/>
          </w:tcPr>
          <w:p w14:paraId="2BA5868F" w14:textId="70BABEC0" w:rsidR="00D5676E" w:rsidRPr="005060E0" w:rsidRDefault="00D5676E"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44</w:t>
            </w:r>
          </w:p>
        </w:tc>
        <w:tc>
          <w:tcPr>
            <w:tcW w:w="608" w:type="pct"/>
            <w:tcBorders>
              <w:top w:val="dotted" w:sz="4" w:space="0" w:color="606372" w:themeColor="text2"/>
              <w:left w:val="dotted" w:sz="4" w:space="0" w:color="606072"/>
              <w:bottom w:val="single" w:sz="4" w:space="0" w:color="606372" w:themeColor="text2"/>
            </w:tcBorders>
            <w:shd w:val="clear" w:color="auto" w:fill="auto"/>
            <w:vAlign w:val="center"/>
          </w:tcPr>
          <w:p w14:paraId="0827EC47" w14:textId="4734B613" w:rsidR="00D5676E" w:rsidRPr="005060E0" w:rsidRDefault="00D5676E"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125</w:t>
            </w:r>
          </w:p>
        </w:tc>
        <w:tc>
          <w:tcPr>
            <w:tcW w:w="1611" w:type="pct"/>
            <w:tcBorders>
              <w:top w:val="dotted" w:sz="4" w:space="0" w:color="606372" w:themeColor="text2"/>
              <w:bottom w:val="single" w:sz="4" w:space="0" w:color="606372" w:themeColor="text2"/>
              <w:right w:val="single" w:sz="4" w:space="0" w:color="606372" w:themeColor="text2"/>
            </w:tcBorders>
            <w:shd w:val="clear" w:color="auto" w:fill="auto"/>
            <w:vAlign w:val="center"/>
          </w:tcPr>
          <w:p w14:paraId="7EA0087A" w14:textId="417241C5" w:rsidR="00D5676E" w:rsidRPr="005060E0" w:rsidRDefault="000F38E2"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w:t>
            </w:r>
          </w:p>
        </w:tc>
        <w:tc>
          <w:tcPr>
            <w:tcW w:w="807" w:type="pct"/>
            <w:tcBorders>
              <w:top w:val="dotted" w:sz="4" w:space="0" w:color="606372" w:themeColor="text2"/>
              <w:bottom w:val="single" w:sz="4" w:space="0" w:color="606372" w:themeColor="text2"/>
              <w:right w:val="single" w:sz="4" w:space="0" w:color="606372" w:themeColor="text2"/>
            </w:tcBorders>
            <w:shd w:val="clear" w:color="auto" w:fill="auto"/>
            <w:vAlign w:val="center"/>
          </w:tcPr>
          <w:p w14:paraId="5C72225C" w14:textId="35F9BE44" w:rsidR="00D5676E" w:rsidRPr="005060E0" w:rsidRDefault="00D5676E"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3</w:t>
            </w:r>
            <w:r w:rsidR="00A052EF" w:rsidRPr="005060E0">
              <w:rPr>
                <w:rFonts w:cs="Arial"/>
                <w:sz w:val="16"/>
                <w:szCs w:val="16"/>
                <w:lang w:val="en-AU"/>
              </w:rPr>
              <w:t xml:space="preserve"> days per year</w:t>
            </w:r>
          </w:p>
        </w:tc>
      </w:tr>
      <w:tr w:rsidR="00D5676E" w:rsidRPr="005060E0" w14:paraId="63D84FF7" w14:textId="77777777" w:rsidTr="000704F3">
        <w:trPr>
          <w:trHeight w:val="397"/>
        </w:trPr>
        <w:tc>
          <w:tcPr>
            <w:cnfStyle w:val="001000000000" w:firstRow="0" w:lastRow="0" w:firstColumn="1" w:lastColumn="0" w:oddVBand="0" w:evenVBand="0" w:oddHBand="0" w:evenHBand="0" w:firstRowFirstColumn="0" w:firstRowLastColumn="0" w:lastRowFirstColumn="0" w:lastRowLastColumn="0"/>
            <w:tcW w:w="551" w:type="pct"/>
            <w:vMerge w:val="restart"/>
            <w:tcBorders>
              <w:top w:val="single" w:sz="4" w:space="0" w:color="606372" w:themeColor="text2"/>
              <w:left w:val="single" w:sz="4" w:space="0" w:color="606372" w:themeColor="text2"/>
              <w:bottom w:val="single" w:sz="4" w:space="0" w:color="606372" w:themeColor="text2"/>
            </w:tcBorders>
            <w:vAlign w:val="center"/>
          </w:tcPr>
          <w:p w14:paraId="2D9500FA" w14:textId="26107CFF" w:rsidR="00D5676E" w:rsidRPr="005060E0" w:rsidRDefault="00D5676E" w:rsidP="00D5676E">
            <w:pPr>
              <w:widowControl w:val="0"/>
              <w:spacing w:after="0" w:line="240" w:lineRule="auto"/>
              <w:jc w:val="center"/>
              <w:rPr>
                <w:rFonts w:cs="Arial"/>
                <w:b w:val="0"/>
                <w:sz w:val="16"/>
                <w:szCs w:val="16"/>
                <w:lang w:val="en-AU"/>
              </w:rPr>
            </w:pPr>
            <w:r w:rsidRPr="005060E0">
              <w:rPr>
                <w:rFonts w:cs="Arial"/>
                <w:b w:val="0"/>
                <w:sz w:val="16"/>
                <w:szCs w:val="16"/>
                <w:lang w:val="en-AU"/>
              </w:rPr>
              <w:t>Annual</w:t>
            </w:r>
          </w:p>
        </w:tc>
        <w:tc>
          <w:tcPr>
            <w:tcW w:w="815" w:type="pct"/>
            <w:tcBorders>
              <w:top w:val="single" w:sz="4" w:space="0" w:color="606372" w:themeColor="text2"/>
              <w:bottom w:val="dotted" w:sz="4" w:space="0" w:color="606372" w:themeColor="text2"/>
            </w:tcBorders>
            <w:shd w:val="clear" w:color="auto" w:fill="DEDFE3" w:themeFill="text2" w:themeFillTint="33"/>
            <w:vAlign w:val="center"/>
          </w:tcPr>
          <w:p w14:paraId="48532F51" w14:textId="6B0B9AB1" w:rsidR="00D5676E" w:rsidRPr="005060E0" w:rsidRDefault="00D5676E" w:rsidP="00D5676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Australia</w:t>
            </w:r>
          </w:p>
        </w:tc>
        <w:tc>
          <w:tcPr>
            <w:tcW w:w="608" w:type="pct"/>
            <w:tcBorders>
              <w:top w:val="single" w:sz="4" w:space="0" w:color="606372" w:themeColor="text2"/>
              <w:bottom w:val="dotted" w:sz="4" w:space="0" w:color="606372" w:themeColor="text2"/>
              <w:right w:val="dotted" w:sz="4" w:space="0" w:color="606072"/>
            </w:tcBorders>
            <w:shd w:val="clear" w:color="auto" w:fill="DEDFE3" w:themeFill="text2" w:themeFillTint="33"/>
            <w:vAlign w:val="center"/>
          </w:tcPr>
          <w:p w14:paraId="3A4B0E9E" w14:textId="3D719869" w:rsidR="00D5676E" w:rsidRPr="005060E0" w:rsidRDefault="00D5676E" w:rsidP="00D5676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20</w:t>
            </w:r>
          </w:p>
        </w:tc>
        <w:tc>
          <w:tcPr>
            <w:tcW w:w="608" w:type="pct"/>
            <w:tcBorders>
              <w:top w:val="single" w:sz="4" w:space="0" w:color="606372" w:themeColor="text2"/>
              <w:left w:val="dotted" w:sz="4" w:space="0" w:color="606072"/>
              <w:bottom w:val="dotted" w:sz="4" w:space="0" w:color="606372" w:themeColor="text2"/>
            </w:tcBorders>
            <w:shd w:val="clear" w:color="auto" w:fill="DEDFE3" w:themeFill="text2" w:themeFillTint="33"/>
            <w:vAlign w:val="center"/>
          </w:tcPr>
          <w:p w14:paraId="6C7C9538" w14:textId="43E69C61" w:rsidR="00D5676E" w:rsidRPr="005060E0" w:rsidRDefault="00302EA3" w:rsidP="00D5676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i/>
                <w:sz w:val="16"/>
                <w:szCs w:val="16"/>
                <w:lang w:val="en-AU"/>
              </w:rPr>
              <w:t>57</w:t>
            </w:r>
          </w:p>
        </w:tc>
        <w:tc>
          <w:tcPr>
            <w:tcW w:w="1611" w:type="pct"/>
            <w:tcBorders>
              <w:top w:val="single" w:sz="4" w:space="0" w:color="606372" w:themeColor="text2"/>
              <w:bottom w:val="dotted" w:sz="4" w:space="0" w:color="606372" w:themeColor="text2"/>
              <w:right w:val="single" w:sz="4" w:space="0" w:color="606372" w:themeColor="text2"/>
            </w:tcBorders>
            <w:shd w:val="clear" w:color="auto" w:fill="DEDFE3" w:themeFill="text2" w:themeFillTint="33"/>
            <w:vAlign w:val="center"/>
          </w:tcPr>
          <w:p w14:paraId="02756CAD" w14:textId="77777777" w:rsidR="00D5676E" w:rsidRPr="005060E0" w:rsidRDefault="00D5676E" w:rsidP="00D5676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p>
        </w:tc>
        <w:tc>
          <w:tcPr>
            <w:tcW w:w="807" w:type="pct"/>
            <w:tcBorders>
              <w:top w:val="single" w:sz="4" w:space="0" w:color="606372" w:themeColor="text2"/>
              <w:bottom w:val="dotted" w:sz="4" w:space="0" w:color="606372" w:themeColor="text2"/>
              <w:right w:val="single" w:sz="4" w:space="0" w:color="606372" w:themeColor="text2"/>
            </w:tcBorders>
            <w:shd w:val="clear" w:color="auto" w:fill="DEDFE3" w:themeFill="text2" w:themeFillTint="33"/>
            <w:vAlign w:val="center"/>
          </w:tcPr>
          <w:p w14:paraId="6DD6C88A" w14:textId="209AA03D" w:rsidR="00D5676E" w:rsidRPr="005060E0" w:rsidRDefault="003832E7" w:rsidP="00D5676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None</w:t>
            </w:r>
          </w:p>
        </w:tc>
      </w:tr>
      <w:tr w:rsidR="00D5676E" w:rsidRPr="005060E0" w14:paraId="63560899" w14:textId="77777777" w:rsidTr="000704F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1" w:type="pct"/>
            <w:vMerge/>
            <w:tcBorders>
              <w:top w:val="single" w:sz="4" w:space="0" w:color="606372" w:themeColor="text2"/>
              <w:left w:val="single" w:sz="4" w:space="0" w:color="606372" w:themeColor="text2"/>
              <w:bottom w:val="single" w:sz="4" w:space="0" w:color="606372" w:themeColor="text2"/>
            </w:tcBorders>
            <w:vAlign w:val="center"/>
          </w:tcPr>
          <w:p w14:paraId="72230FD7" w14:textId="74CE3692" w:rsidR="00D5676E" w:rsidRPr="005060E0" w:rsidRDefault="00D5676E" w:rsidP="00D5676E">
            <w:pPr>
              <w:widowControl w:val="0"/>
              <w:spacing w:after="0" w:line="240" w:lineRule="auto"/>
              <w:jc w:val="center"/>
              <w:rPr>
                <w:rFonts w:cs="Arial"/>
                <w:b w:val="0"/>
                <w:sz w:val="16"/>
                <w:szCs w:val="16"/>
                <w:lang w:val="en-AU"/>
              </w:rPr>
            </w:pPr>
          </w:p>
        </w:tc>
        <w:tc>
          <w:tcPr>
            <w:tcW w:w="815" w:type="pct"/>
            <w:tcBorders>
              <w:top w:val="dotted" w:sz="4" w:space="0" w:color="606372" w:themeColor="text2"/>
              <w:bottom w:val="single" w:sz="4" w:space="0" w:color="606372" w:themeColor="text2"/>
            </w:tcBorders>
            <w:vAlign w:val="center"/>
          </w:tcPr>
          <w:p w14:paraId="4623AB88" w14:textId="04341B53" w:rsidR="00D5676E" w:rsidRPr="005060E0" w:rsidRDefault="00D5676E"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Canada</w:t>
            </w:r>
          </w:p>
        </w:tc>
        <w:tc>
          <w:tcPr>
            <w:tcW w:w="608" w:type="pct"/>
            <w:tcBorders>
              <w:top w:val="dotted" w:sz="4" w:space="0" w:color="606372" w:themeColor="text2"/>
              <w:bottom w:val="single" w:sz="4" w:space="0" w:color="606372" w:themeColor="text2"/>
              <w:right w:val="dotted" w:sz="4" w:space="0" w:color="606072"/>
            </w:tcBorders>
            <w:vAlign w:val="center"/>
          </w:tcPr>
          <w:p w14:paraId="61786722" w14:textId="66F181DD" w:rsidR="00D5676E" w:rsidRPr="005060E0" w:rsidRDefault="00D5676E"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5</w:t>
            </w:r>
            <w:r w:rsidR="00D80C09" w:rsidRPr="005060E0">
              <w:rPr>
                <w:rFonts w:cs="Arial"/>
                <w:sz w:val="16"/>
                <w:szCs w:val="16"/>
                <w:vertAlign w:val="superscript"/>
                <w:lang w:val="en-AU"/>
              </w:rPr>
              <w:t>(b</w:t>
            </w:r>
            <w:r w:rsidRPr="005060E0">
              <w:rPr>
                <w:rFonts w:cs="Arial"/>
                <w:sz w:val="16"/>
                <w:szCs w:val="16"/>
                <w:vertAlign w:val="superscript"/>
                <w:lang w:val="en-AU"/>
              </w:rPr>
              <w:t>)</w:t>
            </w:r>
            <w:r w:rsidRPr="005060E0">
              <w:rPr>
                <w:rFonts w:cs="Arial"/>
                <w:sz w:val="16"/>
                <w:szCs w:val="16"/>
                <w:lang w:val="en-AU"/>
              </w:rPr>
              <w:t>, 4</w:t>
            </w:r>
            <w:r w:rsidR="00D80C09" w:rsidRPr="005060E0">
              <w:rPr>
                <w:rFonts w:cs="Arial"/>
                <w:sz w:val="16"/>
                <w:szCs w:val="16"/>
                <w:vertAlign w:val="superscript"/>
                <w:lang w:val="en-AU"/>
              </w:rPr>
              <w:t>(c</w:t>
            </w:r>
            <w:r w:rsidRPr="005060E0">
              <w:rPr>
                <w:rFonts w:cs="Arial"/>
                <w:sz w:val="16"/>
                <w:szCs w:val="16"/>
                <w:vertAlign w:val="superscript"/>
                <w:lang w:val="en-AU"/>
              </w:rPr>
              <w:t>)</w:t>
            </w:r>
          </w:p>
        </w:tc>
        <w:tc>
          <w:tcPr>
            <w:tcW w:w="608" w:type="pct"/>
            <w:tcBorders>
              <w:top w:val="dotted" w:sz="4" w:space="0" w:color="606372" w:themeColor="text2"/>
              <w:left w:val="dotted" w:sz="4" w:space="0" w:color="606072"/>
              <w:bottom w:val="single" w:sz="4" w:space="0" w:color="606372" w:themeColor="text2"/>
            </w:tcBorders>
            <w:vAlign w:val="center"/>
          </w:tcPr>
          <w:p w14:paraId="63195E50" w14:textId="447F82A4" w:rsidR="00D5676E" w:rsidRPr="005060E0" w:rsidRDefault="00302EA3"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i/>
                <w:sz w:val="16"/>
                <w:szCs w:val="16"/>
                <w:lang w:val="en-AU"/>
              </w:rPr>
              <w:t>14.3</w:t>
            </w:r>
            <w:r w:rsidRPr="005060E0">
              <w:rPr>
                <w:rFonts w:cs="Arial"/>
                <w:sz w:val="16"/>
                <w:szCs w:val="16"/>
                <w:lang w:val="en-AU"/>
              </w:rPr>
              <w:t xml:space="preserve">, </w:t>
            </w:r>
            <w:r w:rsidRPr="005060E0">
              <w:rPr>
                <w:rFonts w:cs="Arial"/>
                <w:i/>
                <w:sz w:val="16"/>
                <w:szCs w:val="16"/>
                <w:lang w:val="en-AU"/>
              </w:rPr>
              <w:t>11.4</w:t>
            </w:r>
          </w:p>
        </w:tc>
        <w:tc>
          <w:tcPr>
            <w:tcW w:w="1611" w:type="pct"/>
            <w:tcBorders>
              <w:top w:val="dotted" w:sz="4" w:space="0" w:color="606372" w:themeColor="text2"/>
              <w:bottom w:val="single" w:sz="4" w:space="0" w:color="606372" w:themeColor="text2"/>
              <w:right w:val="single" w:sz="4" w:space="0" w:color="606372" w:themeColor="text2"/>
            </w:tcBorders>
            <w:vAlign w:val="center"/>
          </w:tcPr>
          <w:p w14:paraId="5F441088" w14:textId="7F35F47C" w:rsidR="00D5676E" w:rsidRPr="005060E0" w:rsidRDefault="000F38E2"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w:t>
            </w:r>
          </w:p>
        </w:tc>
        <w:tc>
          <w:tcPr>
            <w:tcW w:w="807" w:type="pct"/>
            <w:tcBorders>
              <w:top w:val="dotted" w:sz="4" w:space="0" w:color="606372" w:themeColor="text2"/>
              <w:bottom w:val="single" w:sz="4" w:space="0" w:color="606372" w:themeColor="text2"/>
              <w:right w:val="single" w:sz="4" w:space="0" w:color="606372" w:themeColor="text2"/>
            </w:tcBorders>
            <w:vAlign w:val="center"/>
          </w:tcPr>
          <w:p w14:paraId="513B19B5" w14:textId="55A7CA4B" w:rsidR="00D5676E" w:rsidRPr="005060E0" w:rsidRDefault="003832E7" w:rsidP="00D5676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None</w:t>
            </w:r>
          </w:p>
        </w:tc>
      </w:tr>
    </w:tbl>
    <w:p w14:paraId="3C2C9027" w14:textId="1CE28F61" w:rsidR="00D80C09" w:rsidRPr="005060E0" w:rsidRDefault="00D80C09" w:rsidP="00CD08E7">
      <w:pPr>
        <w:pStyle w:val="ListParagraph"/>
        <w:widowControl w:val="0"/>
        <w:numPr>
          <w:ilvl w:val="0"/>
          <w:numId w:val="32"/>
        </w:numPr>
        <w:spacing w:before="60" w:after="0" w:line="240" w:lineRule="auto"/>
        <w:ind w:left="426" w:hanging="357"/>
        <w:rPr>
          <w:sz w:val="16"/>
          <w:szCs w:val="16"/>
        </w:rPr>
      </w:pPr>
      <w:r w:rsidRPr="005060E0">
        <w:rPr>
          <w:sz w:val="16"/>
          <w:szCs w:val="16"/>
        </w:rPr>
        <w:t xml:space="preserve">Values in italics have been obtained using the conversion factors stated at the start of this </w:t>
      </w:r>
      <w:r w:rsidR="00DF05A9" w:rsidRPr="005060E0">
        <w:rPr>
          <w:sz w:val="16"/>
          <w:szCs w:val="16"/>
        </w:rPr>
        <w:t>Impact Statement</w:t>
      </w:r>
      <w:r w:rsidRPr="005060E0">
        <w:rPr>
          <w:sz w:val="16"/>
          <w:szCs w:val="16"/>
        </w:rPr>
        <w:t>.</w:t>
      </w:r>
    </w:p>
    <w:p w14:paraId="7F971BCA" w14:textId="6097D754" w:rsidR="003C6A7A" w:rsidRPr="005060E0" w:rsidRDefault="00B63C20" w:rsidP="00CD08E7">
      <w:pPr>
        <w:pStyle w:val="ListParagraph"/>
        <w:widowControl w:val="0"/>
        <w:numPr>
          <w:ilvl w:val="0"/>
          <w:numId w:val="32"/>
        </w:numPr>
        <w:spacing w:before="60" w:after="0" w:line="240" w:lineRule="auto"/>
        <w:ind w:left="425" w:hanging="357"/>
        <w:contextualSpacing w:val="0"/>
        <w:rPr>
          <w:sz w:val="16"/>
          <w:szCs w:val="16"/>
        </w:rPr>
      </w:pPr>
      <w:r w:rsidRPr="005060E0">
        <w:rPr>
          <w:sz w:val="16"/>
          <w:szCs w:val="16"/>
        </w:rPr>
        <w:t>To be met by 2020</w:t>
      </w:r>
    </w:p>
    <w:p w14:paraId="2B009BC4" w14:textId="79F0D5BF" w:rsidR="00244865" w:rsidRPr="005060E0" w:rsidRDefault="00244865" w:rsidP="00CD08E7">
      <w:pPr>
        <w:pStyle w:val="ListParagraph"/>
        <w:widowControl w:val="0"/>
        <w:numPr>
          <w:ilvl w:val="0"/>
          <w:numId w:val="32"/>
        </w:numPr>
        <w:spacing w:before="60" w:after="0" w:line="240" w:lineRule="auto"/>
        <w:ind w:left="425" w:hanging="357"/>
        <w:contextualSpacing w:val="0"/>
        <w:rPr>
          <w:sz w:val="16"/>
          <w:szCs w:val="16"/>
        </w:rPr>
      </w:pPr>
      <w:r w:rsidRPr="005060E0">
        <w:rPr>
          <w:sz w:val="16"/>
          <w:szCs w:val="16"/>
        </w:rPr>
        <w:t>To be met by 2025</w:t>
      </w:r>
    </w:p>
    <w:p w14:paraId="2744EA43" w14:textId="47F16FA3" w:rsidR="008E11C7" w:rsidRDefault="008E11C7" w:rsidP="00CD08E7">
      <w:pPr>
        <w:pStyle w:val="ListParagraph"/>
        <w:widowControl w:val="0"/>
        <w:numPr>
          <w:ilvl w:val="0"/>
          <w:numId w:val="32"/>
        </w:numPr>
        <w:spacing w:before="60" w:after="0" w:line="240" w:lineRule="auto"/>
        <w:ind w:left="425" w:hanging="357"/>
        <w:contextualSpacing w:val="0"/>
        <w:rPr>
          <w:sz w:val="16"/>
          <w:szCs w:val="16"/>
        </w:rPr>
      </w:pPr>
      <w:r w:rsidRPr="005060E0">
        <w:rPr>
          <w:sz w:val="16"/>
          <w:szCs w:val="16"/>
        </w:rPr>
        <w:t>A 99</w:t>
      </w:r>
      <w:r w:rsidRPr="005060E0">
        <w:rPr>
          <w:sz w:val="16"/>
          <w:szCs w:val="16"/>
          <w:vertAlign w:val="superscript"/>
        </w:rPr>
        <w:t>th</w:t>
      </w:r>
      <w:r w:rsidRPr="005060E0">
        <w:rPr>
          <w:sz w:val="16"/>
          <w:szCs w:val="16"/>
        </w:rPr>
        <w:t xml:space="preserve"> percentile concentration standard effectively allows some exceedances per year.</w:t>
      </w:r>
    </w:p>
    <w:p w14:paraId="14549410" w14:textId="7E87E634" w:rsidR="00A00F75" w:rsidRPr="005060E0" w:rsidRDefault="00A00F75" w:rsidP="00CD08E7">
      <w:pPr>
        <w:pStyle w:val="ListParagraph"/>
        <w:widowControl w:val="0"/>
        <w:numPr>
          <w:ilvl w:val="0"/>
          <w:numId w:val="32"/>
        </w:numPr>
        <w:spacing w:before="60" w:after="0" w:line="240" w:lineRule="auto"/>
        <w:ind w:left="425" w:hanging="357"/>
        <w:contextualSpacing w:val="0"/>
        <w:rPr>
          <w:sz w:val="16"/>
          <w:szCs w:val="16"/>
        </w:rPr>
      </w:pPr>
      <w:r>
        <w:rPr>
          <w:sz w:val="16"/>
          <w:szCs w:val="16"/>
        </w:rPr>
        <w:t xml:space="preserve">New Zealand has two standards: one allowing nine </w:t>
      </w:r>
      <w:r w:rsidRPr="00A00F75">
        <w:rPr>
          <w:sz w:val="16"/>
          <w:szCs w:val="16"/>
        </w:rPr>
        <w:t xml:space="preserve">exceedances </w:t>
      </w:r>
      <w:r>
        <w:rPr>
          <w:sz w:val="16"/>
          <w:szCs w:val="16"/>
        </w:rPr>
        <w:t>per year</w:t>
      </w:r>
      <w:r w:rsidRPr="00A00F75">
        <w:rPr>
          <w:sz w:val="16"/>
          <w:szCs w:val="16"/>
        </w:rPr>
        <w:t xml:space="preserve"> and </w:t>
      </w:r>
      <w:r>
        <w:rPr>
          <w:sz w:val="16"/>
          <w:szCs w:val="16"/>
        </w:rPr>
        <w:t xml:space="preserve">one </w:t>
      </w:r>
      <w:r w:rsidRPr="00A00F75">
        <w:rPr>
          <w:sz w:val="16"/>
          <w:szCs w:val="16"/>
        </w:rPr>
        <w:t>allow</w:t>
      </w:r>
      <w:r>
        <w:rPr>
          <w:sz w:val="16"/>
          <w:szCs w:val="16"/>
        </w:rPr>
        <w:t>ing</w:t>
      </w:r>
      <w:r w:rsidRPr="00A00F75">
        <w:rPr>
          <w:sz w:val="16"/>
          <w:szCs w:val="16"/>
        </w:rPr>
        <w:t xml:space="preserve"> no exceedances</w:t>
      </w:r>
      <w:r>
        <w:rPr>
          <w:sz w:val="16"/>
          <w:szCs w:val="16"/>
        </w:rPr>
        <w:t>.</w:t>
      </w:r>
    </w:p>
    <w:p w14:paraId="4D29762D" w14:textId="689B9642" w:rsidR="003C6A7A" w:rsidRPr="005060E0" w:rsidRDefault="003C6A7A" w:rsidP="002246E9">
      <w:pPr>
        <w:spacing w:after="0" w:line="240" w:lineRule="auto"/>
        <w:rPr>
          <w:sz w:val="4"/>
          <w:szCs w:val="4"/>
        </w:rPr>
      </w:pPr>
    </w:p>
    <w:p w14:paraId="56E6AB04" w14:textId="268D2701" w:rsidR="009B19CD" w:rsidRPr="005060E0" w:rsidRDefault="009B19CD" w:rsidP="003D2884">
      <w:pPr>
        <w:pStyle w:val="Heading2"/>
        <w:spacing w:before="320" w:after="200"/>
      </w:pPr>
      <w:bookmarkStart w:id="108" w:name="_Toc3278956"/>
      <w:r w:rsidRPr="005060E0">
        <w:t>Proposed air quality standards</w:t>
      </w:r>
      <w:r w:rsidR="003B47C6" w:rsidRPr="005060E0">
        <w:t xml:space="preserve"> for </w:t>
      </w:r>
      <w:r w:rsidR="007275CF" w:rsidRPr="005060E0">
        <w:t>review</w:t>
      </w:r>
      <w:bookmarkEnd w:id="108"/>
    </w:p>
    <w:p w14:paraId="779743EA" w14:textId="61855877" w:rsidR="009B19CD" w:rsidRPr="005060E0" w:rsidRDefault="009B19CD" w:rsidP="003D2884">
      <w:pPr>
        <w:rPr>
          <w:szCs w:val="20"/>
        </w:rPr>
      </w:pPr>
      <w:r w:rsidRPr="005060E0">
        <w:rPr>
          <w:szCs w:val="20"/>
        </w:rPr>
        <w:t>The proposed standards for SO</w:t>
      </w:r>
      <w:r w:rsidRPr="005060E0">
        <w:rPr>
          <w:szCs w:val="20"/>
          <w:vertAlign w:val="subscript"/>
        </w:rPr>
        <w:t>2</w:t>
      </w:r>
      <w:r w:rsidRPr="005060E0">
        <w:rPr>
          <w:szCs w:val="20"/>
        </w:rPr>
        <w:t xml:space="preserve"> tha</w:t>
      </w:r>
      <w:r w:rsidR="007275CF" w:rsidRPr="005060E0">
        <w:rPr>
          <w:szCs w:val="20"/>
        </w:rPr>
        <w:t>t were investigated in the review</w:t>
      </w:r>
      <w:r w:rsidRPr="005060E0">
        <w:rPr>
          <w:szCs w:val="20"/>
        </w:rPr>
        <w:t xml:space="preserve">, and the existing </w:t>
      </w:r>
      <w:r w:rsidR="00F825E3" w:rsidRPr="005060E0">
        <w:rPr>
          <w:szCs w:val="20"/>
        </w:rPr>
        <w:t xml:space="preserve">AAQ </w:t>
      </w:r>
      <w:r w:rsidRPr="005060E0">
        <w:rPr>
          <w:szCs w:val="20"/>
        </w:rPr>
        <w:t>NEPM standards</w:t>
      </w:r>
      <w:r w:rsidR="007260A8" w:rsidRPr="005060E0">
        <w:rPr>
          <w:szCs w:val="20"/>
        </w:rPr>
        <w:t xml:space="preserve">, </w:t>
      </w:r>
      <w:r w:rsidRPr="005060E0">
        <w:rPr>
          <w:szCs w:val="20"/>
        </w:rPr>
        <w:t xml:space="preserve">are shown in </w:t>
      </w:r>
      <w:r w:rsidRPr="005060E0">
        <w:rPr>
          <w:szCs w:val="20"/>
        </w:rPr>
        <w:fldChar w:fldCharType="begin"/>
      </w:r>
      <w:r w:rsidRPr="005060E0">
        <w:rPr>
          <w:szCs w:val="20"/>
        </w:rPr>
        <w:instrText xml:space="preserve"> REF _Ref504375030 \h  \* MERGEFORMAT </w:instrText>
      </w:r>
      <w:r w:rsidRPr="005060E0">
        <w:rPr>
          <w:szCs w:val="20"/>
        </w:rPr>
      </w:r>
      <w:r w:rsidRPr="005060E0">
        <w:rPr>
          <w:szCs w:val="20"/>
        </w:rPr>
        <w:fldChar w:fldCharType="separate"/>
      </w:r>
      <w:r w:rsidR="00F2067C" w:rsidRPr="00F2067C">
        <w:rPr>
          <w:rStyle w:val="PBTablecaptionChar"/>
          <w:rFonts w:eastAsiaTheme="minorHAnsi"/>
          <w:sz w:val="20"/>
          <w:szCs w:val="20"/>
        </w:rPr>
        <w:t xml:space="preserve">Table </w:t>
      </w:r>
      <w:r w:rsidR="00F2067C" w:rsidRPr="00F2067C">
        <w:rPr>
          <w:rStyle w:val="PBTablecaptionChar"/>
          <w:rFonts w:eastAsiaTheme="minorHAnsi"/>
          <w:noProof/>
          <w:sz w:val="20"/>
          <w:szCs w:val="20"/>
        </w:rPr>
        <w:t>6</w:t>
      </w:r>
      <w:r w:rsidR="00F2067C" w:rsidRPr="00F2067C">
        <w:rPr>
          <w:rStyle w:val="PBTablecaptionChar"/>
          <w:rFonts w:eastAsiaTheme="minorHAnsi"/>
          <w:noProof/>
          <w:sz w:val="20"/>
          <w:szCs w:val="20"/>
        </w:rPr>
        <w:noBreakHyphen/>
        <w:t>4</w:t>
      </w:r>
      <w:r w:rsidRPr="005060E0">
        <w:rPr>
          <w:szCs w:val="20"/>
        </w:rPr>
        <w:fldChar w:fldCharType="end"/>
      </w:r>
      <w:r w:rsidRPr="005060E0">
        <w:rPr>
          <w:szCs w:val="20"/>
        </w:rPr>
        <w:t xml:space="preserve">. </w:t>
      </w:r>
      <w:r w:rsidR="00A069EC" w:rsidRPr="005060E0">
        <w:rPr>
          <w:szCs w:val="20"/>
        </w:rPr>
        <w:t xml:space="preserve">The proposed standards were all lower than the existing </w:t>
      </w:r>
      <w:r w:rsidR="00F825E3" w:rsidRPr="005060E0">
        <w:rPr>
          <w:szCs w:val="20"/>
        </w:rPr>
        <w:t xml:space="preserve">AAQ </w:t>
      </w:r>
      <w:r w:rsidR="00A069EC" w:rsidRPr="005060E0">
        <w:rPr>
          <w:szCs w:val="20"/>
        </w:rPr>
        <w:t xml:space="preserve">NEPM standards, to reflect both the recent health evidence and the more stringent standards in place in </w:t>
      </w:r>
      <w:r w:rsidR="007116E3" w:rsidRPr="005060E0">
        <w:rPr>
          <w:szCs w:val="20"/>
        </w:rPr>
        <w:t>other leading countries</w:t>
      </w:r>
      <w:r w:rsidR="00A069EC" w:rsidRPr="005060E0">
        <w:rPr>
          <w:szCs w:val="20"/>
        </w:rPr>
        <w:t>.</w:t>
      </w:r>
    </w:p>
    <w:p w14:paraId="2B156AEB" w14:textId="4FFC5DCF" w:rsidR="009B19CD" w:rsidRPr="005060E0" w:rsidRDefault="009B19CD" w:rsidP="009B19CD">
      <w:pPr>
        <w:pStyle w:val="PBTablecaption"/>
      </w:pPr>
      <w:bookmarkStart w:id="109" w:name="_Ref504375030"/>
      <w:bookmarkStart w:id="110" w:name="_Toc508305349"/>
      <w:r w:rsidRPr="005060E0">
        <w:rPr>
          <w:rStyle w:val="PBTablecaptionChar"/>
        </w:rPr>
        <w:t xml:space="preserve">Table </w:t>
      </w:r>
      <w:r w:rsidRPr="005060E0">
        <w:rPr>
          <w:rStyle w:val="PBTablecaptionChar"/>
          <w:bCs/>
        </w:rPr>
        <w:fldChar w:fldCharType="begin"/>
      </w:r>
      <w:r w:rsidRPr="005060E0">
        <w:rPr>
          <w:rStyle w:val="PBTablecaptionChar"/>
        </w:rPr>
        <w:instrText xml:space="preserve"> STYLEREF 1 \s </w:instrText>
      </w:r>
      <w:r w:rsidRPr="005060E0">
        <w:rPr>
          <w:rStyle w:val="PBTablecaptionChar"/>
          <w:bCs/>
        </w:rPr>
        <w:fldChar w:fldCharType="separate"/>
      </w:r>
      <w:r w:rsidR="00F2067C">
        <w:rPr>
          <w:rStyle w:val="PBTablecaptionChar"/>
          <w:noProof/>
        </w:rPr>
        <w:t>6</w:t>
      </w:r>
      <w:r w:rsidRPr="005060E0">
        <w:rPr>
          <w:rStyle w:val="PBTablecaptionChar"/>
          <w:bCs/>
        </w:rPr>
        <w:fldChar w:fldCharType="end"/>
      </w:r>
      <w:r w:rsidRPr="005060E0">
        <w:rPr>
          <w:rStyle w:val="PBTablecaptionChar"/>
        </w:rPr>
        <w:noBreakHyphen/>
      </w:r>
      <w:r w:rsidRPr="005060E0">
        <w:rPr>
          <w:rStyle w:val="PBTablecaptionChar"/>
          <w:bCs/>
        </w:rPr>
        <w:fldChar w:fldCharType="begin"/>
      </w:r>
      <w:r w:rsidRPr="005060E0">
        <w:rPr>
          <w:rStyle w:val="PBTablecaptionChar"/>
        </w:rPr>
        <w:instrText xml:space="preserve"> SEQ Table \* ARABIC \s 1 </w:instrText>
      </w:r>
      <w:r w:rsidRPr="005060E0">
        <w:rPr>
          <w:rStyle w:val="PBTablecaptionChar"/>
          <w:bCs/>
        </w:rPr>
        <w:fldChar w:fldCharType="separate"/>
      </w:r>
      <w:r w:rsidR="00F2067C">
        <w:rPr>
          <w:rStyle w:val="PBTablecaptionChar"/>
          <w:noProof/>
        </w:rPr>
        <w:t>4</w:t>
      </w:r>
      <w:r w:rsidRPr="005060E0">
        <w:rPr>
          <w:rStyle w:val="PBTablecaptionChar"/>
          <w:bCs/>
        </w:rPr>
        <w:fldChar w:fldCharType="end"/>
      </w:r>
      <w:bookmarkEnd w:id="109"/>
      <w:r w:rsidRPr="005060E0">
        <w:rPr>
          <w:rStyle w:val="PBTablecaptionChar"/>
        </w:rPr>
        <w:t>: Current</w:t>
      </w:r>
      <w:r w:rsidRPr="005060E0">
        <w:t xml:space="preserve"> </w:t>
      </w:r>
      <w:r w:rsidR="00F825E3" w:rsidRPr="005060E0">
        <w:t xml:space="preserve">AAQ </w:t>
      </w:r>
      <w:r w:rsidRPr="005060E0">
        <w:t xml:space="preserve">NEPM standards and proposed standards </w:t>
      </w:r>
      <w:r w:rsidR="00882FFC">
        <w:t xml:space="preserve">for </w:t>
      </w:r>
      <w:r w:rsidRPr="005060E0">
        <w:t>SO</w:t>
      </w:r>
      <w:r w:rsidRPr="005060E0">
        <w:rPr>
          <w:vertAlign w:val="subscript"/>
        </w:rPr>
        <w:t>2</w:t>
      </w:r>
      <w:bookmarkEnd w:id="110"/>
    </w:p>
    <w:tbl>
      <w:tblPr>
        <w:tblStyle w:val="ListTable3-Accent11"/>
        <w:tblW w:w="5000" w:type="pct"/>
        <w:tblBorders>
          <w:top w:val="single" w:sz="4" w:space="0" w:color="0076C0" w:themeColor="accent1"/>
          <w:left w:val="single" w:sz="4" w:space="0" w:color="0076C0" w:themeColor="accent1"/>
          <w:bottom w:val="single" w:sz="4" w:space="0" w:color="0076C0" w:themeColor="accent1"/>
          <w:right w:val="single" w:sz="4" w:space="0" w:color="0076C0" w:themeColor="accent1"/>
          <w:insideH w:val="single" w:sz="4" w:space="0" w:color="0076C0" w:themeColor="accent1"/>
        </w:tblBorders>
        <w:tblLook w:val="04A0" w:firstRow="1" w:lastRow="0" w:firstColumn="1" w:lastColumn="0" w:noHBand="0" w:noVBand="1"/>
      </w:tblPr>
      <w:tblGrid>
        <w:gridCol w:w="1573"/>
        <w:gridCol w:w="2105"/>
        <w:gridCol w:w="2609"/>
        <w:gridCol w:w="3341"/>
      </w:tblGrid>
      <w:tr w:rsidR="009B19CD" w:rsidRPr="005060E0" w14:paraId="112472DE" w14:textId="77777777" w:rsidTr="00D35C2D">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100" w:firstRow="0" w:lastRow="0" w:firstColumn="1" w:lastColumn="0" w:oddVBand="0" w:evenVBand="0" w:oddHBand="0" w:evenHBand="0" w:firstRowFirstColumn="1" w:firstRowLastColumn="0" w:lastRowFirstColumn="0" w:lastRowLastColumn="0"/>
            <w:tcW w:w="817" w:type="pct"/>
            <w:tcBorders>
              <w:top w:val="single" w:sz="4" w:space="0" w:color="606072"/>
              <w:left w:val="single" w:sz="4" w:space="0" w:color="606072"/>
              <w:bottom w:val="single" w:sz="4" w:space="0" w:color="606072"/>
              <w:right w:val="single" w:sz="4" w:space="0" w:color="606072"/>
            </w:tcBorders>
            <w:shd w:val="clear" w:color="auto" w:fill="606072"/>
            <w:vAlign w:val="center"/>
          </w:tcPr>
          <w:p w14:paraId="6FB3808D" w14:textId="77777777" w:rsidR="009B19CD" w:rsidRPr="005060E0" w:rsidRDefault="009B19CD" w:rsidP="00A36219">
            <w:pPr>
              <w:spacing w:after="0" w:line="240" w:lineRule="auto"/>
              <w:jc w:val="center"/>
              <w:rPr>
                <w:rFonts w:cs="Arial"/>
                <w:b w:val="0"/>
                <w:color w:val="FFFFFF" w:themeColor="background1"/>
                <w:sz w:val="16"/>
                <w:szCs w:val="16"/>
              </w:rPr>
            </w:pPr>
            <w:r w:rsidRPr="005060E0">
              <w:rPr>
                <w:rFonts w:cs="Arial"/>
                <w:b w:val="0"/>
                <w:color w:val="FFFFFF" w:themeColor="background1"/>
                <w:sz w:val="16"/>
                <w:szCs w:val="16"/>
              </w:rPr>
              <w:t>Pollutant</w:t>
            </w:r>
          </w:p>
        </w:tc>
        <w:tc>
          <w:tcPr>
            <w:tcW w:w="1093" w:type="pct"/>
            <w:tcBorders>
              <w:top w:val="single" w:sz="4" w:space="0" w:color="606072"/>
              <w:left w:val="single" w:sz="4" w:space="0" w:color="606072"/>
              <w:bottom w:val="single" w:sz="4" w:space="0" w:color="606072"/>
              <w:right w:val="single" w:sz="4" w:space="0" w:color="606072"/>
            </w:tcBorders>
            <w:shd w:val="clear" w:color="auto" w:fill="606072"/>
            <w:vAlign w:val="center"/>
          </w:tcPr>
          <w:p w14:paraId="54579BFE" w14:textId="77777777" w:rsidR="009B19CD" w:rsidRPr="005060E0" w:rsidRDefault="009B19CD" w:rsidP="00A362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cs="Arial"/>
                <w:b w:val="0"/>
                <w:color w:val="FFFFFF" w:themeColor="background1"/>
                <w:sz w:val="16"/>
                <w:szCs w:val="16"/>
              </w:rPr>
              <w:t>Averaging period</w:t>
            </w:r>
          </w:p>
        </w:tc>
        <w:tc>
          <w:tcPr>
            <w:tcW w:w="1355" w:type="pct"/>
            <w:tcBorders>
              <w:top w:val="single" w:sz="4" w:space="0" w:color="606072"/>
              <w:left w:val="single" w:sz="4" w:space="0" w:color="606072"/>
              <w:bottom w:val="single" w:sz="4" w:space="0" w:color="606072"/>
              <w:right w:val="single" w:sz="4" w:space="0" w:color="606072"/>
            </w:tcBorders>
            <w:shd w:val="clear" w:color="auto" w:fill="606072"/>
            <w:vAlign w:val="center"/>
          </w:tcPr>
          <w:p w14:paraId="40083DC2" w14:textId="77777777" w:rsidR="009B19CD" w:rsidRPr="005060E0" w:rsidRDefault="009B19CD" w:rsidP="00A362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cs="Arial"/>
                <w:b w:val="0"/>
                <w:color w:val="FFFFFF" w:themeColor="background1"/>
                <w:sz w:val="16"/>
                <w:szCs w:val="16"/>
              </w:rPr>
              <w:t>Concentration (ppb)</w:t>
            </w:r>
            <w:r w:rsidRPr="005060E0">
              <w:rPr>
                <w:rFonts w:cs="Arial"/>
                <w:b w:val="0"/>
                <w:color w:val="FFFFFF" w:themeColor="background1"/>
                <w:sz w:val="16"/>
                <w:szCs w:val="16"/>
                <w:vertAlign w:val="superscript"/>
              </w:rPr>
              <w:t>(a)</w:t>
            </w:r>
          </w:p>
        </w:tc>
        <w:tc>
          <w:tcPr>
            <w:tcW w:w="1735" w:type="pct"/>
            <w:tcBorders>
              <w:top w:val="single" w:sz="4" w:space="0" w:color="606072"/>
              <w:left w:val="single" w:sz="4" w:space="0" w:color="606072"/>
              <w:bottom w:val="single" w:sz="4" w:space="0" w:color="606072"/>
              <w:right w:val="single" w:sz="4" w:space="0" w:color="606072"/>
            </w:tcBorders>
            <w:shd w:val="clear" w:color="auto" w:fill="606072"/>
            <w:vAlign w:val="center"/>
          </w:tcPr>
          <w:p w14:paraId="17361731" w14:textId="77777777" w:rsidR="009B19CD" w:rsidRPr="005060E0" w:rsidRDefault="009B19CD" w:rsidP="00A362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cs="Arial"/>
                <w:b w:val="0"/>
                <w:color w:val="FFFFFF" w:themeColor="background1"/>
                <w:sz w:val="16"/>
                <w:szCs w:val="16"/>
              </w:rPr>
              <w:t>Source</w:t>
            </w:r>
          </w:p>
        </w:tc>
      </w:tr>
      <w:tr w:rsidR="009B19CD" w:rsidRPr="005060E0" w14:paraId="0588B105" w14:textId="77777777" w:rsidTr="00284327">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817" w:type="pct"/>
            <w:vMerge w:val="restart"/>
            <w:tcBorders>
              <w:top w:val="single" w:sz="4" w:space="0" w:color="606072"/>
              <w:left w:val="single" w:sz="4" w:space="0" w:color="606072"/>
              <w:right w:val="single" w:sz="4" w:space="0" w:color="606072"/>
            </w:tcBorders>
            <w:vAlign w:val="center"/>
          </w:tcPr>
          <w:p w14:paraId="3E576DBD" w14:textId="77777777" w:rsidR="009B19CD" w:rsidRPr="005060E0" w:rsidRDefault="009B19CD" w:rsidP="00A36219">
            <w:pPr>
              <w:spacing w:after="0" w:line="240" w:lineRule="auto"/>
              <w:jc w:val="center"/>
              <w:rPr>
                <w:rFonts w:cs="Arial"/>
                <w:b w:val="0"/>
                <w:sz w:val="16"/>
                <w:szCs w:val="16"/>
              </w:rPr>
            </w:pPr>
            <w:r w:rsidRPr="005060E0">
              <w:rPr>
                <w:rFonts w:cs="Arial"/>
                <w:b w:val="0"/>
                <w:sz w:val="16"/>
                <w:szCs w:val="16"/>
              </w:rPr>
              <w:t>SO</w:t>
            </w:r>
            <w:r w:rsidRPr="005060E0">
              <w:rPr>
                <w:rFonts w:cs="Arial"/>
                <w:b w:val="0"/>
                <w:sz w:val="16"/>
                <w:szCs w:val="16"/>
                <w:vertAlign w:val="subscript"/>
              </w:rPr>
              <w:t>2</w:t>
            </w:r>
          </w:p>
        </w:tc>
        <w:tc>
          <w:tcPr>
            <w:tcW w:w="1093" w:type="pct"/>
            <w:vMerge w:val="restart"/>
            <w:tcBorders>
              <w:top w:val="single" w:sz="4" w:space="0" w:color="606072"/>
              <w:left w:val="single" w:sz="4" w:space="0" w:color="606072"/>
              <w:right w:val="single" w:sz="4" w:space="0" w:color="606072"/>
            </w:tcBorders>
            <w:vAlign w:val="center"/>
          </w:tcPr>
          <w:p w14:paraId="3B19C341" w14:textId="77777777" w:rsidR="009B19CD" w:rsidRPr="005060E0" w:rsidRDefault="009B19CD"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1-hour</w:t>
            </w:r>
          </w:p>
        </w:tc>
        <w:tc>
          <w:tcPr>
            <w:tcW w:w="1355" w:type="pct"/>
            <w:tcBorders>
              <w:top w:val="single" w:sz="4" w:space="0" w:color="606072"/>
              <w:left w:val="single" w:sz="4" w:space="0" w:color="606072"/>
              <w:bottom w:val="dotted" w:sz="4" w:space="0" w:color="606072"/>
              <w:right w:val="single" w:sz="4" w:space="0" w:color="606072"/>
            </w:tcBorders>
            <w:vAlign w:val="center"/>
          </w:tcPr>
          <w:p w14:paraId="6664550D" w14:textId="77777777" w:rsidR="009B19CD" w:rsidRPr="005060E0" w:rsidRDefault="009B19CD"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75</w:t>
            </w:r>
          </w:p>
        </w:tc>
        <w:tc>
          <w:tcPr>
            <w:tcW w:w="1735" w:type="pct"/>
            <w:tcBorders>
              <w:top w:val="single" w:sz="4" w:space="0" w:color="606072"/>
              <w:left w:val="single" w:sz="4" w:space="0" w:color="606072"/>
              <w:bottom w:val="dotted" w:sz="4" w:space="0" w:color="606072"/>
              <w:right w:val="single" w:sz="4" w:space="0" w:color="606072"/>
            </w:tcBorders>
            <w:vAlign w:val="center"/>
          </w:tcPr>
          <w:p w14:paraId="321FB5A8" w14:textId="5316E490" w:rsidR="009B19CD" w:rsidRPr="005060E0" w:rsidRDefault="00971E5B"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Air TOG</w:t>
            </w:r>
          </w:p>
        </w:tc>
      </w:tr>
      <w:tr w:rsidR="009B19CD" w:rsidRPr="005060E0" w14:paraId="26810BFE" w14:textId="77777777" w:rsidTr="00284327">
        <w:trPr>
          <w:trHeight w:hRule="exact" w:val="340"/>
        </w:trPr>
        <w:tc>
          <w:tcPr>
            <w:cnfStyle w:val="001000000000" w:firstRow="0" w:lastRow="0" w:firstColumn="1" w:lastColumn="0" w:oddVBand="0" w:evenVBand="0" w:oddHBand="0" w:evenHBand="0" w:firstRowFirstColumn="0" w:firstRowLastColumn="0" w:lastRowFirstColumn="0" w:lastRowLastColumn="0"/>
            <w:tcW w:w="817" w:type="pct"/>
            <w:vMerge/>
            <w:tcBorders>
              <w:left w:val="single" w:sz="4" w:space="0" w:color="606072"/>
              <w:right w:val="single" w:sz="4" w:space="0" w:color="606072"/>
            </w:tcBorders>
            <w:vAlign w:val="center"/>
          </w:tcPr>
          <w:p w14:paraId="67FBCF20" w14:textId="77777777" w:rsidR="009B19CD" w:rsidRPr="005060E0" w:rsidRDefault="009B19CD" w:rsidP="00A36219">
            <w:pPr>
              <w:spacing w:after="0" w:line="240" w:lineRule="auto"/>
              <w:jc w:val="center"/>
              <w:rPr>
                <w:rFonts w:cs="Arial"/>
                <w:b w:val="0"/>
                <w:sz w:val="16"/>
                <w:szCs w:val="16"/>
              </w:rPr>
            </w:pPr>
          </w:p>
        </w:tc>
        <w:tc>
          <w:tcPr>
            <w:tcW w:w="1093" w:type="pct"/>
            <w:vMerge/>
            <w:tcBorders>
              <w:left w:val="single" w:sz="4" w:space="0" w:color="606072"/>
              <w:right w:val="single" w:sz="4" w:space="0" w:color="606072"/>
            </w:tcBorders>
            <w:vAlign w:val="center"/>
          </w:tcPr>
          <w:p w14:paraId="4245F550" w14:textId="77777777" w:rsidR="009B19CD" w:rsidRPr="005060E0" w:rsidRDefault="009B19CD"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55" w:type="pct"/>
            <w:tcBorders>
              <w:top w:val="dotted" w:sz="4" w:space="0" w:color="606072"/>
              <w:left w:val="single" w:sz="4" w:space="0" w:color="606072"/>
              <w:bottom w:val="dotted" w:sz="4" w:space="0" w:color="606072"/>
              <w:right w:val="single" w:sz="4" w:space="0" w:color="606072"/>
            </w:tcBorders>
            <w:vAlign w:val="center"/>
          </w:tcPr>
          <w:p w14:paraId="10E0CD1D" w14:textId="77777777" w:rsidR="009B19CD" w:rsidRPr="005060E0" w:rsidRDefault="009B19CD"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100</w:t>
            </w:r>
          </w:p>
        </w:tc>
        <w:tc>
          <w:tcPr>
            <w:tcW w:w="1735" w:type="pct"/>
            <w:tcBorders>
              <w:top w:val="dotted" w:sz="4" w:space="0" w:color="606072"/>
              <w:left w:val="single" w:sz="4" w:space="0" w:color="606072"/>
              <w:bottom w:val="dotted" w:sz="4" w:space="0" w:color="606072"/>
              <w:right w:val="single" w:sz="4" w:space="0" w:color="606072"/>
            </w:tcBorders>
            <w:vAlign w:val="center"/>
          </w:tcPr>
          <w:p w14:paraId="1B299D37" w14:textId="024B73AB" w:rsidR="009B19CD" w:rsidRPr="005060E0" w:rsidRDefault="00971E5B"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Air TOG</w:t>
            </w:r>
          </w:p>
        </w:tc>
      </w:tr>
      <w:tr w:rsidR="009B19CD" w:rsidRPr="005060E0" w14:paraId="58B0E76D" w14:textId="77777777" w:rsidTr="00284327">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817" w:type="pct"/>
            <w:vMerge/>
            <w:tcBorders>
              <w:left w:val="single" w:sz="4" w:space="0" w:color="606072"/>
              <w:right w:val="single" w:sz="4" w:space="0" w:color="606072"/>
            </w:tcBorders>
            <w:vAlign w:val="center"/>
          </w:tcPr>
          <w:p w14:paraId="3FB5CDEA" w14:textId="77777777" w:rsidR="009B19CD" w:rsidRPr="005060E0" w:rsidRDefault="009B19CD" w:rsidP="00A36219">
            <w:pPr>
              <w:spacing w:after="0" w:line="240" w:lineRule="auto"/>
              <w:jc w:val="center"/>
              <w:rPr>
                <w:rFonts w:cs="Arial"/>
                <w:b w:val="0"/>
                <w:sz w:val="16"/>
                <w:szCs w:val="16"/>
              </w:rPr>
            </w:pPr>
          </w:p>
        </w:tc>
        <w:tc>
          <w:tcPr>
            <w:tcW w:w="1093" w:type="pct"/>
            <w:vMerge/>
            <w:tcBorders>
              <w:left w:val="single" w:sz="4" w:space="0" w:color="606072"/>
              <w:right w:val="single" w:sz="4" w:space="0" w:color="606072"/>
            </w:tcBorders>
            <w:vAlign w:val="center"/>
          </w:tcPr>
          <w:p w14:paraId="3CA95E27" w14:textId="77777777" w:rsidR="009B19CD" w:rsidRPr="005060E0" w:rsidRDefault="009B19CD"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55" w:type="pct"/>
            <w:tcBorders>
              <w:top w:val="dotted" w:sz="4" w:space="0" w:color="606072"/>
              <w:left w:val="single" w:sz="4" w:space="0" w:color="606072"/>
              <w:bottom w:val="dotted" w:sz="4" w:space="0" w:color="606072"/>
              <w:right w:val="single" w:sz="4" w:space="0" w:color="606072"/>
            </w:tcBorders>
            <w:vAlign w:val="center"/>
          </w:tcPr>
          <w:p w14:paraId="488DD755" w14:textId="77777777" w:rsidR="009B19CD" w:rsidRPr="005060E0" w:rsidRDefault="009B19CD"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150</w:t>
            </w:r>
          </w:p>
        </w:tc>
        <w:tc>
          <w:tcPr>
            <w:tcW w:w="1735" w:type="pct"/>
            <w:tcBorders>
              <w:top w:val="dotted" w:sz="4" w:space="0" w:color="606072"/>
              <w:left w:val="single" w:sz="4" w:space="0" w:color="606072"/>
              <w:bottom w:val="dotted" w:sz="4" w:space="0" w:color="606072"/>
              <w:right w:val="single" w:sz="4" w:space="0" w:color="606072"/>
            </w:tcBorders>
            <w:vAlign w:val="center"/>
          </w:tcPr>
          <w:p w14:paraId="048AB791" w14:textId="15D82B91" w:rsidR="009B19CD" w:rsidRPr="005060E0" w:rsidRDefault="00971E5B"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Air TOG</w:t>
            </w:r>
          </w:p>
        </w:tc>
      </w:tr>
      <w:tr w:rsidR="009B19CD" w:rsidRPr="005060E0" w14:paraId="42AE6F43" w14:textId="77777777" w:rsidTr="00D41B95">
        <w:trPr>
          <w:trHeight w:hRule="exact" w:val="340"/>
        </w:trPr>
        <w:tc>
          <w:tcPr>
            <w:cnfStyle w:val="001000000000" w:firstRow="0" w:lastRow="0" w:firstColumn="1" w:lastColumn="0" w:oddVBand="0" w:evenVBand="0" w:oddHBand="0" w:evenHBand="0" w:firstRowFirstColumn="0" w:firstRowLastColumn="0" w:lastRowFirstColumn="0" w:lastRowLastColumn="0"/>
            <w:tcW w:w="817" w:type="pct"/>
            <w:vMerge/>
            <w:tcBorders>
              <w:left w:val="single" w:sz="4" w:space="0" w:color="606072"/>
              <w:right w:val="single" w:sz="4" w:space="0" w:color="606072"/>
            </w:tcBorders>
            <w:vAlign w:val="center"/>
          </w:tcPr>
          <w:p w14:paraId="15AB31D1" w14:textId="77777777" w:rsidR="009B19CD" w:rsidRPr="005060E0" w:rsidRDefault="009B19CD" w:rsidP="00A36219">
            <w:pPr>
              <w:spacing w:after="0" w:line="240" w:lineRule="auto"/>
              <w:jc w:val="center"/>
              <w:rPr>
                <w:rFonts w:cs="Arial"/>
                <w:b w:val="0"/>
                <w:sz w:val="16"/>
                <w:szCs w:val="16"/>
              </w:rPr>
            </w:pPr>
          </w:p>
        </w:tc>
        <w:tc>
          <w:tcPr>
            <w:tcW w:w="1093" w:type="pct"/>
            <w:vMerge/>
            <w:tcBorders>
              <w:left w:val="single" w:sz="4" w:space="0" w:color="606072"/>
              <w:bottom w:val="single" w:sz="4" w:space="0" w:color="606072"/>
              <w:right w:val="single" w:sz="4" w:space="0" w:color="606072"/>
            </w:tcBorders>
            <w:vAlign w:val="center"/>
          </w:tcPr>
          <w:p w14:paraId="63A2E402" w14:textId="77777777" w:rsidR="009B19CD" w:rsidRPr="005060E0" w:rsidRDefault="009B19CD"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55"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7B120CB2" w14:textId="61908A5B" w:rsidR="009B19CD" w:rsidRPr="005060E0" w:rsidRDefault="009B19CD"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2</w:t>
            </w:r>
            <w:r w:rsidR="008F2559" w:rsidRPr="005060E0">
              <w:rPr>
                <w:rFonts w:cs="Arial"/>
                <w:sz w:val="16"/>
                <w:szCs w:val="16"/>
              </w:rPr>
              <w:t>0</w:t>
            </w:r>
            <w:r w:rsidRPr="005060E0">
              <w:rPr>
                <w:rFonts w:cs="Arial"/>
                <w:sz w:val="16"/>
                <w:szCs w:val="16"/>
              </w:rPr>
              <w:t>0</w:t>
            </w:r>
          </w:p>
        </w:tc>
        <w:tc>
          <w:tcPr>
            <w:tcW w:w="1735" w:type="pct"/>
            <w:tcBorders>
              <w:top w:val="dotted" w:sz="4" w:space="0" w:color="606072"/>
              <w:left w:val="single" w:sz="4" w:space="0" w:color="606072"/>
              <w:bottom w:val="single" w:sz="4" w:space="0" w:color="606072"/>
              <w:right w:val="single" w:sz="4" w:space="0" w:color="606072"/>
            </w:tcBorders>
            <w:vAlign w:val="center"/>
          </w:tcPr>
          <w:p w14:paraId="7E7DFF0C" w14:textId="77777777" w:rsidR="009B19CD" w:rsidRPr="005060E0" w:rsidRDefault="009B19CD"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AAQ NEPM</w:t>
            </w:r>
          </w:p>
        </w:tc>
      </w:tr>
      <w:tr w:rsidR="009B19CD" w:rsidRPr="005060E0" w14:paraId="7BAEC90F" w14:textId="77777777" w:rsidTr="00284327">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817" w:type="pct"/>
            <w:vMerge/>
            <w:tcBorders>
              <w:left w:val="single" w:sz="4" w:space="0" w:color="606072"/>
              <w:right w:val="single" w:sz="4" w:space="0" w:color="606072"/>
            </w:tcBorders>
            <w:vAlign w:val="center"/>
          </w:tcPr>
          <w:p w14:paraId="38EF3994" w14:textId="77777777" w:rsidR="009B19CD" w:rsidRPr="005060E0" w:rsidRDefault="009B19CD" w:rsidP="00A36219">
            <w:pPr>
              <w:spacing w:after="0" w:line="240" w:lineRule="auto"/>
              <w:jc w:val="center"/>
              <w:rPr>
                <w:rFonts w:cs="Arial"/>
                <w:b w:val="0"/>
                <w:sz w:val="16"/>
                <w:szCs w:val="16"/>
              </w:rPr>
            </w:pPr>
          </w:p>
        </w:tc>
        <w:tc>
          <w:tcPr>
            <w:tcW w:w="1093" w:type="pct"/>
            <w:vMerge w:val="restart"/>
            <w:tcBorders>
              <w:top w:val="single" w:sz="4" w:space="0" w:color="606072"/>
              <w:left w:val="single" w:sz="4" w:space="0" w:color="606072"/>
              <w:right w:val="single" w:sz="4" w:space="0" w:color="606072"/>
            </w:tcBorders>
            <w:vAlign w:val="center"/>
          </w:tcPr>
          <w:p w14:paraId="4C80AD3E" w14:textId="77777777" w:rsidR="009B19CD" w:rsidRPr="005060E0" w:rsidRDefault="009B19CD"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24-hour</w:t>
            </w:r>
          </w:p>
        </w:tc>
        <w:tc>
          <w:tcPr>
            <w:tcW w:w="1355" w:type="pct"/>
            <w:tcBorders>
              <w:top w:val="single" w:sz="4" w:space="0" w:color="606072"/>
              <w:left w:val="single" w:sz="4" w:space="0" w:color="606072"/>
              <w:bottom w:val="dotted" w:sz="4" w:space="0" w:color="606072"/>
              <w:right w:val="single" w:sz="4" w:space="0" w:color="606072"/>
            </w:tcBorders>
            <w:vAlign w:val="center"/>
          </w:tcPr>
          <w:p w14:paraId="7F83127D" w14:textId="77777777" w:rsidR="009B19CD" w:rsidRPr="005060E0" w:rsidRDefault="009B19CD"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7</w:t>
            </w:r>
          </w:p>
        </w:tc>
        <w:tc>
          <w:tcPr>
            <w:tcW w:w="1735" w:type="pct"/>
            <w:tcBorders>
              <w:top w:val="single" w:sz="4" w:space="0" w:color="606072"/>
              <w:left w:val="single" w:sz="4" w:space="0" w:color="606072"/>
              <w:bottom w:val="dotted" w:sz="4" w:space="0" w:color="606072"/>
              <w:right w:val="single" w:sz="4" w:space="0" w:color="606072"/>
            </w:tcBorders>
            <w:vAlign w:val="center"/>
          </w:tcPr>
          <w:p w14:paraId="626945FC" w14:textId="3DC8E099" w:rsidR="009B19CD" w:rsidRPr="005060E0" w:rsidRDefault="00971E5B"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Air TOG</w:t>
            </w:r>
          </w:p>
        </w:tc>
      </w:tr>
      <w:tr w:rsidR="009B19CD" w:rsidRPr="005060E0" w14:paraId="73822FA5" w14:textId="77777777" w:rsidTr="00284327">
        <w:trPr>
          <w:trHeight w:hRule="exact" w:val="340"/>
        </w:trPr>
        <w:tc>
          <w:tcPr>
            <w:cnfStyle w:val="001000000000" w:firstRow="0" w:lastRow="0" w:firstColumn="1" w:lastColumn="0" w:oddVBand="0" w:evenVBand="0" w:oddHBand="0" w:evenHBand="0" w:firstRowFirstColumn="0" w:firstRowLastColumn="0" w:lastRowFirstColumn="0" w:lastRowLastColumn="0"/>
            <w:tcW w:w="817" w:type="pct"/>
            <w:vMerge/>
            <w:tcBorders>
              <w:left w:val="single" w:sz="4" w:space="0" w:color="606072"/>
              <w:right w:val="single" w:sz="4" w:space="0" w:color="606072"/>
            </w:tcBorders>
            <w:vAlign w:val="center"/>
          </w:tcPr>
          <w:p w14:paraId="7B642F98" w14:textId="77777777" w:rsidR="009B19CD" w:rsidRPr="005060E0" w:rsidRDefault="009B19CD" w:rsidP="00A36219">
            <w:pPr>
              <w:spacing w:after="0" w:line="240" w:lineRule="auto"/>
              <w:jc w:val="center"/>
              <w:rPr>
                <w:rFonts w:cs="Arial"/>
                <w:b w:val="0"/>
                <w:sz w:val="16"/>
                <w:szCs w:val="16"/>
              </w:rPr>
            </w:pPr>
          </w:p>
        </w:tc>
        <w:tc>
          <w:tcPr>
            <w:tcW w:w="1093" w:type="pct"/>
            <w:vMerge/>
            <w:tcBorders>
              <w:left w:val="single" w:sz="4" w:space="0" w:color="606072"/>
              <w:right w:val="single" w:sz="4" w:space="0" w:color="606072"/>
            </w:tcBorders>
            <w:vAlign w:val="center"/>
          </w:tcPr>
          <w:p w14:paraId="4D82D0D4" w14:textId="77777777" w:rsidR="009B19CD" w:rsidRPr="005060E0" w:rsidRDefault="009B19CD"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55" w:type="pct"/>
            <w:tcBorders>
              <w:top w:val="dotted" w:sz="4" w:space="0" w:color="606072"/>
              <w:left w:val="single" w:sz="4" w:space="0" w:color="606072"/>
              <w:bottom w:val="dotted" w:sz="4" w:space="0" w:color="606072"/>
              <w:right w:val="single" w:sz="4" w:space="0" w:color="606072"/>
            </w:tcBorders>
            <w:vAlign w:val="center"/>
          </w:tcPr>
          <w:p w14:paraId="2E924389" w14:textId="77777777" w:rsidR="009B19CD" w:rsidRPr="005060E0" w:rsidRDefault="009B19CD"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20</w:t>
            </w:r>
          </w:p>
        </w:tc>
        <w:tc>
          <w:tcPr>
            <w:tcW w:w="1735" w:type="pct"/>
            <w:tcBorders>
              <w:top w:val="dotted" w:sz="4" w:space="0" w:color="606072"/>
              <w:left w:val="single" w:sz="4" w:space="0" w:color="606072"/>
              <w:bottom w:val="dotted" w:sz="4" w:space="0" w:color="606072"/>
              <w:right w:val="single" w:sz="4" w:space="0" w:color="606072"/>
            </w:tcBorders>
            <w:vAlign w:val="center"/>
          </w:tcPr>
          <w:p w14:paraId="3C35B589" w14:textId="762EEED1" w:rsidR="009B19CD" w:rsidRPr="005060E0" w:rsidRDefault="00971E5B"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Air TOG</w:t>
            </w:r>
          </w:p>
        </w:tc>
      </w:tr>
      <w:tr w:rsidR="009B19CD" w:rsidRPr="005060E0" w14:paraId="35CFC8E4" w14:textId="77777777" w:rsidTr="00284327">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817" w:type="pct"/>
            <w:vMerge/>
            <w:tcBorders>
              <w:left w:val="single" w:sz="4" w:space="0" w:color="606072"/>
              <w:right w:val="single" w:sz="4" w:space="0" w:color="606072"/>
            </w:tcBorders>
            <w:vAlign w:val="center"/>
          </w:tcPr>
          <w:p w14:paraId="646AB5D7" w14:textId="77777777" w:rsidR="009B19CD" w:rsidRPr="005060E0" w:rsidRDefault="009B19CD" w:rsidP="00A36219">
            <w:pPr>
              <w:spacing w:after="0" w:line="240" w:lineRule="auto"/>
              <w:jc w:val="center"/>
              <w:rPr>
                <w:rFonts w:cs="Arial"/>
                <w:b w:val="0"/>
                <w:sz w:val="16"/>
                <w:szCs w:val="16"/>
              </w:rPr>
            </w:pPr>
          </w:p>
        </w:tc>
        <w:tc>
          <w:tcPr>
            <w:tcW w:w="1093" w:type="pct"/>
            <w:vMerge/>
            <w:tcBorders>
              <w:left w:val="single" w:sz="4" w:space="0" w:color="606072"/>
              <w:right w:val="single" w:sz="4" w:space="0" w:color="606072"/>
            </w:tcBorders>
            <w:vAlign w:val="center"/>
          </w:tcPr>
          <w:p w14:paraId="6CCEDE55" w14:textId="77777777" w:rsidR="009B19CD" w:rsidRPr="005060E0" w:rsidRDefault="009B19CD"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55" w:type="pct"/>
            <w:tcBorders>
              <w:top w:val="dotted" w:sz="4" w:space="0" w:color="606072"/>
              <w:left w:val="single" w:sz="4" w:space="0" w:color="606072"/>
              <w:bottom w:val="dotted" w:sz="4" w:space="0" w:color="606072"/>
              <w:right w:val="single" w:sz="4" w:space="0" w:color="606072"/>
            </w:tcBorders>
            <w:vAlign w:val="center"/>
          </w:tcPr>
          <w:p w14:paraId="57344BED" w14:textId="77777777" w:rsidR="009B19CD" w:rsidRPr="005060E0" w:rsidRDefault="009B19CD"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40</w:t>
            </w:r>
          </w:p>
        </w:tc>
        <w:tc>
          <w:tcPr>
            <w:tcW w:w="1735" w:type="pct"/>
            <w:tcBorders>
              <w:top w:val="dotted" w:sz="4" w:space="0" w:color="606072"/>
              <w:left w:val="single" w:sz="4" w:space="0" w:color="606072"/>
              <w:bottom w:val="dotted" w:sz="4" w:space="0" w:color="606072"/>
              <w:right w:val="single" w:sz="4" w:space="0" w:color="606072"/>
            </w:tcBorders>
            <w:vAlign w:val="center"/>
          </w:tcPr>
          <w:p w14:paraId="0C51B66A" w14:textId="29BDDEAD" w:rsidR="009B19CD" w:rsidRPr="005060E0" w:rsidRDefault="00971E5B"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Air TOG</w:t>
            </w:r>
          </w:p>
        </w:tc>
      </w:tr>
      <w:tr w:rsidR="009B19CD" w:rsidRPr="005060E0" w14:paraId="6F8D9032" w14:textId="77777777" w:rsidTr="00D41B95">
        <w:trPr>
          <w:trHeight w:hRule="exact" w:val="340"/>
        </w:trPr>
        <w:tc>
          <w:tcPr>
            <w:cnfStyle w:val="001000000000" w:firstRow="0" w:lastRow="0" w:firstColumn="1" w:lastColumn="0" w:oddVBand="0" w:evenVBand="0" w:oddHBand="0" w:evenHBand="0" w:firstRowFirstColumn="0" w:firstRowLastColumn="0" w:lastRowFirstColumn="0" w:lastRowLastColumn="0"/>
            <w:tcW w:w="817" w:type="pct"/>
            <w:vMerge/>
            <w:tcBorders>
              <w:left w:val="single" w:sz="4" w:space="0" w:color="606072"/>
              <w:right w:val="single" w:sz="4" w:space="0" w:color="606072"/>
            </w:tcBorders>
            <w:vAlign w:val="center"/>
          </w:tcPr>
          <w:p w14:paraId="7F5A9822" w14:textId="77777777" w:rsidR="009B19CD" w:rsidRPr="005060E0" w:rsidRDefault="009B19CD" w:rsidP="00A36219">
            <w:pPr>
              <w:spacing w:after="0" w:line="240" w:lineRule="auto"/>
              <w:jc w:val="center"/>
              <w:rPr>
                <w:rFonts w:cs="Arial"/>
                <w:b w:val="0"/>
                <w:sz w:val="16"/>
                <w:szCs w:val="16"/>
              </w:rPr>
            </w:pPr>
          </w:p>
        </w:tc>
        <w:tc>
          <w:tcPr>
            <w:tcW w:w="1093" w:type="pct"/>
            <w:vMerge/>
            <w:tcBorders>
              <w:left w:val="single" w:sz="4" w:space="0" w:color="606072"/>
              <w:bottom w:val="single" w:sz="4" w:space="0" w:color="606072"/>
              <w:right w:val="single" w:sz="4" w:space="0" w:color="606072"/>
            </w:tcBorders>
            <w:vAlign w:val="center"/>
          </w:tcPr>
          <w:p w14:paraId="518B513A" w14:textId="77777777" w:rsidR="009B19CD" w:rsidRPr="005060E0" w:rsidRDefault="009B19CD"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55"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68B80817" w14:textId="77777777" w:rsidR="009B19CD" w:rsidRPr="005060E0" w:rsidRDefault="009B19CD"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80</w:t>
            </w:r>
          </w:p>
        </w:tc>
        <w:tc>
          <w:tcPr>
            <w:tcW w:w="1735" w:type="pct"/>
            <w:tcBorders>
              <w:top w:val="dotted" w:sz="4" w:space="0" w:color="606072"/>
              <w:left w:val="single" w:sz="4" w:space="0" w:color="606072"/>
              <w:bottom w:val="single" w:sz="4" w:space="0" w:color="606072"/>
              <w:right w:val="single" w:sz="4" w:space="0" w:color="606072"/>
            </w:tcBorders>
            <w:vAlign w:val="center"/>
          </w:tcPr>
          <w:p w14:paraId="771B5B61" w14:textId="77777777" w:rsidR="009B19CD" w:rsidRPr="005060E0" w:rsidRDefault="009B19CD"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AAQ NEPM</w:t>
            </w:r>
          </w:p>
        </w:tc>
      </w:tr>
      <w:tr w:rsidR="009B19CD" w:rsidRPr="005060E0" w14:paraId="5B2F797B" w14:textId="77777777" w:rsidTr="00284327">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817" w:type="pct"/>
            <w:vMerge/>
            <w:tcBorders>
              <w:left w:val="single" w:sz="4" w:space="0" w:color="606072"/>
              <w:right w:val="single" w:sz="4" w:space="0" w:color="606072"/>
            </w:tcBorders>
            <w:vAlign w:val="center"/>
          </w:tcPr>
          <w:p w14:paraId="24E1C706" w14:textId="77777777" w:rsidR="009B19CD" w:rsidRPr="005060E0" w:rsidRDefault="009B19CD" w:rsidP="00A36219">
            <w:pPr>
              <w:spacing w:after="0" w:line="240" w:lineRule="auto"/>
              <w:jc w:val="center"/>
              <w:rPr>
                <w:rFonts w:cs="Arial"/>
                <w:b w:val="0"/>
                <w:sz w:val="16"/>
                <w:szCs w:val="16"/>
              </w:rPr>
            </w:pPr>
          </w:p>
        </w:tc>
        <w:tc>
          <w:tcPr>
            <w:tcW w:w="1093" w:type="pct"/>
            <w:vMerge w:val="restart"/>
            <w:tcBorders>
              <w:top w:val="single" w:sz="4" w:space="0" w:color="606072"/>
              <w:left w:val="single" w:sz="4" w:space="0" w:color="606072"/>
              <w:right w:val="single" w:sz="4" w:space="0" w:color="606072"/>
            </w:tcBorders>
            <w:vAlign w:val="center"/>
          </w:tcPr>
          <w:p w14:paraId="049D0A93" w14:textId="77777777" w:rsidR="009B19CD" w:rsidRPr="005060E0" w:rsidRDefault="009B19CD"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Annual</w:t>
            </w:r>
          </w:p>
        </w:tc>
        <w:tc>
          <w:tcPr>
            <w:tcW w:w="1355" w:type="pct"/>
            <w:tcBorders>
              <w:top w:val="single" w:sz="4" w:space="0" w:color="606072"/>
              <w:left w:val="single" w:sz="4" w:space="0" w:color="606072"/>
              <w:bottom w:val="dotted" w:sz="4" w:space="0" w:color="606072"/>
              <w:right w:val="single" w:sz="4" w:space="0" w:color="606072"/>
            </w:tcBorders>
            <w:vAlign w:val="center"/>
          </w:tcPr>
          <w:p w14:paraId="17AB5144" w14:textId="77777777" w:rsidR="009B19CD" w:rsidRPr="005060E0" w:rsidRDefault="009B19CD"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10</w:t>
            </w:r>
          </w:p>
        </w:tc>
        <w:tc>
          <w:tcPr>
            <w:tcW w:w="1735" w:type="pct"/>
            <w:tcBorders>
              <w:top w:val="single" w:sz="4" w:space="0" w:color="606072"/>
              <w:left w:val="single" w:sz="4" w:space="0" w:color="606072"/>
              <w:bottom w:val="dotted" w:sz="4" w:space="0" w:color="606072"/>
              <w:right w:val="single" w:sz="4" w:space="0" w:color="606072"/>
            </w:tcBorders>
            <w:vAlign w:val="center"/>
          </w:tcPr>
          <w:p w14:paraId="22596975" w14:textId="64673AEC" w:rsidR="009B19CD" w:rsidRPr="005060E0" w:rsidRDefault="00971E5B"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Air TOG</w:t>
            </w:r>
          </w:p>
        </w:tc>
      </w:tr>
      <w:tr w:rsidR="009B19CD" w:rsidRPr="005060E0" w14:paraId="33AA87C8" w14:textId="77777777" w:rsidTr="00D41B95">
        <w:trPr>
          <w:trHeight w:hRule="exact" w:val="340"/>
        </w:trPr>
        <w:tc>
          <w:tcPr>
            <w:cnfStyle w:val="001000000000" w:firstRow="0" w:lastRow="0" w:firstColumn="1" w:lastColumn="0" w:oddVBand="0" w:evenVBand="0" w:oddHBand="0" w:evenHBand="0" w:firstRowFirstColumn="0" w:firstRowLastColumn="0" w:lastRowFirstColumn="0" w:lastRowLastColumn="0"/>
            <w:tcW w:w="817" w:type="pct"/>
            <w:vMerge/>
            <w:tcBorders>
              <w:left w:val="single" w:sz="4" w:space="0" w:color="606072"/>
              <w:bottom w:val="single" w:sz="4" w:space="0" w:color="606072"/>
              <w:right w:val="single" w:sz="4" w:space="0" w:color="606072"/>
            </w:tcBorders>
            <w:vAlign w:val="center"/>
          </w:tcPr>
          <w:p w14:paraId="47544491" w14:textId="77777777" w:rsidR="009B19CD" w:rsidRPr="005060E0" w:rsidRDefault="009B19CD" w:rsidP="00A36219">
            <w:pPr>
              <w:spacing w:after="0" w:line="240" w:lineRule="auto"/>
              <w:jc w:val="center"/>
              <w:rPr>
                <w:rFonts w:cs="Arial"/>
                <w:b w:val="0"/>
                <w:sz w:val="16"/>
                <w:szCs w:val="16"/>
              </w:rPr>
            </w:pPr>
          </w:p>
        </w:tc>
        <w:tc>
          <w:tcPr>
            <w:tcW w:w="1093" w:type="pct"/>
            <w:vMerge/>
            <w:tcBorders>
              <w:left w:val="single" w:sz="4" w:space="0" w:color="606072"/>
              <w:bottom w:val="single" w:sz="4" w:space="0" w:color="606072"/>
              <w:right w:val="single" w:sz="4" w:space="0" w:color="606072"/>
            </w:tcBorders>
            <w:vAlign w:val="center"/>
          </w:tcPr>
          <w:p w14:paraId="06D74333" w14:textId="77777777" w:rsidR="009B19CD" w:rsidRPr="005060E0" w:rsidRDefault="009B19CD"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55"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0B39AAD0" w14:textId="77777777" w:rsidR="009B19CD" w:rsidRPr="005060E0" w:rsidRDefault="009B19CD"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20</w:t>
            </w:r>
          </w:p>
        </w:tc>
        <w:tc>
          <w:tcPr>
            <w:tcW w:w="1735" w:type="pct"/>
            <w:tcBorders>
              <w:top w:val="dotted" w:sz="4" w:space="0" w:color="606072"/>
              <w:left w:val="single" w:sz="4" w:space="0" w:color="606072"/>
              <w:bottom w:val="single" w:sz="4" w:space="0" w:color="606072"/>
              <w:right w:val="single" w:sz="4" w:space="0" w:color="606072"/>
            </w:tcBorders>
            <w:vAlign w:val="center"/>
          </w:tcPr>
          <w:p w14:paraId="3E5A9247" w14:textId="77777777" w:rsidR="009B19CD" w:rsidRPr="005060E0" w:rsidRDefault="009B19CD"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AAQ NEPM</w:t>
            </w:r>
          </w:p>
        </w:tc>
      </w:tr>
    </w:tbl>
    <w:p w14:paraId="3027E344" w14:textId="6AEF3823" w:rsidR="009B19CD" w:rsidRPr="005060E0" w:rsidRDefault="009B19CD" w:rsidP="00CD08E7">
      <w:pPr>
        <w:pStyle w:val="ListParagraph"/>
        <w:numPr>
          <w:ilvl w:val="0"/>
          <w:numId w:val="19"/>
        </w:numPr>
        <w:spacing w:before="120" w:after="0" w:line="240" w:lineRule="auto"/>
        <w:ind w:left="284" w:hanging="142"/>
        <w:rPr>
          <w:sz w:val="16"/>
          <w:szCs w:val="16"/>
        </w:rPr>
      </w:pPr>
      <w:r w:rsidRPr="005060E0">
        <w:rPr>
          <w:sz w:val="16"/>
          <w:szCs w:val="16"/>
        </w:rPr>
        <w:t xml:space="preserve">Current </w:t>
      </w:r>
      <w:r w:rsidR="00FE23DB" w:rsidRPr="005060E0">
        <w:rPr>
          <w:sz w:val="16"/>
          <w:szCs w:val="16"/>
        </w:rPr>
        <w:t>AAQ NEPM</w:t>
      </w:r>
      <w:r w:rsidRPr="005060E0">
        <w:rPr>
          <w:sz w:val="16"/>
          <w:szCs w:val="16"/>
        </w:rPr>
        <w:t xml:space="preserve"> s</w:t>
      </w:r>
      <w:r w:rsidR="00810D66" w:rsidRPr="005060E0">
        <w:rPr>
          <w:sz w:val="16"/>
          <w:szCs w:val="16"/>
        </w:rPr>
        <w:t>tandards are highlighted with</w:t>
      </w:r>
      <w:r w:rsidR="007260A8" w:rsidRPr="005060E0">
        <w:rPr>
          <w:sz w:val="16"/>
          <w:szCs w:val="16"/>
        </w:rPr>
        <w:t xml:space="preserve"> light blue</w:t>
      </w:r>
      <w:r w:rsidR="00810D66" w:rsidRPr="005060E0">
        <w:rPr>
          <w:sz w:val="16"/>
          <w:szCs w:val="16"/>
        </w:rPr>
        <w:t xml:space="preserve"> shading</w:t>
      </w:r>
      <w:r w:rsidRPr="005060E0">
        <w:rPr>
          <w:sz w:val="16"/>
          <w:szCs w:val="16"/>
        </w:rPr>
        <w:t>.</w:t>
      </w:r>
    </w:p>
    <w:p w14:paraId="646DD028" w14:textId="1D19B025" w:rsidR="00D56B82" w:rsidRPr="005060E0" w:rsidRDefault="00341810" w:rsidP="0043533F">
      <w:pPr>
        <w:pStyle w:val="Heading2"/>
      </w:pPr>
      <w:bookmarkStart w:id="111" w:name="_Ref507787537"/>
      <w:bookmarkStart w:id="112" w:name="_Toc3278957"/>
      <w:r w:rsidRPr="005060E0">
        <w:t>C</w:t>
      </w:r>
      <w:r w:rsidR="00B80970" w:rsidRPr="005060E0">
        <w:t>oncentration</w:t>
      </w:r>
      <w:bookmarkEnd w:id="111"/>
      <w:r w:rsidR="00142795" w:rsidRPr="005060E0">
        <w:t>s and exceedances</w:t>
      </w:r>
      <w:bookmarkEnd w:id="112"/>
    </w:p>
    <w:p w14:paraId="19517BD9" w14:textId="38CA140B" w:rsidR="00341810" w:rsidRPr="005060E0" w:rsidRDefault="00341810" w:rsidP="000B3B3D">
      <w:pPr>
        <w:pStyle w:val="Heading3"/>
      </w:pPr>
      <w:r w:rsidRPr="005060E0">
        <w:t>Historical trends</w:t>
      </w:r>
    </w:p>
    <w:p w14:paraId="19C354CE" w14:textId="214695D2" w:rsidR="00081455" w:rsidRPr="005060E0" w:rsidRDefault="00A72445" w:rsidP="00354ADF">
      <w:pPr>
        <w:rPr>
          <w:szCs w:val="20"/>
        </w:rPr>
      </w:pPr>
      <w:r w:rsidRPr="005060E0">
        <w:rPr>
          <w:szCs w:val="20"/>
        </w:rPr>
        <w:t>Appendix A</w:t>
      </w:r>
      <w:r w:rsidR="00C521A0" w:rsidRPr="005060E0">
        <w:rPr>
          <w:szCs w:val="20"/>
        </w:rPr>
        <w:t>, Section 2.2</w:t>
      </w:r>
      <w:r w:rsidRPr="005060E0">
        <w:rPr>
          <w:szCs w:val="20"/>
        </w:rPr>
        <w:t xml:space="preserve"> presents an analysis of th</w:t>
      </w:r>
      <w:r w:rsidR="00C521A0" w:rsidRPr="005060E0">
        <w:rPr>
          <w:szCs w:val="20"/>
        </w:rPr>
        <w:t>e SO</w:t>
      </w:r>
      <w:r w:rsidR="00C521A0" w:rsidRPr="005060E0">
        <w:rPr>
          <w:szCs w:val="20"/>
          <w:vertAlign w:val="subscript"/>
        </w:rPr>
        <w:t>2</w:t>
      </w:r>
      <w:r w:rsidR="00C521A0" w:rsidRPr="005060E0">
        <w:rPr>
          <w:szCs w:val="20"/>
        </w:rPr>
        <w:t xml:space="preserve"> monitoring</w:t>
      </w:r>
      <w:r w:rsidRPr="005060E0">
        <w:rPr>
          <w:szCs w:val="20"/>
        </w:rPr>
        <w:t xml:space="preserve"> </w:t>
      </w:r>
      <w:r w:rsidR="009B7E60" w:rsidRPr="005060E0">
        <w:rPr>
          <w:szCs w:val="20"/>
        </w:rPr>
        <w:t xml:space="preserve">data from the </w:t>
      </w:r>
      <w:r w:rsidR="00354ADF" w:rsidRPr="005060E0">
        <w:rPr>
          <w:szCs w:val="20"/>
        </w:rPr>
        <w:t xml:space="preserve">AAQ </w:t>
      </w:r>
      <w:r w:rsidR="009B7E60" w:rsidRPr="005060E0">
        <w:rPr>
          <w:szCs w:val="20"/>
        </w:rPr>
        <w:t>NEPM monitoring stations in</w:t>
      </w:r>
      <w:r w:rsidR="00D5676E" w:rsidRPr="005060E0">
        <w:rPr>
          <w:szCs w:val="20"/>
        </w:rPr>
        <w:t xml:space="preserve"> each</w:t>
      </w:r>
      <w:r w:rsidRPr="005060E0">
        <w:rPr>
          <w:szCs w:val="20"/>
        </w:rPr>
        <w:t xml:space="preserve"> jurisd</w:t>
      </w:r>
      <w:r w:rsidR="00354ADF" w:rsidRPr="005060E0">
        <w:rPr>
          <w:szCs w:val="20"/>
        </w:rPr>
        <w:t>iction</w:t>
      </w:r>
      <w:r w:rsidR="00D5676E" w:rsidRPr="005060E0">
        <w:rPr>
          <w:szCs w:val="20"/>
        </w:rPr>
        <w:t xml:space="preserve"> over</w:t>
      </w:r>
      <w:r w:rsidRPr="005060E0">
        <w:rPr>
          <w:szCs w:val="20"/>
        </w:rPr>
        <w:t xml:space="preserve"> the period 2003</w:t>
      </w:r>
      <w:r w:rsidR="00DF4D3A" w:rsidRPr="005060E0">
        <w:rPr>
          <w:szCs w:val="20"/>
        </w:rPr>
        <w:t>–20</w:t>
      </w:r>
      <w:r w:rsidRPr="005060E0">
        <w:rPr>
          <w:szCs w:val="20"/>
        </w:rPr>
        <w:t xml:space="preserve">16. </w:t>
      </w:r>
    </w:p>
    <w:p w14:paraId="7204512A" w14:textId="05950109" w:rsidR="00354ADF" w:rsidRPr="005060E0" w:rsidRDefault="00081455" w:rsidP="00354ADF">
      <w:pPr>
        <w:rPr>
          <w:rFonts w:cs="Arial"/>
        </w:rPr>
      </w:pPr>
      <w:r w:rsidRPr="005060E0">
        <w:rPr>
          <w:szCs w:val="20"/>
        </w:rPr>
        <w:t>Overall, there were few clear long-term trends in 1-hour, 24-hour and annual mean SO</w:t>
      </w:r>
      <w:r w:rsidRPr="005060E0">
        <w:rPr>
          <w:szCs w:val="20"/>
          <w:vertAlign w:val="subscript"/>
        </w:rPr>
        <w:t>2</w:t>
      </w:r>
      <w:r w:rsidRPr="005060E0">
        <w:rPr>
          <w:szCs w:val="20"/>
        </w:rPr>
        <w:t xml:space="preserve"> concentrations.</w:t>
      </w:r>
      <w:r w:rsidR="00F362CD" w:rsidRPr="005060E0">
        <w:rPr>
          <w:szCs w:val="20"/>
        </w:rPr>
        <w:t xml:space="preserve"> </w:t>
      </w:r>
      <w:r w:rsidR="00F362CD" w:rsidRPr="005060E0">
        <w:rPr>
          <w:rFonts w:cs="Arial"/>
        </w:rPr>
        <w:t>The unique</w:t>
      </w:r>
      <w:r w:rsidR="00F362CD" w:rsidRPr="005060E0">
        <w:rPr>
          <w:rStyle w:val="FootnoteReference"/>
          <w:rFonts w:cs="Arial"/>
        </w:rPr>
        <w:footnoteReference w:id="25"/>
      </w:r>
      <w:r w:rsidR="00F362CD" w:rsidRPr="005060E0">
        <w:rPr>
          <w:rFonts w:cs="Arial"/>
        </w:rPr>
        <w:t xml:space="preserve"> exceedance days across all stations for the period between 2003 and 2016 are summarised in </w:t>
      </w:r>
      <w:r w:rsidR="00F362CD" w:rsidRPr="005060E0">
        <w:rPr>
          <w:rFonts w:cs="Arial"/>
        </w:rPr>
        <w:fldChar w:fldCharType="begin"/>
      </w:r>
      <w:r w:rsidR="00F362CD" w:rsidRPr="005060E0">
        <w:rPr>
          <w:rFonts w:cs="Arial"/>
        </w:rPr>
        <w:instrText xml:space="preserve"> REF _Ref471912581 \h </w:instrText>
      </w:r>
      <w:r w:rsidR="00F362CD" w:rsidRPr="005060E0">
        <w:rPr>
          <w:rFonts w:cs="Arial"/>
        </w:rPr>
      </w:r>
      <w:r w:rsidR="00F362CD" w:rsidRPr="005060E0">
        <w:rPr>
          <w:rFonts w:cs="Arial"/>
        </w:rPr>
        <w:fldChar w:fldCharType="separate"/>
      </w:r>
      <w:r w:rsidR="00F2067C" w:rsidRPr="005060E0">
        <w:rPr>
          <w:rFonts w:cs="Arial"/>
        </w:rPr>
        <w:t xml:space="preserve">Table </w:t>
      </w:r>
      <w:r w:rsidR="00F2067C">
        <w:rPr>
          <w:rFonts w:cs="Arial"/>
          <w:noProof/>
        </w:rPr>
        <w:t>6</w:t>
      </w:r>
      <w:r w:rsidR="00F2067C" w:rsidRPr="005060E0">
        <w:rPr>
          <w:rFonts w:cs="Arial"/>
        </w:rPr>
        <w:noBreakHyphen/>
      </w:r>
      <w:r w:rsidR="00F2067C">
        <w:rPr>
          <w:rFonts w:cs="Arial"/>
          <w:noProof/>
        </w:rPr>
        <w:t>5</w:t>
      </w:r>
      <w:r w:rsidR="00F362CD" w:rsidRPr="005060E0">
        <w:rPr>
          <w:rFonts w:cs="Arial"/>
        </w:rPr>
        <w:fldChar w:fldCharType="end"/>
      </w:r>
      <w:r w:rsidR="00F362CD" w:rsidRPr="005060E0">
        <w:rPr>
          <w:szCs w:val="20"/>
        </w:rPr>
        <w:t xml:space="preserve"> (major cities) and </w:t>
      </w:r>
      <w:r w:rsidR="00F362CD" w:rsidRPr="005060E0">
        <w:rPr>
          <w:szCs w:val="20"/>
        </w:rPr>
        <w:fldChar w:fldCharType="begin"/>
      </w:r>
      <w:r w:rsidR="00F362CD" w:rsidRPr="005060E0">
        <w:rPr>
          <w:szCs w:val="20"/>
        </w:rPr>
        <w:instrText xml:space="preserve"> REF _Ref508375736 \h </w:instrText>
      </w:r>
      <w:r w:rsidR="00F362CD" w:rsidRPr="005060E0">
        <w:rPr>
          <w:szCs w:val="20"/>
        </w:rPr>
      </w:r>
      <w:r w:rsidR="00F362CD" w:rsidRPr="005060E0">
        <w:rPr>
          <w:szCs w:val="20"/>
        </w:rPr>
        <w:fldChar w:fldCharType="separate"/>
      </w:r>
      <w:r w:rsidR="00F2067C" w:rsidRPr="005060E0">
        <w:rPr>
          <w:rFonts w:cs="Arial"/>
        </w:rPr>
        <w:t xml:space="preserve">Table </w:t>
      </w:r>
      <w:r w:rsidR="00F2067C">
        <w:rPr>
          <w:rFonts w:cs="Arial"/>
          <w:noProof/>
        </w:rPr>
        <w:t>6</w:t>
      </w:r>
      <w:r w:rsidR="00F2067C" w:rsidRPr="005060E0">
        <w:rPr>
          <w:rFonts w:cs="Arial"/>
        </w:rPr>
        <w:noBreakHyphen/>
      </w:r>
      <w:r w:rsidR="00F2067C">
        <w:rPr>
          <w:rFonts w:cs="Arial"/>
          <w:noProof/>
        </w:rPr>
        <w:t>6</w:t>
      </w:r>
      <w:r w:rsidR="00F362CD" w:rsidRPr="005060E0">
        <w:rPr>
          <w:szCs w:val="20"/>
        </w:rPr>
        <w:fldChar w:fldCharType="end"/>
      </w:r>
      <w:r w:rsidR="00F362CD" w:rsidRPr="005060E0">
        <w:rPr>
          <w:szCs w:val="20"/>
        </w:rPr>
        <w:t xml:space="preserve"> </w:t>
      </w:r>
      <w:r w:rsidR="00354ADF" w:rsidRPr="005060E0">
        <w:rPr>
          <w:rFonts w:cs="Arial"/>
        </w:rPr>
        <w:t xml:space="preserve">(regional centres), </w:t>
      </w:r>
      <w:bookmarkStart w:id="113" w:name="_Hlk1746579"/>
      <w:r w:rsidR="00354ADF" w:rsidRPr="005060E0">
        <w:rPr>
          <w:rFonts w:cs="Arial"/>
        </w:rPr>
        <w:t>with exceedances for the more recent period between 2010 and 2014, as used in the HRA, being shown for comparison</w:t>
      </w:r>
      <w:bookmarkEnd w:id="113"/>
      <w:r w:rsidR="00354ADF" w:rsidRPr="005060E0">
        <w:rPr>
          <w:rFonts w:cs="Arial"/>
        </w:rPr>
        <w:t>.</w:t>
      </w:r>
      <w:r w:rsidR="007260A8" w:rsidRPr="005060E0">
        <w:rPr>
          <w:rFonts w:cs="Arial"/>
        </w:rPr>
        <w:t xml:space="preserve"> Again, the current standards are identified with light blue shading.</w:t>
      </w:r>
    </w:p>
    <w:p w14:paraId="79E27D75" w14:textId="5985B0E3" w:rsidR="00F362CD" w:rsidRPr="005060E0" w:rsidRDefault="00F362CD" w:rsidP="00F362CD">
      <w:pPr>
        <w:rPr>
          <w:rFonts w:cs="Arial"/>
        </w:rPr>
      </w:pPr>
      <w:r w:rsidRPr="005060E0">
        <w:rPr>
          <w:rFonts w:cs="Arial"/>
        </w:rPr>
        <w:t>For 1-hour SO</w:t>
      </w:r>
      <w:r w:rsidRPr="005060E0">
        <w:rPr>
          <w:rFonts w:cs="Arial"/>
          <w:vertAlign w:val="subscript"/>
        </w:rPr>
        <w:t>2</w:t>
      </w:r>
      <w:r w:rsidRPr="005060E0">
        <w:rPr>
          <w:rFonts w:cs="Arial"/>
        </w:rPr>
        <w:t xml:space="preserve">, the analysis showed that the current standard of 200 ppb has been achieved in all airsheds. Exceedances of the proposed standards of 100 ppb and 150 ppb have </w:t>
      </w:r>
      <w:r w:rsidR="0062453C" w:rsidRPr="005060E0">
        <w:rPr>
          <w:rFonts w:cs="Arial"/>
        </w:rPr>
        <w:t>occurred but</w:t>
      </w:r>
      <w:r w:rsidRPr="005060E0">
        <w:rPr>
          <w:rFonts w:cs="Arial"/>
        </w:rPr>
        <w:t xml:space="preserve"> have been very infrequent. There have been multiple exceedances of the proposed standard of 75 ppb in some jurisdictions.</w:t>
      </w:r>
    </w:p>
    <w:p w14:paraId="00F3E7AC" w14:textId="4AFE390D" w:rsidR="00F362CD" w:rsidRPr="005060E0" w:rsidRDefault="00F362CD" w:rsidP="00F362CD">
      <w:pPr>
        <w:rPr>
          <w:rFonts w:cs="Arial"/>
        </w:rPr>
      </w:pPr>
      <w:r w:rsidRPr="005060E0">
        <w:rPr>
          <w:rFonts w:cs="Arial"/>
        </w:rPr>
        <w:t>For 24-hour SO</w:t>
      </w:r>
      <w:r w:rsidRPr="005060E0">
        <w:rPr>
          <w:rFonts w:cs="Arial"/>
          <w:vertAlign w:val="subscript"/>
        </w:rPr>
        <w:t>2</w:t>
      </w:r>
      <w:r w:rsidRPr="005060E0">
        <w:rPr>
          <w:rFonts w:cs="Arial"/>
        </w:rPr>
        <w:t>, the current standard of 80 ppb was achieved in all jurisdictions. Compliance with the proposed standards of 20 ppb and 40 ppb has also generally been achieved</w:t>
      </w:r>
      <w:r w:rsidR="00B02F01" w:rsidRPr="005060E0">
        <w:rPr>
          <w:rFonts w:cs="Arial"/>
        </w:rPr>
        <w:t>;</w:t>
      </w:r>
      <w:r w:rsidRPr="005060E0">
        <w:rPr>
          <w:rFonts w:cs="Arial"/>
        </w:rPr>
        <w:t xml:space="preserve"> </w:t>
      </w:r>
      <w:r w:rsidR="00B02F01" w:rsidRPr="005060E0">
        <w:rPr>
          <w:rFonts w:cs="Arial"/>
        </w:rPr>
        <w:t>h</w:t>
      </w:r>
      <w:r w:rsidRPr="005060E0">
        <w:rPr>
          <w:rFonts w:cs="Arial"/>
        </w:rPr>
        <w:t xml:space="preserve">owever, in several airsheds there has not been compliance with </w:t>
      </w:r>
      <w:r w:rsidR="00A93C92" w:rsidRPr="005060E0">
        <w:rPr>
          <w:rFonts w:cs="Arial"/>
        </w:rPr>
        <w:t>the proposed standard of 7 ppb.</w:t>
      </w:r>
      <w:r w:rsidRPr="005060E0">
        <w:rPr>
          <w:rFonts w:cs="Arial"/>
        </w:rPr>
        <w:t xml:space="preserve"> </w:t>
      </w:r>
    </w:p>
    <w:p w14:paraId="280B4FD5" w14:textId="372B709E" w:rsidR="00F362CD" w:rsidRPr="005060E0" w:rsidRDefault="00F362CD" w:rsidP="00F362CD">
      <w:r w:rsidRPr="005060E0">
        <w:rPr>
          <w:szCs w:val="20"/>
        </w:rPr>
        <w:t>Annual average SO</w:t>
      </w:r>
      <w:r w:rsidRPr="005060E0">
        <w:rPr>
          <w:szCs w:val="20"/>
          <w:vertAlign w:val="subscript"/>
        </w:rPr>
        <w:t>2</w:t>
      </w:r>
      <w:r w:rsidRPr="005060E0">
        <w:rPr>
          <w:szCs w:val="20"/>
        </w:rPr>
        <w:t xml:space="preserve"> concentrations were low, even though there were peaks in the 1-hour and 24-hour data, indicating that these peaks were infrequent.</w:t>
      </w:r>
      <w:r w:rsidR="00304328" w:rsidRPr="005060E0">
        <w:rPr>
          <w:szCs w:val="20"/>
        </w:rPr>
        <w:t xml:space="preserve"> There has been historical compliance with the most stringent proposed standard of 10 ppb in all airsheds.</w:t>
      </w:r>
    </w:p>
    <w:p w14:paraId="55026782" w14:textId="15DF7700" w:rsidR="00F362CD" w:rsidRPr="005060E0" w:rsidRDefault="00F362CD" w:rsidP="00491E7C">
      <w:pPr>
        <w:spacing w:after="480"/>
        <w:rPr>
          <w:rFonts w:cs="Arial"/>
        </w:rPr>
      </w:pPr>
      <w:r w:rsidRPr="005060E0">
        <w:t xml:space="preserve">Due to the low sulfur content of Australian automotive fuels, </w:t>
      </w:r>
      <w:r w:rsidR="006C390D" w:rsidRPr="005060E0">
        <w:t>and consequently the small contribution of road traffic to SO</w:t>
      </w:r>
      <w:r w:rsidR="006C390D" w:rsidRPr="005060E0">
        <w:rPr>
          <w:vertAlign w:val="subscript"/>
        </w:rPr>
        <w:t>2</w:t>
      </w:r>
      <w:r w:rsidR="006C390D" w:rsidRPr="005060E0">
        <w:t xml:space="preserve"> emissions, </w:t>
      </w:r>
      <w:r w:rsidRPr="005060E0">
        <w:t>SO</w:t>
      </w:r>
      <w:r w:rsidRPr="005060E0">
        <w:rPr>
          <w:vertAlign w:val="subscript"/>
        </w:rPr>
        <w:t>2</w:t>
      </w:r>
      <w:r w:rsidRPr="005060E0">
        <w:t xml:space="preserve"> levels in Australian cities are generally well below the current air quality standards</w:t>
      </w:r>
      <w:r w:rsidR="00D40D18" w:rsidRPr="005060E0">
        <w:rPr>
          <w:rStyle w:val="FootnoteReference"/>
        </w:rPr>
        <w:footnoteReference w:id="26"/>
      </w:r>
      <w:r w:rsidRPr="005060E0">
        <w:t xml:space="preserve">. </w:t>
      </w:r>
      <w:r w:rsidRPr="005060E0">
        <w:rPr>
          <w:rFonts w:cs="Arial"/>
        </w:rPr>
        <w:t>Where exceedances of SO</w:t>
      </w:r>
      <w:r w:rsidRPr="005060E0">
        <w:rPr>
          <w:rFonts w:cs="Arial"/>
          <w:vertAlign w:val="subscript"/>
        </w:rPr>
        <w:t>2</w:t>
      </w:r>
      <w:r w:rsidRPr="005060E0">
        <w:rPr>
          <w:rFonts w:cs="Arial"/>
        </w:rPr>
        <w:t xml:space="preserve"> standards occurred, these were usually in regional areas affected by emissions from large industrial facilities. </w:t>
      </w:r>
      <w:r w:rsidRPr="005060E0">
        <w:rPr>
          <w:szCs w:val="20"/>
        </w:rPr>
        <w:t>In general, the SO</w:t>
      </w:r>
      <w:r w:rsidRPr="005060E0">
        <w:rPr>
          <w:szCs w:val="20"/>
          <w:vertAlign w:val="subscript"/>
        </w:rPr>
        <w:t>2</w:t>
      </w:r>
      <w:r w:rsidRPr="005060E0">
        <w:rPr>
          <w:szCs w:val="20"/>
        </w:rPr>
        <w:t xml:space="preserve"> levels were higher in these regions than in the major cities. </w:t>
      </w:r>
      <w:r w:rsidRPr="005060E0">
        <w:rPr>
          <w:rFonts w:cs="Arial"/>
        </w:rPr>
        <w:t xml:space="preserve">This suggests that abatement measures </w:t>
      </w:r>
      <w:r w:rsidR="00491E7C" w:rsidRPr="005060E0">
        <w:rPr>
          <w:rFonts w:cs="Arial"/>
        </w:rPr>
        <w:t xml:space="preserve">focusing </w:t>
      </w:r>
      <w:r w:rsidRPr="005060E0">
        <w:rPr>
          <w:rFonts w:cs="Arial"/>
        </w:rPr>
        <w:t>on specific emission sources in the more constrained airsheds, rather than national measures, will be most appropriate for delivering air quality improvements.</w:t>
      </w:r>
      <w:r w:rsidR="002246E9" w:rsidRPr="005060E0">
        <w:rPr>
          <w:rFonts w:cs="Arial"/>
        </w:rPr>
        <w:t xml:space="preserve"> </w:t>
      </w:r>
    </w:p>
    <w:p w14:paraId="72621963" w14:textId="4EF2635C" w:rsidR="00354ADF" w:rsidRPr="005060E0" w:rsidRDefault="00354ADF" w:rsidP="00354ADF">
      <w:pPr>
        <w:pStyle w:val="PBTablecaption"/>
        <w:rPr>
          <w:rFonts w:eastAsia="Arial"/>
        </w:rPr>
      </w:pPr>
      <w:bookmarkStart w:id="114" w:name="_Ref471912581"/>
      <w:bookmarkStart w:id="115" w:name="_Toc504335403"/>
      <w:bookmarkStart w:id="116" w:name="_Toc508305350"/>
      <w:r w:rsidRPr="005060E0">
        <w:rPr>
          <w:rFonts w:cs="Arial"/>
        </w:rPr>
        <w:t xml:space="preserve">Table </w:t>
      </w:r>
      <w:r w:rsidRPr="005060E0">
        <w:rPr>
          <w:rFonts w:cs="Arial"/>
        </w:rPr>
        <w:fldChar w:fldCharType="begin"/>
      </w:r>
      <w:r w:rsidRPr="005060E0">
        <w:rPr>
          <w:rFonts w:cs="Arial"/>
        </w:rPr>
        <w:instrText xml:space="preserve"> STYLEREF 1 \s </w:instrText>
      </w:r>
      <w:r w:rsidRPr="005060E0">
        <w:rPr>
          <w:rFonts w:cs="Arial"/>
        </w:rPr>
        <w:fldChar w:fldCharType="separate"/>
      </w:r>
      <w:r w:rsidR="00F2067C">
        <w:rPr>
          <w:rFonts w:cs="Arial"/>
          <w:noProof/>
        </w:rPr>
        <w:t>6</w:t>
      </w:r>
      <w:r w:rsidRPr="005060E0">
        <w:rPr>
          <w:rFonts w:cs="Arial"/>
        </w:rPr>
        <w:fldChar w:fldCharType="end"/>
      </w:r>
      <w:r w:rsidRPr="005060E0">
        <w:rPr>
          <w:rFonts w:cs="Arial"/>
        </w:rPr>
        <w:noBreakHyphen/>
      </w:r>
      <w:r w:rsidRPr="005060E0">
        <w:rPr>
          <w:rFonts w:cs="Arial"/>
        </w:rPr>
        <w:fldChar w:fldCharType="begin"/>
      </w:r>
      <w:r w:rsidRPr="005060E0">
        <w:rPr>
          <w:rFonts w:cs="Arial"/>
        </w:rPr>
        <w:instrText xml:space="preserve"> SEQ Table \* ARABIC \s 1 </w:instrText>
      </w:r>
      <w:r w:rsidRPr="005060E0">
        <w:rPr>
          <w:rFonts w:cs="Arial"/>
        </w:rPr>
        <w:fldChar w:fldCharType="separate"/>
      </w:r>
      <w:r w:rsidR="00F2067C">
        <w:rPr>
          <w:rFonts w:cs="Arial"/>
          <w:noProof/>
        </w:rPr>
        <w:t>5</w:t>
      </w:r>
      <w:r w:rsidRPr="005060E0">
        <w:rPr>
          <w:rFonts w:cs="Arial"/>
        </w:rPr>
        <w:fldChar w:fldCharType="end"/>
      </w:r>
      <w:bookmarkEnd w:id="114"/>
      <w:r w:rsidRPr="005060E0">
        <w:rPr>
          <w:rFonts w:cs="Arial"/>
        </w:rPr>
        <w:t xml:space="preserve">: </w:t>
      </w:r>
      <w:r w:rsidR="001A3CB1" w:rsidRPr="005060E0">
        <w:rPr>
          <w:rFonts w:eastAsia="Arial" w:cs="Arial"/>
        </w:rPr>
        <w:t>Historical exceedances of</w:t>
      </w:r>
      <w:r w:rsidRPr="005060E0">
        <w:rPr>
          <w:rFonts w:eastAsia="Arial" w:cs="Arial"/>
        </w:rPr>
        <w:t xml:space="preserve"> current and proposed SO</w:t>
      </w:r>
      <w:r w:rsidRPr="005060E0">
        <w:rPr>
          <w:rFonts w:eastAsia="Arial" w:cs="Arial"/>
          <w:vertAlign w:val="subscript"/>
        </w:rPr>
        <w:t>2</w:t>
      </w:r>
      <w:r w:rsidRPr="005060E0">
        <w:rPr>
          <w:rFonts w:eastAsia="Arial" w:cs="Arial"/>
        </w:rPr>
        <w:t xml:space="preserve"> standards </w:t>
      </w:r>
      <w:bookmarkEnd w:id="115"/>
      <w:r w:rsidRPr="005060E0">
        <w:rPr>
          <w:rFonts w:eastAsia="Arial" w:cs="Arial"/>
        </w:rPr>
        <w:t>in major cities</w:t>
      </w:r>
      <w:bookmarkEnd w:id="116"/>
    </w:p>
    <w:tbl>
      <w:tblPr>
        <w:tblStyle w:val="ListTable3-Accent13"/>
        <w:tblW w:w="5000" w:type="pct"/>
        <w:tblCellMar>
          <w:left w:w="28" w:type="dxa"/>
          <w:right w:w="28" w:type="dxa"/>
        </w:tblCellMar>
        <w:tblLook w:val="04A0" w:firstRow="1" w:lastRow="0" w:firstColumn="1" w:lastColumn="0" w:noHBand="0" w:noVBand="1"/>
      </w:tblPr>
      <w:tblGrid>
        <w:gridCol w:w="1000"/>
        <w:gridCol w:w="554"/>
        <w:gridCol w:w="1046"/>
        <w:gridCol w:w="1196"/>
        <w:gridCol w:w="1333"/>
        <w:gridCol w:w="1123"/>
        <w:gridCol w:w="1123"/>
        <w:gridCol w:w="1123"/>
        <w:gridCol w:w="1130"/>
      </w:tblGrid>
      <w:tr w:rsidR="00354ADF" w:rsidRPr="005060E0" w14:paraId="674EA853" w14:textId="77777777" w:rsidTr="001A3CB1">
        <w:trPr>
          <w:cnfStyle w:val="100000000000" w:firstRow="1" w:lastRow="0" w:firstColumn="0" w:lastColumn="0" w:oddVBand="0" w:evenVBand="0" w:oddHBand="0" w:evenHBand="0" w:firstRowFirstColumn="0" w:firstRowLastColumn="0" w:lastRowFirstColumn="0" w:lastRowLastColumn="0"/>
          <w:trHeight w:hRule="exact" w:val="399"/>
          <w:tblHeader/>
        </w:trPr>
        <w:tc>
          <w:tcPr>
            <w:cnfStyle w:val="001000000100" w:firstRow="0" w:lastRow="0" w:firstColumn="1" w:lastColumn="0" w:oddVBand="0" w:evenVBand="0" w:oddHBand="0" w:evenHBand="0" w:firstRowFirstColumn="1" w:firstRowLastColumn="0" w:lastRowFirstColumn="0" w:lastRowLastColumn="0"/>
            <w:tcW w:w="520" w:type="pct"/>
            <w:vMerge w:val="restart"/>
            <w:tcBorders>
              <w:top w:val="single" w:sz="4" w:space="0" w:color="606072"/>
              <w:left w:val="single" w:sz="4" w:space="0" w:color="606072"/>
              <w:bottom w:val="single" w:sz="4" w:space="0" w:color="606072"/>
            </w:tcBorders>
            <w:shd w:val="clear" w:color="auto" w:fill="606072"/>
            <w:vAlign w:val="center"/>
            <w:hideMark/>
          </w:tcPr>
          <w:p w14:paraId="3874E40D" w14:textId="77777777" w:rsidR="00354ADF" w:rsidRPr="005060E0" w:rsidRDefault="00354ADF" w:rsidP="00081455">
            <w:pPr>
              <w:spacing w:after="0" w:line="240" w:lineRule="auto"/>
              <w:jc w:val="center"/>
              <w:rPr>
                <w:rFonts w:cs="Arial"/>
                <w:b w:val="0"/>
                <w:color w:val="FFFFFF" w:themeColor="background1"/>
                <w:sz w:val="16"/>
                <w:szCs w:val="16"/>
              </w:rPr>
            </w:pPr>
            <w:r w:rsidRPr="005060E0">
              <w:rPr>
                <w:rFonts w:cs="Arial"/>
                <w:b w:val="0"/>
                <w:color w:val="FFFFFF" w:themeColor="background1"/>
                <w:sz w:val="16"/>
                <w:szCs w:val="16"/>
              </w:rPr>
              <w:t>Standard</w:t>
            </w:r>
          </w:p>
        </w:tc>
        <w:tc>
          <w:tcPr>
            <w:tcW w:w="288" w:type="pct"/>
            <w:tcBorders>
              <w:top w:val="single" w:sz="4" w:space="0" w:color="606072"/>
              <w:left w:val="nil"/>
              <w:bottom w:val="single" w:sz="4" w:space="0" w:color="606072"/>
              <w:right w:val="nil"/>
            </w:tcBorders>
            <w:shd w:val="clear" w:color="auto" w:fill="606072"/>
          </w:tcPr>
          <w:p w14:paraId="775D8E93" w14:textId="77777777" w:rsidR="00354ADF" w:rsidRPr="005060E0" w:rsidRDefault="00354ADF" w:rsidP="00081455">
            <w:pPr>
              <w:spacing w:after="0" w:line="240" w:lineRule="auto"/>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szCs w:val="16"/>
              </w:rPr>
            </w:pPr>
          </w:p>
        </w:tc>
        <w:tc>
          <w:tcPr>
            <w:tcW w:w="4192" w:type="pct"/>
            <w:gridSpan w:val="7"/>
            <w:tcBorders>
              <w:top w:val="single" w:sz="4" w:space="0" w:color="606072"/>
              <w:left w:val="nil"/>
              <w:bottom w:val="single" w:sz="4" w:space="0" w:color="606072"/>
              <w:right w:val="single" w:sz="4" w:space="0" w:color="606072"/>
            </w:tcBorders>
            <w:shd w:val="clear" w:color="auto" w:fill="606072"/>
            <w:vAlign w:val="center"/>
            <w:hideMark/>
          </w:tcPr>
          <w:p w14:paraId="5B33A505" w14:textId="703A6A6A" w:rsidR="00354ADF" w:rsidRPr="005060E0" w:rsidRDefault="005C5828" w:rsidP="0008145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cs="Arial"/>
                <w:b w:val="0"/>
                <w:color w:val="FFFFFF" w:themeColor="background1"/>
                <w:sz w:val="16"/>
                <w:szCs w:val="16"/>
              </w:rPr>
              <w:t>E</w:t>
            </w:r>
            <w:r w:rsidR="001A3CB1" w:rsidRPr="005060E0">
              <w:rPr>
                <w:rFonts w:cs="Arial"/>
                <w:b w:val="0"/>
                <w:color w:val="FFFFFF" w:themeColor="background1"/>
                <w:sz w:val="16"/>
                <w:szCs w:val="16"/>
              </w:rPr>
              <w:t xml:space="preserve">xceedances </w:t>
            </w:r>
            <w:r w:rsidR="00354ADF" w:rsidRPr="005060E0">
              <w:rPr>
                <w:rFonts w:cs="Arial"/>
                <w:b w:val="0"/>
                <w:color w:val="FFFFFF" w:themeColor="background1"/>
                <w:sz w:val="16"/>
                <w:szCs w:val="16"/>
              </w:rPr>
              <w:t>between 2003 and 2016 (2010</w:t>
            </w:r>
            <w:r w:rsidR="00DF4D3A" w:rsidRPr="005060E0">
              <w:rPr>
                <w:rFonts w:cs="Arial"/>
                <w:b w:val="0"/>
                <w:color w:val="FFFFFF" w:themeColor="background1"/>
                <w:sz w:val="16"/>
                <w:szCs w:val="16"/>
              </w:rPr>
              <w:t>–20</w:t>
            </w:r>
            <w:r w:rsidR="00354ADF" w:rsidRPr="005060E0">
              <w:rPr>
                <w:rFonts w:cs="Arial"/>
                <w:b w:val="0"/>
                <w:color w:val="FFFFFF" w:themeColor="background1"/>
                <w:sz w:val="16"/>
                <w:szCs w:val="16"/>
              </w:rPr>
              <w:t>14 in brackets)</w:t>
            </w:r>
          </w:p>
        </w:tc>
      </w:tr>
      <w:tr w:rsidR="00BF7BF2" w:rsidRPr="005060E0" w14:paraId="54193F4B" w14:textId="77777777" w:rsidTr="001A3CB1">
        <w:trPr>
          <w:cnfStyle w:val="100000000000" w:firstRow="1" w:lastRow="0" w:firstColumn="0" w:lastColumn="0" w:oddVBand="0" w:evenVBand="0" w:oddHBand="0" w:evenHBand="0" w:firstRowFirstColumn="0" w:firstRowLastColumn="0" w:lastRowFirstColumn="0" w:lastRowLastColumn="0"/>
          <w:trHeight w:hRule="exact" w:val="586"/>
          <w:tblHeader/>
        </w:trPr>
        <w:tc>
          <w:tcPr>
            <w:cnfStyle w:val="001000000100" w:firstRow="0" w:lastRow="0" w:firstColumn="1" w:lastColumn="0" w:oddVBand="0" w:evenVBand="0" w:oddHBand="0" w:evenHBand="0" w:firstRowFirstColumn="1" w:firstRowLastColumn="0" w:lastRowFirstColumn="0" w:lastRowLastColumn="0"/>
            <w:tcW w:w="0" w:type="auto"/>
            <w:vMerge/>
            <w:tcBorders>
              <w:top w:val="single" w:sz="4" w:space="0" w:color="606072"/>
              <w:left w:val="single" w:sz="4" w:space="0" w:color="606072"/>
              <w:bottom w:val="single" w:sz="4" w:space="0" w:color="606072"/>
            </w:tcBorders>
            <w:vAlign w:val="center"/>
            <w:hideMark/>
          </w:tcPr>
          <w:p w14:paraId="4F9C6D7D" w14:textId="77777777" w:rsidR="00354ADF" w:rsidRPr="005060E0" w:rsidRDefault="00354ADF" w:rsidP="00081455">
            <w:pPr>
              <w:spacing w:after="0" w:line="240" w:lineRule="auto"/>
              <w:rPr>
                <w:rFonts w:cs="Arial"/>
                <w:color w:val="FFFFFF" w:themeColor="background1"/>
                <w:sz w:val="16"/>
                <w:szCs w:val="16"/>
              </w:rPr>
            </w:pPr>
          </w:p>
        </w:tc>
        <w:tc>
          <w:tcPr>
            <w:tcW w:w="288" w:type="pct"/>
            <w:tcBorders>
              <w:top w:val="single" w:sz="4" w:space="0" w:color="606072"/>
              <w:left w:val="nil"/>
              <w:bottom w:val="single" w:sz="4" w:space="0" w:color="606072"/>
              <w:right w:val="nil"/>
            </w:tcBorders>
            <w:shd w:val="clear" w:color="auto" w:fill="606072"/>
          </w:tcPr>
          <w:p w14:paraId="3F213F7C" w14:textId="77777777" w:rsidR="00354ADF" w:rsidRPr="005060E0" w:rsidRDefault="00354ADF" w:rsidP="00081455">
            <w:pPr>
              <w:spacing w:after="0" w:line="240" w:lineRule="auto"/>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szCs w:val="16"/>
              </w:rPr>
            </w:pPr>
          </w:p>
        </w:tc>
        <w:tc>
          <w:tcPr>
            <w:tcW w:w="543" w:type="pct"/>
            <w:tcBorders>
              <w:top w:val="single" w:sz="4" w:space="0" w:color="606072"/>
              <w:left w:val="nil"/>
              <w:bottom w:val="single" w:sz="4" w:space="0" w:color="606072"/>
              <w:right w:val="nil"/>
            </w:tcBorders>
            <w:shd w:val="clear" w:color="auto" w:fill="606072"/>
            <w:vAlign w:val="center"/>
            <w:hideMark/>
          </w:tcPr>
          <w:p w14:paraId="798D412C" w14:textId="77777777" w:rsidR="00354ADF" w:rsidRPr="005060E0" w:rsidRDefault="00354ADF" w:rsidP="0008145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1"/>
                <w:sz w:val="16"/>
                <w:szCs w:val="16"/>
                <w:lang w:eastAsia="en-AU"/>
              </w:rPr>
            </w:pPr>
            <w:r w:rsidRPr="005060E0">
              <w:rPr>
                <w:rFonts w:eastAsia="Times New Roman" w:cs="Arial"/>
                <w:b w:val="0"/>
                <w:color w:val="FFFFFF" w:themeColor="background1"/>
                <w:sz w:val="16"/>
                <w:szCs w:val="16"/>
                <w:lang w:eastAsia="en-AU"/>
              </w:rPr>
              <w:t>NSW:</w:t>
            </w:r>
          </w:p>
          <w:p w14:paraId="3B0A3FFA" w14:textId="77777777" w:rsidR="00354ADF" w:rsidRPr="005060E0" w:rsidRDefault="00354ADF" w:rsidP="0008145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Sydney</w:t>
            </w:r>
          </w:p>
        </w:tc>
        <w:tc>
          <w:tcPr>
            <w:tcW w:w="621" w:type="pct"/>
            <w:tcBorders>
              <w:top w:val="single" w:sz="4" w:space="0" w:color="606072"/>
              <w:left w:val="nil"/>
              <w:bottom w:val="single" w:sz="4" w:space="0" w:color="606072"/>
              <w:right w:val="nil"/>
            </w:tcBorders>
            <w:shd w:val="clear" w:color="auto" w:fill="606072"/>
            <w:vAlign w:val="center"/>
            <w:hideMark/>
          </w:tcPr>
          <w:p w14:paraId="13453190" w14:textId="77777777" w:rsidR="00354ADF" w:rsidRPr="005060E0" w:rsidRDefault="00354ADF" w:rsidP="0008145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VIC: Port Phillip Region</w:t>
            </w:r>
          </w:p>
        </w:tc>
        <w:tc>
          <w:tcPr>
            <w:tcW w:w="692" w:type="pct"/>
            <w:tcBorders>
              <w:top w:val="single" w:sz="4" w:space="0" w:color="606072"/>
              <w:left w:val="nil"/>
              <w:bottom w:val="single" w:sz="4" w:space="0" w:color="606072"/>
              <w:right w:val="nil"/>
            </w:tcBorders>
            <w:shd w:val="clear" w:color="auto" w:fill="606072"/>
            <w:vAlign w:val="center"/>
            <w:hideMark/>
          </w:tcPr>
          <w:p w14:paraId="608B2FB0" w14:textId="77777777" w:rsidR="00354ADF" w:rsidRPr="005060E0" w:rsidRDefault="00354ADF" w:rsidP="0008145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QLD: S-E Queensland</w:t>
            </w:r>
          </w:p>
        </w:tc>
        <w:tc>
          <w:tcPr>
            <w:tcW w:w="583" w:type="pct"/>
            <w:tcBorders>
              <w:top w:val="single" w:sz="4" w:space="0" w:color="606072"/>
              <w:left w:val="nil"/>
              <w:bottom w:val="single" w:sz="4" w:space="0" w:color="606072"/>
              <w:right w:val="nil"/>
            </w:tcBorders>
            <w:shd w:val="clear" w:color="auto" w:fill="606072"/>
            <w:vAlign w:val="center"/>
            <w:hideMark/>
          </w:tcPr>
          <w:p w14:paraId="56B14CA0" w14:textId="77777777" w:rsidR="00354ADF" w:rsidRPr="005060E0" w:rsidRDefault="00354ADF" w:rsidP="0008145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SA: Adelaide</w:t>
            </w:r>
          </w:p>
        </w:tc>
        <w:tc>
          <w:tcPr>
            <w:tcW w:w="583" w:type="pct"/>
            <w:tcBorders>
              <w:top w:val="single" w:sz="4" w:space="0" w:color="606072"/>
              <w:left w:val="nil"/>
              <w:bottom w:val="single" w:sz="4" w:space="0" w:color="606072"/>
              <w:right w:val="nil"/>
            </w:tcBorders>
            <w:shd w:val="clear" w:color="auto" w:fill="606072"/>
            <w:vAlign w:val="center"/>
            <w:hideMark/>
          </w:tcPr>
          <w:p w14:paraId="6AD58039" w14:textId="77777777" w:rsidR="00354ADF" w:rsidRPr="005060E0" w:rsidRDefault="00354ADF" w:rsidP="0008145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WA: Perth</w:t>
            </w:r>
          </w:p>
        </w:tc>
        <w:tc>
          <w:tcPr>
            <w:tcW w:w="583" w:type="pct"/>
            <w:tcBorders>
              <w:top w:val="single" w:sz="4" w:space="0" w:color="606072"/>
              <w:left w:val="nil"/>
              <w:bottom w:val="single" w:sz="4" w:space="0" w:color="606072"/>
              <w:right w:val="nil"/>
            </w:tcBorders>
            <w:shd w:val="clear" w:color="auto" w:fill="606072"/>
            <w:vAlign w:val="center"/>
            <w:hideMark/>
          </w:tcPr>
          <w:p w14:paraId="1BA4EC57" w14:textId="77777777" w:rsidR="00354ADF" w:rsidRPr="005060E0" w:rsidRDefault="00354ADF" w:rsidP="0008145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NT: Darwin</w:t>
            </w:r>
          </w:p>
        </w:tc>
        <w:tc>
          <w:tcPr>
            <w:tcW w:w="586" w:type="pct"/>
            <w:tcBorders>
              <w:top w:val="single" w:sz="4" w:space="0" w:color="606072"/>
              <w:left w:val="nil"/>
              <w:bottom w:val="single" w:sz="4" w:space="0" w:color="606072"/>
              <w:right w:val="single" w:sz="4" w:space="0" w:color="606072"/>
            </w:tcBorders>
            <w:shd w:val="clear" w:color="auto" w:fill="606072"/>
            <w:vAlign w:val="center"/>
            <w:hideMark/>
          </w:tcPr>
          <w:p w14:paraId="210B9329" w14:textId="77777777" w:rsidR="00354ADF" w:rsidRPr="005060E0" w:rsidRDefault="00354ADF" w:rsidP="0008145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ACT: Canberra</w:t>
            </w:r>
          </w:p>
        </w:tc>
      </w:tr>
      <w:tr w:rsidR="001A3CB1" w:rsidRPr="005060E0" w14:paraId="101EA5ED" w14:textId="77777777" w:rsidTr="001A3CB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20" w:type="pct"/>
            <w:vMerge w:val="restart"/>
            <w:tcBorders>
              <w:top w:val="single" w:sz="4" w:space="0" w:color="606072"/>
              <w:left w:val="single" w:sz="4" w:space="0" w:color="606072"/>
              <w:right w:val="dotted" w:sz="4" w:space="0" w:color="606372" w:themeColor="text2"/>
            </w:tcBorders>
            <w:vAlign w:val="center"/>
          </w:tcPr>
          <w:p w14:paraId="28141E5A" w14:textId="74305A9D" w:rsidR="001A3CB1" w:rsidRPr="005060E0" w:rsidRDefault="001A3CB1" w:rsidP="00081455">
            <w:pPr>
              <w:spacing w:after="0" w:line="240" w:lineRule="auto"/>
              <w:jc w:val="center"/>
              <w:rPr>
                <w:rFonts w:cs="Arial"/>
                <w:b w:val="0"/>
                <w:sz w:val="16"/>
                <w:szCs w:val="16"/>
              </w:rPr>
            </w:pPr>
            <w:r w:rsidRPr="005060E0">
              <w:rPr>
                <w:rFonts w:cs="Arial"/>
                <w:b w:val="0"/>
                <w:sz w:val="16"/>
                <w:szCs w:val="16"/>
              </w:rPr>
              <w:t>1-hour</w:t>
            </w:r>
          </w:p>
        </w:tc>
        <w:tc>
          <w:tcPr>
            <w:tcW w:w="288" w:type="pct"/>
            <w:tcBorders>
              <w:top w:val="single" w:sz="4" w:space="0" w:color="606072"/>
              <w:left w:val="dotted" w:sz="4" w:space="0" w:color="606372" w:themeColor="text2"/>
              <w:bottom w:val="dotted" w:sz="4" w:space="0" w:color="606072"/>
              <w:right w:val="single" w:sz="4" w:space="0" w:color="606072"/>
            </w:tcBorders>
            <w:vAlign w:val="center"/>
          </w:tcPr>
          <w:p w14:paraId="26DD1C2B" w14:textId="77777777" w:rsidR="001A3CB1" w:rsidRPr="005060E0" w:rsidRDefault="001A3CB1"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92" w:type="pct"/>
            <w:gridSpan w:val="7"/>
            <w:tcBorders>
              <w:top w:val="single" w:sz="4" w:space="0" w:color="606072"/>
              <w:left w:val="single" w:sz="4" w:space="0" w:color="606072"/>
              <w:bottom w:val="dotted" w:sz="4" w:space="0" w:color="606072"/>
              <w:right w:val="single" w:sz="4" w:space="0" w:color="606072"/>
            </w:tcBorders>
            <w:shd w:val="clear" w:color="auto" w:fill="BFBFBF" w:themeFill="background1" w:themeFillShade="BF"/>
            <w:vAlign w:val="center"/>
          </w:tcPr>
          <w:p w14:paraId="5AD09CDD" w14:textId="5B3CE75F" w:rsidR="001A3CB1" w:rsidRPr="005060E0" w:rsidRDefault="001A3CB1" w:rsidP="00CE591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5060E0">
              <w:rPr>
                <w:rFonts w:cs="Arial"/>
                <w:sz w:val="16"/>
                <w:szCs w:val="16"/>
              </w:rPr>
              <w:t>Total number of unique exceedance days</w:t>
            </w:r>
          </w:p>
        </w:tc>
      </w:tr>
      <w:tr w:rsidR="001A3CB1" w:rsidRPr="005060E0" w14:paraId="3AFAF451" w14:textId="77777777" w:rsidTr="001A3CB1">
        <w:trPr>
          <w:trHeight w:hRule="exact" w:val="340"/>
        </w:trPr>
        <w:tc>
          <w:tcPr>
            <w:cnfStyle w:val="001000000000" w:firstRow="0" w:lastRow="0" w:firstColumn="1" w:lastColumn="0" w:oddVBand="0" w:evenVBand="0" w:oddHBand="0" w:evenHBand="0" w:firstRowFirstColumn="0" w:firstRowLastColumn="0" w:lastRowFirstColumn="0" w:lastRowLastColumn="0"/>
            <w:tcW w:w="520" w:type="pct"/>
            <w:vMerge/>
            <w:tcBorders>
              <w:left w:val="single" w:sz="4" w:space="0" w:color="606072"/>
              <w:right w:val="dotted" w:sz="4" w:space="0" w:color="606372" w:themeColor="text2"/>
            </w:tcBorders>
            <w:vAlign w:val="center"/>
            <w:hideMark/>
          </w:tcPr>
          <w:p w14:paraId="679E1150" w14:textId="0D1EDDD1" w:rsidR="001A3CB1" w:rsidRPr="005060E0" w:rsidRDefault="001A3CB1" w:rsidP="00081455">
            <w:pPr>
              <w:spacing w:after="0" w:line="240" w:lineRule="auto"/>
              <w:jc w:val="center"/>
              <w:rPr>
                <w:rFonts w:cs="Arial"/>
                <w:b w:val="0"/>
                <w:sz w:val="16"/>
                <w:szCs w:val="16"/>
              </w:rPr>
            </w:pPr>
          </w:p>
        </w:tc>
        <w:tc>
          <w:tcPr>
            <w:tcW w:w="288" w:type="pct"/>
            <w:tcBorders>
              <w:top w:val="single" w:sz="4" w:space="0" w:color="606072"/>
              <w:left w:val="dotted" w:sz="4" w:space="0" w:color="606372" w:themeColor="text2"/>
              <w:bottom w:val="dotted" w:sz="4" w:space="0" w:color="606072"/>
              <w:right w:val="single" w:sz="4" w:space="0" w:color="606072"/>
            </w:tcBorders>
            <w:vAlign w:val="center"/>
            <w:hideMark/>
          </w:tcPr>
          <w:p w14:paraId="360B0793" w14:textId="77777777" w:rsidR="001A3CB1" w:rsidRPr="005060E0" w:rsidRDefault="001A3CB1"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75</w:t>
            </w:r>
          </w:p>
        </w:tc>
        <w:tc>
          <w:tcPr>
            <w:tcW w:w="543" w:type="pct"/>
            <w:tcBorders>
              <w:top w:val="single" w:sz="4" w:space="0" w:color="606072"/>
              <w:left w:val="single" w:sz="4" w:space="0" w:color="606072"/>
              <w:bottom w:val="dotted" w:sz="4" w:space="0" w:color="606072"/>
              <w:right w:val="single" w:sz="4" w:space="0" w:color="606072"/>
            </w:tcBorders>
            <w:vAlign w:val="center"/>
            <w:hideMark/>
          </w:tcPr>
          <w:p w14:paraId="602E6040" w14:textId="592D29AA"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621" w:type="pct"/>
            <w:tcBorders>
              <w:top w:val="single" w:sz="4" w:space="0" w:color="606072"/>
              <w:left w:val="single" w:sz="4" w:space="0" w:color="606072"/>
              <w:bottom w:val="dotted" w:sz="4" w:space="0" w:color="606072"/>
              <w:right w:val="single" w:sz="4" w:space="0" w:color="606072"/>
            </w:tcBorders>
            <w:vAlign w:val="center"/>
            <w:hideMark/>
          </w:tcPr>
          <w:p w14:paraId="6E2F6CE3" w14:textId="1FB9821A" w:rsidR="001A3CB1" w:rsidRPr="005060E0" w:rsidRDefault="001A3CB1"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1 (</w:t>
            </w:r>
            <w:r w:rsidR="00491E7C" w:rsidRPr="005060E0">
              <w:rPr>
                <w:rFonts w:eastAsia="Times New Roman" w:cs="Arial"/>
                <w:color w:val="000000"/>
                <w:sz w:val="16"/>
                <w:szCs w:val="16"/>
                <w:lang w:eastAsia="en-AU"/>
              </w:rPr>
              <w:t>–</w:t>
            </w:r>
            <w:r w:rsidRPr="005060E0">
              <w:rPr>
                <w:rFonts w:eastAsia="Times New Roman" w:cs="Arial"/>
                <w:color w:val="000000"/>
                <w:sz w:val="16"/>
                <w:szCs w:val="16"/>
                <w:lang w:eastAsia="en-AU"/>
              </w:rPr>
              <w:t>)</w:t>
            </w:r>
          </w:p>
        </w:tc>
        <w:tc>
          <w:tcPr>
            <w:tcW w:w="692" w:type="pct"/>
            <w:tcBorders>
              <w:top w:val="single" w:sz="4" w:space="0" w:color="606072"/>
              <w:left w:val="single" w:sz="4" w:space="0" w:color="606072"/>
              <w:bottom w:val="dotted" w:sz="4" w:space="0" w:color="606072"/>
              <w:right w:val="single" w:sz="4" w:space="0" w:color="606072"/>
            </w:tcBorders>
            <w:vAlign w:val="center"/>
            <w:hideMark/>
          </w:tcPr>
          <w:p w14:paraId="2C71210D" w14:textId="40202132"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3" w:type="pct"/>
            <w:tcBorders>
              <w:top w:val="single" w:sz="4" w:space="0" w:color="606072"/>
              <w:left w:val="single" w:sz="4" w:space="0" w:color="606072"/>
              <w:bottom w:val="dotted" w:sz="4" w:space="0" w:color="606072"/>
              <w:right w:val="single" w:sz="4" w:space="0" w:color="606072"/>
            </w:tcBorders>
            <w:vAlign w:val="center"/>
            <w:hideMark/>
          </w:tcPr>
          <w:p w14:paraId="0B0DA872" w14:textId="681D16C6"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3" w:type="pct"/>
            <w:tcBorders>
              <w:top w:val="single" w:sz="4" w:space="0" w:color="606072"/>
              <w:left w:val="single" w:sz="4" w:space="0" w:color="606072"/>
              <w:bottom w:val="dotted" w:sz="4" w:space="0" w:color="606072"/>
              <w:right w:val="single" w:sz="4" w:space="0" w:color="606072"/>
            </w:tcBorders>
            <w:vAlign w:val="center"/>
            <w:hideMark/>
          </w:tcPr>
          <w:p w14:paraId="2603E426" w14:textId="77777777" w:rsidR="001A3CB1" w:rsidRPr="005060E0" w:rsidRDefault="001A3CB1"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5 (1)</w:t>
            </w:r>
          </w:p>
        </w:tc>
        <w:tc>
          <w:tcPr>
            <w:tcW w:w="583" w:type="pct"/>
            <w:tcBorders>
              <w:top w:val="single" w:sz="4" w:space="0" w:color="606072"/>
              <w:left w:val="single" w:sz="4" w:space="0" w:color="606072"/>
              <w:bottom w:val="dotted" w:sz="4" w:space="0" w:color="606072"/>
              <w:right w:val="single" w:sz="4" w:space="0" w:color="606072"/>
            </w:tcBorders>
            <w:vAlign w:val="center"/>
            <w:hideMark/>
          </w:tcPr>
          <w:p w14:paraId="7E544B42" w14:textId="3F3698B8"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6" w:type="pct"/>
            <w:tcBorders>
              <w:top w:val="single" w:sz="4" w:space="0" w:color="606072"/>
              <w:left w:val="single" w:sz="4" w:space="0" w:color="606072"/>
              <w:bottom w:val="dotted" w:sz="4" w:space="0" w:color="606072"/>
              <w:right w:val="single" w:sz="4" w:space="0" w:color="606072"/>
            </w:tcBorders>
            <w:vAlign w:val="center"/>
            <w:hideMark/>
          </w:tcPr>
          <w:p w14:paraId="02D831CB" w14:textId="1B1E082A"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r>
      <w:tr w:rsidR="001A3CB1" w:rsidRPr="005060E0" w14:paraId="7DB169CF" w14:textId="77777777" w:rsidTr="001A3CB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right w:val="dotted" w:sz="4" w:space="0" w:color="606372" w:themeColor="text2"/>
            </w:tcBorders>
            <w:vAlign w:val="center"/>
            <w:hideMark/>
          </w:tcPr>
          <w:p w14:paraId="487B8A6A" w14:textId="77777777" w:rsidR="001A3CB1" w:rsidRPr="005060E0" w:rsidRDefault="001A3CB1" w:rsidP="00081455">
            <w:pPr>
              <w:spacing w:after="0" w:line="240" w:lineRule="auto"/>
              <w:rPr>
                <w:rFonts w:cs="Arial"/>
                <w:sz w:val="16"/>
                <w:szCs w:val="16"/>
              </w:rPr>
            </w:pPr>
          </w:p>
        </w:tc>
        <w:tc>
          <w:tcPr>
            <w:tcW w:w="288" w:type="pct"/>
            <w:tcBorders>
              <w:top w:val="dotted" w:sz="4" w:space="0" w:color="606072"/>
              <w:left w:val="dotted" w:sz="4" w:space="0" w:color="606372" w:themeColor="text2"/>
              <w:bottom w:val="dotted" w:sz="4" w:space="0" w:color="606072"/>
              <w:right w:val="single" w:sz="4" w:space="0" w:color="606072"/>
            </w:tcBorders>
            <w:vAlign w:val="center"/>
            <w:hideMark/>
          </w:tcPr>
          <w:p w14:paraId="4679DDD3" w14:textId="77777777" w:rsidR="001A3CB1" w:rsidRPr="005060E0" w:rsidRDefault="001A3CB1"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100</w:t>
            </w:r>
          </w:p>
        </w:tc>
        <w:tc>
          <w:tcPr>
            <w:tcW w:w="543" w:type="pct"/>
            <w:tcBorders>
              <w:top w:val="dotted" w:sz="4" w:space="0" w:color="606072"/>
              <w:left w:val="single" w:sz="4" w:space="0" w:color="606072"/>
              <w:bottom w:val="dotted" w:sz="4" w:space="0" w:color="606072"/>
              <w:right w:val="single" w:sz="4" w:space="0" w:color="606072"/>
            </w:tcBorders>
            <w:vAlign w:val="center"/>
            <w:hideMark/>
          </w:tcPr>
          <w:p w14:paraId="4C3FAEE9" w14:textId="512EDEE9" w:rsidR="001A3CB1"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621" w:type="pct"/>
            <w:tcBorders>
              <w:top w:val="dotted" w:sz="4" w:space="0" w:color="606072"/>
              <w:left w:val="single" w:sz="4" w:space="0" w:color="606072"/>
              <w:bottom w:val="dotted" w:sz="4" w:space="0" w:color="606072"/>
              <w:right w:val="single" w:sz="4" w:space="0" w:color="606072"/>
            </w:tcBorders>
            <w:vAlign w:val="center"/>
            <w:hideMark/>
          </w:tcPr>
          <w:p w14:paraId="4225F085" w14:textId="1811E324" w:rsidR="001A3CB1"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692" w:type="pct"/>
            <w:tcBorders>
              <w:top w:val="dotted" w:sz="4" w:space="0" w:color="606072"/>
              <w:left w:val="single" w:sz="4" w:space="0" w:color="606072"/>
              <w:bottom w:val="dotted" w:sz="4" w:space="0" w:color="606072"/>
              <w:right w:val="single" w:sz="4" w:space="0" w:color="606072"/>
            </w:tcBorders>
            <w:vAlign w:val="center"/>
            <w:hideMark/>
          </w:tcPr>
          <w:p w14:paraId="4488E9EB" w14:textId="418BCEA0" w:rsidR="001A3CB1"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dotted" w:sz="4" w:space="0" w:color="606072"/>
              <w:right w:val="single" w:sz="4" w:space="0" w:color="606072"/>
            </w:tcBorders>
            <w:vAlign w:val="center"/>
            <w:hideMark/>
          </w:tcPr>
          <w:p w14:paraId="5382C0C6" w14:textId="4AA5DA88" w:rsidR="001A3CB1"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dotted" w:sz="4" w:space="0" w:color="606072"/>
              <w:right w:val="single" w:sz="4" w:space="0" w:color="606072"/>
            </w:tcBorders>
            <w:vAlign w:val="center"/>
            <w:hideMark/>
          </w:tcPr>
          <w:p w14:paraId="5A2A550E" w14:textId="1823666D" w:rsidR="001A3CB1" w:rsidRPr="005060E0" w:rsidRDefault="001A3CB1"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1 (</w:t>
            </w:r>
            <w:r w:rsidR="00491E7C" w:rsidRPr="005060E0">
              <w:rPr>
                <w:rFonts w:eastAsia="Times New Roman" w:cs="Arial"/>
                <w:color w:val="000000"/>
                <w:sz w:val="16"/>
                <w:szCs w:val="16"/>
                <w:lang w:eastAsia="en-AU"/>
              </w:rPr>
              <w:t>–</w:t>
            </w:r>
            <w:r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dotted" w:sz="4" w:space="0" w:color="606072"/>
              <w:right w:val="single" w:sz="4" w:space="0" w:color="606072"/>
            </w:tcBorders>
            <w:vAlign w:val="center"/>
            <w:hideMark/>
          </w:tcPr>
          <w:p w14:paraId="250DCDDC" w14:textId="32386844" w:rsidR="001A3CB1"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6" w:type="pct"/>
            <w:tcBorders>
              <w:top w:val="dotted" w:sz="4" w:space="0" w:color="606072"/>
              <w:left w:val="single" w:sz="4" w:space="0" w:color="606072"/>
              <w:bottom w:val="dotted" w:sz="4" w:space="0" w:color="606072"/>
              <w:right w:val="single" w:sz="4" w:space="0" w:color="606072"/>
            </w:tcBorders>
            <w:vAlign w:val="center"/>
            <w:hideMark/>
          </w:tcPr>
          <w:p w14:paraId="1D9F273F" w14:textId="6C3D2413" w:rsidR="001A3CB1"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r>
      <w:tr w:rsidR="001A3CB1" w:rsidRPr="005060E0" w14:paraId="7914BFF2" w14:textId="77777777" w:rsidTr="001A3CB1">
        <w:trPr>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right w:val="dotted" w:sz="4" w:space="0" w:color="606372" w:themeColor="text2"/>
            </w:tcBorders>
            <w:vAlign w:val="center"/>
            <w:hideMark/>
          </w:tcPr>
          <w:p w14:paraId="1A3526CF" w14:textId="77777777" w:rsidR="001A3CB1" w:rsidRPr="005060E0" w:rsidRDefault="001A3CB1" w:rsidP="00081455">
            <w:pPr>
              <w:spacing w:after="0" w:line="240" w:lineRule="auto"/>
              <w:rPr>
                <w:rFonts w:cs="Arial"/>
                <w:sz w:val="16"/>
                <w:szCs w:val="16"/>
              </w:rPr>
            </w:pPr>
          </w:p>
        </w:tc>
        <w:tc>
          <w:tcPr>
            <w:tcW w:w="288" w:type="pct"/>
            <w:tcBorders>
              <w:top w:val="dotted" w:sz="4" w:space="0" w:color="606072"/>
              <w:left w:val="dotted" w:sz="4" w:space="0" w:color="606372" w:themeColor="text2"/>
              <w:bottom w:val="dotted" w:sz="4" w:space="0" w:color="606072"/>
              <w:right w:val="single" w:sz="4" w:space="0" w:color="606072"/>
            </w:tcBorders>
            <w:vAlign w:val="center"/>
            <w:hideMark/>
          </w:tcPr>
          <w:p w14:paraId="041E8960" w14:textId="77777777" w:rsidR="001A3CB1" w:rsidRPr="005060E0" w:rsidRDefault="001A3CB1"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150</w:t>
            </w:r>
          </w:p>
        </w:tc>
        <w:tc>
          <w:tcPr>
            <w:tcW w:w="543" w:type="pct"/>
            <w:tcBorders>
              <w:top w:val="dotted" w:sz="4" w:space="0" w:color="606072"/>
              <w:left w:val="single" w:sz="4" w:space="0" w:color="606072"/>
              <w:bottom w:val="dotted" w:sz="4" w:space="0" w:color="606072"/>
              <w:right w:val="single" w:sz="4" w:space="0" w:color="606072"/>
            </w:tcBorders>
            <w:vAlign w:val="center"/>
            <w:hideMark/>
          </w:tcPr>
          <w:p w14:paraId="2288E7DE" w14:textId="3C0ED214"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621" w:type="pct"/>
            <w:tcBorders>
              <w:top w:val="dotted" w:sz="4" w:space="0" w:color="606072"/>
              <w:left w:val="single" w:sz="4" w:space="0" w:color="606072"/>
              <w:bottom w:val="dotted" w:sz="4" w:space="0" w:color="606072"/>
              <w:right w:val="single" w:sz="4" w:space="0" w:color="606072"/>
            </w:tcBorders>
            <w:vAlign w:val="center"/>
            <w:hideMark/>
          </w:tcPr>
          <w:p w14:paraId="7933E7C4" w14:textId="1E12EAC3"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692" w:type="pct"/>
            <w:tcBorders>
              <w:top w:val="dotted" w:sz="4" w:space="0" w:color="606072"/>
              <w:left w:val="single" w:sz="4" w:space="0" w:color="606072"/>
              <w:bottom w:val="dotted" w:sz="4" w:space="0" w:color="606072"/>
              <w:right w:val="single" w:sz="4" w:space="0" w:color="606072"/>
            </w:tcBorders>
            <w:vAlign w:val="center"/>
            <w:hideMark/>
          </w:tcPr>
          <w:p w14:paraId="574F4C47" w14:textId="1C389B00"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dotted" w:sz="4" w:space="0" w:color="606072"/>
              <w:right w:val="single" w:sz="4" w:space="0" w:color="606072"/>
            </w:tcBorders>
            <w:vAlign w:val="center"/>
            <w:hideMark/>
          </w:tcPr>
          <w:p w14:paraId="182E2639" w14:textId="3DE96921"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dotted" w:sz="4" w:space="0" w:color="606072"/>
              <w:right w:val="single" w:sz="4" w:space="0" w:color="606072"/>
            </w:tcBorders>
            <w:vAlign w:val="center"/>
            <w:hideMark/>
          </w:tcPr>
          <w:p w14:paraId="3D7D17CC" w14:textId="63A2529B"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dotted" w:sz="4" w:space="0" w:color="606072"/>
              <w:right w:val="single" w:sz="4" w:space="0" w:color="606072"/>
            </w:tcBorders>
            <w:vAlign w:val="center"/>
            <w:hideMark/>
          </w:tcPr>
          <w:p w14:paraId="0306C4B4" w14:textId="4E0450FA"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6" w:type="pct"/>
            <w:tcBorders>
              <w:top w:val="dotted" w:sz="4" w:space="0" w:color="606072"/>
              <w:left w:val="single" w:sz="4" w:space="0" w:color="606072"/>
              <w:bottom w:val="dotted" w:sz="4" w:space="0" w:color="606072"/>
              <w:right w:val="single" w:sz="4" w:space="0" w:color="606072"/>
            </w:tcBorders>
            <w:vAlign w:val="center"/>
            <w:hideMark/>
          </w:tcPr>
          <w:p w14:paraId="35B4EDD4" w14:textId="76111D3D"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r>
      <w:tr w:rsidR="00BF7BF2" w:rsidRPr="005060E0" w14:paraId="178DEBD0" w14:textId="77777777" w:rsidTr="00D41B9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bottom w:val="single" w:sz="4" w:space="0" w:color="606072"/>
              <w:right w:val="dotted" w:sz="4" w:space="0" w:color="606372" w:themeColor="text2"/>
            </w:tcBorders>
            <w:vAlign w:val="center"/>
            <w:hideMark/>
          </w:tcPr>
          <w:p w14:paraId="2C14A745" w14:textId="77777777" w:rsidR="001A3CB1" w:rsidRPr="005060E0" w:rsidRDefault="001A3CB1" w:rsidP="00081455">
            <w:pPr>
              <w:spacing w:after="0" w:line="240" w:lineRule="auto"/>
              <w:rPr>
                <w:rFonts w:cs="Arial"/>
                <w:sz w:val="16"/>
                <w:szCs w:val="16"/>
              </w:rPr>
            </w:pPr>
          </w:p>
        </w:tc>
        <w:tc>
          <w:tcPr>
            <w:tcW w:w="288" w:type="pct"/>
            <w:tcBorders>
              <w:top w:val="dotted" w:sz="4" w:space="0" w:color="606072"/>
              <w:left w:val="dotted" w:sz="4" w:space="0" w:color="606372" w:themeColor="text2"/>
              <w:bottom w:val="single" w:sz="4" w:space="0" w:color="606072"/>
              <w:right w:val="single" w:sz="4" w:space="0" w:color="606072"/>
            </w:tcBorders>
            <w:shd w:val="clear" w:color="auto" w:fill="D5E5FF"/>
            <w:vAlign w:val="center"/>
            <w:hideMark/>
          </w:tcPr>
          <w:p w14:paraId="2F61BB63" w14:textId="77777777" w:rsidR="001A3CB1" w:rsidRPr="005060E0" w:rsidRDefault="001A3CB1"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200</w:t>
            </w:r>
          </w:p>
        </w:tc>
        <w:tc>
          <w:tcPr>
            <w:tcW w:w="543"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535E9D14" w14:textId="085AB38E" w:rsidR="001A3CB1"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621"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6FBCF97B" w14:textId="6DC4A7F5" w:rsidR="001A3CB1"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692"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3FBBCF22" w14:textId="43B966E0" w:rsidR="001A3CB1"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2306111D" w14:textId="66CBD4E6" w:rsidR="001A3CB1"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3ACB3D22" w14:textId="552289C3" w:rsidR="001A3CB1"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21F512A7" w14:textId="578B3A50" w:rsidR="001A3CB1"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6"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51D94737" w14:textId="19FA42AE" w:rsidR="001A3CB1"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r>
      <w:tr w:rsidR="001A3CB1" w:rsidRPr="005060E0" w14:paraId="1C64348B" w14:textId="77777777" w:rsidTr="001A3CB1">
        <w:trPr>
          <w:trHeight w:hRule="exact" w:val="340"/>
        </w:trPr>
        <w:tc>
          <w:tcPr>
            <w:cnfStyle w:val="001000000000" w:firstRow="0" w:lastRow="0" w:firstColumn="1" w:lastColumn="0" w:oddVBand="0" w:evenVBand="0" w:oddHBand="0" w:evenHBand="0" w:firstRowFirstColumn="0" w:firstRowLastColumn="0" w:lastRowFirstColumn="0" w:lastRowLastColumn="0"/>
            <w:tcW w:w="520" w:type="pct"/>
            <w:vMerge w:val="restart"/>
            <w:tcBorders>
              <w:top w:val="single" w:sz="4" w:space="0" w:color="606072"/>
              <w:left w:val="single" w:sz="4" w:space="0" w:color="606072"/>
              <w:right w:val="dotted" w:sz="4" w:space="0" w:color="606372" w:themeColor="text2"/>
            </w:tcBorders>
            <w:vAlign w:val="center"/>
          </w:tcPr>
          <w:p w14:paraId="45A5B13B" w14:textId="1EFD3B7F" w:rsidR="001A3CB1" w:rsidRPr="005060E0" w:rsidRDefault="001A3CB1" w:rsidP="00081455">
            <w:pPr>
              <w:spacing w:after="0" w:line="240" w:lineRule="auto"/>
              <w:jc w:val="center"/>
              <w:rPr>
                <w:rFonts w:cs="Arial"/>
                <w:b w:val="0"/>
                <w:sz w:val="16"/>
                <w:szCs w:val="16"/>
              </w:rPr>
            </w:pPr>
            <w:r w:rsidRPr="005060E0">
              <w:rPr>
                <w:rFonts w:cs="Arial"/>
                <w:b w:val="0"/>
                <w:sz w:val="16"/>
                <w:szCs w:val="16"/>
              </w:rPr>
              <w:t>24-hour</w:t>
            </w:r>
          </w:p>
        </w:tc>
        <w:tc>
          <w:tcPr>
            <w:tcW w:w="288" w:type="pct"/>
            <w:tcBorders>
              <w:top w:val="single" w:sz="4" w:space="0" w:color="606072"/>
              <w:left w:val="dotted" w:sz="4" w:space="0" w:color="606372" w:themeColor="text2"/>
              <w:bottom w:val="dotted" w:sz="4" w:space="0" w:color="606072"/>
              <w:right w:val="single" w:sz="4" w:space="0" w:color="606072"/>
            </w:tcBorders>
            <w:vAlign w:val="center"/>
          </w:tcPr>
          <w:p w14:paraId="008D0BD7" w14:textId="77777777" w:rsidR="001A3CB1" w:rsidRPr="005060E0" w:rsidRDefault="001A3CB1"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92" w:type="pct"/>
            <w:gridSpan w:val="7"/>
            <w:tcBorders>
              <w:top w:val="single" w:sz="4" w:space="0" w:color="606072"/>
              <w:left w:val="single" w:sz="4" w:space="0" w:color="606072"/>
              <w:bottom w:val="dotted" w:sz="4" w:space="0" w:color="606072"/>
              <w:right w:val="single" w:sz="4" w:space="0" w:color="606072"/>
            </w:tcBorders>
            <w:shd w:val="clear" w:color="auto" w:fill="BFBFBF" w:themeFill="background1" w:themeFillShade="BF"/>
            <w:vAlign w:val="center"/>
          </w:tcPr>
          <w:p w14:paraId="492E9DB0" w14:textId="37E30E65" w:rsidR="001A3CB1" w:rsidRPr="005060E0" w:rsidRDefault="001A3CB1" w:rsidP="00CE591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5060E0">
              <w:rPr>
                <w:rFonts w:cs="Arial"/>
                <w:sz w:val="16"/>
                <w:szCs w:val="16"/>
              </w:rPr>
              <w:t>Total number of unique exceedance days</w:t>
            </w:r>
          </w:p>
        </w:tc>
      </w:tr>
      <w:tr w:rsidR="001A3CB1" w:rsidRPr="005060E0" w14:paraId="7F8BA983" w14:textId="77777777" w:rsidTr="001A3CB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20" w:type="pct"/>
            <w:vMerge/>
            <w:tcBorders>
              <w:left w:val="single" w:sz="4" w:space="0" w:color="606072"/>
              <w:right w:val="dotted" w:sz="4" w:space="0" w:color="606372" w:themeColor="text2"/>
            </w:tcBorders>
            <w:vAlign w:val="center"/>
            <w:hideMark/>
          </w:tcPr>
          <w:p w14:paraId="3A9C5471" w14:textId="0590CC60" w:rsidR="001A3CB1" w:rsidRPr="005060E0" w:rsidRDefault="001A3CB1" w:rsidP="00081455">
            <w:pPr>
              <w:spacing w:after="0" w:line="240" w:lineRule="auto"/>
              <w:jc w:val="center"/>
              <w:rPr>
                <w:rFonts w:cs="Arial"/>
                <w:b w:val="0"/>
                <w:sz w:val="16"/>
                <w:szCs w:val="16"/>
              </w:rPr>
            </w:pPr>
          </w:p>
        </w:tc>
        <w:tc>
          <w:tcPr>
            <w:tcW w:w="288" w:type="pct"/>
            <w:tcBorders>
              <w:top w:val="single" w:sz="4" w:space="0" w:color="606072"/>
              <w:left w:val="dotted" w:sz="4" w:space="0" w:color="606372" w:themeColor="text2"/>
              <w:bottom w:val="dotted" w:sz="4" w:space="0" w:color="606072"/>
              <w:right w:val="single" w:sz="4" w:space="0" w:color="606072"/>
            </w:tcBorders>
            <w:vAlign w:val="center"/>
            <w:hideMark/>
          </w:tcPr>
          <w:p w14:paraId="1A6050A4" w14:textId="77777777" w:rsidR="001A3CB1" w:rsidRPr="005060E0" w:rsidRDefault="001A3CB1"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7</w:t>
            </w:r>
          </w:p>
        </w:tc>
        <w:tc>
          <w:tcPr>
            <w:tcW w:w="543" w:type="pct"/>
            <w:tcBorders>
              <w:top w:val="single" w:sz="4" w:space="0" w:color="606072"/>
              <w:left w:val="single" w:sz="4" w:space="0" w:color="606072"/>
              <w:bottom w:val="dotted" w:sz="4" w:space="0" w:color="606072"/>
              <w:right w:val="single" w:sz="4" w:space="0" w:color="606072"/>
            </w:tcBorders>
            <w:vAlign w:val="center"/>
            <w:hideMark/>
          </w:tcPr>
          <w:p w14:paraId="7C025208" w14:textId="4971FE3F" w:rsidR="001A3CB1"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621" w:type="pct"/>
            <w:tcBorders>
              <w:top w:val="single" w:sz="4" w:space="0" w:color="606072"/>
              <w:left w:val="single" w:sz="4" w:space="0" w:color="606072"/>
              <w:bottom w:val="dotted" w:sz="4" w:space="0" w:color="606072"/>
              <w:right w:val="single" w:sz="4" w:space="0" w:color="606072"/>
            </w:tcBorders>
            <w:vAlign w:val="center"/>
            <w:hideMark/>
          </w:tcPr>
          <w:p w14:paraId="0011EE6D" w14:textId="46D9F81E" w:rsidR="001A3CB1" w:rsidRPr="005060E0" w:rsidRDefault="001A3CB1"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112 (47)</w:t>
            </w:r>
          </w:p>
        </w:tc>
        <w:tc>
          <w:tcPr>
            <w:tcW w:w="692" w:type="pct"/>
            <w:tcBorders>
              <w:top w:val="single" w:sz="4" w:space="0" w:color="606072"/>
              <w:left w:val="single" w:sz="4" w:space="0" w:color="606072"/>
              <w:bottom w:val="dotted" w:sz="4" w:space="0" w:color="606072"/>
              <w:right w:val="single" w:sz="4" w:space="0" w:color="606072"/>
            </w:tcBorders>
            <w:vAlign w:val="center"/>
            <w:hideMark/>
          </w:tcPr>
          <w:p w14:paraId="4AF48644" w14:textId="77777777" w:rsidR="001A3CB1" w:rsidRPr="005060E0" w:rsidRDefault="001A3CB1"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2 (1)</w:t>
            </w:r>
          </w:p>
        </w:tc>
        <w:tc>
          <w:tcPr>
            <w:tcW w:w="583" w:type="pct"/>
            <w:tcBorders>
              <w:top w:val="single" w:sz="4" w:space="0" w:color="606072"/>
              <w:left w:val="single" w:sz="4" w:space="0" w:color="606072"/>
              <w:bottom w:val="dotted" w:sz="4" w:space="0" w:color="606072"/>
              <w:right w:val="single" w:sz="4" w:space="0" w:color="606072"/>
            </w:tcBorders>
            <w:vAlign w:val="center"/>
            <w:hideMark/>
          </w:tcPr>
          <w:p w14:paraId="21CFC12A" w14:textId="0119F515" w:rsidR="001A3CB1"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3" w:type="pct"/>
            <w:tcBorders>
              <w:top w:val="single" w:sz="4" w:space="0" w:color="606072"/>
              <w:left w:val="single" w:sz="4" w:space="0" w:color="606072"/>
              <w:bottom w:val="dotted" w:sz="4" w:space="0" w:color="606072"/>
              <w:right w:val="single" w:sz="4" w:space="0" w:color="606072"/>
            </w:tcBorders>
            <w:vAlign w:val="center"/>
            <w:hideMark/>
          </w:tcPr>
          <w:p w14:paraId="3A321CEF" w14:textId="36128640" w:rsidR="001A3CB1" w:rsidRPr="005060E0" w:rsidRDefault="001A3CB1"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71 (14)</w:t>
            </w:r>
          </w:p>
        </w:tc>
        <w:tc>
          <w:tcPr>
            <w:tcW w:w="583" w:type="pct"/>
            <w:tcBorders>
              <w:top w:val="single" w:sz="4" w:space="0" w:color="606072"/>
              <w:left w:val="single" w:sz="4" w:space="0" w:color="606072"/>
              <w:bottom w:val="dotted" w:sz="4" w:space="0" w:color="606072"/>
              <w:right w:val="single" w:sz="4" w:space="0" w:color="606072"/>
            </w:tcBorders>
            <w:vAlign w:val="center"/>
            <w:hideMark/>
          </w:tcPr>
          <w:p w14:paraId="2F8CCAE7" w14:textId="76A61BCB" w:rsidR="001A3CB1"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6" w:type="pct"/>
            <w:tcBorders>
              <w:top w:val="single" w:sz="4" w:space="0" w:color="606072"/>
              <w:left w:val="single" w:sz="4" w:space="0" w:color="606072"/>
              <w:bottom w:val="dotted" w:sz="4" w:space="0" w:color="606072"/>
              <w:right w:val="single" w:sz="4" w:space="0" w:color="606072"/>
            </w:tcBorders>
            <w:vAlign w:val="center"/>
            <w:hideMark/>
          </w:tcPr>
          <w:p w14:paraId="4750BDBC" w14:textId="6FB318E1" w:rsidR="001A3CB1"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r>
      <w:tr w:rsidR="001A3CB1" w:rsidRPr="005060E0" w14:paraId="18F2D87B" w14:textId="77777777" w:rsidTr="001A3CB1">
        <w:trPr>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right w:val="dotted" w:sz="4" w:space="0" w:color="606372" w:themeColor="text2"/>
            </w:tcBorders>
            <w:vAlign w:val="center"/>
            <w:hideMark/>
          </w:tcPr>
          <w:p w14:paraId="2BF30D16" w14:textId="77777777" w:rsidR="001A3CB1" w:rsidRPr="005060E0" w:rsidRDefault="001A3CB1" w:rsidP="00081455">
            <w:pPr>
              <w:spacing w:after="0" w:line="240" w:lineRule="auto"/>
              <w:rPr>
                <w:rFonts w:cs="Arial"/>
                <w:sz w:val="16"/>
                <w:szCs w:val="16"/>
              </w:rPr>
            </w:pPr>
          </w:p>
        </w:tc>
        <w:tc>
          <w:tcPr>
            <w:tcW w:w="288" w:type="pct"/>
            <w:tcBorders>
              <w:top w:val="dotted" w:sz="4" w:space="0" w:color="606072"/>
              <w:left w:val="dotted" w:sz="4" w:space="0" w:color="606372" w:themeColor="text2"/>
              <w:bottom w:val="dotted" w:sz="4" w:space="0" w:color="606072"/>
              <w:right w:val="single" w:sz="4" w:space="0" w:color="606072"/>
            </w:tcBorders>
            <w:vAlign w:val="center"/>
            <w:hideMark/>
          </w:tcPr>
          <w:p w14:paraId="2649E0A2" w14:textId="77777777" w:rsidR="001A3CB1" w:rsidRPr="005060E0" w:rsidRDefault="001A3CB1"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20</w:t>
            </w:r>
          </w:p>
        </w:tc>
        <w:tc>
          <w:tcPr>
            <w:tcW w:w="543" w:type="pct"/>
            <w:tcBorders>
              <w:top w:val="dotted" w:sz="4" w:space="0" w:color="606072"/>
              <w:left w:val="single" w:sz="4" w:space="0" w:color="606072"/>
              <w:bottom w:val="dotted" w:sz="4" w:space="0" w:color="606072"/>
              <w:right w:val="single" w:sz="4" w:space="0" w:color="606072"/>
            </w:tcBorders>
            <w:vAlign w:val="center"/>
            <w:hideMark/>
          </w:tcPr>
          <w:p w14:paraId="7B3B5FF2" w14:textId="1735ECCE"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621" w:type="pct"/>
            <w:tcBorders>
              <w:top w:val="dotted" w:sz="4" w:space="0" w:color="606072"/>
              <w:left w:val="single" w:sz="4" w:space="0" w:color="606072"/>
              <w:bottom w:val="dotted" w:sz="4" w:space="0" w:color="606072"/>
              <w:right w:val="single" w:sz="4" w:space="0" w:color="606072"/>
            </w:tcBorders>
            <w:vAlign w:val="center"/>
            <w:hideMark/>
          </w:tcPr>
          <w:p w14:paraId="2FDCB07D" w14:textId="391EC0B6"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692" w:type="pct"/>
            <w:tcBorders>
              <w:top w:val="dotted" w:sz="4" w:space="0" w:color="606072"/>
              <w:left w:val="single" w:sz="4" w:space="0" w:color="606072"/>
              <w:bottom w:val="dotted" w:sz="4" w:space="0" w:color="606072"/>
              <w:right w:val="single" w:sz="4" w:space="0" w:color="606072"/>
            </w:tcBorders>
            <w:vAlign w:val="center"/>
            <w:hideMark/>
          </w:tcPr>
          <w:p w14:paraId="406B82B4" w14:textId="776D222A"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dotted" w:sz="4" w:space="0" w:color="606072"/>
              <w:right w:val="single" w:sz="4" w:space="0" w:color="606072"/>
            </w:tcBorders>
            <w:vAlign w:val="center"/>
            <w:hideMark/>
          </w:tcPr>
          <w:p w14:paraId="7781FE51" w14:textId="77D683DA"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dotted" w:sz="4" w:space="0" w:color="606072"/>
              <w:right w:val="single" w:sz="4" w:space="0" w:color="606072"/>
            </w:tcBorders>
            <w:vAlign w:val="center"/>
            <w:hideMark/>
          </w:tcPr>
          <w:p w14:paraId="51065BD7" w14:textId="11871CBE"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dotted" w:sz="4" w:space="0" w:color="606072"/>
              <w:right w:val="single" w:sz="4" w:space="0" w:color="606072"/>
            </w:tcBorders>
            <w:vAlign w:val="center"/>
            <w:hideMark/>
          </w:tcPr>
          <w:p w14:paraId="7BFE2F07" w14:textId="6FA26ED1"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6" w:type="pct"/>
            <w:tcBorders>
              <w:top w:val="dotted" w:sz="4" w:space="0" w:color="606072"/>
              <w:left w:val="single" w:sz="4" w:space="0" w:color="606072"/>
              <w:bottom w:val="dotted" w:sz="4" w:space="0" w:color="606072"/>
              <w:right w:val="single" w:sz="4" w:space="0" w:color="606072"/>
            </w:tcBorders>
            <w:vAlign w:val="center"/>
            <w:hideMark/>
          </w:tcPr>
          <w:p w14:paraId="615F1D45" w14:textId="42D3CF61"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r>
      <w:tr w:rsidR="001A3CB1" w:rsidRPr="005060E0" w14:paraId="323E9DA6" w14:textId="77777777" w:rsidTr="001A3CB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right w:val="dotted" w:sz="4" w:space="0" w:color="606372" w:themeColor="text2"/>
            </w:tcBorders>
            <w:vAlign w:val="center"/>
            <w:hideMark/>
          </w:tcPr>
          <w:p w14:paraId="37679630" w14:textId="77777777" w:rsidR="001A3CB1" w:rsidRPr="005060E0" w:rsidRDefault="001A3CB1" w:rsidP="00081455">
            <w:pPr>
              <w:spacing w:after="0" w:line="240" w:lineRule="auto"/>
              <w:rPr>
                <w:rFonts w:cs="Arial"/>
                <w:sz w:val="16"/>
                <w:szCs w:val="16"/>
              </w:rPr>
            </w:pPr>
          </w:p>
        </w:tc>
        <w:tc>
          <w:tcPr>
            <w:tcW w:w="288" w:type="pct"/>
            <w:tcBorders>
              <w:top w:val="dotted" w:sz="4" w:space="0" w:color="606072"/>
              <w:left w:val="dotted" w:sz="4" w:space="0" w:color="606372" w:themeColor="text2"/>
              <w:bottom w:val="dotted" w:sz="4" w:space="0" w:color="606072"/>
              <w:right w:val="single" w:sz="4" w:space="0" w:color="606072"/>
            </w:tcBorders>
            <w:vAlign w:val="center"/>
            <w:hideMark/>
          </w:tcPr>
          <w:p w14:paraId="1BF98F6C" w14:textId="77777777" w:rsidR="001A3CB1" w:rsidRPr="005060E0" w:rsidRDefault="001A3CB1"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40</w:t>
            </w:r>
          </w:p>
        </w:tc>
        <w:tc>
          <w:tcPr>
            <w:tcW w:w="543" w:type="pct"/>
            <w:tcBorders>
              <w:top w:val="dotted" w:sz="4" w:space="0" w:color="606072"/>
              <w:left w:val="single" w:sz="4" w:space="0" w:color="606072"/>
              <w:bottom w:val="dotted" w:sz="4" w:space="0" w:color="606072"/>
              <w:right w:val="single" w:sz="4" w:space="0" w:color="606072"/>
            </w:tcBorders>
            <w:vAlign w:val="center"/>
            <w:hideMark/>
          </w:tcPr>
          <w:p w14:paraId="4FFFEFDC" w14:textId="5CB006CD" w:rsidR="001A3CB1"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621" w:type="pct"/>
            <w:tcBorders>
              <w:top w:val="dotted" w:sz="4" w:space="0" w:color="606072"/>
              <w:left w:val="single" w:sz="4" w:space="0" w:color="606072"/>
              <w:bottom w:val="dotted" w:sz="4" w:space="0" w:color="606072"/>
              <w:right w:val="single" w:sz="4" w:space="0" w:color="606072"/>
            </w:tcBorders>
            <w:vAlign w:val="center"/>
            <w:hideMark/>
          </w:tcPr>
          <w:p w14:paraId="28A1ABA8" w14:textId="4627F10D" w:rsidR="001A3CB1"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692" w:type="pct"/>
            <w:tcBorders>
              <w:top w:val="dotted" w:sz="4" w:space="0" w:color="606072"/>
              <w:left w:val="single" w:sz="4" w:space="0" w:color="606072"/>
              <w:bottom w:val="dotted" w:sz="4" w:space="0" w:color="606072"/>
              <w:right w:val="single" w:sz="4" w:space="0" w:color="606072"/>
            </w:tcBorders>
            <w:vAlign w:val="center"/>
            <w:hideMark/>
          </w:tcPr>
          <w:p w14:paraId="5D43129D" w14:textId="4A44335B" w:rsidR="001A3CB1"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dotted" w:sz="4" w:space="0" w:color="606072"/>
              <w:right w:val="single" w:sz="4" w:space="0" w:color="606072"/>
            </w:tcBorders>
            <w:vAlign w:val="center"/>
            <w:hideMark/>
          </w:tcPr>
          <w:p w14:paraId="712DEEEB" w14:textId="183F0482" w:rsidR="001A3CB1"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dotted" w:sz="4" w:space="0" w:color="606072"/>
              <w:right w:val="single" w:sz="4" w:space="0" w:color="606072"/>
            </w:tcBorders>
            <w:vAlign w:val="center"/>
            <w:hideMark/>
          </w:tcPr>
          <w:p w14:paraId="0A339E11" w14:textId="01AAB816" w:rsidR="001A3CB1"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dotted" w:sz="4" w:space="0" w:color="606072"/>
              <w:right w:val="single" w:sz="4" w:space="0" w:color="606072"/>
            </w:tcBorders>
            <w:vAlign w:val="center"/>
            <w:hideMark/>
          </w:tcPr>
          <w:p w14:paraId="7943ACD7" w14:textId="614CCCED" w:rsidR="001A3CB1"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6" w:type="pct"/>
            <w:tcBorders>
              <w:top w:val="dotted" w:sz="4" w:space="0" w:color="606072"/>
              <w:left w:val="single" w:sz="4" w:space="0" w:color="606072"/>
              <w:bottom w:val="dotted" w:sz="4" w:space="0" w:color="606072"/>
              <w:right w:val="single" w:sz="4" w:space="0" w:color="606072"/>
            </w:tcBorders>
            <w:vAlign w:val="center"/>
            <w:hideMark/>
          </w:tcPr>
          <w:p w14:paraId="344ABCED" w14:textId="731D00FE" w:rsidR="001A3CB1"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r>
      <w:tr w:rsidR="00BF7BF2" w:rsidRPr="005060E0" w14:paraId="1C3FACA8" w14:textId="77777777" w:rsidTr="00D41B95">
        <w:trPr>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bottom w:val="single" w:sz="4" w:space="0" w:color="606072"/>
              <w:right w:val="dotted" w:sz="4" w:space="0" w:color="606372" w:themeColor="text2"/>
            </w:tcBorders>
            <w:vAlign w:val="center"/>
            <w:hideMark/>
          </w:tcPr>
          <w:p w14:paraId="2732C312" w14:textId="77777777" w:rsidR="001A3CB1" w:rsidRPr="005060E0" w:rsidRDefault="001A3CB1" w:rsidP="00081455">
            <w:pPr>
              <w:spacing w:after="0" w:line="240" w:lineRule="auto"/>
              <w:rPr>
                <w:rFonts w:cs="Arial"/>
                <w:sz w:val="16"/>
                <w:szCs w:val="16"/>
              </w:rPr>
            </w:pPr>
          </w:p>
        </w:tc>
        <w:tc>
          <w:tcPr>
            <w:tcW w:w="288" w:type="pct"/>
            <w:tcBorders>
              <w:top w:val="dotted" w:sz="4" w:space="0" w:color="606072"/>
              <w:left w:val="dotted" w:sz="4" w:space="0" w:color="606372" w:themeColor="text2"/>
              <w:bottom w:val="single" w:sz="4" w:space="0" w:color="606072"/>
              <w:right w:val="single" w:sz="4" w:space="0" w:color="606072"/>
            </w:tcBorders>
            <w:shd w:val="clear" w:color="auto" w:fill="D5E5FF"/>
            <w:vAlign w:val="center"/>
            <w:hideMark/>
          </w:tcPr>
          <w:p w14:paraId="6172543E" w14:textId="77777777" w:rsidR="001A3CB1" w:rsidRPr="005060E0" w:rsidRDefault="001A3CB1"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80</w:t>
            </w:r>
          </w:p>
        </w:tc>
        <w:tc>
          <w:tcPr>
            <w:tcW w:w="543"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7A16AC08" w14:textId="747B5143"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621"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52D2A31F" w14:textId="7BE03D57"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692"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75C8AB9C" w14:textId="2F2C3AE7"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2E6C6739" w14:textId="5BE8F6C4"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0FC0D0C0" w14:textId="5D319CDD"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7314FD76" w14:textId="202B353A"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6"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074C7C0D" w14:textId="14FE0C00"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r>
      <w:tr w:rsidR="001A3CB1" w:rsidRPr="005060E0" w14:paraId="688E9492" w14:textId="77777777" w:rsidTr="001A3CB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20" w:type="pct"/>
            <w:vMerge w:val="restart"/>
            <w:tcBorders>
              <w:top w:val="single" w:sz="4" w:space="0" w:color="606072"/>
              <w:left w:val="single" w:sz="4" w:space="0" w:color="606072"/>
              <w:right w:val="dotted" w:sz="4" w:space="0" w:color="606372" w:themeColor="text2"/>
            </w:tcBorders>
            <w:vAlign w:val="center"/>
          </w:tcPr>
          <w:p w14:paraId="65F682C2" w14:textId="0299CE35" w:rsidR="001A3CB1" w:rsidRPr="005060E0" w:rsidRDefault="001A3CB1" w:rsidP="00081455">
            <w:pPr>
              <w:spacing w:after="0" w:line="240" w:lineRule="auto"/>
              <w:jc w:val="center"/>
              <w:rPr>
                <w:rFonts w:cs="Arial"/>
                <w:b w:val="0"/>
                <w:sz w:val="16"/>
                <w:szCs w:val="16"/>
              </w:rPr>
            </w:pPr>
            <w:r w:rsidRPr="005060E0">
              <w:rPr>
                <w:rFonts w:cs="Arial"/>
                <w:b w:val="0"/>
                <w:sz w:val="16"/>
                <w:szCs w:val="16"/>
              </w:rPr>
              <w:t>Annual</w:t>
            </w:r>
          </w:p>
        </w:tc>
        <w:tc>
          <w:tcPr>
            <w:tcW w:w="288" w:type="pct"/>
            <w:tcBorders>
              <w:top w:val="single" w:sz="4" w:space="0" w:color="606072"/>
              <w:left w:val="dotted" w:sz="4" w:space="0" w:color="606372" w:themeColor="text2"/>
              <w:bottom w:val="dotted" w:sz="4" w:space="0" w:color="606072"/>
              <w:right w:val="single" w:sz="4" w:space="0" w:color="606072"/>
            </w:tcBorders>
            <w:vAlign w:val="center"/>
          </w:tcPr>
          <w:p w14:paraId="3D0333F4" w14:textId="77777777" w:rsidR="001A3CB1" w:rsidRPr="005060E0" w:rsidRDefault="001A3CB1"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92" w:type="pct"/>
            <w:gridSpan w:val="7"/>
            <w:tcBorders>
              <w:top w:val="single" w:sz="4" w:space="0" w:color="606072"/>
              <w:left w:val="single" w:sz="4" w:space="0" w:color="606072"/>
              <w:bottom w:val="dotted" w:sz="4" w:space="0" w:color="606072"/>
              <w:right w:val="single" w:sz="4" w:space="0" w:color="606072"/>
            </w:tcBorders>
            <w:shd w:val="clear" w:color="auto" w:fill="BFBFBF" w:themeFill="background1" w:themeFillShade="BF"/>
            <w:vAlign w:val="center"/>
          </w:tcPr>
          <w:p w14:paraId="52AA410E" w14:textId="16F41EF9" w:rsidR="001A3CB1" w:rsidRPr="005060E0" w:rsidRDefault="001A3CB1" w:rsidP="00CE591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5060E0">
              <w:rPr>
                <w:rFonts w:eastAsia="Times New Roman" w:cs="Arial"/>
                <w:color w:val="000000"/>
                <w:sz w:val="16"/>
                <w:szCs w:val="16"/>
                <w:lang w:eastAsia="en-AU"/>
              </w:rPr>
              <w:t>Total number of monitoring stations exceeding standard</w:t>
            </w:r>
          </w:p>
        </w:tc>
      </w:tr>
      <w:tr w:rsidR="001A3CB1" w:rsidRPr="005060E0" w14:paraId="1FC05335" w14:textId="77777777" w:rsidTr="001A3CB1">
        <w:trPr>
          <w:trHeight w:hRule="exact" w:val="340"/>
        </w:trPr>
        <w:tc>
          <w:tcPr>
            <w:cnfStyle w:val="001000000000" w:firstRow="0" w:lastRow="0" w:firstColumn="1" w:lastColumn="0" w:oddVBand="0" w:evenVBand="0" w:oddHBand="0" w:evenHBand="0" w:firstRowFirstColumn="0" w:firstRowLastColumn="0" w:lastRowFirstColumn="0" w:lastRowLastColumn="0"/>
            <w:tcW w:w="520" w:type="pct"/>
            <w:vMerge/>
            <w:tcBorders>
              <w:left w:val="single" w:sz="4" w:space="0" w:color="606072"/>
              <w:right w:val="dotted" w:sz="4" w:space="0" w:color="606372" w:themeColor="text2"/>
            </w:tcBorders>
            <w:vAlign w:val="center"/>
            <w:hideMark/>
          </w:tcPr>
          <w:p w14:paraId="51CF69C5" w14:textId="0A052645" w:rsidR="001A3CB1" w:rsidRPr="005060E0" w:rsidRDefault="001A3CB1" w:rsidP="00081455">
            <w:pPr>
              <w:spacing w:after="0" w:line="240" w:lineRule="auto"/>
              <w:jc w:val="center"/>
              <w:rPr>
                <w:rFonts w:cs="Arial"/>
                <w:b w:val="0"/>
                <w:sz w:val="16"/>
                <w:szCs w:val="16"/>
              </w:rPr>
            </w:pPr>
          </w:p>
        </w:tc>
        <w:tc>
          <w:tcPr>
            <w:tcW w:w="288" w:type="pct"/>
            <w:tcBorders>
              <w:top w:val="single" w:sz="4" w:space="0" w:color="606072"/>
              <w:left w:val="dotted" w:sz="4" w:space="0" w:color="606372" w:themeColor="text2"/>
              <w:bottom w:val="dotted" w:sz="4" w:space="0" w:color="606072"/>
              <w:right w:val="single" w:sz="4" w:space="0" w:color="606072"/>
            </w:tcBorders>
            <w:vAlign w:val="center"/>
            <w:hideMark/>
          </w:tcPr>
          <w:p w14:paraId="1D198203" w14:textId="77777777" w:rsidR="001A3CB1" w:rsidRPr="005060E0" w:rsidRDefault="001A3CB1"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10</w:t>
            </w:r>
          </w:p>
        </w:tc>
        <w:tc>
          <w:tcPr>
            <w:tcW w:w="543" w:type="pct"/>
            <w:tcBorders>
              <w:top w:val="single" w:sz="4" w:space="0" w:color="606072"/>
              <w:left w:val="single" w:sz="4" w:space="0" w:color="606072"/>
              <w:bottom w:val="dotted" w:sz="4" w:space="0" w:color="606072"/>
              <w:right w:val="single" w:sz="4" w:space="0" w:color="606072"/>
            </w:tcBorders>
            <w:vAlign w:val="center"/>
            <w:hideMark/>
          </w:tcPr>
          <w:p w14:paraId="769D5F97" w14:textId="3A085EFE"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621" w:type="pct"/>
            <w:tcBorders>
              <w:top w:val="single" w:sz="4" w:space="0" w:color="606072"/>
              <w:left w:val="single" w:sz="4" w:space="0" w:color="606072"/>
              <w:bottom w:val="dotted" w:sz="4" w:space="0" w:color="606072"/>
              <w:right w:val="single" w:sz="4" w:space="0" w:color="606072"/>
            </w:tcBorders>
            <w:vAlign w:val="center"/>
            <w:hideMark/>
          </w:tcPr>
          <w:p w14:paraId="0E690E08" w14:textId="1008759C"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692" w:type="pct"/>
            <w:tcBorders>
              <w:top w:val="single" w:sz="4" w:space="0" w:color="606072"/>
              <w:left w:val="single" w:sz="4" w:space="0" w:color="606072"/>
              <w:bottom w:val="dotted" w:sz="4" w:space="0" w:color="606072"/>
              <w:right w:val="single" w:sz="4" w:space="0" w:color="606072"/>
            </w:tcBorders>
            <w:vAlign w:val="center"/>
            <w:hideMark/>
          </w:tcPr>
          <w:p w14:paraId="6F4C0B37" w14:textId="2B5A375A"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3" w:type="pct"/>
            <w:tcBorders>
              <w:top w:val="single" w:sz="4" w:space="0" w:color="606072"/>
              <w:left w:val="single" w:sz="4" w:space="0" w:color="606072"/>
              <w:bottom w:val="dotted" w:sz="4" w:space="0" w:color="606072"/>
              <w:right w:val="single" w:sz="4" w:space="0" w:color="606072"/>
            </w:tcBorders>
            <w:vAlign w:val="center"/>
            <w:hideMark/>
          </w:tcPr>
          <w:p w14:paraId="535733AB" w14:textId="08ED87D5"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3" w:type="pct"/>
            <w:tcBorders>
              <w:top w:val="single" w:sz="4" w:space="0" w:color="606072"/>
              <w:left w:val="single" w:sz="4" w:space="0" w:color="606072"/>
              <w:bottom w:val="dotted" w:sz="4" w:space="0" w:color="606072"/>
              <w:right w:val="single" w:sz="4" w:space="0" w:color="606072"/>
            </w:tcBorders>
            <w:vAlign w:val="center"/>
            <w:hideMark/>
          </w:tcPr>
          <w:p w14:paraId="5365F62B" w14:textId="6E67A8F3"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3" w:type="pct"/>
            <w:tcBorders>
              <w:top w:val="single" w:sz="4" w:space="0" w:color="606072"/>
              <w:left w:val="single" w:sz="4" w:space="0" w:color="606072"/>
              <w:bottom w:val="dotted" w:sz="4" w:space="0" w:color="606072"/>
              <w:right w:val="single" w:sz="4" w:space="0" w:color="606072"/>
            </w:tcBorders>
            <w:vAlign w:val="center"/>
            <w:hideMark/>
          </w:tcPr>
          <w:p w14:paraId="09A1C1AA" w14:textId="3405648A"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6" w:type="pct"/>
            <w:tcBorders>
              <w:top w:val="single" w:sz="4" w:space="0" w:color="606072"/>
              <w:left w:val="single" w:sz="4" w:space="0" w:color="606072"/>
              <w:bottom w:val="dotted" w:sz="4" w:space="0" w:color="606072"/>
              <w:right w:val="single" w:sz="4" w:space="0" w:color="606072"/>
            </w:tcBorders>
            <w:vAlign w:val="center"/>
            <w:hideMark/>
          </w:tcPr>
          <w:p w14:paraId="1D8F5BC5" w14:textId="372FA3B9" w:rsidR="001A3CB1"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r>
      <w:tr w:rsidR="00BF7BF2" w:rsidRPr="005060E0" w14:paraId="5B4E1643" w14:textId="77777777" w:rsidTr="00D41B9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bottom w:val="single" w:sz="4" w:space="0" w:color="606072"/>
              <w:right w:val="dotted" w:sz="4" w:space="0" w:color="606372" w:themeColor="text2"/>
            </w:tcBorders>
            <w:vAlign w:val="center"/>
            <w:hideMark/>
          </w:tcPr>
          <w:p w14:paraId="3044EC66" w14:textId="77777777" w:rsidR="001A3CB1" w:rsidRPr="005060E0" w:rsidRDefault="001A3CB1" w:rsidP="00081455">
            <w:pPr>
              <w:spacing w:after="0" w:line="240" w:lineRule="auto"/>
              <w:rPr>
                <w:rFonts w:cs="Arial"/>
                <w:sz w:val="16"/>
                <w:szCs w:val="16"/>
              </w:rPr>
            </w:pPr>
          </w:p>
        </w:tc>
        <w:tc>
          <w:tcPr>
            <w:tcW w:w="288" w:type="pct"/>
            <w:tcBorders>
              <w:top w:val="dotted" w:sz="4" w:space="0" w:color="606072"/>
              <w:left w:val="dotted" w:sz="4" w:space="0" w:color="606372" w:themeColor="text2"/>
              <w:bottom w:val="single" w:sz="4" w:space="0" w:color="606072"/>
              <w:right w:val="single" w:sz="4" w:space="0" w:color="606072"/>
            </w:tcBorders>
            <w:shd w:val="clear" w:color="auto" w:fill="D5E5FF"/>
            <w:vAlign w:val="center"/>
            <w:hideMark/>
          </w:tcPr>
          <w:p w14:paraId="5F2DDE38" w14:textId="77777777" w:rsidR="001A3CB1" w:rsidRPr="005060E0" w:rsidRDefault="001A3CB1"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20</w:t>
            </w:r>
          </w:p>
        </w:tc>
        <w:tc>
          <w:tcPr>
            <w:tcW w:w="543"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7DB2EA06" w14:textId="7A333F37" w:rsidR="001A3CB1"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621"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53C8E6A8" w14:textId="56E37500" w:rsidR="001A3CB1"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692"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5D45AC3F" w14:textId="4CE8540C" w:rsidR="001A3CB1"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54EDD855" w14:textId="30AE69E1" w:rsidR="001A3CB1"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439120DA" w14:textId="7991E935" w:rsidR="001A3CB1"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31A61B38" w14:textId="229894B1" w:rsidR="001A3CB1"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c>
          <w:tcPr>
            <w:tcW w:w="586"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4C6F0CE2" w14:textId="1C23309A" w:rsidR="001A3CB1"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1A3CB1" w:rsidRPr="005060E0">
              <w:rPr>
                <w:rFonts w:eastAsia="Times New Roman" w:cs="Arial"/>
                <w:color w:val="000000"/>
                <w:sz w:val="16"/>
                <w:szCs w:val="16"/>
                <w:lang w:eastAsia="en-AU"/>
              </w:rPr>
              <w:t>)</w:t>
            </w:r>
          </w:p>
        </w:tc>
      </w:tr>
    </w:tbl>
    <w:p w14:paraId="1B30F4B6" w14:textId="2D013DF1" w:rsidR="00354ADF" w:rsidRPr="005060E0" w:rsidRDefault="00354ADF" w:rsidP="00491E7C">
      <w:pPr>
        <w:pStyle w:val="PBTablecaption"/>
        <w:spacing w:before="480"/>
        <w:rPr>
          <w:rFonts w:eastAsia="Arial"/>
        </w:rPr>
      </w:pPr>
      <w:bookmarkStart w:id="117" w:name="_Ref507517788"/>
      <w:bookmarkStart w:id="118" w:name="_Ref508375736"/>
      <w:bookmarkStart w:id="119" w:name="_Toc508305351"/>
      <w:r w:rsidRPr="005060E0">
        <w:rPr>
          <w:rFonts w:cs="Arial"/>
        </w:rPr>
        <w:t xml:space="preserve">Table </w:t>
      </w:r>
      <w:r w:rsidRPr="005060E0">
        <w:rPr>
          <w:rFonts w:cs="Arial"/>
        </w:rPr>
        <w:fldChar w:fldCharType="begin"/>
      </w:r>
      <w:r w:rsidRPr="005060E0">
        <w:rPr>
          <w:rFonts w:cs="Arial"/>
        </w:rPr>
        <w:instrText xml:space="preserve"> STYLEREF 1 \s </w:instrText>
      </w:r>
      <w:r w:rsidRPr="005060E0">
        <w:rPr>
          <w:rFonts w:cs="Arial"/>
        </w:rPr>
        <w:fldChar w:fldCharType="separate"/>
      </w:r>
      <w:r w:rsidR="00F2067C">
        <w:rPr>
          <w:rFonts w:cs="Arial"/>
          <w:noProof/>
        </w:rPr>
        <w:t>6</w:t>
      </w:r>
      <w:r w:rsidRPr="005060E0">
        <w:rPr>
          <w:rFonts w:cs="Arial"/>
          <w:noProof/>
        </w:rPr>
        <w:fldChar w:fldCharType="end"/>
      </w:r>
      <w:r w:rsidRPr="005060E0">
        <w:rPr>
          <w:rFonts w:cs="Arial"/>
        </w:rPr>
        <w:noBreakHyphen/>
      </w:r>
      <w:r w:rsidRPr="005060E0">
        <w:rPr>
          <w:rFonts w:cs="Arial"/>
        </w:rPr>
        <w:fldChar w:fldCharType="begin"/>
      </w:r>
      <w:r w:rsidRPr="005060E0">
        <w:rPr>
          <w:rFonts w:cs="Arial"/>
        </w:rPr>
        <w:instrText xml:space="preserve"> SEQ Table \* ARABIC \s 1 </w:instrText>
      </w:r>
      <w:r w:rsidRPr="005060E0">
        <w:rPr>
          <w:rFonts w:cs="Arial"/>
        </w:rPr>
        <w:fldChar w:fldCharType="separate"/>
      </w:r>
      <w:r w:rsidR="00F2067C">
        <w:rPr>
          <w:rFonts w:cs="Arial"/>
          <w:noProof/>
        </w:rPr>
        <w:t>6</w:t>
      </w:r>
      <w:r w:rsidRPr="005060E0">
        <w:rPr>
          <w:rFonts w:cs="Arial"/>
          <w:noProof/>
        </w:rPr>
        <w:fldChar w:fldCharType="end"/>
      </w:r>
      <w:bookmarkEnd w:id="117"/>
      <w:bookmarkEnd w:id="118"/>
      <w:r w:rsidRPr="005060E0">
        <w:rPr>
          <w:rFonts w:cs="Arial"/>
        </w:rPr>
        <w:t xml:space="preserve">: </w:t>
      </w:r>
      <w:r w:rsidR="00975888" w:rsidRPr="005060E0">
        <w:rPr>
          <w:rFonts w:eastAsia="Arial" w:cs="Arial"/>
        </w:rPr>
        <w:t>Historical e</w:t>
      </w:r>
      <w:r w:rsidR="001A3CB1" w:rsidRPr="005060E0">
        <w:rPr>
          <w:rFonts w:eastAsia="Arial" w:cs="Arial"/>
        </w:rPr>
        <w:t>xceedances of</w:t>
      </w:r>
      <w:r w:rsidRPr="005060E0">
        <w:rPr>
          <w:rFonts w:eastAsia="Arial" w:cs="Arial"/>
        </w:rPr>
        <w:t xml:space="preserve"> current and proposed SO</w:t>
      </w:r>
      <w:r w:rsidRPr="005060E0">
        <w:rPr>
          <w:rFonts w:eastAsia="Arial" w:cs="Arial"/>
          <w:vertAlign w:val="subscript"/>
        </w:rPr>
        <w:t>2</w:t>
      </w:r>
      <w:r w:rsidRPr="005060E0">
        <w:rPr>
          <w:rFonts w:eastAsia="Arial" w:cs="Arial"/>
        </w:rPr>
        <w:t xml:space="preserve"> standards in regional centres</w:t>
      </w:r>
      <w:bookmarkEnd w:id="119"/>
    </w:p>
    <w:tbl>
      <w:tblPr>
        <w:tblStyle w:val="ListTable3-Accent13"/>
        <w:tblW w:w="5000" w:type="pct"/>
        <w:tblLook w:val="04A0" w:firstRow="1" w:lastRow="0" w:firstColumn="1" w:lastColumn="0" w:noHBand="0" w:noVBand="1"/>
      </w:tblPr>
      <w:tblGrid>
        <w:gridCol w:w="1047"/>
        <w:gridCol w:w="613"/>
        <w:gridCol w:w="1594"/>
        <w:gridCol w:w="1594"/>
        <w:gridCol w:w="1594"/>
        <w:gridCol w:w="1594"/>
        <w:gridCol w:w="1592"/>
      </w:tblGrid>
      <w:tr w:rsidR="00354ADF" w:rsidRPr="005060E0" w14:paraId="565F0FA5" w14:textId="77777777" w:rsidTr="00AB79EC">
        <w:trPr>
          <w:cnfStyle w:val="100000000000" w:firstRow="1" w:lastRow="0" w:firstColumn="0" w:lastColumn="0" w:oddVBand="0" w:evenVBand="0" w:oddHBand="0" w:evenHBand="0" w:firstRowFirstColumn="0" w:firstRowLastColumn="0" w:lastRowFirstColumn="0" w:lastRowLastColumn="0"/>
          <w:trHeight w:hRule="exact" w:val="399"/>
          <w:tblHeader/>
        </w:trPr>
        <w:tc>
          <w:tcPr>
            <w:cnfStyle w:val="001000000100" w:firstRow="0" w:lastRow="0" w:firstColumn="1" w:lastColumn="0" w:oddVBand="0" w:evenVBand="0" w:oddHBand="0" w:evenHBand="0" w:firstRowFirstColumn="1" w:firstRowLastColumn="0" w:lastRowFirstColumn="0" w:lastRowLastColumn="0"/>
            <w:tcW w:w="543" w:type="pct"/>
            <w:vMerge w:val="restart"/>
            <w:tcBorders>
              <w:top w:val="single" w:sz="4" w:space="0" w:color="606072"/>
              <w:left w:val="single" w:sz="4" w:space="0" w:color="606072"/>
              <w:bottom w:val="single" w:sz="4" w:space="0" w:color="606072"/>
            </w:tcBorders>
            <w:shd w:val="clear" w:color="auto" w:fill="606072"/>
            <w:vAlign w:val="center"/>
            <w:hideMark/>
          </w:tcPr>
          <w:p w14:paraId="40289D98" w14:textId="77777777" w:rsidR="00354ADF" w:rsidRPr="005060E0" w:rsidRDefault="00354ADF" w:rsidP="00081455">
            <w:pPr>
              <w:spacing w:after="0" w:line="240" w:lineRule="auto"/>
              <w:jc w:val="center"/>
              <w:rPr>
                <w:rFonts w:cs="Arial"/>
                <w:b w:val="0"/>
                <w:color w:val="FFFFFF" w:themeColor="background1"/>
                <w:sz w:val="16"/>
                <w:szCs w:val="16"/>
              </w:rPr>
            </w:pPr>
            <w:r w:rsidRPr="005060E0">
              <w:rPr>
                <w:rFonts w:cs="Arial"/>
                <w:b w:val="0"/>
                <w:color w:val="FFFFFF" w:themeColor="background1"/>
                <w:sz w:val="16"/>
                <w:szCs w:val="16"/>
              </w:rPr>
              <w:t>Standard</w:t>
            </w:r>
          </w:p>
        </w:tc>
        <w:tc>
          <w:tcPr>
            <w:tcW w:w="318" w:type="pct"/>
            <w:tcBorders>
              <w:top w:val="single" w:sz="4" w:space="0" w:color="606072"/>
              <w:left w:val="nil"/>
              <w:bottom w:val="single" w:sz="4" w:space="0" w:color="606072"/>
              <w:right w:val="nil"/>
            </w:tcBorders>
            <w:shd w:val="clear" w:color="auto" w:fill="606072"/>
          </w:tcPr>
          <w:p w14:paraId="7132A1E3" w14:textId="77777777" w:rsidR="00354ADF" w:rsidRPr="005060E0" w:rsidRDefault="00354ADF" w:rsidP="00081455">
            <w:pPr>
              <w:spacing w:after="0" w:line="240" w:lineRule="auto"/>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szCs w:val="16"/>
              </w:rPr>
            </w:pPr>
          </w:p>
        </w:tc>
        <w:tc>
          <w:tcPr>
            <w:tcW w:w="4139" w:type="pct"/>
            <w:gridSpan w:val="5"/>
            <w:tcBorders>
              <w:top w:val="single" w:sz="4" w:space="0" w:color="606072"/>
              <w:left w:val="nil"/>
              <w:bottom w:val="single" w:sz="4" w:space="0" w:color="606072"/>
              <w:right w:val="single" w:sz="4" w:space="0" w:color="606072"/>
            </w:tcBorders>
            <w:shd w:val="clear" w:color="auto" w:fill="606072"/>
            <w:vAlign w:val="center"/>
            <w:hideMark/>
          </w:tcPr>
          <w:p w14:paraId="3E798138" w14:textId="1203CF49" w:rsidR="00354ADF" w:rsidRPr="005060E0" w:rsidRDefault="00975888" w:rsidP="0008145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cs="Arial"/>
                <w:b w:val="0"/>
                <w:color w:val="FFFFFF" w:themeColor="background1"/>
                <w:sz w:val="16"/>
                <w:szCs w:val="16"/>
              </w:rPr>
              <w:t>E</w:t>
            </w:r>
            <w:r w:rsidR="00354ADF" w:rsidRPr="005060E0">
              <w:rPr>
                <w:rFonts w:cs="Arial"/>
                <w:b w:val="0"/>
                <w:color w:val="FFFFFF" w:themeColor="background1"/>
                <w:sz w:val="16"/>
                <w:szCs w:val="16"/>
              </w:rPr>
              <w:t>xceedance</w:t>
            </w:r>
            <w:r w:rsidR="001A3CB1" w:rsidRPr="005060E0">
              <w:rPr>
                <w:rFonts w:cs="Arial"/>
                <w:b w:val="0"/>
                <w:color w:val="FFFFFF" w:themeColor="background1"/>
                <w:sz w:val="16"/>
                <w:szCs w:val="16"/>
              </w:rPr>
              <w:t xml:space="preserve">s </w:t>
            </w:r>
            <w:r w:rsidR="00354ADF" w:rsidRPr="005060E0">
              <w:rPr>
                <w:rFonts w:cs="Arial"/>
                <w:b w:val="0"/>
                <w:color w:val="FFFFFF" w:themeColor="background1"/>
                <w:sz w:val="16"/>
                <w:szCs w:val="16"/>
              </w:rPr>
              <w:t>between 2003 and 2016 (2010</w:t>
            </w:r>
            <w:r w:rsidR="00DF4D3A" w:rsidRPr="005060E0">
              <w:rPr>
                <w:rFonts w:cs="Arial"/>
                <w:b w:val="0"/>
                <w:color w:val="FFFFFF" w:themeColor="background1"/>
                <w:sz w:val="16"/>
                <w:szCs w:val="16"/>
              </w:rPr>
              <w:t>–20</w:t>
            </w:r>
            <w:r w:rsidR="00354ADF" w:rsidRPr="005060E0">
              <w:rPr>
                <w:rFonts w:cs="Arial"/>
                <w:b w:val="0"/>
                <w:color w:val="FFFFFF" w:themeColor="background1"/>
                <w:sz w:val="16"/>
                <w:szCs w:val="16"/>
              </w:rPr>
              <w:t xml:space="preserve">14 in brackets) </w:t>
            </w:r>
          </w:p>
        </w:tc>
      </w:tr>
      <w:tr w:rsidR="00354ADF" w:rsidRPr="005060E0" w14:paraId="00DDC627" w14:textId="77777777" w:rsidTr="00AB79EC">
        <w:trPr>
          <w:cnfStyle w:val="100000000000" w:firstRow="1" w:lastRow="0" w:firstColumn="0" w:lastColumn="0" w:oddVBand="0" w:evenVBand="0" w:oddHBand="0" w:evenHBand="0" w:firstRowFirstColumn="0" w:firstRowLastColumn="0" w:lastRowFirstColumn="0" w:lastRowLastColumn="0"/>
          <w:trHeight w:hRule="exact" w:val="562"/>
          <w:tblHeader/>
        </w:trPr>
        <w:tc>
          <w:tcPr>
            <w:cnfStyle w:val="001000000100" w:firstRow="0" w:lastRow="0" w:firstColumn="1" w:lastColumn="0" w:oddVBand="0" w:evenVBand="0" w:oddHBand="0" w:evenHBand="0" w:firstRowFirstColumn="1" w:firstRowLastColumn="0" w:lastRowFirstColumn="0" w:lastRowLastColumn="0"/>
            <w:tcW w:w="0" w:type="auto"/>
            <w:vMerge/>
            <w:tcBorders>
              <w:top w:val="single" w:sz="4" w:space="0" w:color="606072"/>
              <w:left w:val="single" w:sz="4" w:space="0" w:color="606072"/>
              <w:bottom w:val="single" w:sz="4" w:space="0" w:color="606072"/>
            </w:tcBorders>
            <w:vAlign w:val="center"/>
            <w:hideMark/>
          </w:tcPr>
          <w:p w14:paraId="17E7FFAA" w14:textId="77777777" w:rsidR="00354ADF" w:rsidRPr="005060E0" w:rsidRDefault="00354ADF" w:rsidP="00081455">
            <w:pPr>
              <w:spacing w:after="0" w:line="240" w:lineRule="auto"/>
              <w:rPr>
                <w:rFonts w:cs="Arial"/>
                <w:color w:val="FFFFFF" w:themeColor="background1"/>
                <w:sz w:val="16"/>
                <w:szCs w:val="16"/>
              </w:rPr>
            </w:pPr>
          </w:p>
        </w:tc>
        <w:tc>
          <w:tcPr>
            <w:tcW w:w="318" w:type="pct"/>
            <w:tcBorders>
              <w:top w:val="single" w:sz="4" w:space="0" w:color="606072"/>
              <w:left w:val="nil"/>
              <w:bottom w:val="single" w:sz="4" w:space="0" w:color="606072"/>
              <w:right w:val="nil"/>
            </w:tcBorders>
            <w:shd w:val="clear" w:color="auto" w:fill="606072"/>
          </w:tcPr>
          <w:p w14:paraId="3A47E49D" w14:textId="77777777" w:rsidR="00354ADF" w:rsidRPr="005060E0" w:rsidRDefault="00354ADF" w:rsidP="00081455">
            <w:pPr>
              <w:spacing w:after="0" w:line="240" w:lineRule="auto"/>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szCs w:val="16"/>
              </w:rPr>
            </w:pPr>
          </w:p>
        </w:tc>
        <w:tc>
          <w:tcPr>
            <w:tcW w:w="828" w:type="pct"/>
            <w:tcBorders>
              <w:top w:val="single" w:sz="4" w:space="0" w:color="606072"/>
              <w:left w:val="nil"/>
              <w:bottom w:val="single" w:sz="4" w:space="0" w:color="606072"/>
              <w:right w:val="nil"/>
            </w:tcBorders>
            <w:shd w:val="clear" w:color="auto" w:fill="606072"/>
            <w:vAlign w:val="center"/>
            <w:hideMark/>
          </w:tcPr>
          <w:p w14:paraId="731A3C4A" w14:textId="77777777" w:rsidR="00354ADF" w:rsidRPr="005060E0" w:rsidRDefault="00354ADF" w:rsidP="0008145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1"/>
                <w:sz w:val="16"/>
                <w:szCs w:val="16"/>
                <w:lang w:eastAsia="en-AU"/>
              </w:rPr>
            </w:pPr>
            <w:r w:rsidRPr="005060E0">
              <w:rPr>
                <w:rFonts w:eastAsia="Times New Roman" w:cs="Arial"/>
                <w:b w:val="0"/>
                <w:color w:val="FFFFFF" w:themeColor="background1"/>
                <w:sz w:val="16"/>
                <w:szCs w:val="16"/>
                <w:lang w:eastAsia="en-AU"/>
              </w:rPr>
              <w:t>NSW:</w:t>
            </w:r>
          </w:p>
          <w:p w14:paraId="5087DA3E" w14:textId="77777777" w:rsidR="00354ADF" w:rsidRPr="005060E0" w:rsidRDefault="00354ADF" w:rsidP="0008145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Newcastle</w:t>
            </w:r>
          </w:p>
        </w:tc>
        <w:tc>
          <w:tcPr>
            <w:tcW w:w="828" w:type="pct"/>
            <w:tcBorders>
              <w:top w:val="single" w:sz="4" w:space="0" w:color="606072"/>
              <w:left w:val="nil"/>
              <w:bottom w:val="single" w:sz="4" w:space="0" w:color="606072"/>
              <w:right w:val="nil"/>
            </w:tcBorders>
            <w:shd w:val="clear" w:color="auto" w:fill="606072"/>
            <w:vAlign w:val="center"/>
            <w:hideMark/>
          </w:tcPr>
          <w:p w14:paraId="06CC6401" w14:textId="32158BCC" w:rsidR="00354ADF" w:rsidRPr="005060E0" w:rsidRDefault="00354ADF" w:rsidP="0008145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 xml:space="preserve">NSW: </w:t>
            </w:r>
            <w:r w:rsidR="00AB79EC">
              <w:rPr>
                <w:rFonts w:eastAsia="Times New Roman" w:cs="Arial"/>
                <w:b w:val="0"/>
                <w:color w:val="FFFFFF" w:themeColor="background1"/>
                <w:sz w:val="16"/>
                <w:szCs w:val="16"/>
                <w:lang w:eastAsia="en-AU"/>
              </w:rPr>
              <w:br/>
            </w:r>
            <w:r w:rsidRPr="005060E0">
              <w:rPr>
                <w:rFonts w:eastAsia="Times New Roman" w:cs="Arial"/>
                <w:b w:val="0"/>
                <w:color w:val="FFFFFF" w:themeColor="background1"/>
                <w:sz w:val="16"/>
                <w:szCs w:val="16"/>
                <w:lang w:eastAsia="en-AU"/>
              </w:rPr>
              <w:t>Wollongong</w:t>
            </w:r>
          </w:p>
        </w:tc>
        <w:tc>
          <w:tcPr>
            <w:tcW w:w="828" w:type="pct"/>
            <w:tcBorders>
              <w:top w:val="single" w:sz="4" w:space="0" w:color="606072"/>
              <w:left w:val="nil"/>
              <w:bottom w:val="single" w:sz="4" w:space="0" w:color="606072"/>
              <w:right w:val="nil"/>
            </w:tcBorders>
            <w:shd w:val="clear" w:color="auto" w:fill="606072"/>
            <w:vAlign w:val="center"/>
            <w:hideMark/>
          </w:tcPr>
          <w:p w14:paraId="6A2527EB" w14:textId="07A07783" w:rsidR="00354ADF" w:rsidRPr="005060E0" w:rsidRDefault="00354ADF" w:rsidP="0008145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 xml:space="preserve">VIC: </w:t>
            </w:r>
            <w:r w:rsidR="00AB79EC">
              <w:rPr>
                <w:rFonts w:eastAsia="Times New Roman" w:cs="Arial"/>
                <w:b w:val="0"/>
                <w:color w:val="FFFFFF" w:themeColor="background1"/>
                <w:sz w:val="16"/>
                <w:szCs w:val="16"/>
                <w:lang w:eastAsia="en-AU"/>
              </w:rPr>
              <w:br/>
            </w:r>
            <w:r w:rsidRPr="005060E0">
              <w:rPr>
                <w:rFonts w:eastAsia="Times New Roman" w:cs="Arial"/>
                <w:b w:val="0"/>
                <w:color w:val="FFFFFF" w:themeColor="background1"/>
                <w:sz w:val="16"/>
                <w:szCs w:val="16"/>
                <w:lang w:eastAsia="en-AU"/>
              </w:rPr>
              <w:t>Latrobe Valley</w:t>
            </w:r>
          </w:p>
        </w:tc>
        <w:tc>
          <w:tcPr>
            <w:tcW w:w="828" w:type="pct"/>
            <w:tcBorders>
              <w:top w:val="single" w:sz="4" w:space="0" w:color="606072"/>
              <w:left w:val="nil"/>
              <w:bottom w:val="single" w:sz="4" w:space="0" w:color="606072"/>
              <w:right w:val="nil"/>
            </w:tcBorders>
            <w:shd w:val="clear" w:color="auto" w:fill="606072"/>
            <w:vAlign w:val="center"/>
            <w:hideMark/>
          </w:tcPr>
          <w:p w14:paraId="2E794CFF" w14:textId="7FA0E0B8" w:rsidR="00354ADF" w:rsidRPr="005060E0" w:rsidRDefault="00354ADF" w:rsidP="0008145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 xml:space="preserve">QLD: </w:t>
            </w:r>
            <w:r w:rsidR="00AB79EC">
              <w:rPr>
                <w:rFonts w:eastAsia="Times New Roman" w:cs="Arial"/>
                <w:b w:val="0"/>
                <w:color w:val="FFFFFF" w:themeColor="background1"/>
                <w:sz w:val="16"/>
                <w:szCs w:val="16"/>
                <w:lang w:eastAsia="en-AU"/>
              </w:rPr>
              <w:br/>
            </w:r>
            <w:r w:rsidRPr="005060E0">
              <w:rPr>
                <w:rFonts w:eastAsia="Times New Roman" w:cs="Arial"/>
                <w:b w:val="0"/>
                <w:color w:val="FFFFFF" w:themeColor="background1"/>
                <w:sz w:val="16"/>
                <w:szCs w:val="16"/>
                <w:lang w:eastAsia="en-AU"/>
              </w:rPr>
              <w:t>Townsville</w:t>
            </w:r>
          </w:p>
        </w:tc>
        <w:tc>
          <w:tcPr>
            <w:tcW w:w="828" w:type="pct"/>
            <w:tcBorders>
              <w:top w:val="single" w:sz="4" w:space="0" w:color="606072"/>
              <w:left w:val="nil"/>
              <w:bottom w:val="single" w:sz="4" w:space="0" w:color="606072"/>
              <w:right w:val="single" w:sz="4" w:space="0" w:color="606072"/>
            </w:tcBorders>
            <w:shd w:val="clear" w:color="auto" w:fill="606072"/>
            <w:vAlign w:val="center"/>
            <w:hideMark/>
          </w:tcPr>
          <w:p w14:paraId="7E8B9851" w14:textId="77777777" w:rsidR="00354ADF" w:rsidRPr="005060E0" w:rsidRDefault="00354ADF" w:rsidP="0008145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1"/>
                <w:sz w:val="16"/>
                <w:szCs w:val="16"/>
                <w:lang w:eastAsia="en-AU"/>
              </w:rPr>
            </w:pPr>
            <w:r w:rsidRPr="005060E0">
              <w:rPr>
                <w:rFonts w:eastAsia="Times New Roman" w:cs="Arial"/>
                <w:b w:val="0"/>
                <w:color w:val="FFFFFF" w:themeColor="background1"/>
                <w:sz w:val="16"/>
                <w:szCs w:val="16"/>
                <w:lang w:eastAsia="en-AU"/>
              </w:rPr>
              <w:t>QLD:</w:t>
            </w:r>
          </w:p>
          <w:p w14:paraId="4C5F58C8" w14:textId="77777777" w:rsidR="00354ADF" w:rsidRPr="005060E0" w:rsidRDefault="00354ADF" w:rsidP="0008145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Gladstone</w:t>
            </w:r>
          </w:p>
        </w:tc>
      </w:tr>
      <w:tr w:rsidR="00E14FA0" w:rsidRPr="005060E0" w14:paraId="6E3B44AA" w14:textId="77777777" w:rsidTr="00AB79E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43" w:type="pct"/>
            <w:vMerge w:val="restart"/>
            <w:tcBorders>
              <w:top w:val="single" w:sz="4" w:space="0" w:color="606072"/>
              <w:left w:val="single" w:sz="4" w:space="0" w:color="606072"/>
              <w:right w:val="dotted" w:sz="4" w:space="0" w:color="606372" w:themeColor="text2"/>
            </w:tcBorders>
            <w:vAlign w:val="center"/>
          </w:tcPr>
          <w:p w14:paraId="72E9EBE3" w14:textId="6EC7A76B" w:rsidR="00E14FA0" w:rsidRPr="005060E0" w:rsidRDefault="00E14FA0" w:rsidP="00081455">
            <w:pPr>
              <w:spacing w:after="0" w:line="240" w:lineRule="auto"/>
              <w:jc w:val="center"/>
              <w:rPr>
                <w:rFonts w:cs="Arial"/>
                <w:sz w:val="16"/>
                <w:szCs w:val="16"/>
              </w:rPr>
            </w:pPr>
            <w:r w:rsidRPr="005060E0">
              <w:rPr>
                <w:rFonts w:cs="Arial"/>
                <w:b w:val="0"/>
                <w:sz w:val="16"/>
                <w:szCs w:val="16"/>
              </w:rPr>
              <w:t>1-hour</w:t>
            </w:r>
          </w:p>
        </w:tc>
        <w:tc>
          <w:tcPr>
            <w:tcW w:w="318" w:type="pct"/>
            <w:tcBorders>
              <w:top w:val="single" w:sz="4" w:space="0" w:color="606072"/>
              <w:left w:val="dotted" w:sz="4" w:space="0" w:color="606372" w:themeColor="text2"/>
              <w:bottom w:val="dotted" w:sz="4" w:space="0" w:color="606072"/>
              <w:right w:val="single" w:sz="4" w:space="0" w:color="606072"/>
            </w:tcBorders>
            <w:vAlign w:val="center"/>
          </w:tcPr>
          <w:p w14:paraId="130B4EFD" w14:textId="77777777" w:rsidR="00E14FA0" w:rsidRPr="005060E0" w:rsidRDefault="00E14FA0"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39" w:type="pct"/>
            <w:gridSpan w:val="5"/>
            <w:tcBorders>
              <w:top w:val="single" w:sz="4" w:space="0" w:color="606072"/>
              <w:left w:val="single" w:sz="4" w:space="0" w:color="606072"/>
              <w:bottom w:val="dotted" w:sz="4" w:space="0" w:color="606072"/>
              <w:right w:val="single" w:sz="4" w:space="0" w:color="606072"/>
            </w:tcBorders>
            <w:shd w:val="clear" w:color="auto" w:fill="BFBFBF" w:themeFill="background1" w:themeFillShade="BF"/>
            <w:vAlign w:val="center"/>
          </w:tcPr>
          <w:p w14:paraId="7DB39A81" w14:textId="52D0955E" w:rsidR="00E14FA0" w:rsidRPr="005060E0" w:rsidRDefault="005C5828" w:rsidP="00CE591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5060E0">
              <w:rPr>
                <w:rFonts w:cs="Arial"/>
                <w:sz w:val="16"/>
                <w:szCs w:val="16"/>
              </w:rPr>
              <w:t>Total number of unique exceedance days</w:t>
            </w:r>
          </w:p>
        </w:tc>
      </w:tr>
      <w:tr w:rsidR="00E14FA0" w:rsidRPr="005060E0" w14:paraId="239B32C9" w14:textId="77777777" w:rsidTr="00AB79EC">
        <w:trPr>
          <w:trHeight w:hRule="exact" w:val="340"/>
        </w:trPr>
        <w:tc>
          <w:tcPr>
            <w:cnfStyle w:val="001000000000" w:firstRow="0" w:lastRow="0" w:firstColumn="1" w:lastColumn="0" w:oddVBand="0" w:evenVBand="0" w:oddHBand="0" w:evenHBand="0" w:firstRowFirstColumn="0" w:firstRowLastColumn="0" w:lastRowFirstColumn="0" w:lastRowLastColumn="0"/>
            <w:tcW w:w="543" w:type="pct"/>
            <w:vMerge/>
            <w:tcBorders>
              <w:left w:val="single" w:sz="4" w:space="0" w:color="606072"/>
              <w:right w:val="dotted" w:sz="4" w:space="0" w:color="606372" w:themeColor="text2"/>
            </w:tcBorders>
            <w:vAlign w:val="center"/>
            <w:hideMark/>
          </w:tcPr>
          <w:p w14:paraId="5707834F" w14:textId="6B7125E5" w:rsidR="00E14FA0" w:rsidRPr="005060E0" w:rsidRDefault="00E14FA0" w:rsidP="00081455">
            <w:pPr>
              <w:spacing w:after="0" w:line="240" w:lineRule="auto"/>
              <w:jc w:val="center"/>
              <w:rPr>
                <w:rFonts w:cs="Arial"/>
                <w:b w:val="0"/>
                <w:sz w:val="16"/>
                <w:szCs w:val="16"/>
              </w:rPr>
            </w:pPr>
          </w:p>
        </w:tc>
        <w:tc>
          <w:tcPr>
            <w:tcW w:w="318" w:type="pct"/>
            <w:tcBorders>
              <w:top w:val="single" w:sz="4" w:space="0" w:color="606072"/>
              <w:left w:val="dotted" w:sz="4" w:space="0" w:color="606372" w:themeColor="text2"/>
              <w:bottom w:val="dotted" w:sz="4" w:space="0" w:color="606072"/>
              <w:right w:val="single" w:sz="4" w:space="0" w:color="606072"/>
            </w:tcBorders>
            <w:vAlign w:val="center"/>
            <w:hideMark/>
          </w:tcPr>
          <w:p w14:paraId="56454FEE" w14:textId="77777777" w:rsidR="00E14FA0" w:rsidRPr="005060E0" w:rsidRDefault="00E14FA0"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75</w:t>
            </w:r>
          </w:p>
        </w:tc>
        <w:tc>
          <w:tcPr>
            <w:tcW w:w="828" w:type="pct"/>
            <w:tcBorders>
              <w:top w:val="single" w:sz="4" w:space="0" w:color="606072"/>
              <w:left w:val="single" w:sz="4" w:space="0" w:color="606072"/>
              <w:bottom w:val="dotted" w:sz="4" w:space="0" w:color="606072"/>
              <w:right w:val="single" w:sz="4" w:space="0" w:color="606072"/>
            </w:tcBorders>
            <w:vAlign w:val="center"/>
            <w:hideMark/>
          </w:tcPr>
          <w:p w14:paraId="3C1847C9" w14:textId="1EC46CA8" w:rsidR="00E14FA0"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c>
          <w:tcPr>
            <w:tcW w:w="828" w:type="pct"/>
            <w:tcBorders>
              <w:top w:val="single" w:sz="4" w:space="0" w:color="606072"/>
              <w:left w:val="single" w:sz="4" w:space="0" w:color="606072"/>
              <w:bottom w:val="dotted" w:sz="4" w:space="0" w:color="606072"/>
              <w:right w:val="single" w:sz="4" w:space="0" w:color="606072"/>
            </w:tcBorders>
            <w:vAlign w:val="center"/>
            <w:hideMark/>
          </w:tcPr>
          <w:p w14:paraId="0A86BA32" w14:textId="59C959DC" w:rsidR="00E14FA0" w:rsidRPr="005060E0" w:rsidRDefault="00E14FA0"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1 (</w:t>
            </w:r>
            <w:r w:rsidR="00491E7C" w:rsidRPr="005060E0">
              <w:rPr>
                <w:rFonts w:eastAsia="Times New Roman" w:cs="Arial"/>
                <w:color w:val="000000"/>
                <w:sz w:val="16"/>
                <w:szCs w:val="16"/>
                <w:lang w:eastAsia="en-AU"/>
              </w:rPr>
              <w:t>–</w:t>
            </w:r>
            <w:r w:rsidRPr="005060E0">
              <w:rPr>
                <w:rFonts w:eastAsia="Times New Roman" w:cs="Arial"/>
                <w:color w:val="000000"/>
                <w:sz w:val="16"/>
                <w:szCs w:val="16"/>
                <w:lang w:eastAsia="en-AU"/>
              </w:rPr>
              <w:t>)</w:t>
            </w:r>
          </w:p>
        </w:tc>
        <w:tc>
          <w:tcPr>
            <w:tcW w:w="828" w:type="pct"/>
            <w:tcBorders>
              <w:top w:val="single" w:sz="4" w:space="0" w:color="606072"/>
              <w:left w:val="single" w:sz="4" w:space="0" w:color="606072"/>
              <w:bottom w:val="dotted" w:sz="4" w:space="0" w:color="606072"/>
              <w:right w:val="single" w:sz="4" w:space="0" w:color="606072"/>
            </w:tcBorders>
            <w:vAlign w:val="center"/>
            <w:hideMark/>
          </w:tcPr>
          <w:p w14:paraId="6DA1D146" w14:textId="77777777" w:rsidR="00E14FA0" w:rsidRPr="005060E0" w:rsidRDefault="00E14FA0"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9 (2)</w:t>
            </w:r>
          </w:p>
        </w:tc>
        <w:tc>
          <w:tcPr>
            <w:tcW w:w="828" w:type="pct"/>
            <w:tcBorders>
              <w:top w:val="single" w:sz="4" w:space="0" w:color="606072"/>
              <w:left w:val="single" w:sz="4" w:space="0" w:color="606072"/>
              <w:bottom w:val="dotted" w:sz="4" w:space="0" w:color="606072"/>
              <w:right w:val="single" w:sz="4" w:space="0" w:color="606072"/>
            </w:tcBorders>
            <w:vAlign w:val="center"/>
            <w:hideMark/>
          </w:tcPr>
          <w:p w14:paraId="73E664B6" w14:textId="060E2B50" w:rsidR="00E14FA0"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c>
          <w:tcPr>
            <w:tcW w:w="828" w:type="pct"/>
            <w:tcBorders>
              <w:top w:val="single" w:sz="4" w:space="0" w:color="606072"/>
              <w:left w:val="single" w:sz="4" w:space="0" w:color="606072"/>
              <w:bottom w:val="dotted" w:sz="4" w:space="0" w:color="606072"/>
              <w:right w:val="single" w:sz="4" w:space="0" w:color="606072"/>
            </w:tcBorders>
            <w:vAlign w:val="center"/>
            <w:hideMark/>
          </w:tcPr>
          <w:p w14:paraId="68B284BD" w14:textId="77777777" w:rsidR="00E14FA0" w:rsidRPr="005060E0" w:rsidRDefault="00E14FA0"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9 (1)</w:t>
            </w:r>
          </w:p>
        </w:tc>
      </w:tr>
      <w:tr w:rsidR="00E14FA0" w:rsidRPr="005060E0" w14:paraId="3B113B98" w14:textId="77777777" w:rsidTr="00AB79E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right w:val="dotted" w:sz="4" w:space="0" w:color="606372" w:themeColor="text2"/>
            </w:tcBorders>
            <w:vAlign w:val="center"/>
            <w:hideMark/>
          </w:tcPr>
          <w:p w14:paraId="13F8009F" w14:textId="77777777" w:rsidR="00E14FA0" w:rsidRPr="005060E0" w:rsidRDefault="00E14FA0" w:rsidP="00081455">
            <w:pPr>
              <w:spacing w:after="0" w:line="240" w:lineRule="auto"/>
              <w:rPr>
                <w:rFonts w:cs="Arial"/>
                <w:sz w:val="16"/>
                <w:szCs w:val="16"/>
              </w:rPr>
            </w:pPr>
          </w:p>
        </w:tc>
        <w:tc>
          <w:tcPr>
            <w:tcW w:w="318" w:type="pct"/>
            <w:tcBorders>
              <w:top w:val="dotted" w:sz="4" w:space="0" w:color="606072"/>
              <w:left w:val="dotted" w:sz="4" w:space="0" w:color="606372" w:themeColor="text2"/>
              <w:bottom w:val="dotted" w:sz="4" w:space="0" w:color="606072"/>
              <w:right w:val="single" w:sz="4" w:space="0" w:color="606072"/>
            </w:tcBorders>
            <w:vAlign w:val="center"/>
            <w:hideMark/>
          </w:tcPr>
          <w:p w14:paraId="2C3C7EB2" w14:textId="77777777" w:rsidR="00E14FA0" w:rsidRPr="005060E0" w:rsidRDefault="00E14FA0"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100</w:t>
            </w:r>
          </w:p>
        </w:tc>
        <w:tc>
          <w:tcPr>
            <w:tcW w:w="828" w:type="pct"/>
            <w:tcBorders>
              <w:top w:val="dotted" w:sz="4" w:space="0" w:color="606072"/>
              <w:left w:val="single" w:sz="4" w:space="0" w:color="606072"/>
              <w:bottom w:val="dotted" w:sz="4" w:space="0" w:color="606072"/>
              <w:right w:val="single" w:sz="4" w:space="0" w:color="606072"/>
            </w:tcBorders>
            <w:vAlign w:val="center"/>
            <w:hideMark/>
          </w:tcPr>
          <w:p w14:paraId="27D54F94" w14:textId="4B437C19" w:rsidR="00E14FA0"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dotted" w:sz="4" w:space="0" w:color="606072"/>
              <w:right w:val="single" w:sz="4" w:space="0" w:color="606072"/>
            </w:tcBorders>
            <w:vAlign w:val="center"/>
            <w:hideMark/>
          </w:tcPr>
          <w:p w14:paraId="3D5A9D3C" w14:textId="0DD6C48B" w:rsidR="00E14FA0"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dotted" w:sz="4" w:space="0" w:color="606072"/>
              <w:right w:val="single" w:sz="4" w:space="0" w:color="606072"/>
            </w:tcBorders>
            <w:vAlign w:val="center"/>
            <w:hideMark/>
          </w:tcPr>
          <w:p w14:paraId="584ED0AD" w14:textId="77777777" w:rsidR="00E14FA0" w:rsidRPr="005060E0" w:rsidRDefault="00E14FA0"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3 (1)</w:t>
            </w:r>
          </w:p>
        </w:tc>
        <w:tc>
          <w:tcPr>
            <w:tcW w:w="828" w:type="pct"/>
            <w:tcBorders>
              <w:top w:val="dotted" w:sz="4" w:space="0" w:color="606072"/>
              <w:left w:val="single" w:sz="4" w:space="0" w:color="606072"/>
              <w:bottom w:val="dotted" w:sz="4" w:space="0" w:color="606072"/>
              <w:right w:val="single" w:sz="4" w:space="0" w:color="606072"/>
            </w:tcBorders>
            <w:vAlign w:val="center"/>
            <w:hideMark/>
          </w:tcPr>
          <w:p w14:paraId="62A85A6E" w14:textId="1DB3CF6D" w:rsidR="00E14FA0"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dotted" w:sz="4" w:space="0" w:color="606072"/>
              <w:right w:val="single" w:sz="4" w:space="0" w:color="606072"/>
            </w:tcBorders>
            <w:vAlign w:val="center"/>
            <w:hideMark/>
          </w:tcPr>
          <w:p w14:paraId="6FA22924" w14:textId="04D82896" w:rsidR="00E14FA0"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r>
      <w:tr w:rsidR="00E14FA0" w:rsidRPr="005060E0" w14:paraId="1E311550" w14:textId="77777777" w:rsidTr="00AB79EC">
        <w:trPr>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right w:val="dotted" w:sz="4" w:space="0" w:color="606372" w:themeColor="text2"/>
            </w:tcBorders>
            <w:vAlign w:val="center"/>
            <w:hideMark/>
          </w:tcPr>
          <w:p w14:paraId="1F281741" w14:textId="77777777" w:rsidR="00E14FA0" w:rsidRPr="005060E0" w:rsidRDefault="00E14FA0" w:rsidP="00081455">
            <w:pPr>
              <w:spacing w:after="0" w:line="240" w:lineRule="auto"/>
              <w:rPr>
                <w:rFonts w:cs="Arial"/>
                <w:sz w:val="16"/>
                <w:szCs w:val="16"/>
              </w:rPr>
            </w:pPr>
          </w:p>
        </w:tc>
        <w:tc>
          <w:tcPr>
            <w:tcW w:w="318" w:type="pct"/>
            <w:tcBorders>
              <w:top w:val="dotted" w:sz="4" w:space="0" w:color="606072"/>
              <w:left w:val="dotted" w:sz="4" w:space="0" w:color="606372" w:themeColor="text2"/>
              <w:bottom w:val="dotted" w:sz="4" w:space="0" w:color="606072"/>
              <w:right w:val="single" w:sz="4" w:space="0" w:color="606072"/>
            </w:tcBorders>
            <w:vAlign w:val="center"/>
            <w:hideMark/>
          </w:tcPr>
          <w:p w14:paraId="6010D4B4" w14:textId="77777777" w:rsidR="00E14FA0" w:rsidRPr="005060E0" w:rsidRDefault="00E14FA0"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150</w:t>
            </w:r>
          </w:p>
        </w:tc>
        <w:tc>
          <w:tcPr>
            <w:tcW w:w="828" w:type="pct"/>
            <w:tcBorders>
              <w:top w:val="dotted" w:sz="4" w:space="0" w:color="606072"/>
              <w:left w:val="single" w:sz="4" w:space="0" w:color="606072"/>
              <w:bottom w:val="dotted" w:sz="4" w:space="0" w:color="606072"/>
              <w:right w:val="single" w:sz="4" w:space="0" w:color="606072"/>
            </w:tcBorders>
            <w:vAlign w:val="center"/>
            <w:hideMark/>
          </w:tcPr>
          <w:p w14:paraId="00BCF129" w14:textId="1B21073C" w:rsidR="00E14FA0"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dotted" w:sz="4" w:space="0" w:color="606072"/>
              <w:right w:val="single" w:sz="4" w:space="0" w:color="606072"/>
            </w:tcBorders>
            <w:vAlign w:val="center"/>
            <w:hideMark/>
          </w:tcPr>
          <w:p w14:paraId="6B7C575B" w14:textId="54FA0DA6" w:rsidR="00E14FA0"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dotted" w:sz="4" w:space="0" w:color="606072"/>
              <w:right w:val="single" w:sz="4" w:space="0" w:color="606072"/>
            </w:tcBorders>
            <w:vAlign w:val="center"/>
            <w:hideMark/>
          </w:tcPr>
          <w:p w14:paraId="1C30375F" w14:textId="19DCD245" w:rsidR="00E14FA0" w:rsidRPr="005060E0" w:rsidRDefault="00E14FA0"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1 (</w:t>
            </w:r>
            <w:r w:rsidR="00491E7C" w:rsidRPr="005060E0">
              <w:rPr>
                <w:rFonts w:eastAsia="Times New Roman" w:cs="Arial"/>
                <w:color w:val="000000"/>
                <w:sz w:val="16"/>
                <w:szCs w:val="16"/>
                <w:lang w:eastAsia="en-AU"/>
              </w:rPr>
              <w:t>–</w:t>
            </w:r>
            <w:r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dotted" w:sz="4" w:space="0" w:color="606072"/>
              <w:right w:val="single" w:sz="4" w:space="0" w:color="606072"/>
            </w:tcBorders>
            <w:vAlign w:val="center"/>
            <w:hideMark/>
          </w:tcPr>
          <w:p w14:paraId="00C8F987" w14:textId="5D3DCB59" w:rsidR="00E14FA0"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dotted" w:sz="4" w:space="0" w:color="606072"/>
              <w:right w:val="single" w:sz="4" w:space="0" w:color="606072"/>
            </w:tcBorders>
            <w:vAlign w:val="center"/>
            <w:hideMark/>
          </w:tcPr>
          <w:p w14:paraId="3919647E" w14:textId="6FC9BF59" w:rsidR="00E14FA0"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r>
      <w:tr w:rsidR="00E14FA0" w:rsidRPr="005060E0" w14:paraId="46E009ED" w14:textId="77777777" w:rsidTr="00AB79E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bottom w:val="single" w:sz="4" w:space="0" w:color="606072"/>
              <w:right w:val="dotted" w:sz="4" w:space="0" w:color="606372" w:themeColor="text2"/>
            </w:tcBorders>
            <w:vAlign w:val="center"/>
            <w:hideMark/>
          </w:tcPr>
          <w:p w14:paraId="5C0B4D57" w14:textId="77777777" w:rsidR="00E14FA0" w:rsidRPr="005060E0" w:rsidRDefault="00E14FA0" w:rsidP="00081455">
            <w:pPr>
              <w:spacing w:after="0" w:line="240" w:lineRule="auto"/>
              <w:rPr>
                <w:rFonts w:cs="Arial"/>
                <w:sz w:val="16"/>
                <w:szCs w:val="16"/>
              </w:rPr>
            </w:pPr>
          </w:p>
        </w:tc>
        <w:tc>
          <w:tcPr>
            <w:tcW w:w="318" w:type="pct"/>
            <w:tcBorders>
              <w:top w:val="dotted" w:sz="4" w:space="0" w:color="606072"/>
              <w:left w:val="dotted" w:sz="4" w:space="0" w:color="606372" w:themeColor="text2"/>
              <w:bottom w:val="single" w:sz="4" w:space="0" w:color="606072"/>
              <w:right w:val="single" w:sz="4" w:space="0" w:color="606072"/>
            </w:tcBorders>
            <w:shd w:val="clear" w:color="auto" w:fill="D5E5FF"/>
            <w:vAlign w:val="center"/>
            <w:hideMark/>
          </w:tcPr>
          <w:p w14:paraId="38A2F40C" w14:textId="77777777" w:rsidR="00E14FA0" w:rsidRPr="005060E0" w:rsidRDefault="00E14FA0"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200</w:t>
            </w:r>
          </w:p>
        </w:tc>
        <w:tc>
          <w:tcPr>
            <w:tcW w:w="828"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5E794A59" w14:textId="57EBC4FB" w:rsidR="00E14FA0"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6E2617F0" w14:textId="709EF42C" w:rsidR="00E14FA0"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467149B3" w14:textId="5E8F8335" w:rsidR="00E14FA0"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03252715" w14:textId="0F3F46B8" w:rsidR="00E14FA0"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4358F5F1" w14:textId="6FAB7A95" w:rsidR="00E14FA0"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r>
      <w:tr w:rsidR="00E14FA0" w:rsidRPr="005060E0" w14:paraId="493A1E45" w14:textId="77777777" w:rsidTr="00AB79EC">
        <w:trPr>
          <w:trHeight w:hRule="exact" w:val="340"/>
        </w:trPr>
        <w:tc>
          <w:tcPr>
            <w:cnfStyle w:val="001000000000" w:firstRow="0" w:lastRow="0" w:firstColumn="1" w:lastColumn="0" w:oddVBand="0" w:evenVBand="0" w:oddHBand="0" w:evenHBand="0" w:firstRowFirstColumn="0" w:firstRowLastColumn="0" w:lastRowFirstColumn="0" w:lastRowLastColumn="0"/>
            <w:tcW w:w="543" w:type="pct"/>
            <w:vMerge w:val="restart"/>
            <w:tcBorders>
              <w:top w:val="single" w:sz="4" w:space="0" w:color="606072"/>
              <w:left w:val="single" w:sz="4" w:space="0" w:color="606072"/>
              <w:right w:val="dotted" w:sz="4" w:space="0" w:color="606372" w:themeColor="text2"/>
            </w:tcBorders>
            <w:vAlign w:val="center"/>
          </w:tcPr>
          <w:p w14:paraId="0363A38D" w14:textId="510E521F" w:rsidR="00E14FA0" w:rsidRPr="005060E0" w:rsidRDefault="00E14FA0" w:rsidP="00081455">
            <w:pPr>
              <w:spacing w:after="0" w:line="240" w:lineRule="auto"/>
              <w:jc w:val="center"/>
              <w:rPr>
                <w:rFonts w:cs="Arial"/>
                <w:sz w:val="16"/>
                <w:szCs w:val="16"/>
              </w:rPr>
            </w:pPr>
            <w:r w:rsidRPr="005060E0">
              <w:rPr>
                <w:rFonts w:cs="Arial"/>
                <w:b w:val="0"/>
                <w:sz w:val="16"/>
                <w:szCs w:val="16"/>
              </w:rPr>
              <w:t>24-hour</w:t>
            </w:r>
          </w:p>
        </w:tc>
        <w:tc>
          <w:tcPr>
            <w:tcW w:w="318" w:type="pct"/>
            <w:tcBorders>
              <w:top w:val="single" w:sz="4" w:space="0" w:color="606072"/>
              <w:left w:val="dotted" w:sz="4" w:space="0" w:color="606372" w:themeColor="text2"/>
              <w:bottom w:val="dotted" w:sz="4" w:space="0" w:color="606072"/>
              <w:right w:val="single" w:sz="4" w:space="0" w:color="606072"/>
            </w:tcBorders>
            <w:vAlign w:val="center"/>
          </w:tcPr>
          <w:p w14:paraId="20860C73" w14:textId="77777777" w:rsidR="00E14FA0" w:rsidRPr="005060E0" w:rsidRDefault="00E14FA0"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39" w:type="pct"/>
            <w:gridSpan w:val="5"/>
            <w:tcBorders>
              <w:top w:val="single" w:sz="4" w:space="0" w:color="606072"/>
              <w:left w:val="single" w:sz="4" w:space="0" w:color="606072"/>
              <w:bottom w:val="dotted" w:sz="4" w:space="0" w:color="606072"/>
              <w:right w:val="single" w:sz="4" w:space="0" w:color="606072"/>
            </w:tcBorders>
            <w:shd w:val="clear" w:color="auto" w:fill="BFBFBF" w:themeFill="background1" w:themeFillShade="BF"/>
            <w:vAlign w:val="center"/>
          </w:tcPr>
          <w:p w14:paraId="24B4DAC9" w14:textId="5BC38BEE" w:rsidR="00E14FA0" w:rsidRPr="005060E0" w:rsidRDefault="005C5828" w:rsidP="00CE591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5060E0">
              <w:rPr>
                <w:rFonts w:cs="Arial"/>
                <w:sz w:val="16"/>
                <w:szCs w:val="16"/>
              </w:rPr>
              <w:t>Total number of unique exceedance days</w:t>
            </w:r>
          </w:p>
        </w:tc>
      </w:tr>
      <w:tr w:rsidR="00E14FA0" w:rsidRPr="005060E0" w14:paraId="40959EC5" w14:textId="77777777" w:rsidTr="00AB79E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43" w:type="pct"/>
            <w:vMerge/>
            <w:tcBorders>
              <w:left w:val="single" w:sz="4" w:space="0" w:color="606072"/>
              <w:right w:val="dotted" w:sz="4" w:space="0" w:color="606372" w:themeColor="text2"/>
            </w:tcBorders>
            <w:vAlign w:val="center"/>
            <w:hideMark/>
          </w:tcPr>
          <w:p w14:paraId="1BE99EBE" w14:textId="060D8E07" w:rsidR="00E14FA0" w:rsidRPr="005060E0" w:rsidRDefault="00E14FA0" w:rsidP="00081455">
            <w:pPr>
              <w:spacing w:after="0" w:line="240" w:lineRule="auto"/>
              <w:jc w:val="center"/>
              <w:rPr>
                <w:rFonts w:cs="Arial"/>
                <w:b w:val="0"/>
                <w:sz w:val="16"/>
                <w:szCs w:val="16"/>
              </w:rPr>
            </w:pPr>
          </w:p>
        </w:tc>
        <w:tc>
          <w:tcPr>
            <w:tcW w:w="318" w:type="pct"/>
            <w:tcBorders>
              <w:top w:val="single" w:sz="4" w:space="0" w:color="606072"/>
              <w:left w:val="dotted" w:sz="4" w:space="0" w:color="606372" w:themeColor="text2"/>
              <w:bottom w:val="dotted" w:sz="4" w:space="0" w:color="606072"/>
              <w:right w:val="single" w:sz="4" w:space="0" w:color="606072"/>
            </w:tcBorders>
            <w:vAlign w:val="center"/>
            <w:hideMark/>
          </w:tcPr>
          <w:p w14:paraId="6C7BAA19" w14:textId="77777777" w:rsidR="00E14FA0" w:rsidRPr="005060E0" w:rsidRDefault="00E14FA0"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7</w:t>
            </w:r>
          </w:p>
        </w:tc>
        <w:tc>
          <w:tcPr>
            <w:tcW w:w="828" w:type="pct"/>
            <w:tcBorders>
              <w:top w:val="single" w:sz="4" w:space="0" w:color="606072"/>
              <w:left w:val="single" w:sz="4" w:space="0" w:color="606072"/>
              <w:bottom w:val="dotted" w:sz="4" w:space="0" w:color="606072"/>
              <w:right w:val="single" w:sz="4" w:space="0" w:color="606072"/>
            </w:tcBorders>
            <w:vAlign w:val="center"/>
            <w:hideMark/>
          </w:tcPr>
          <w:p w14:paraId="5F39816F" w14:textId="3C096ECC" w:rsidR="00E14FA0" w:rsidRPr="005060E0" w:rsidRDefault="00E14FA0"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19 (9)</w:t>
            </w:r>
          </w:p>
        </w:tc>
        <w:tc>
          <w:tcPr>
            <w:tcW w:w="828" w:type="pct"/>
            <w:tcBorders>
              <w:top w:val="single" w:sz="4" w:space="0" w:color="606072"/>
              <w:left w:val="single" w:sz="4" w:space="0" w:color="606072"/>
              <w:bottom w:val="dotted" w:sz="4" w:space="0" w:color="606072"/>
              <w:right w:val="single" w:sz="4" w:space="0" w:color="606072"/>
            </w:tcBorders>
            <w:vAlign w:val="center"/>
            <w:hideMark/>
          </w:tcPr>
          <w:p w14:paraId="3C275F02" w14:textId="6C688AAB" w:rsidR="00E14FA0" w:rsidRPr="005060E0" w:rsidRDefault="00E14FA0"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32 (18)</w:t>
            </w:r>
          </w:p>
        </w:tc>
        <w:tc>
          <w:tcPr>
            <w:tcW w:w="828" w:type="pct"/>
            <w:tcBorders>
              <w:top w:val="single" w:sz="4" w:space="0" w:color="606072"/>
              <w:left w:val="single" w:sz="4" w:space="0" w:color="606072"/>
              <w:bottom w:val="dotted" w:sz="4" w:space="0" w:color="606072"/>
              <w:right w:val="single" w:sz="4" w:space="0" w:color="606072"/>
            </w:tcBorders>
            <w:vAlign w:val="center"/>
            <w:hideMark/>
          </w:tcPr>
          <w:p w14:paraId="4D74A7D7" w14:textId="628A491D" w:rsidR="00E14FA0" w:rsidRPr="005060E0" w:rsidRDefault="00E14FA0"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17 (5)</w:t>
            </w:r>
          </w:p>
        </w:tc>
        <w:tc>
          <w:tcPr>
            <w:tcW w:w="828" w:type="pct"/>
            <w:tcBorders>
              <w:top w:val="single" w:sz="4" w:space="0" w:color="606072"/>
              <w:left w:val="single" w:sz="4" w:space="0" w:color="606072"/>
              <w:bottom w:val="dotted" w:sz="4" w:space="0" w:color="606072"/>
              <w:right w:val="single" w:sz="4" w:space="0" w:color="606072"/>
            </w:tcBorders>
            <w:vAlign w:val="center"/>
            <w:hideMark/>
          </w:tcPr>
          <w:p w14:paraId="0F57D453" w14:textId="73AD4327" w:rsidR="00E14FA0"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c>
          <w:tcPr>
            <w:tcW w:w="828" w:type="pct"/>
            <w:tcBorders>
              <w:top w:val="single" w:sz="4" w:space="0" w:color="606072"/>
              <w:left w:val="single" w:sz="4" w:space="0" w:color="606072"/>
              <w:bottom w:val="dotted" w:sz="4" w:space="0" w:color="606072"/>
              <w:right w:val="single" w:sz="4" w:space="0" w:color="606072"/>
            </w:tcBorders>
            <w:vAlign w:val="center"/>
            <w:hideMark/>
          </w:tcPr>
          <w:p w14:paraId="3779393D" w14:textId="12B1352F" w:rsidR="00E14FA0" w:rsidRPr="005060E0" w:rsidRDefault="00E14FA0"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120 (67)</w:t>
            </w:r>
          </w:p>
        </w:tc>
      </w:tr>
      <w:tr w:rsidR="00E14FA0" w:rsidRPr="005060E0" w14:paraId="643DFA02" w14:textId="77777777" w:rsidTr="00AB79EC">
        <w:trPr>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right w:val="dotted" w:sz="4" w:space="0" w:color="606372" w:themeColor="text2"/>
            </w:tcBorders>
            <w:vAlign w:val="center"/>
            <w:hideMark/>
          </w:tcPr>
          <w:p w14:paraId="46F8BB97" w14:textId="77777777" w:rsidR="00E14FA0" w:rsidRPr="005060E0" w:rsidRDefault="00E14FA0" w:rsidP="00081455">
            <w:pPr>
              <w:spacing w:after="0" w:line="240" w:lineRule="auto"/>
              <w:rPr>
                <w:rFonts w:cs="Arial"/>
                <w:sz w:val="16"/>
                <w:szCs w:val="16"/>
              </w:rPr>
            </w:pPr>
          </w:p>
        </w:tc>
        <w:tc>
          <w:tcPr>
            <w:tcW w:w="318" w:type="pct"/>
            <w:tcBorders>
              <w:top w:val="dotted" w:sz="4" w:space="0" w:color="606072"/>
              <w:left w:val="dotted" w:sz="4" w:space="0" w:color="606372" w:themeColor="text2"/>
              <w:bottom w:val="dotted" w:sz="4" w:space="0" w:color="606072"/>
              <w:right w:val="single" w:sz="4" w:space="0" w:color="606072"/>
            </w:tcBorders>
            <w:vAlign w:val="center"/>
            <w:hideMark/>
          </w:tcPr>
          <w:p w14:paraId="4F416965" w14:textId="77777777" w:rsidR="00E14FA0" w:rsidRPr="005060E0" w:rsidRDefault="00E14FA0"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20</w:t>
            </w:r>
          </w:p>
        </w:tc>
        <w:tc>
          <w:tcPr>
            <w:tcW w:w="828" w:type="pct"/>
            <w:tcBorders>
              <w:top w:val="dotted" w:sz="4" w:space="0" w:color="606072"/>
              <w:left w:val="single" w:sz="4" w:space="0" w:color="606072"/>
              <w:bottom w:val="dotted" w:sz="4" w:space="0" w:color="606072"/>
              <w:right w:val="single" w:sz="4" w:space="0" w:color="606072"/>
            </w:tcBorders>
            <w:vAlign w:val="center"/>
            <w:hideMark/>
          </w:tcPr>
          <w:p w14:paraId="1B7523DB" w14:textId="1FB32562" w:rsidR="00E14FA0"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dotted" w:sz="4" w:space="0" w:color="606072"/>
              <w:right w:val="single" w:sz="4" w:space="0" w:color="606072"/>
            </w:tcBorders>
            <w:vAlign w:val="center"/>
            <w:hideMark/>
          </w:tcPr>
          <w:p w14:paraId="77ED4C11" w14:textId="4ACA7577" w:rsidR="00E14FA0"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dotted" w:sz="4" w:space="0" w:color="606072"/>
              <w:right w:val="single" w:sz="4" w:space="0" w:color="606072"/>
            </w:tcBorders>
            <w:vAlign w:val="center"/>
            <w:hideMark/>
          </w:tcPr>
          <w:p w14:paraId="658C1B43" w14:textId="00690A00" w:rsidR="00E14FA0" w:rsidRPr="005060E0" w:rsidRDefault="00E14FA0"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1 (</w:t>
            </w:r>
            <w:r w:rsidR="00491E7C" w:rsidRPr="005060E0">
              <w:rPr>
                <w:rFonts w:eastAsia="Times New Roman" w:cs="Arial"/>
                <w:color w:val="000000"/>
                <w:sz w:val="16"/>
                <w:szCs w:val="16"/>
                <w:lang w:eastAsia="en-AU"/>
              </w:rPr>
              <w:t>–</w:t>
            </w:r>
            <w:r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dotted" w:sz="4" w:space="0" w:color="606072"/>
              <w:right w:val="single" w:sz="4" w:space="0" w:color="606072"/>
            </w:tcBorders>
            <w:vAlign w:val="center"/>
            <w:hideMark/>
          </w:tcPr>
          <w:p w14:paraId="4AFED98B" w14:textId="011D3A73" w:rsidR="00E14FA0"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dotted" w:sz="4" w:space="0" w:color="606072"/>
              <w:right w:val="single" w:sz="4" w:space="0" w:color="606072"/>
            </w:tcBorders>
            <w:vAlign w:val="center"/>
            <w:hideMark/>
          </w:tcPr>
          <w:p w14:paraId="2DEC7B2B" w14:textId="2AA99146" w:rsidR="00E14FA0"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r>
      <w:tr w:rsidR="00E14FA0" w:rsidRPr="005060E0" w14:paraId="0F3175DA" w14:textId="77777777" w:rsidTr="00AB79E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right w:val="dotted" w:sz="4" w:space="0" w:color="606372" w:themeColor="text2"/>
            </w:tcBorders>
            <w:vAlign w:val="center"/>
            <w:hideMark/>
          </w:tcPr>
          <w:p w14:paraId="38AD1351" w14:textId="77777777" w:rsidR="00E14FA0" w:rsidRPr="005060E0" w:rsidRDefault="00E14FA0" w:rsidP="00081455">
            <w:pPr>
              <w:spacing w:after="0" w:line="240" w:lineRule="auto"/>
              <w:rPr>
                <w:rFonts w:cs="Arial"/>
                <w:sz w:val="16"/>
                <w:szCs w:val="16"/>
              </w:rPr>
            </w:pPr>
          </w:p>
        </w:tc>
        <w:tc>
          <w:tcPr>
            <w:tcW w:w="318" w:type="pct"/>
            <w:tcBorders>
              <w:top w:val="dotted" w:sz="4" w:space="0" w:color="606072"/>
              <w:left w:val="dotted" w:sz="4" w:space="0" w:color="606372" w:themeColor="text2"/>
              <w:bottom w:val="dotted" w:sz="4" w:space="0" w:color="606072"/>
              <w:right w:val="single" w:sz="4" w:space="0" w:color="606072"/>
            </w:tcBorders>
            <w:vAlign w:val="center"/>
            <w:hideMark/>
          </w:tcPr>
          <w:p w14:paraId="62CAD62D" w14:textId="77777777" w:rsidR="00E14FA0" w:rsidRPr="005060E0" w:rsidRDefault="00E14FA0"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40</w:t>
            </w:r>
          </w:p>
        </w:tc>
        <w:tc>
          <w:tcPr>
            <w:tcW w:w="828" w:type="pct"/>
            <w:tcBorders>
              <w:top w:val="dotted" w:sz="4" w:space="0" w:color="606072"/>
              <w:left w:val="single" w:sz="4" w:space="0" w:color="606072"/>
              <w:bottom w:val="dotted" w:sz="4" w:space="0" w:color="606072"/>
              <w:right w:val="single" w:sz="4" w:space="0" w:color="606072"/>
            </w:tcBorders>
            <w:vAlign w:val="center"/>
            <w:hideMark/>
          </w:tcPr>
          <w:p w14:paraId="1A876EB1" w14:textId="1934340C" w:rsidR="00E14FA0"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dotted" w:sz="4" w:space="0" w:color="606072"/>
              <w:right w:val="single" w:sz="4" w:space="0" w:color="606072"/>
            </w:tcBorders>
            <w:vAlign w:val="center"/>
            <w:hideMark/>
          </w:tcPr>
          <w:p w14:paraId="58AE36D2" w14:textId="691FF910" w:rsidR="00E14FA0"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dotted" w:sz="4" w:space="0" w:color="606072"/>
              <w:right w:val="single" w:sz="4" w:space="0" w:color="606072"/>
            </w:tcBorders>
            <w:vAlign w:val="center"/>
            <w:hideMark/>
          </w:tcPr>
          <w:p w14:paraId="2E79EACF" w14:textId="311E8711" w:rsidR="00E14FA0"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dotted" w:sz="4" w:space="0" w:color="606072"/>
              <w:right w:val="single" w:sz="4" w:space="0" w:color="606072"/>
            </w:tcBorders>
            <w:vAlign w:val="center"/>
            <w:hideMark/>
          </w:tcPr>
          <w:p w14:paraId="1631DCD8" w14:textId="6CE1C957" w:rsidR="00E14FA0"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dotted" w:sz="4" w:space="0" w:color="606072"/>
              <w:right w:val="single" w:sz="4" w:space="0" w:color="606072"/>
            </w:tcBorders>
            <w:vAlign w:val="center"/>
            <w:hideMark/>
          </w:tcPr>
          <w:p w14:paraId="11F2158D" w14:textId="1A2F0D8C" w:rsidR="00E14FA0"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r>
      <w:tr w:rsidR="00E14FA0" w:rsidRPr="005060E0" w14:paraId="4F70B7DE" w14:textId="77777777" w:rsidTr="00AB79EC">
        <w:trPr>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bottom w:val="single" w:sz="4" w:space="0" w:color="606072"/>
              <w:right w:val="dotted" w:sz="4" w:space="0" w:color="606372" w:themeColor="text2"/>
            </w:tcBorders>
            <w:vAlign w:val="center"/>
            <w:hideMark/>
          </w:tcPr>
          <w:p w14:paraId="7782E570" w14:textId="77777777" w:rsidR="00E14FA0" w:rsidRPr="005060E0" w:rsidRDefault="00E14FA0" w:rsidP="00081455">
            <w:pPr>
              <w:spacing w:after="0" w:line="240" w:lineRule="auto"/>
              <w:rPr>
                <w:rFonts w:cs="Arial"/>
                <w:sz w:val="16"/>
                <w:szCs w:val="16"/>
              </w:rPr>
            </w:pPr>
          </w:p>
        </w:tc>
        <w:tc>
          <w:tcPr>
            <w:tcW w:w="318" w:type="pct"/>
            <w:tcBorders>
              <w:top w:val="dotted" w:sz="4" w:space="0" w:color="606072"/>
              <w:left w:val="dotted" w:sz="4" w:space="0" w:color="606372" w:themeColor="text2"/>
              <w:bottom w:val="single" w:sz="4" w:space="0" w:color="606072"/>
              <w:right w:val="single" w:sz="4" w:space="0" w:color="606072"/>
            </w:tcBorders>
            <w:shd w:val="clear" w:color="auto" w:fill="D5E5FF"/>
            <w:vAlign w:val="center"/>
            <w:hideMark/>
          </w:tcPr>
          <w:p w14:paraId="73A8F132" w14:textId="77777777" w:rsidR="00E14FA0" w:rsidRPr="005060E0" w:rsidRDefault="00E14FA0"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80</w:t>
            </w:r>
          </w:p>
        </w:tc>
        <w:tc>
          <w:tcPr>
            <w:tcW w:w="828"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333A0094" w14:textId="26C2D589" w:rsidR="00E14FA0"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5334F984" w14:textId="0ED0648A" w:rsidR="00E14FA0"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32552F4B" w14:textId="24A1BEE9" w:rsidR="00E14FA0"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09043122" w14:textId="2822182C" w:rsidR="00E14FA0"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00DD9383" w14:textId="69ED3005" w:rsidR="00E14FA0"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r>
      <w:tr w:rsidR="00E14FA0" w:rsidRPr="005060E0" w14:paraId="5E8CC879" w14:textId="77777777" w:rsidTr="00AB79E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43" w:type="pct"/>
            <w:vMerge w:val="restart"/>
            <w:tcBorders>
              <w:top w:val="single" w:sz="4" w:space="0" w:color="606072"/>
              <w:left w:val="single" w:sz="4" w:space="0" w:color="606072"/>
              <w:right w:val="dotted" w:sz="4" w:space="0" w:color="606372" w:themeColor="text2"/>
            </w:tcBorders>
            <w:vAlign w:val="center"/>
          </w:tcPr>
          <w:p w14:paraId="7421E631" w14:textId="7F7AF7E6" w:rsidR="00E14FA0" w:rsidRPr="005060E0" w:rsidRDefault="00E14FA0" w:rsidP="00081455">
            <w:pPr>
              <w:spacing w:after="0" w:line="240" w:lineRule="auto"/>
              <w:jc w:val="center"/>
              <w:rPr>
                <w:rFonts w:cs="Arial"/>
                <w:sz w:val="16"/>
                <w:szCs w:val="16"/>
              </w:rPr>
            </w:pPr>
            <w:r w:rsidRPr="005060E0">
              <w:rPr>
                <w:rFonts w:cs="Arial"/>
                <w:b w:val="0"/>
                <w:sz w:val="16"/>
                <w:szCs w:val="16"/>
              </w:rPr>
              <w:t>Annual</w:t>
            </w:r>
          </w:p>
        </w:tc>
        <w:tc>
          <w:tcPr>
            <w:tcW w:w="318" w:type="pct"/>
            <w:tcBorders>
              <w:top w:val="single" w:sz="4" w:space="0" w:color="606072"/>
              <w:left w:val="dotted" w:sz="4" w:space="0" w:color="606372" w:themeColor="text2"/>
              <w:bottom w:val="dotted" w:sz="4" w:space="0" w:color="606072"/>
              <w:right w:val="single" w:sz="4" w:space="0" w:color="606072"/>
            </w:tcBorders>
            <w:vAlign w:val="center"/>
          </w:tcPr>
          <w:p w14:paraId="5388DD03" w14:textId="77777777" w:rsidR="00E14FA0" w:rsidRPr="005060E0" w:rsidRDefault="00E14FA0"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39" w:type="pct"/>
            <w:gridSpan w:val="5"/>
            <w:tcBorders>
              <w:top w:val="single" w:sz="4" w:space="0" w:color="606072"/>
              <w:left w:val="single" w:sz="4" w:space="0" w:color="606072"/>
              <w:bottom w:val="dotted" w:sz="4" w:space="0" w:color="606072"/>
              <w:right w:val="single" w:sz="4" w:space="0" w:color="606072"/>
            </w:tcBorders>
            <w:shd w:val="clear" w:color="auto" w:fill="BFBFBF" w:themeFill="background1" w:themeFillShade="BF"/>
            <w:vAlign w:val="center"/>
          </w:tcPr>
          <w:p w14:paraId="6863FA78" w14:textId="2BF71F6B" w:rsidR="00E14FA0" w:rsidRPr="005060E0" w:rsidRDefault="005C5828" w:rsidP="00CE591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5060E0">
              <w:rPr>
                <w:rFonts w:eastAsia="Times New Roman" w:cs="Arial"/>
                <w:color w:val="000000"/>
                <w:sz w:val="16"/>
                <w:szCs w:val="16"/>
                <w:lang w:eastAsia="en-AU"/>
              </w:rPr>
              <w:t>Total number of monitoring stations exceeding standard</w:t>
            </w:r>
          </w:p>
        </w:tc>
      </w:tr>
      <w:tr w:rsidR="00E14FA0" w:rsidRPr="005060E0" w14:paraId="3540AD4F" w14:textId="77777777" w:rsidTr="00AB79EC">
        <w:trPr>
          <w:trHeight w:hRule="exact" w:val="340"/>
        </w:trPr>
        <w:tc>
          <w:tcPr>
            <w:cnfStyle w:val="001000000000" w:firstRow="0" w:lastRow="0" w:firstColumn="1" w:lastColumn="0" w:oddVBand="0" w:evenVBand="0" w:oddHBand="0" w:evenHBand="0" w:firstRowFirstColumn="0" w:firstRowLastColumn="0" w:lastRowFirstColumn="0" w:lastRowLastColumn="0"/>
            <w:tcW w:w="543" w:type="pct"/>
            <w:vMerge/>
            <w:tcBorders>
              <w:left w:val="single" w:sz="4" w:space="0" w:color="606072"/>
              <w:right w:val="dotted" w:sz="4" w:space="0" w:color="606372" w:themeColor="text2"/>
            </w:tcBorders>
            <w:vAlign w:val="center"/>
            <w:hideMark/>
          </w:tcPr>
          <w:p w14:paraId="324AB118" w14:textId="1698D047" w:rsidR="00E14FA0" w:rsidRPr="005060E0" w:rsidRDefault="00E14FA0" w:rsidP="00081455">
            <w:pPr>
              <w:spacing w:after="0" w:line="240" w:lineRule="auto"/>
              <w:jc w:val="center"/>
              <w:rPr>
                <w:rFonts w:cs="Arial"/>
                <w:b w:val="0"/>
                <w:sz w:val="16"/>
                <w:szCs w:val="16"/>
              </w:rPr>
            </w:pPr>
          </w:p>
        </w:tc>
        <w:tc>
          <w:tcPr>
            <w:tcW w:w="318" w:type="pct"/>
            <w:tcBorders>
              <w:top w:val="single" w:sz="4" w:space="0" w:color="606072"/>
              <w:left w:val="dotted" w:sz="4" w:space="0" w:color="606372" w:themeColor="text2"/>
              <w:bottom w:val="dotted" w:sz="4" w:space="0" w:color="606072"/>
              <w:right w:val="single" w:sz="4" w:space="0" w:color="606072"/>
            </w:tcBorders>
            <w:vAlign w:val="center"/>
            <w:hideMark/>
          </w:tcPr>
          <w:p w14:paraId="7678A4CE" w14:textId="77777777" w:rsidR="00E14FA0" w:rsidRPr="005060E0" w:rsidRDefault="00E14FA0"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10</w:t>
            </w:r>
          </w:p>
        </w:tc>
        <w:tc>
          <w:tcPr>
            <w:tcW w:w="828" w:type="pct"/>
            <w:tcBorders>
              <w:top w:val="single" w:sz="4" w:space="0" w:color="606072"/>
              <w:left w:val="single" w:sz="4" w:space="0" w:color="606072"/>
              <w:bottom w:val="dotted" w:sz="4" w:space="0" w:color="606072"/>
              <w:right w:val="single" w:sz="4" w:space="0" w:color="606072"/>
            </w:tcBorders>
            <w:vAlign w:val="center"/>
            <w:hideMark/>
          </w:tcPr>
          <w:p w14:paraId="0D5770CB" w14:textId="0EC475A3" w:rsidR="00E14FA0"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c>
          <w:tcPr>
            <w:tcW w:w="828" w:type="pct"/>
            <w:tcBorders>
              <w:top w:val="single" w:sz="4" w:space="0" w:color="606072"/>
              <w:left w:val="single" w:sz="4" w:space="0" w:color="606072"/>
              <w:bottom w:val="dotted" w:sz="4" w:space="0" w:color="606072"/>
              <w:right w:val="single" w:sz="4" w:space="0" w:color="606072"/>
            </w:tcBorders>
            <w:vAlign w:val="center"/>
            <w:hideMark/>
          </w:tcPr>
          <w:p w14:paraId="6E8EDC42" w14:textId="2BEA996C" w:rsidR="00E14FA0"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c>
          <w:tcPr>
            <w:tcW w:w="828" w:type="pct"/>
            <w:tcBorders>
              <w:top w:val="single" w:sz="4" w:space="0" w:color="606072"/>
              <w:left w:val="single" w:sz="4" w:space="0" w:color="606072"/>
              <w:bottom w:val="dotted" w:sz="4" w:space="0" w:color="606072"/>
              <w:right w:val="single" w:sz="4" w:space="0" w:color="606072"/>
            </w:tcBorders>
            <w:vAlign w:val="center"/>
            <w:hideMark/>
          </w:tcPr>
          <w:p w14:paraId="79A4B8DF" w14:textId="627D445B" w:rsidR="00E14FA0"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c>
          <w:tcPr>
            <w:tcW w:w="828" w:type="pct"/>
            <w:tcBorders>
              <w:top w:val="single" w:sz="4" w:space="0" w:color="606072"/>
              <w:left w:val="single" w:sz="4" w:space="0" w:color="606072"/>
              <w:bottom w:val="dotted" w:sz="4" w:space="0" w:color="606072"/>
              <w:right w:val="single" w:sz="4" w:space="0" w:color="606072"/>
            </w:tcBorders>
            <w:vAlign w:val="center"/>
            <w:hideMark/>
          </w:tcPr>
          <w:p w14:paraId="3F554E9A" w14:textId="5FB0534D" w:rsidR="00E14FA0"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c>
          <w:tcPr>
            <w:tcW w:w="828" w:type="pct"/>
            <w:tcBorders>
              <w:top w:val="single" w:sz="4" w:space="0" w:color="606072"/>
              <w:left w:val="single" w:sz="4" w:space="0" w:color="606072"/>
              <w:bottom w:val="dotted" w:sz="4" w:space="0" w:color="606072"/>
              <w:right w:val="single" w:sz="4" w:space="0" w:color="606072"/>
            </w:tcBorders>
            <w:vAlign w:val="center"/>
            <w:hideMark/>
          </w:tcPr>
          <w:p w14:paraId="46B55312" w14:textId="0C8AF41E" w:rsidR="00E14FA0" w:rsidRPr="005060E0" w:rsidRDefault="00491E7C" w:rsidP="000814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r>
      <w:tr w:rsidR="00E14FA0" w:rsidRPr="005060E0" w14:paraId="6969B6E0" w14:textId="77777777" w:rsidTr="00AB79E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bottom w:val="single" w:sz="4" w:space="0" w:color="606072"/>
              <w:right w:val="dotted" w:sz="4" w:space="0" w:color="606372" w:themeColor="text2"/>
            </w:tcBorders>
            <w:vAlign w:val="center"/>
            <w:hideMark/>
          </w:tcPr>
          <w:p w14:paraId="0D458C64" w14:textId="77777777" w:rsidR="00E14FA0" w:rsidRPr="005060E0" w:rsidRDefault="00E14FA0" w:rsidP="00081455">
            <w:pPr>
              <w:spacing w:after="0" w:line="240" w:lineRule="auto"/>
              <w:rPr>
                <w:rFonts w:cs="Arial"/>
                <w:sz w:val="16"/>
                <w:szCs w:val="16"/>
              </w:rPr>
            </w:pPr>
          </w:p>
        </w:tc>
        <w:tc>
          <w:tcPr>
            <w:tcW w:w="318" w:type="pct"/>
            <w:tcBorders>
              <w:top w:val="dotted" w:sz="4" w:space="0" w:color="606072"/>
              <w:left w:val="dotted" w:sz="4" w:space="0" w:color="606372" w:themeColor="text2"/>
              <w:bottom w:val="single" w:sz="4" w:space="0" w:color="606072"/>
              <w:right w:val="single" w:sz="4" w:space="0" w:color="606072"/>
            </w:tcBorders>
            <w:shd w:val="clear" w:color="auto" w:fill="D5E5FF"/>
            <w:vAlign w:val="center"/>
            <w:hideMark/>
          </w:tcPr>
          <w:p w14:paraId="40277FE4" w14:textId="77777777" w:rsidR="00E14FA0" w:rsidRPr="005060E0" w:rsidRDefault="00E14FA0"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20</w:t>
            </w:r>
          </w:p>
        </w:tc>
        <w:tc>
          <w:tcPr>
            <w:tcW w:w="828"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46622412" w14:textId="4F3C3878" w:rsidR="00E14FA0"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3E0EA300" w14:textId="53E9FB49" w:rsidR="00E14FA0"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52901662" w14:textId="22D01B99" w:rsidR="00E14FA0"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7CB79034" w14:textId="61CCB690" w:rsidR="00E14FA0"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single" w:sz="4" w:space="0" w:color="606072"/>
              <w:right w:val="single" w:sz="4" w:space="0" w:color="606072"/>
            </w:tcBorders>
            <w:shd w:val="clear" w:color="auto" w:fill="D5E5FF"/>
            <w:vAlign w:val="center"/>
            <w:hideMark/>
          </w:tcPr>
          <w:p w14:paraId="29241C98" w14:textId="0331817E" w:rsidR="00E14FA0" w:rsidRPr="005060E0" w:rsidRDefault="00491E7C" w:rsidP="000814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 xml:space="preserve"> (</w:t>
            </w:r>
            <w:r w:rsidRPr="005060E0">
              <w:rPr>
                <w:rFonts w:eastAsia="Times New Roman" w:cs="Arial"/>
                <w:color w:val="000000"/>
                <w:sz w:val="16"/>
                <w:szCs w:val="16"/>
                <w:lang w:eastAsia="en-AU"/>
              </w:rPr>
              <w:t>–</w:t>
            </w:r>
            <w:r w:rsidR="00E14FA0" w:rsidRPr="005060E0">
              <w:rPr>
                <w:rFonts w:eastAsia="Times New Roman" w:cs="Arial"/>
                <w:color w:val="000000"/>
                <w:sz w:val="16"/>
                <w:szCs w:val="16"/>
                <w:lang w:eastAsia="en-AU"/>
              </w:rPr>
              <w:t>)</w:t>
            </w:r>
          </w:p>
        </w:tc>
      </w:tr>
    </w:tbl>
    <w:p w14:paraId="7F08AE39" w14:textId="648F020A" w:rsidR="00D56B82" w:rsidRPr="005060E0" w:rsidRDefault="00142795" w:rsidP="000B3B3D">
      <w:pPr>
        <w:pStyle w:val="Heading3"/>
      </w:pPr>
      <w:bookmarkStart w:id="120" w:name="_Ref507787539"/>
      <w:r w:rsidRPr="005060E0">
        <w:t>F</w:t>
      </w:r>
      <w:r w:rsidR="009B7E60" w:rsidRPr="005060E0">
        <w:t>uture</w:t>
      </w:r>
      <w:r w:rsidRPr="005060E0">
        <w:t xml:space="preserve"> </w:t>
      </w:r>
      <w:bookmarkEnd w:id="120"/>
      <w:r w:rsidR="00341810" w:rsidRPr="005060E0">
        <w:t>projections</w:t>
      </w:r>
    </w:p>
    <w:p w14:paraId="364CE037" w14:textId="78DFE29B" w:rsidR="00341810" w:rsidRPr="005060E0" w:rsidRDefault="00341810" w:rsidP="00D97098">
      <w:pPr>
        <w:rPr>
          <w:szCs w:val="20"/>
        </w:rPr>
      </w:pPr>
      <w:r w:rsidRPr="005060E0">
        <w:rPr>
          <w:szCs w:val="20"/>
        </w:rPr>
        <w:t>The results of the air dispersion modelling show</w:t>
      </w:r>
      <w:r w:rsidR="00A902EB" w:rsidRPr="005060E0">
        <w:rPr>
          <w:szCs w:val="20"/>
        </w:rPr>
        <w:t xml:space="preserve">ed </w:t>
      </w:r>
      <w:r w:rsidRPr="005060E0">
        <w:rPr>
          <w:szCs w:val="20"/>
        </w:rPr>
        <w:t>that the maximum predicted SO</w:t>
      </w:r>
      <w:r w:rsidRPr="005060E0">
        <w:rPr>
          <w:szCs w:val="20"/>
          <w:vertAlign w:val="subscript"/>
        </w:rPr>
        <w:t>2</w:t>
      </w:r>
      <w:r w:rsidRPr="005060E0">
        <w:rPr>
          <w:szCs w:val="20"/>
        </w:rPr>
        <w:t xml:space="preserve"> concentrations will tend to increase with time </w:t>
      </w:r>
      <w:r w:rsidR="001F2BC5" w:rsidRPr="005060E0">
        <w:rPr>
          <w:szCs w:val="20"/>
        </w:rPr>
        <w:t xml:space="preserve">(or remain stable) </w:t>
      </w:r>
      <w:r w:rsidRPr="005060E0">
        <w:rPr>
          <w:szCs w:val="20"/>
        </w:rPr>
        <w:t xml:space="preserve">in the BAU </w:t>
      </w:r>
      <w:r w:rsidR="0062453C" w:rsidRPr="005060E0">
        <w:rPr>
          <w:szCs w:val="20"/>
        </w:rPr>
        <w:t>scenario and</w:t>
      </w:r>
      <w:r w:rsidRPr="005060E0">
        <w:rPr>
          <w:szCs w:val="20"/>
        </w:rPr>
        <w:t xml:space="preserve"> decrease with time </w:t>
      </w:r>
      <w:r w:rsidR="001F2BC5" w:rsidRPr="005060E0">
        <w:rPr>
          <w:szCs w:val="20"/>
        </w:rPr>
        <w:t>(or remain stable) in</w:t>
      </w:r>
      <w:r w:rsidRPr="005060E0">
        <w:rPr>
          <w:szCs w:val="20"/>
        </w:rPr>
        <w:t xml:space="preserve"> the Abatement Package scenario.</w:t>
      </w:r>
    </w:p>
    <w:p w14:paraId="0DEA1A65" w14:textId="38E4F538" w:rsidR="00A902EB" w:rsidRPr="005060E0" w:rsidRDefault="00176E54" w:rsidP="00A902EB">
      <w:pPr>
        <w:rPr>
          <w:rFonts w:cs="Arial"/>
        </w:rPr>
      </w:pPr>
      <w:r w:rsidRPr="005060E0">
        <w:rPr>
          <w:rFonts w:cs="Arial"/>
        </w:rPr>
        <w:t xml:space="preserve">The number of unique </w:t>
      </w:r>
      <w:r w:rsidR="00A93C92" w:rsidRPr="005060E0">
        <w:rPr>
          <w:rFonts w:cs="Arial"/>
        </w:rPr>
        <w:t>exceedance days was calculated for each standard and each airshed</w:t>
      </w:r>
      <w:r w:rsidRPr="005060E0">
        <w:rPr>
          <w:rFonts w:cs="Arial"/>
        </w:rPr>
        <w:t xml:space="preserve">. </w:t>
      </w:r>
      <w:r w:rsidR="00A902EB" w:rsidRPr="005060E0">
        <w:rPr>
          <w:rFonts w:cs="Arial"/>
        </w:rPr>
        <w:t>In addition, contour plots, showing the spatial distribution of ground-level concentratio</w:t>
      </w:r>
      <w:r w:rsidR="00F32E33" w:rsidRPr="005060E0">
        <w:rPr>
          <w:rFonts w:cs="Arial"/>
        </w:rPr>
        <w:t>ns for each pollutant and averaging period</w:t>
      </w:r>
      <w:r w:rsidR="00A902EB" w:rsidRPr="005060E0">
        <w:rPr>
          <w:rFonts w:cs="Arial"/>
        </w:rPr>
        <w:t xml:space="preserve"> in the BAU and Abatement Package </w:t>
      </w:r>
      <w:r w:rsidR="00F91E8F" w:rsidRPr="005060E0">
        <w:rPr>
          <w:rFonts w:cs="Arial"/>
        </w:rPr>
        <w:t>s</w:t>
      </w:r>
      <w:r w:rsidR="00A902EB" w:rsidRPr="005060E0">
        <w:rPr>
          <w:rFonts w:cs="Arial"/>
        </w:rPr>
        <w:t>cenarios, are shown in Appendix A</w:t>
      </w:r>
      <w:r w:rsidR="00057A03">
        <w:rPr>
          <w:rFonts w:cs="Arial"/>
        </w:rPr>
        <w:t>, Annexure F</w:t>
      </w:r>
      <w:r w:rsidR="00A902EB" w:rsidRPr="005060E0">
        <w:rPr>
          <w:rFonts w:cs="Arial"/>
        </w:rPr>
        <w:t>.</w:t>
      </w:r>
    </w:p>
    <w:p w14:paraId="6903405F" w14:textId="39988061" w:rsidR="00A902EB" w:rsidRPr="005060E0" w:rsidRDefault="00A902EB" w:rsidP="00A902EB">
      <w:pPr>
        <w:rPr>
          <w:rFonts w:cs="Arial"/>
        </w:rPr>
      </w:pPr>
      <w:r w:rsidRPr="005060E0">
        <w:rPr>
          <w:rFonts w:cs="Arial"/>
        </w:rPr>
        <w:t xml:space="preserve">For </w:t>
      </w:r>
      <w:r w:rsidR="001F2BC5" w:rsidRPr="005060E0">
        <w:rPr>
          <w:rFonts w:cs="Arial"/>
        </w:rPr>
        <w:t xml:space="preserve">1-hour and 24-hour </w:t>
      </w:r>
      <w:r w:rsidRPr="005060E0">
        <w:rPr>
          <w:rFonts w:cs="Arial"/>
        </w:rPr>
        <w:t>SO</w:t>
      </w:r>
      <w:r w:rsidRPr="005060E0">
        <w:rPr>
          <w:rFonts w:cs="Arial"/>
          <w:vertAlign w:val="subscript"/>
        </w:rPr>
        <w:t>2</w:t>
      </w:r>
      <w:r w:rsidRPr="005060E0">
        <w:rPr>
          <w:rFonts w:cs="Arial"/>
        </w:rPr>
        <w:t xml:space="preserve"> in NSW the projected unique exceedance days in the BAU </w:t>
      </w:r>
      <w:r w:rsidR="00176E54" w:rsidRPr="005060E0">
        <w:rPr>
          <w:rFonts w:cs="Arial"/>
        </w:rPr>
        <w:t>and Ab</w:t>
      </w:r>
      <w:r w:rsidR="001F2BC5" w:rsidRPr="005060E0">
        <w:rPr>
          <w:rFonts w:cs="Arial"/>
        </w:rPr>
        <w:t xml:space="preserve">atement Package scenarios </w:t>
      </w:r>
      <w:r w:rsidRPr="005060E0">
        <w:rPr>
          <w:rFonts w:cs="Arial"/>
        </w:rPr>
        <w:t xml:space="preserve">are shown in </w:t>
      </w:r>
      <w:r w:rsidRPr="005060E0">
        <w:rPr>
          <w:rFonts w:cs="Arial"/>
        </w:rPr>
        <w:fldChar w:fldCharType="begin"/>
      </w:r>
      <w:r w:rsidRPr="005060E0">
        <w:rPr>
          <w:rFonts w:cs="Arial"/>
        </w:rPr>
        <w:instrText xml:space="preserve"> REF _Ref507505887 \h  \* MERGEFORMAT </w:instrText>
      </w:r>
      <w:r w:rsidRPr="005060E0">
        <w:rPr>
          <w:rFonts w:cs="Arial"/>
        </w:rPr>
      </w:r>
      <w:r w:rsidRPr="005060E0">
        <w:rPr>
          <w:rFonts w:cs="Arial"/>
        </w:rPr>
        <w:fldChar w:fldCharType="separate"/>
      </w:r>
      <w:r w:rsidR="00F2067C" w:rsidRPr="005060E0">
        <w:rPr>
          <w:rFonts w:cs="Arial"/>
        </w:rPr>
        <w:t xml:space="preserve">Table </w:t>
      </w:r>
      <w:r w:rsidR="00F2067C">
        <w:rPr>
          <w:rFonts w:cs="Arial"/>
          <w:noProof/>
        </w:rPr>
        <w:t>6</w:t>
      </w:r>
      <w:r w:rsidR="00F2067C" w:rsidRPr="005060E0">
        <w:rPr>
          <w:rFonts w:cs="Arial"/>
          <w:noProof/>
        </w:rPr>
        <w:noBreakHyphen/>
      </w:r>
      <w:r w:rsidR="00F2067C">
        <w:rPr>
          <w:rFonts w:cs="Arial"/>
          <w:noProof/>
        </w:rPr>
        <w:t>7</w:t>
      </w:r>
      <w:r w:rsidRPr="005060E0">
        <w:rPr>
          <w:rFonts w:cs="Arial"/>
        </w:rPr>
        <w:fldChar w:fldCharType="end"/>
      </w:r>
      <w:r w:rsidRPr="005060E0">
        <w:rPr>
          <w:rFonts w:cs="Arial"/>
        </w:rPr>
        <w:t xml:space="preserve"> and </w:t>
      </w:r>
      <w:r w:rsidRPr="005060E0">
        <w:rPr>
          <w:rFonts w:cs="Arial"/>
        </w:rPr>
        <w:fldChar w:fldCharType="begin"/>
      </w:r>
      <w:r w:rsidRPr="005060E0">
        <w:rPr>
          <w:rFonts w:cs="Arial"/>
        </w:rPr>
        <w:instrText xml:space="preserve"> REF _Ref472442415 \h  \* MERGEFORMAT </w:instrText>
      </w:r>
      <w:r w:rsidRPr="005060E0">
        <w:rPr>
          <w:rFonts w:cs="Arial"/>
        </w:rPr>
      </w:r>
      <w:r w:rsidRPr="005060E0">
        <w:rPr>
          <w:rFonts w:cs="Arial"/>
        </w:rPr>
        <w:fldChar w:fldCharType="separate"/>
      </w:r>
      <w:r w:rsidR="00F2067C" w:rsidRPr="005060E0">
        <w:rPr>
          <w:rFonts w:cs="Arial"/>
        </w:rPr>
        <w:t xml:space="preserve">Table </w:t>
      </w:r>
      <w:r w:rsidR="00F2067C">
        <w:rPr>
          <w:rFonts w:cs="Arial"/>
          <w:noProof/>
        </w:rPr>
        <w:t>6</w:t>
      </w:r>
      <w:r w:rsidR="00F2067C" w:rsidRPr="005060E0">
        <w:rPr>
          <w:rFonts w:cs="Arial"/>
          <w:noProof/>
        </w:rPr>
        <w:noBreakHyphen/>
      </w:r>
      <w:r w:rsidR="00F2067C">
        <w:rPr>
          <w:rFonts w:cs="Arial"/>
          <w:noProof/>
        </w:rPr>
        <w:t>8</w:t>
      </w:r>
      <w:r w:rsidRPr="005060E0">
        <w:rPr>
          <w:rFonts w:cs="Arial"/>
        </w:rPr>
        <w:fldChar w:fldCharType="end"/>
      </w:r>
      <w:r w:rsidRPr="005060E0">
        <w:rPr>
          <w:rFonts w:cs="Arial"/>
        </w:rPr>
        <w:t xml:space="preserve"> respectively. The corresponding results for Victoria are shown in </w:t>
      </w:r>
      <w:r w:rsidRPr="005060E0">
        <w:rPr>
          <w:rFonts w:cs="Arial"/>
        </w:rPr>
        <w:fldChar w:fldCharType="begin"/>
      </w:r>
      <w:r w:rsidRPr="005060E0">
        <w:rPr>
          <w:rFonts w:cs="Arial"/>
        </w:rPr>
        <w:instrText xml:space="preserve"> REF _Ref507505984 \h  \* MERGEFORMAT </w:instrText>
      </w:r>
      <w:r w:rsidRPr="005060E0">
        <w:rPr>
          <w:rFonts w:cs="Arial"/>
        </w:rPr>
      </w:r>
      <w:r w:rsidRPr="005060E0">
        <w:rPr>
          <w:rFonts w:cs="Arial"/>
        </w:rPr>
        <w:fldChar w:fldCharType="separate"/>
      </w:r>
      <w:r w:rsidR="00F2067C" w:rsidRPr="005060E0">
        <w:rPr>
          <w:rFonts w:cs="Arial"/>
        </w:rPr>
        <w:t xml:space="preserve">Table </w:t>
      </w:r>
      <w:r w:rsidR="00F2067C">
        <w:rPr>
          <w:rFonts w:cs="Arial"/>
          <w:noProof/>
        </w:rPr>
        <w:t>6</w:t>
      </w:r>
      <w:r w:rsidR="00F2067C" w:rsidRPr="005060E0">
        <w:rPr>
          <w:rFonts w:cs="Arial"/>
          <w:noProof/>
        </w:rPr>
        <w:noBreakHyphen/>
      </w:r>
      <w:r w:rsidR="00F2067C">
        <w:rPr>
          <w:rFonts w:cs="Arial"/>
          <w:noProof/>
        </w:rPr>
        <w:t>9</w:t>
      </w:r>
      <w:r w:rsidRPr="005060E0">
        <w:rPr>
          <w:rFonts w:cs="Arial"/>
        </w:rPr>
        <w:fldChar w:fldCharType="end"/>
      </w:r>
      <w:r w:rsidRPr="005060E0">
        <w:rPr>
          <w:rFonts w:cs="Arial"/>
        </w:rPr>
        <w:t xml:space="preserve"> and </w:t>
      </w:r>
      <w:r w:rsidRPr="005060E0">
        <w:rPr>
          <w:rFonts w:cs="Arial"/>
        </w:rPr>
        <w:fldChar w:fldCharType="begin"/>
      </w:r>
      <w:r w:rsidRPr="005060E0">
        <w:rPr>
          <w:rFonts w:cs="Arial"/>
        </w:rPr>
        <w:instrText xml:space="preserve"> REF _Ref507505986 \h  \* MERGEFORMAT </w:instrText>
      </w:r>
      <w:r w:rsidRPr="005060E0">
        <w:rPr>
          <w:rFonts w:cs="Arial"/>
        </w:rPr>
      </w:r>
      <w:r w:rsidRPr="005060E0">
        <w:rPr>
          <w:rFonts w:cs="Arial"/>
        </w:rPr>
        <w:fldChar w:fldCharType="separate"/>
      </w:r>
      <w:r w:rsidR="00F2067C" w:rsidRPr="005060E0">
        <w:rPr>
          <w:rFonts w:cs="Arial"/>
        </w:rPr>
        <w:t xml:space="preserve">Table </w:t>
      </w:r>
      <w:r w:rsidR="00F2067C">
        <w:rPr>
          <w:rFonts w:cs="Arial"/>
          <w:noProof/>
        </w:rPr>
        <w:t>6</w:t>
      </w:r>
      <w:r w:rsidR="00F2067C" w:rsidRPr="005060E0">
        <w:rPr>
          <w:rFonts w:cs="Arial"/>
          <w:noProof/>
        </w:rPr>
        <w:noBreakHyphen/>
      </w:r>
      <w:r w:rsidR="00F2067C">
        <w:rPr>
          <w:rFonts w:cs="Arial"/>
          <w:noProof/>
        </w:rPr>
        <w:t>10</w:t>
      </w:r>
      <w:r w:rsidRPr="005060E0">
        <w:rPr>
          <w:rFonts w:cs="Arial"/>
        </w:rPr>
        <w:fldChar w:fldCharType="end"/>
      </w:r>
      <w:r w:rsidRPr="005060E0">
        <w:rPr>
          <w:rFonts w:cs="Arial"/>
        </w:rPr>
        <w:t xml:space="preserve">. </w:t>
      </w:r>
      <w:r w:rsidR="001F2BC5" w:rsidRPr="005060E0">
        <w:rPr>
          <w:rFonts w:cs="Arial"/>
        </w:rPr>
        <w:t>For annual mean SO</w:t>
      </w:r>
      <w:r w:rsidR="001F2BC5" w:rsidRPr="005060E0">
        <w:rPr>
          <w:rFonts w:cs="Arial"/>
          <w:vertAlign w:val="subscript"/>
        </w:rPr>
        <w:t>2</w:t>
      </w:r>
      <w:r w:rsidR="001F2BC5" w:rsidRPr="005060E0">
        <w:rPr>
          <w:rFonts w:cs="Arial"/>
        </w:rPr>
        <w:t>, these tables show the number of monitoring stations</w:t>
      </w:r>
      <w:r w:rsidR="00F91E8F" w:rsidRPr="005060E0">
        <w:rPr>
          <w:rFonts w:cs="Arial"/>
        </w:rPr>
        <w:t xml:space="preserve"> with exceedances,</w:t>
      </w:r>
      <w:r w:rsidR="001F2BC5" w:rsidRPr="005060E0">
        <w:rPr>
          <w:rFonts w:cs="Arial"/>
        </w:rPr>
        <w:t xml:space="preserve"> in each airshed. </w:t>
      </w:r>
      <w:r w:rsidRPr="005060E0">
        <w:rPr>
          <w:rFonts w:cs="Arial"/>
        </w:rPr>
        <w:t>The BAU tables also include average numbers of exceedances from the monitoring data over the period 2010</w:t>
      </w:r>
      <w:r w:rsidR="00DF4D3A" w:rsidRPr="005060E0">
        <w:rPr>
          <w:rFonts w:cs="Arial"/>
        </w:rPr>
        <w:t>–20</w:t>
      </w:r>
      <w:r w:rsidRPr="005060E0">
        <w:rPr>
          <w:rFonts w:cs="Arial"/>
        </w:rPr>
        <w:t>14, the purpose being to show any consistency (or otherwise) between the monitoring and modelling outcomes.</w:t>
      </w:r>
      <w:r w:rsidR="00090178" w:rsidRPr="005060E0">
        <w:rPr>
          <w:rFonts w:cs="Arial"/>
        </w:rPr>
        <w:t xml:space="preserve"> </w:t>
      </w:r>
    </w:p>
    <w:p w14:paraId="3CC978BE" w14:textId="77777777" w:rsidR="00A902EB" w:rsidRPr="005060E0" w:rsidRDefault="00A902EB" w:rsidP="00A902EB">
      <w:pPr>
        <w:pStyle w:val="ListBullet"/>
        <w:numPr>
          <w:ilvl w:val="0"/>
          <w:numId w:val="0"/>
        </w:numPr>
        <w:rPr>
          <w:rFonts w:cs="Arial"/>
        </w:rPr>
      </w:pPr>
      <w:r w:rsidRPr="005060E0">
        <w:rPr>
          <w:rFonts w:cs="Arial"/>
        </w:rPr>
        <w:t xml:space="preserve">All airsheds covered by the modelling complied with all the 1-hour standards prior to the abatements being applied. Compliance continues into the future with the Abatement Package in place. </w:t>
      </w:r>
    </w:p>
    <w:p w14:paraId="3222B8F4" w14:textId="77777777" w:rsidR="00373E34" w:rsidRPr="005060E0" w:rsidRDefault="00373E34" w:rsidP="00373E34">
      <w:pPr>
        <w:pStyle w:val="ListBullet"/>
        <w:numPr>
          <w:ilvl w:val="0"/>
          <w:numId w:val="0"/>
        </w:numPr>
        <w:rPr>
          <w:rFonts w:cs="Arial"/>
        </w:rPr>
      </w:pPr>
      <w:r w:rsidRPr="005060E0">
        <w:rPr>
          <w:rFonts w:cs="Arial"/>
        </w:rPr>
        <w:t>In Sydney, there was also compliance with all the 24-hour standards in the BAU scenario, whereas in the other airsheds there were exceedances of the 7 ppb standard. The Abatement Package resulted in a substantial reduction in the number of exceedances. In the Abatement Package scenario, Newcastle would comply with the standard in 2040, and Wollongong in 2021. The Port Phillip Region and the Latrobe Valley were predicted to meet the standard in 2040 and 2021 respectively.</w:t>
      </w:r>
    </w:p>
    <w:p w14:paraId="791E34FD" w14:textId="77777777" w:rsidR="00373E34" w:rsidRPr="005060E0" w:rsidRDefault="00373E34" w:rsidP="00373E34">
      <w:pPr>
        <w:pStyle w:val="ListBullet"/>
        <w:numPr>
          <w:ilvl w:val="0"/>
          <w:numId w:val="0"/>
        </w:numPr>
        <w:rPr>
          <w:rFonts w:cs="Arial"/>
        </w:rPr>
      </w:pPr>
      <w:r w:rsidRPr="005060E0">
        <w:rPr>
          <w:rFonts w:cs="Arial"/>
        </w:rPr>
        <w:t>The results for the different percentiles indicated that changes in the patterns of exceedances were not due to the reduction of a small number of high concentrations, but a more general reduction across the concentration range.</w:t>
      </w:r>
    </w:p>
    <w:p w14:paraId="16E3D1A3" w14:textId="77777777" w:rsidR="00373E34" w:rsidRPr="005060E0" w:rsidRDefault="00373E34" w:rsidP="00373E34">
      <w:pPr>
        <w:pStyle w:val="ListBullet"/>
        <w:numPr>
          <w:ilvl w:val="0"/>
          <w:numId w:val="0"/>
        </w:numPr>
        <w:rPr>
          <w:rFonts w:cs="Arial"/>
        </w:rPr>
      </w:pPr>
      <w:r w:rsidRPr="005060E0">
        <w:rPr>
          <w:rFonts w:cs="Arial"/>
        </w:rPr>
        <w:t>For all airsheds covered by the modelling, there was compliance with both the proposed annual mean standards (10 ppb and 20 ppb) prior to the abatements being applied. Compliance continued into the future with the Abatement Package in place.</w:t>
      </w:r>
    </w:p>
    <w:p w14:paraId="55F3694E" w14:textId="22C62182" w:rsidR="00F0620D" w:rsidRPr="005060E0" w:rsidRDefault="00373E34" w:rsidP="00A902EB">
      <w:r w:rsidRPr="005060E0">
        <w:rPr>
          <w:rFonts w:cs="Arial"/>
        </w:rPr>
        <w:t>The comparison between the historical years and the future years in the BAU scenario indicates that the models were overestimating the numbers of exceedances of the 24-hour standard for SO</w:t>
      </w:r>
      <w:r w:rsidRPr="005060E0">
        <w:rPr>
          <w:rFonts w:cs="Arial"/>
          <w:vertAlign w:val="subscript"/>
        </w:rPr>
        <w:t>2</w:t>
      </w:r>
      <w:r w:rsidRPr="005060E0">
        <w:rPr>
          <w:rFonts w:cs="Arial"/>
        </w:rPr>
        <w:t>.</w:t>
      </w:r>
    </w:p>
    <w:p w14:paraId="1CEFBEC6" w14:textId="6C0F30C3" w:rsidR="004A4B44" w:rsidRPr="005060E0" w:rsidRDefault="004A4B44" w:rsidP="004A4B44">
      <w:pPr>
        <w:pStyle w:val="ListBullet"/>
        <w:numPr>
          <w:ilvl w:val="0"/>
          <w:numId w:val="0"/>
        </w:numPr>
        <w:spacing w:after="200" w:line="276" w:lineRule="auto"/>
      </w:pPr>
    </w:p>
    <w:p w14:paraId="34766CE6" w14:textId="77777777" w:rsidR="004A4B44" w:rsidRPr="005060E0" w:rsidRDefault="004A4B44" w:rsidP="004A4B44">
      <w:pPr>
        <w:rPr>
          <w:rFonts w:cs="Arial"/>
        </w:rPr>
        <w:sectPr w:rsidR="004A4B44" w:rsidRPr="005060E0" w:rsidSect="00240B1D">
          <w:headerReference w:type="default" r:id="rId24"/>
          <w:pgSz w:w="11906" w:h="16838" w:code="9"/>
          <w:pgMar w:top="1440" w:right="1134" w:bottom="1701" w:left="1134" w:header="709" w:footer="130" w:gutter="0"/>
          <w:cols w:space="255"/>
          <w:docGrid w:linePitch="360"/>
        </w:sectPr>
      </w:pPr>
    </w:p>
    <w:p w14:paraId="1232351C" w14:textId="778B3452" w:rsidR="00341810" w:rsidRPr="005060E0" w:rsidRDefault="00341810" w:rsidP="00341810">
      <w:pPr>
        <w:pStyle w:val="PBTablecaption"/>
        <w:rPr>
          <w:rFonts w:eastAsia="Arial" w:cs="Arial"/>
        </w:rPr>
      </w:pPr>
      <w:bookmarkStart w:id="121" w:name="_Ref507505887"/>
      <w:bookmarkStart w:id="122" w:name="_Toc504335439"/>
      <w:r w:rsidRPr="005060E0">
        <w:rPr>
          <w:rFonts w:cs="Arial"/>
        </w:rPr>
        <w:t xml:space="preserve">Table </w:t>
      </w:r>
      <w:r w:rsidRPr="005060E0">
        <w:rPr>
          <w:rFonts w:cs="Arial"/>
        </w:rPr>
        <w:fldChar w:fldCharType="begin"/>
      </w:r>
      <w:r w:rsidRPr="005060E0">
        <w:rPr>
          <w:rFonts w:cs="Arial"/>
        </w:rPr>
        <w:instrText xml:space="preserve"> STYLEREF 1 \s </w:instrText>
      </w:r>
      <w:r w:rsidRPr="005060E0">
        <w:rPr>
          <w:rFonts w:cs="Arial"/>
        </w:rPr>
        <w:fldChar w:fldCharType="separate"/>
      </w:r>
      <w:r w:rsidR="00F2067C">
        <w:rPr>
          <w:rFonts w:cs="Arial"/>
          <w:noProof/>
        </w:rPr>
        <w:t>6</w:t>
      </w:r>
      <w:r w:rsidRPr="005060E0">
        <w:rPr>
          <w:rFonts w:cs="Arial"/>
          <w:noProof/>
        </w:rPr>
        <w:fldChar w:fldCharType="end"/>
      </w:r>
      <w:r w:rsidRPr="005060E0">
        <w:rPr>
          <w:rFonts w:cs="Arial"/>
        </w:rPr>
        <w:noBreakHyphen/>
      </w:r>
      <w:r w:rsidRPr="005060E0">
        <w:rPr>
          <w:rFonts w:cs="Arial"/>
        </w:rPr>
        <w:fldChar w:fldCharType="begin"/>
      </w:r>
      <w:r w:rsidRPr="005060E0">
        <w:rPr>
          <w:rFonts w:cs="Arial"/>
        </w:rPr>
        <w:instrText xml:space="preserve"> SEQ Table \* ARABIC \s 1 </w:instrText>
      </w:r>
      <w:r w:rsidRPr="005060E0">
        <w:rPr>
          <w:rFonts w:cs="Arial"/>
        </w:rPr>
        <w:fldChar w:fldCharType="separate"/>
      </w:r>
      <w:r w:rsidR="00F2067C">
        <w:rPr>
          <w:rFonts w:cs="Arial"/>
          <w:noProof/>
        </w:rPr>
        <w:t>7</w:t>
      </w:r>
      <w:r w:rsidRPr="005060E0">
        <w:rPr>
          <w:rFonts w:cs="Arial"/>
          <w:noProof/>
        </w:rPr>
        <w:fldChar w:fldCharType="end"/>
      </w:r>
      <w:bookmarkEnd w:id="121"/>
      <w:r w:rsidRPr="005060E0">
        <w:rPr>
          <w:rFonts w:cs="Arial"/>
        </w:rPr>
        <w:t>: Projected</w:t>
      </w:r>
      <w:r w:rsidR="00975888" w:rsidRPr="005060E0">
        <w:rPr>
          <w:rFonts w:eastAsia="Arial" w:cs="Arial"/>
        </w:rPr>
        <w:t xml:space="preserve"> e</w:t>
      </w:r>
      <w:r w:rsidRPr="005060E0">
        <w:rPr>
          <w:rFonts w:eastAsia="Arial" w:cs="Arial"/>
        </w:rPr>
        <w:t>xceedance</w:t>
      </w:r>
      <w:r w:rsidR="00975888" w:rsidRPr="005060E0">
        <w:rPr>
          <w:rFonts w:eastAsia="Arial" w:cs="Arial"/>
        </w:rPr>
        <w:t>s of</w:t>
      </w:r>
      <w:r w:rsidRPr="005060E0">
        <w:rPr>
          <w:rFonts w:eastAsia="Arial" w:cs="Arial"/>
        </w:rPr>
        <w:t xml:space="preserve"> </w:t>
      </w:r>
      <w:r w:rsidR="00CE5917" w:rsidRPr="005060E0">
        <w:rPr>
          <w:rFonts w:eastAsia="Arial" w:cs="Arial"/>
        </w:rPr>
        <w:t xml:space="preserve">current and </w:t>
      </w:r>
      <w:r w:rsidRPr="005060E0">
        <w:rPr>
          <w:rFonts w:eastAsia="Arial" w:cs="Arial"/>
        </w:rPr>
        <w:t>proposed SO</w:t>
      </w:r>
      <w:r w:rsidRPr="005060E0">
        <w:rPr>
          <w:rFonts w:eastAsia="Arial" w:cs="Arial"/>
          <w:vertAlign w:val="subscript"/>
        </w:rPr>
        <w:t>2</w:t>
      </w:r>
      <w:r w:rsidRPr="005060E0">
        <w:rPr>
          <w:rFonts w:eastAsia="Arial" w:cs="Arial"/>
        </w:rPr>
        <w:t xml:space="preserve"> standards</w:t>
      </w:r>
      <w:bookmarkEnd w:id="122"/>
      <w:r w:rsidRPr="005060E0">
        <w:rPr>
          <w:rFonts w:eastAsia="Arial" w:cs="Arial"/>
        </w:rPr>
        <w:t xml:space="preserve"> (BAU scenario, NSW)</w:t>
      </w:r>
    </w:p>
    <w:tbl>
      <w:tblPr>
        <w:tblStyle w:val="ListTable3-Accent17"/>
        <w:tblW w:w="5000" w:type="pct"/>
        <w:tblLayout w:type="fixed"/>
        <w:tblLook w:val="04A0" w:firstRow="1" w:lastRow="0" w:firstColumn="1" w:lastColumn="0" w:noHBand="0" w:noVBand="1"/>
      </w:tblPr>
      <w:tblGrid>
        <w:gridCol w:w="1136"/>
        <w:gridCol w:w="856"/>
        <w:gridCol w:w="556"/>
        <w:gridCol w:w="1417"/>
        <w:gridCol w:w="708"/>
        <w:gridCol w:w="708"/>
        <w:gridCol w:w="711"/>
        <w:gridCol w:w="706"/>
        <w:gridCol w:w="1420"/>
        <w:gridCol w:w="708"/>
        <w:gridCol w:w="567"/>
        <w:gridCol w:w="567"/>
        <w:gridCol w:w="567"/>
        <w:gridCol w:w="1417"/>
        <w:gridCol w:w="567"/>
        <w:gridCol w:w="423"/>
        <w:gridCol w:w="564"/>
        <w:gridCol w:w="514"/>
      </w:tblGrid>
      <w:tr w:rsidR="00DF6730" w:rsidRPr="005060E0" w14:paraId="23EFB614" w14:textId="77777777" w:rsidTr="00DF673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100" w:firstRow="0" w:lastRow="0" w:firstColumn="1" w:lastColumn="0" w:oddVBand="0" w:evenVBand="0" w:oddHBand="0" w:evenHBand="0" w:firstRowFirstColumn="1" w:firstRowLastColumn="0" w:lastRowFirstColumn="0" w:lastRowLastColumn="0"/>
            <w:tcW w:w="402" w:type="pct"/>
            <w:vMerge w:val="restar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2B2C2A78" w14:textId="77777777" w:rsidR="00341810" w:rsidRPr="005060E0" w:rsidRDefault="00341810" w:rsidP="00341810">
            <w:pPr>
              <w:widowControl w:val="0"/>
              <w:spacing w:after="0" w:line="240" w:lineRule="auto"/>
              <w:jc w:val="center"/>
              <w:rPr>
                <w:rFonts w:cs="Arial"/>
                <w:b w:val="0"/>
                <w:color w:val="FFFFFF" w:themeColor="background1"/>
                <w:sz w:val="15"/>
                <w:szCs w:val="15"/>
              </w:rPr>
            </w:pPr>
            <w:r w:rsidRPr="005060E0">
              <w:rPr>
                <w:rFonts w:cs="Arial"/>
                <w:b w:val="0"/>
                <w:color w:val="FFFFFF" w:themeColor="background1"/>
                <w:sz w:val="15"/>
                <w:szCs w:val="15"/>
              </w:rPr>
              <w:t>Period</w:t>
            </w:r>
          </w:p>
        </w:tc>
        <w:tc>
          <w:tcPr>
            <w:tcW w:w="303" w:type="pct"/>
            <w:vMerge w:val="restar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58661961" w14:textId="77777777" w:rsidR="00341810" w:rsidRPr="005060E0" w:rsidRDefault="00341810" w:rsidP="0034181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Standard (ppb)</w:t>
            </w:r>
          </w:p>
        </w:tc>
        <w:tc>
          <w:tcPr>
            <w:tcW w:w="197" w:type="pct"/>
            <w:vMerge w:val="restar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5FE88BA2" w14:textId="77777777" w:rsidR="00341810" w:rsidRPr="005060E0" w:rsidRDefault="00341810" w:rsidP="0034181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p>
        </w:tc>
        <w:tc>
          <w:tcPr>
            <w:tcW w:w="1506" w:type="pct"/>
            <w:gridSpan w:val="5"/>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7741A72E" w14:textId="77777777" w:rsidR="00341810" w:rsidRPr="005060E0" w:rsidRDefault="00341810" w:rsidP="0034181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NSW: Sydney</w:t>
            </w:r>
          </w:p>
        </w:tc>
        <w:tc>
          <w:tcPr>
            <w:tcW w:w="1357" w:type="pct"/>
            <w:gridSpan w:val="5"/>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2CB78E0B" w14:textId="77777777" w:rsidR="00341810" w:rsidRPr="005060E0" w:rsidRDefault="00341810" w:rsidP="0034181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NSW: Newcastle</w:t>
            </w:r>
          </w:p>
        </w:tc>
        <w:tc>
          <w:tcPr>
            <w:tcW w:w="1235" w:type="pct"/>
            <w:gridSpan w:val="5"/>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18D0F911" w14:textId="77777777" w:rsidR="00341810" w:rsidRPr="005060E0" w:rsidRDefault="00341810" w:rsidP="0034181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NSW: Wollongong</w:t>
            </w:r>
          </w:p>
        </w:tc>
      </w:tr>
      <w:tr w:rsidR="00BF7BF2" w:rsidRPr="005060E0" w14:paraId="3979D31E" w14:textId="77777777" w:rsidTr="00D23D58">
        <w:tblPrEx>
          <w:tblBorders>
            <w:top w:val="single" w:sz="2" w:space="0" w:color="0076C0"/>
            <w:left w:val="single" w:sz="2" w:space="0" w:color="0076C0"/>
            <w:bottom w:val="single" w:sz="2" w:space="0" w:color="0076C0"/>
            <w:right w:val="single" w:sz="2" w:space="0" w:color="0076C0"/>
          </w:tblBorders>
          <w:tblCellMar>
            <w:left w:w="41" w:type="dxa"/>
            <w:right w:w="41" w:type="dxa"/>
          </w:tblCellMar>
        </w:tblPrEx>
        <w:trPr>
          <w:cnfStyle w:val="100000000000" w:firstRow="1" w:lastRow="0" w:firstColumn="0" w:lastColumn="0" w:oddVBand="0" w:evenVBand="0" w:oddHBand="0" w:evenHBand="0" w:firstRowFirstColumn="0" w:firstRowLastColumn="0" w:lastRowFirstColumn="0" w:lastRowLastColumn="0"/>
          <w:trHeight w:hRule="exact" w:val="227"/>
          <w:tblHeader/>
        </w:trPr>
        <w:tc>
          <w:tcPr>
            <w:cnfStyle w:val="001000000100" w:firstRow="0" w:lastRow="0" w:firstColumn="1" w:lastColumn="0" w:oddVBand="0" w:evenVBand="0" w:oddHBand="0" w:evenHBand="0" w:firstRowFirstColumn="1" w:firstRowLastColumn="0" w:lastRowFirstColumn="0" w:lastRowLastColumn="0"/>
            <w:tcW w:w="402" w:type="pct"/>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3E28D9E2" w14:textId="77777777" w:rsidR="00341810" w:rsidRPr="005060E0" w:rsidRDefault="00341810" w:rsidP="00341810">
            <w:pPr>
              <w:widowControl w:val="0"/>
              <w:spacing w:after="0" w:line="240" w:lineRule="auto"/>
              <w:rPr>
                <w:rFonts w:cs="Arial"/>
                <w:b w:val="0"/>
                <w:color w:val="FFFFFF" w:themeColor="background1"/>
                <w:sz w:val="15"/>
                <w:szCs w:val="15"/>
              </w:rPr>
            </w:pPr>
          </w:p>
        </w:tc>
        <w:tc>
          <w:tcPr>
            <w:tcW w:w="303" w:type="pct"/>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403B8AEB" w14:textId="77777777" w:rsidR="00341810" w:rsidRPr="005060E0" w:rsidRDefault="00341810" w:rsidP="0034181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p>
        </w:tc>
        <w:tc>
          <w:tcPr>
            <w:tcW w:w="197" w:type="pct"/>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474D2EB7" w14:textId="77777777" w:rsidR="00341810" w:rsidRPr="005060E0" w:rsidRDefault="00341810" w:rsidP="0034181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p>
        </w:tc>
        <w:tc>
          <w:tcPr>
            <w:tcW w:w="502" w:type="pct"/>
            <w:tcBorders>
              <w:top w:val="single" w:sz="4" w:space="0" w:color="606072"/>
              <w:left w:val="single" w:sz="4" w:space="0" w:color="606072"/>
              <w:bottom w:val="single" w:sz="4" w:space="0" w:color="606072"/>
              <w:right w:val="single" w:sz="4" w:space="0" w:color="606072"/>
            </w:tcBorders>
            <w:shd w:val="clear" w:color="auto" w:fill="828284" w:themeFill="text1" w:themeFillTint="A6"/>
            <w:tcMar>
              <w:left w:w="28" w:type="dxa"/>
              <w:right w:w="28" w:type="dxa"/>
            </w:tcMar>
            <w:vAlign w:val="center"/>
          </w:tcPr>
          <w:p w14:paraId="7705F80C" w14:textId="77777777" w:rsidR="00341810" w:rsidRPr="005060E0" w:rsidRDefault="00341810" w:rsidP="0034181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Measured</w:t>
            </w:r>
          </w:p>
        </w:tc>
        <w:tc>
          <w:tcPr>
            <w:tcW w:w="1004" w:type="pct"/>
            <w:gridSpan w:val="4"/>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3B09CED5" w14:textId="2FF210D4" w:rsidR="00341810" w:rsidRPr="005060E0" w:rsidRDefault="00CE5917" w:rsidP="0034181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Projected</w:t>
            </w:r>
          </w:p>
        </w:tc>
        <w:tc>
          <w:tcPr>
            <w:tcW w:w="503" w:type="pct"/>
            <w:tcBorders>
              <w:top w:val="single" w:sz="4" w:space="0" w:color="606072"/>
              <w:left w:val="single" w:sz="4" w:space="0" w:color="606072"/>
              <w:bottom w:val="single" w:sz="4" w:space="0" w:color="606072"/>
              <w:right w:val="single" w:sz="4" w:space="0" w:color="606072"/>
            </w:tcBorders>
            <w:shd w:val="clear" w:color="auto" w:fill="828284" w:themeFill="text1" w:themeFillTint="A6"/>
            <w:tcMar>
              <w:left w:w="28" w:type="dxa"/>
              <w:right w:w="28" w:type="dxa"/>
            </w:tcMar>
            <w:vAlign w:val="center"/>
          </w:tcPr>
          <w:p w14:paraId="02509F91" w14:textId="77777777" w:rsidR="00341810" w:rsidRPr="005060E0" w:rsidRDefault="00341810" w:rsidP="0034181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Measured</w:t>
            </w:r>
          </w:p>
        </w:tc>
        <w:tc>
          <w:tcPr>
            <w:tcW w:w="854" w:type="pct"/>
            <w:gridSpan w:val="4"/>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6A063D83" w14:textId="293AD7DA" w:rsidR="00341810" w:rsidRPr="005060E0" w:rsidRDefault="00CE5917" w:rsidP="0034181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Projected</w:t>
            </w:r>
          </w:p>
        </w:tc>
        <w:tc>
          <w:tcPr>
            <w:tcW w:w="502" w:type="pct"/>
            <w:tcBorders>
              <w:top w:val="single" w:sz="4" w:space="0" w:color="606072"/>
              <w:left w:val="single" w:sz="4" w:space="0" w:color="606072"/>
              <w:bottom w:val="single" w:sz="4" w:space="0" w:color="606072"/>
              <w:right w:val="single" w:sz="4" w:space="0" w:color="606072"/>
            </w:tcBorders>
            <w:shd w:val="clear" w:color="auto" w:fill="828284" w:themeFill="text1" w:themeFillTint="A6"/>
            <w:tcMar>
              <w:left w:w="28" w:type="dxa"/>
              <w:right w:w="28" w:type="dxa"/>
            </w:tcMar>
            <w:vAlign w:val="center"/>
          </w:tcPr>
          <w:p w14:paraId="0C72C182" w14:textId="77777777" w:rsidR="00341810" w:rsidRPr="005060E0" w:rsidRDefault="00341810" w:rsidP="0034181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Measured</w:t>
            </w:r>
          </w:p>
        </w:tc>
        <w:tc>
          <w:tcPr>
            <w:tcW w:w="733" w:type="pct"/>
            <w:gridSpan w:val="4"/>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29764676" w14:textId="1AA442AE" w:rsidR="00341810" w:rsidRPr="005060E0" w:rsidRDefault="00CE5917" w:rsidP="0034181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Projected</w:t>
            </w:r>
          </w:p>
        </w:tc>
      </w:tr>
      <w:tr w:rsidR="007F77AB" w:rsidRPr="005060E0" w14:paraId="5A273F67" w14:textId="77777777" w:rsidTr="00D41B95">
        <w:tblPrEx>
          <w:tblBorders>
            <w:top w:val="single" w:sz="2" w:space="0" w:color="0076C0"/>
            <w:left w:val="single" w:sz="2" w:space="0" w:color="0076C0"/>
            <w:bottom w:val="single" w:sz="2" w:space="0" w:color="0076C0"/>
            <w:right w:val="single" w:sz="2" w:space="0" w:color="0076C0"/>
          </w:tblBorders>
          <w:tblCellMar>
            <w:left w:w="41" w:type="dxa"/>
            <w:right w:w="41" w:type="dxa"/>
          </w:tblCellMar>
        </w:tblPrEx>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100" w:firstRow="0" w:lastRow="0" w:firstColumn="1" w:lastColumn="0" w:oddVBand="0" w:evenVBand="0" w:oddHBand="0" w:evenHBand="0" w:firstRowFirstColumn="1" w:firstRowLastColumn="0" w:lastRowFirstColumn="0" w:lastRowLastColumn="0"/>
            <w:tcW w:w="402" w:type="pct"/>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11A4ECDC" w14:textId="77777777" w:rsidR="00341810" w:rsidRPr="005060E0" w:rsidRDefault="00341810" w:rsidP="00341810">
            <w:pPr>
              <w:widowControl w:val="0"/>
              <w:spacing w:after="0" w:line="240" w:lineRule="auto"/>
              <w:rPr>
                <w:rFonts w:cs="Arial"/>
                <w:b w:val="0"/>
                <w:color w:val="FFFFFF" w:themeColor="background1"/>
                <w:sz w:val="15"/>
                <w:szCs w:val="15"/>
              </w:rPr>
            </w:pPr>
          </w:p>
        </w:tc>
        <w:tc>
          <w:tcPr>
            <w:tcW w:w="303" w:type="pct"/>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7F1F67EB" w14:textId="77777777" w:rsidR="00341810" w:rsidRPr="005060E0" w:rsidRDefault="00341810" w:rsidP="0034181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p>
        </w:tc>
        <w:tc>
          <w:tcPr>
            <w:tcW w:w="197" w:type="pct"/>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72E2A4D2" w14:textId="77777777" w:rsidR="00341810" w:rsidRPr="005060E0" w:rsidRDefault="00341810" w:rsidP="0034181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p>
        </w:tc>
        <w:tc>
          <w:tcPr>
            <w:tcW w:w="502" w:type="pct"/>
            <w:tcBorders>
              <w:top w:val="single" w:sz="4" w:space="0" w:color="606072"/>
              <w:left w:val="single" w:sz="4" w:space="0" w:color="606072"/>
              <w:bottom w:val="single" w:sz="4" w:space="0" w:color="606072"/>
              <w:right w:val="single" w:sz="4" w:space="0" w:color="606072"/>
            </w:tcBorders>
            <w:shd w:val="clear" w:color="auto" w:fill="808080" w:themeFill="background1" w:themeFillShade="80"/>
            <w:tcMar>
              <w:left w:w="28" w:type="dxa"/>
              <w:right w:w="28" w:type="dxa"/>
            </w:tcMar>
            <w:vAlign w:val="center"/>
          </w:tcPr>
          <w:p w14:paraId="72BD01F4" w14:textId="58E4F5CA" w:rsidR="00341810" w:rsidRPr="005060E0" w:rsidRDefault="00DF6730" w:rsidP="00DF673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2010</w:t>
            </w:r>
            <w:r w:rsidR="00DF4D3A" w:rsidRPr="005060E0">
              <w:rPr>
                <w:rFonts w:cs="Arial"/>
                <w:b w:val="0"/>
                <w:color w:val="FFFFFF" w:themeColor="background1"/>
                <w:sz w:val="15"/>
                <w:szCs w:val="15"/>
              </w:rPr>
              <w:t>–20</w:t>
            </w:r>
            <w:r w:rsidRPr="005060E0">
              <w:rPr>
                <w:rFonts w:cs="Arial"/>
                <w:b w:val="0"/>
                <w:color w:val="FFFFFF" w:themeColor="background1"/>
                <w:sz w:val="15"/>
                <w:szCs w:val="15"/>
              </w:rPr>
              <w:t xml:space="preserve">14 </w:t>
            </w:r>
            <w:r w:rsidR="00064F3E" w:rsidRPr="005060E0">
              <w:rPr>
                <w:rFonts w:cs="Arial"/>
                <w:b w:val="0"/>
                <w:color w:val="FFFFFF" w:themeColor="background1"/>
                <w:sz w:val="15"/>
                <w:szCs w:val="15"/>
              </w:rPr>
              <w:br/>
            </w:r>
            <w:r w:rsidRPr="005060E0">
              <w:rPr>
                <w:rFonts w:cs="Arial"/>
                <w:b w:val="0"/>
                <w:color w:val="FFFFFF" w:themeColor="background1"/>
                <w:sz w:val="15"/>
                <w:szCs w:val="15"/>
              </w:rPr>
              <w:t>annual</w:t>
            </w:r>
            <w:r w:rsidR="00341810" w:rsidRPr="005060E0">
              <w:rPr>
                <w:rFonts w:cs="Arial"/>
                <w:b w:val="0"/>
                <w:color w:val="FFFFFF" w:themeColor="background1"/>
                <w:sz w:val="15"/>
                <w:szCs w:val="15"/>
              </w:rPr>
              <w:t xml:space="preserve"> average</w:t>
            </w:r>
            <w:r w:rsidR="00341810" w:rsidRPr="005060E0">
              <w:rPr>
                <w:rFonts w:cs="Arial"/>
                <w:b w:val="0"/>
                <w:color w:val="FFFFFF" w:themeColor="background1"/>
                <w:sz w:val="15"/>
                <w:szCs w:val="15"/>
                <w:vertAlign w:val="superscript"/>
              </w:rPr>
              <w:t>(a)</w:t>
            </w:r>
          </w:p>
        </w:tc>
        <w:tc>
          <w:tcPr>
            <w:tcW w:w="251" w:type="pc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5800F064" w14:textId="77777777" w:rsidR="00341810" w:rsidRPr="005060E0" w:rsidRDefault="00341810" w:rsidP="0034181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2016</w:t>
            </w:r>
          </w:p>
        </w:tc>
        <w:tc>
          <w:tcPr>
            <w:tcW w:w="251" w:type="pc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371304D2" w14:textId="77777777" w:rsidR="00341810" w:rsidRPr="005060E0" w:rsidRDefault="00341810" w:rsidP="0034181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2021</w:t>
            </w:r>
          </w:p>
        </w:tc>
        <w:tc>
          <w:tcPr>
            <w:tcW w:w="252" w:type="pc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6FACB39E" w14:textId="77777777" w:rsidR="00341810" w:rsidRPr="005060E0" w:rsidRDefault="00341810" w:rsidP="0034181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2031</w:t>
            </w:r>
          </w:p>
        </w:tc>
        <w:tc>
          <w:tcPr>
            <w:tcW w:w="250" w:type="pc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4F73B19A" w14:textId="77777777" w:rsidR="00341810" w:rsidRPr="005060E0" w:rsidRDefault="00341810" w:rsidP="0034181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2040</w:t>
            </w:r>
          </w:p>
        </w:tc>
        <w:tc>
          <w:tcPr>
            <w:tcW w:w="503" w:type="pct"/>
            <w:tcBorders>
              <w:top w:val="single" w:sz="4" w:space="0" w:color="606072"/>
              <w:left w:val="single" w:sz="4" w:space="0" w:color="606072"/>
              <w:bottom w:val="single" w:sz="4" w:space="0" w:color="606072"/>
              <w:right w:val="single" w:sz="4" w:space="0" w:color="606072"/>
            </w:tcBorders>
            <w:shd w:val="clear" w:color="auto" w:fill="808080" w:themeFill="background1" w:themeFillShade="80"/>
            <w:tcMar>
              <w:left w:w="28" w:type="dxa"/>
              <w:right w:w="28" w:type="dxa"/>
            </w:tcMar>
            <w:vAlign w:val="center"/>
          </w:tcPr>
          <w:p w14:paraId="29EB6009" w14:textId="4BCA5D69" w:rsidR="00341810" w:rsidRPr="005060E0" w:rsidRDefault="00DF6730" w:rsidP="00DF673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2010</w:t>
            </w:r>
            <w:r w:rsidR="00DF4D3A" w:rsidRPr="005060E0">
              <w:rPr>
                <w:rFonts w:cs="Arial"/>
                <w:b w:val="0"/>
                <w:color w:val="FFFFFF" w:themeColor="background1"/>
                <w:sz w:val="15"/>
                <w:szCs w:val="15"/>
              </w:rPr>
              <w:t>–20</w:t>
            </w:r>
            <w:r w:rsidR="00341810" w:rsidRPr="005060E0">
              <w:rPr>
                <w:rFonts w:cs="Arial"/>
                <w:b w:val="0"/>
                <w:color w:val="FFFFFF" w:themeColor="background1"/>
                <w:sz w:val="15"/>
                <w:szCs w:val="15"/>
              </w:rPr>
              <w:t>14</w:t>
            </w:r>
          </w:p>
          <w:p w14:paraId="45CFF463" w14:textId="1531C9AB" w:rsidR="00341810" w:rsidRPr="005060E0" w:rsidRDefault="00DF6730" w:rsidP="0034181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annual</w:t>
            </w:r>
            <w:r w:rsidR="00341810" w:rsidRPr="005060E0">
              <w:rPr>
                <w:rFonts w:cs="Arial"/>
                <w:b w:val="0"/>
                <w:color w:val="FFFFFF" w:themeColor="background1"/>
                <w:sz w:val="15"/>
                <w:szCs w:val="15"/>
              </w:rPr>
              <w:t xml:space="preserve"> average</w:t>
            </w:r>
            <w:r w:rsidR="00341810" w:rsidRPr="005060E0">
              <w:rPr>
                <w:rFonts w:cs="Arial"/>
                <w:b w:val="0"/>
                <w:color w:val="FFFFFF" w:themeColor="background1"/>
                <w:sz w:val="15"/>
                <w:szCs w:val="15"/>
                <w:vertAlign w:val="superscript"/>
              </w:rPr>
              <w:t>(a)</w:t>
            </w:r>
          </w:p>
        </w:tc>
        <w:tc>
          <w:tcPr>
            <w:tcW w:w="251" w:type="pc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55DF5FDE" w14:textId="77777777" w:rsidR="00341810" w:rsidRPr="005060E0" w:rsidRDefault="00341810" w:rsidP="0034181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2016</w:t>
            </w:r>
          </w:p>
        </w:tc>
        <w:tc>
          <w:tcPr>
            <w:tcW w:w="201" w:type="pc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756DA2AF" w14:textId="77777777" w:rsidR="00341810" w:rsidRPr="005060E0" w:rsidRDefault="00341810" w:rsidP="0034181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2021</w:t>
            </w:r>
          </w:p>
        </w:tc>
        <w:tc>
          <w:tcPr>
            <w:tcW w:w="201" w:type="pc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0A070804" w14:textId="77777777" w:rsidR="00341810" w:rsidRPr="005060E0" w:rsidRDefault="00341810" w:rsidP="0034181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2031</w:t>
            </w:r>
          </w:p>
        </w:tc>
        <w:tc>
          <w:tcPr>
            <w:tcW w:w="201" w:type="pc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4ACB3F6B" w14:textId="77777777" w:rsidR="00341810" w:rsidRPr="005060E0" w:rsidRDefault="00341810" w:rsidP="0034181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2040</w:t>
            </w:r>
          </w:p>
        </w:tc>
        <w:tc>
          <w:tcPr>
            <w:tcW w:w="502" w:type="pct"/>
            <w:tcBorders>
              <w:top w:val="single" w:sz="4" w:space="0" w:color="606072"/>
              <w:left w:val="single" w:sz="4" w:space="0" w:color="606072"/>
              <w:bottom w:val="single" w:sz="4" w:space="0" w:color="606072"/>
              <w:right w:val="single" w:sz="4" w:space="0" w:color="606072"/>
            </w:tcBorders>
            <w:shd w:val="clear" w:color="auto" w:fill="808080" w:themeFill="background1" w:themeFillShade="80"/>
            <w:tcMar>
              <w:left w:w="28" w:type="dxa"/>
              <w:right w:w="28" w:type="dxa"/>
            </w:tcMar>
            <w:vAlign w:val="center"/>
          </w:tcPr>
          <w:p w14:paraId="0788BA70" w14:textId="62B62DDB" w:rsidR="00341810" w:rsidRPr="005060E0" w:rsidRDefault="00DF6730" w:rsidP="00DF673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15"/>
                <w:szCs w:val="15"/>
              </w:rPr>
            </w:pPr>
            <w:r w:rsidRPr="005060E0">
              <w:rPr>
                <w:rFonts w:cs="Arial"/>
                <w:b w:val="0"/>
                <w:bCs w:val="0"/>
                <w:color w:val="FFFFFF" w:themeColor="background1"/>
                <w:sz w:val="15"/>
                <w:szCs w:val="15"/>
              </w:rPr>
              <w:t>2010</w:t>
            </w:r>
            <w:r w:rsidR="00DF4D3A" w:rsidRPr="005060E0">
              <w:rPr>
                <w:rFonts w:cs="Arial"/>
                <w:b w:val="0"/>
                <w:bCs w:val="0"/>
                <w:color w:val="FFFFFF" w:themeColor="background1"/>
                <w:sz w:val="15"/>
                <w:szCs w:val="15"/>
              </w:rPr>
              <w:t>–20</w:t>
            </w:r>
            <w:r w:rsidRPr="005060E0">
              <w:rPr>
                <w:rFonts w:cs="Arial"/>
                <w:b w:val="0"/>
                <w:bCs w:val="0"/>
                <w:color w:val="FFFFFF" w:themeColor="background1"/>
                <w:sz w:val="15"/>
                <w:szCs w:val="15"/>
              </w:rPr>
              <w:t xml:space="preserve">14 </w:t>
            </w:r>
            <w:r w:rsidR="00064F3E" w:rsidRPr="005060E0">
              <w:rPr>
                <w:rFonts w:cs="Arial"/>
                <w:b w:val="0"/>
                <w:bCs w:val="0"/>
                <w:color w:val="FFFFFF" w:themeColor="background1"/>
                <w:sz w:val="15"/>
                <w:szCs w:val="15"/>
              </w:rPr>
              <w:br/>
            </w:r>
            <w:r w:rsidRPr="005060E0">
              <w:rPr>
                <w:rFonts w:cs="Arial"/>
                <w:b w:val="0"/>
                <w:bCs w:val="0"/>
                <w:color w:val="FFFFFF" w:themeColor="background1"/>
                <w:sz w:val="15"/>
                <w:szCs w:val="15"/>
              </w:rPr>
              <w:t xml:space="preserve">annual </w:t>
            </w:r>
            <w:r w:rsidR="00341810" w:rsidRPr="005060E0">
              <w:rPr>
                <w:rFonts w:cs="Arial"/>
                <w:b w:val="0"/>
                <w:bCs w:val="0"/>
                <w:color w:val="FFFFFF" w:themeColor="background1"/>
                <w:sz w:val="15"/>
                <w:szCs w:val="15"/>
              </w:rPr>
              <w:t>average</w:t>
            </w:r>
            <w:r w:rsidR="00341810" w:rsidRPr="005060E0">
              <w:rPr>
                <w:rFonts w:cs="Arial"/>
                <w:b w:val="0"/>
                <w:color w:val="FFFFFF" w:themeColor="background1"/>
                <w:sz w:val="15"/>
                <w:szCs w:val="15"/>
                <w:vertAlign w:val="superscript"/>
              </w:rPr>
              <w:t>(a)</w:t>
            </w:r>
          </w:p>
        </w:tc>
        <w:tc>
          <w:tcPr>
            <w:tcW w:w="201" w:type="pc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236510B6" w14:textId="77777777" w:rsidR="00341810" w:rsidRPr="005060E0" w:rsidRDefault="00341810" w:rsidP="0034181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2016</w:t>
            </w:r>
          </w:p>
        </w:tc>
        <w:tc>
          <w:tcPr>
            <w:tcW w:w="150" w:type="pc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773EEE88" w14:textId="77777777" w:rsidR="00341810" w:rsidRPr="005060E0" w:rsidRDefault="00341810" w:rsidP="0034181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15"/>
                <w:szCs w:val="15"/>
              </w:rPr>
            </w:pPr>
            <w:r w:rsidRPr="005060E0">
              <w:rPr>
                <w:rFonts w:cs="Arial"/>
                <w:b w:val="0"/>
                <w:color w:val="FFFFFF" w:themeColor="background1"/>
                <w:sz w:val="15"/>
                <w:szCs w:val="15"/>
              </w:rPr>
              <w:t>2021</w:t>
            </w:r>
          </w:p>
        </w:tc>
        <w:tc>
          <w:tcPr>
            <w:tcW w:w="200" w:type="pc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4451BE22" w14:textId="77777777" w:rsidR="00341810" w:rsidRPr="005060E0" w:rsidRDefault="00341810" w:rsidP="0034181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15"/>
                <w:szCs w:val="15"/>
              </w:rPr>
            </w:pPr>
            <w:r w:rsidRPr="005060E0">
              <w:rPr>
                <w:rFonts w:cs="Arial"/>
                <w:b w:val="0"/>
                <w:color w:val="FFFFFF" w:themeColor="background1"/>
                <w:sz w:val="15"/>
                <w:szCs w:val="15"/>
              </w:rPr>
              <w:t>2031</w:t>
            </w:r>
          </w:p>
        </w:tc>
        <w:tc>
          <w:tcPr>
            <w:tcW w:w="182" w:type="pc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0EF7F965" w14:textId="77777777" w:rsidR="00341810" w:rsidRPr="005060E0" w:rsidRDefault="00341810" w:rsidP="0034181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2040</w:t>
            </w:r>
          </w:p>
        </w:tc>
      </w:tr>
      <w:tr w:rsidR="00975888" w:rsidRPr="005060E0" w14:paraId="4991A6D6" w14:textId="77777777" w:rsidTr="00DF673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00" w:type="pct"/>
            <w:gridSpan w:val="18"/>
            <w:tcBorders>
              <w:top w:val="single" w:sz="4" w:space="0" w:color="606072"/>
              <w:left w:val="single" w:sz="4" w:space="0" w:color="606072"/>
              <w:bottom w:val="single" w:sz="4" w:space="0" w:color="606072"/>
              <w:right w:val="single" w:sz="4" w:space="0" w:color="606072"/>
            </w:tcBorders>
            <w:shd w:val="clear" w:color="auto" w:fill="BFBFBF" w:themeFill="background1" w:themeFillShade="BF"/>
            <w:tcMar>
              <w:left w:w="28" w:type="dxa"/>
              <w:right w:w="28" w:type="dxa"/>
            </w:tcMar>
            <w:vAlign w:val="center"/>
          </w:tcPr>
          <w:p w14:paraId="07119BC6" w14:textId="2E6677DE" w:rsidR="00975888" w:rsidRPr="005060E0" w:rsidRDefault="00975888" w:rsidP="00975888">
            <w:pPr>
              <w:widowControl w:val="0"/>
              <w:spacing w:after="0" w:line="240" w:lineRule="auto"/>
              <w:rPr>
                <w:rFonts w:cs="Arial"/>
                <w:b w:val="0"/>
                <w:sz w:val="15"/>
                <w:szCs w:val="15"/>
              </w:rPr>
            </w:pPr>
            <w:r w:rsidRPr="005060E0">
              <w:rPr>
                <w:rFonts w:cs="Arial"/>
                <w:b w:val="0"/>
                <w:sz w:val="15"/>
                <w:szCs w:val="15"/>
              </w:rPr>
              <w:t>Total number of unique exceedance days</w:t>
            </w:r>
          </w:p>
        </w:tc>
      </w:tr>
      <w:tr w:rsidR="007F77AB" w:rsidRPr="005060E0" w14:paraId="6409FF81" w14:textId="77777777" w:rsidTr="00D41B95">
        <w:trPr>
          <w:trHeight w:hRule="exact" w:val="227"/>
        </w:trPr>
        <w:tc>
          <w:tcPr>
            <w:cnfStyle w:val="001000000000" w:firstRow="0" w:lastRow="0" w:firstColumn="1" w:lastColumn="0" w:oddVBand="0" w:evenVBand="0" w:oddHBand="0" w:evenHBand="0" w:firstRowFirstColumn="0" w:firstRowLastColumn="0" w:lastRowFirstColumn="0" w:lastRowLastColumn="0"/>
            <w:tcW w:w="402" w:type="pct"/>
            <w:vMerge w:val="restart"/>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2EB83699" w14:textId="77777777" w:rsidR="00341810" w:rsidRPr="005060E0" w:rsidRDefault="00341810" w:rsidP="00341810">
            <w:pPr>
              <w:widowControl w:val="0"/>
              <w:spacing w:after="0" w:line="240" w:lineRule="auto"/>
              <w:jc w:val="center"/>
              <w:rPr>
                <w:rFonts w:cs="Arial"/>
                <w:b w:val="0"/>
                <w:sz w:val="15"/>
                <w:szCs w:val="15"/>
              </w:rPr>
            </w:pPr>
            <w:r w:rsidRPr="005060E0">
              <w:rPr>
                <w:rFonts w:cs="Arial"/>
                <w:b w:val="0"/>
                <w:sz w:val="15"/>
                <w:szCs w:val="15"/>
              </w:rPr>
              <w:t>1-hour</w:t>
            </w:r>
          </w:p>
        </w:tc>
        <w:tc>
          <w:tcPr>
            <w:tcW w:w="303" w:type="pct"/>
            <w:tcBorders>
              <w:top w:val="single" w:sz="4" w:space="0" w:color="606072"/>
              <w:left w:val="dotted" w:sz="4" w:space="0" w:color="606372" w:themeColor="text2"/>
              <w:bottom w:val="dotted" w:sz="4" w:space="0" w:color="606072"/>
              <w:right w:val="single" w:sz="4" w:space="0" w:color="606072"/>
            </w:tcBorders>
            <w:shd w:val="clear" w:color="auto" w:fill="DEDFE3" w:themeFill="text2" w:themeFillTint="33"/>
            <w:tcMar>
              <w:left w:w="28" w:type="dxa"/>
              <w:right w:w="28" w:type="dxa"/>
            </w:tcMar>
            <w:vAlign w:val="center"/>
          </w:tcPr>
          <w:p w14:paraId="6C135FCD" w14:textId="77777777" w:rsidR="00341810" w:rsidRPr="005060E0" w:rsidRDefault="00341810"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75</w:t>
            </w:r>
          </w:p>
        </w:tc>
        <w:tc>
          <w:tcPr>
            <w:tcW w:w="197" w:type="pct"/>
            <w:tcBorders>
              <w:top w:val="single" w:sz="4" w:space="0" w:color="606072"/>
              <w:left w:val="single" w:sz="4" w:space="0" w:color="606072"/>
              <w:bottom w:val="nil"/>
              <w:right w:val="single" w:sz="4" w:space="0" w:color="606072"/>
            </w:tcBorders>
            <w:shd w:val="clear" w:color="auto" w:fill="auto"/>
            <w:tcMar>
              <w:left w:w="28" w:type="dxa"/>
              <w:right w:w="28" w:type="dxa"/>
            </w:tcMar>
          </w:tcPr>
          <w:p w14:paraId="3E4F1B9B" w14:textId="77777777" w:rsidR="00341810" w:rsidRPr="005060E0" w:rsidRDefault="00341810"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502" w:type="pct"/>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7BE2E4F1" w14:textId="70D7894B"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51" w:type="pct"/>
            <w:tcBorders>
              <w:top w:val="single" w:sz="4" w:space="0" w:color="606072"/>
              <w:left w:val="dotted" w:sz="4" w:space="0" w:color="606072"/>
              <w:bottom w:val="dotted" w:sz="4" w:space="0" w:color="606072"/>
              <w:right w:val="dotted" w:sz="4" w:space="0" w:color="606072"/>
            </w:tcBorders>
            <w:tcMar>
              <w:left w:w="28" w:type="dxa"/>
              <w:right w:w="28" w:type="dxa"/>
            </w:tcMar>
            <w:vAlign w:val="center"/>
          </w:tcPr>
          <w:p w14:paraId="4A75F75F" w14:textId="7D56BC24"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51"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2A9FE13D" w14:textId="60091BBB"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52"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52909FF3" w14:textId="4EC85863"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50" w:type="pct"/>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11550F5D" w14:textId="7C42BDF6"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503" w:type="pct"/>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073B0D59" w14:textId="3C2B5EB8"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51" w:type="pct"/>
            <w:tcBorders>
              <w:top w:val="single" w:sz="4" w:space="0" w:color="606072"/>
              <w:left w:val="dotted" w:sz="4" w:space="0" w:color="606072"/>
              <w:bottom w:val="dotted" w:sz="4" w:space="0" w:color="606072"/>
              <w:right w:val="dotted" w:sz="4" w:space="0" w:color="606072"/>
            </w:tcBorders>
            <w:tcMar>
              <w:left w:w="28" w:type="dxa"/>
              <w:right w:w="28" w:type="dxa"/>
            </w:tcMar>
            <w:vAlign w:val="center"/>
          </w:tcPr>
          <w:p w14:paraId="7F7BC966" w14:textId="5A295996"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4AEA457D" w14:textId="6E92C80A"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1878BAEF" w14:textId="79EAB440"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single" w:sz="4" w:space="0" w:color="606072"/>
              <w:left w:val="single" w:sz="4" w:space="0" w:color="606072"/>
              <w:bottom w:val="dotted" w:sz="4" w:space="0" w:color="606072"/>
              <w:right w:val="single" w:sz="4" w:space="0" w:color="606072"/>
            </w:tcBorders>
            <w:shd w:val="clear" w:color="auto" w:fill="auto"/>
            <w:tcMar>
              <w:left w:w="28" w:type="dxa"/>
              <w:right w:w="28" w:type="dxa"/>
            </w:tcMar>
            <w:vAlign w:val="center"/>
          </w:tcPr>
          <w:p w14:paraId="6AA8133A" w14:textId="163F219E"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502" w:type="pct"/>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4CF67EF2" w14:textId="0E7C5898"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single" w:sz="4" w:space="0" w:color="606072"/>
              <w:left w:val="dotted" w:sz="4" w:space="0" w:color="606072"/>
              <w:bottom w:val="dotted" w:sz="4" w:space="0" w:color="606072"/>
              <w:right w:val="dotted" w:sz="4" w:space="0" w:color="606072"/>
            </w:tcBorders>
            <w:tcMar>
              <w:left w:w="28" w:type="dxa"/>
              <w:right w:w="28" w:type="dxa"/>
            </w:tcMar>
            <w:vAlign w:val="center"/>
          </w:tcPr>
          <w:p w14:paraId="2770F2D1" w14:textId="1218AD4F"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150"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331FFACB" w14:textId="1AA90375"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00"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6CE5006E" w14:textId="676C7B3D"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182" w:type="pct"/>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284E6F21" w14:textId="47F5B0F0"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r>
      <w:tr w:rsidR="007F77AB" w:rsidRPr="005060E0" w14:paraId="6FFCABEE" w14:textId="77777777" w:rsidTr="00D41B95">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402" w:type="pct"/>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6E9BF2BE" w14:textId="77777777" w:rsidR="00341810" w:rsidRPr="005060E0" w:rsidRDefault="00341810" w:rsidP="00341810">
            <w:pPr>
              <w:widowControl w:val="0"/>
              <w:spacing w:after="0" w:line="240" w:lineRule="auto"/>
              <w:jc w:val="center"/>
              <w:rPr>
                <w:rFonts w:cs="Arial"/>
                <w:b w:val="0"/>
                <w:sz w:val="15"/>
                <w:szCs w:val="15"/>
              </w:rPr>
            </w:pPr>
          </w:p>
        </w:tc>
        <w:tc>
          <w:tcPr>
            <w:tcW w:w="303" w:type="pct"/>
            <w:tcBorders>
              <w:top w:val="dotted" w:sz="4" w:space="0" w:color="606072"/>
              <w:left w:val="dotted" w:sz="4" w:space="0" w:color="606372" w:themeColor="text2"/>
              <w:bottom w:val="dotted" w:sz="4" w:space="0" w:color="606072"/>
              <w:right w:val="single" w:sz="4" w:space="0" w:color="606072"/>
            </w:tcBorders>
            <w:shd w:val="clear" w:color="auto" w:fill="DEDFE3" w:themeFill="text2" w:themeFillTint="33"/>
            <w:tcMar>
              <w:left w:w="28" w:type="dxa"/>
              <w:right w:w="28" w:type="dxa"/>
            </w:tcMar>
            <w:vAlign w:val="center"/>
          </w:tcPr>
          <w:p w14:paraId="6FBC5F07" w14:textId="77777777" w:rsidR="00341810" w:rsidRPr="005060E0" w:rsidRDefault="00341810"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100</w:t>
            </w:r>
          </w:p>
        </w:tc>
        <w:tc>
          <w:tcPr>
            <w:tcW w:w="197" w:type="pct"/>
            <w:tcBorders>
              <w:top w:val="nil"/>
              <w:left w:val="single" w:sz="4" w:space="0" w:color="606072"/>
              <w:bottom w:val="nil"/>
              <w:right w:val="single" w:sz="4" w:space="0" w:color="606072"/>
            </w:tcBorders>
            <w:shd w:val="clear" w:color="auto" w:fill="auto"/>
            <w:tcMar>
              <w:left w:w="28" w:type="dxa"/>
              <w:right w:w="28" w:type="dxa"/>
            </w:tcMar>
          </w:tcPr>
          <w:p w14:paraId="28968110" w14:textId="77777777" w:rsidR="00341810" w:rsidRPr="005060E0" w:rsidRDefault="00341810"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p>
        </w:tc>
        <w:tc>
          <w:tcPr>
            <w:tcW w:w="502" w:type="pct"/>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30E1FD7C" w14:textId="6B6AF4F3"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51" w:type="pct"/>
            <w:tcBorders>
              <w:top w:val="dotted" w:sz="4" w:space="0" w:color="606072"/>
              <w:left w:val="dotted" w:sz="4" w:space="0" w:color="606072"/>
              <w:bottom w:val="dotted" w:sz="4" w:space="0" w:color="606072"/>
              <w:right w:val="dotted" w:sz="4" w:space="0" w:color="606072"/>
            </w:tcBorders>
            <w:tcMar>
              <w:left w:w="28" w:type="dxa"/>
              <w:right w:w="28" w:type="dxa"/>
            </w:tcMar>
            <w:vAlign w:val="center"/>
          </w:tcPr>
          <w:p w14:paraId="68C63A23" w14:textId="2746208A"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51"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17B1447B" w14:textId="67DDA962"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52"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069CEE84" w14:textId="59425D2C"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50" w:type="pct"/>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4D76EA89" w14:textId="4BD7960A"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503" w:type="pct"/>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66106687" w14:textId="2F4EFCFC"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51" w:type="pct"/>
            <w:tcBorders>
              <w:top w:val="dotted" w:sz="4" w:space="0" w:color="606072"/>
              <w:left w:val="dotted" w:sz="4" w:space="0" w:color="606072"/>
              <w:bottom w:val="dotted" w:sz="4" w:space="0" w:color="606072"/>
              <w:right w:val="dotted" w:sz="4" w:space="0" w:color="606072"/>
            </w:tcBorders>
            <w:tcMar>
              <w:left w:w="28" w:type="dxa"/>
              <w:right w:w="28" w:type="dxa"/>
            </w:tcMar>
            <w:vAlign w:val="center"/>
          </w:tcPr>
          <w:p w14:paraId="1E3A444D" w14:textId="785B3274"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3C5B1018" w14:textId="182E4969"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0C85458F" w14:textId="509336DE"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6FCA3472" w14:textId="0FB3B9FE"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502" w:type="pct"/>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3B4AEDC7" w14:textId="0EBF60A0"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dotted" w:sz="4" w:space="0" w:color="606072"/>
              <w:left w:val="dotted" w:sz="4" w:space="0" w:color="606072"/>
              <w:bottom w:val="dotted" w:sz="4" w:space="0" w:color="606072"/>
              <w:right w:val="dotted" w:sz="4" w:space="0" w:color="606072"/>
            </w:tcBorders>
            <w:tcMar>
              <w:left w:w="28" w:type="dxa"/>
              <w:right w:w="28" w:type="dxa"/>
            </w:tcMar>
            <w:vAlign w:val="center"/>
          </w:tcPr>
          <w:p w14:paraId="4490C894" w14:textId="68DF4C40"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150"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016BB514" w14:textId="31A4CC67"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00"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1C0E758B" w14:textId="7DE34149"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182" w:type="pct"/>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71C00E97" w14:textId="1E923C32"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r>
      <w:tr w:rsidR="007F77AB" w:rsidRPr="005060E0" w14:paraId="569060A8" w14:textId="77777777" w:rsidTr="00D41B95">
        <w:trPr>
          <w:trHeight w:hRule="exact" w:val="227"/>
        </w:trPr>
        <w:tc>
          <w:tcPr>
            <w:cnfStyle w:val="001000000000" w:firstRow="0" w:lastRow="0" w:firstColumn="1" w:lastColumn="0" w:oddVBand="0" w:evenVBand="0" w:oddHBand="0" w:evenHBand="0" w:firstRowFirstColumn="0" w:firstRowLastColumn="0" w:lastRowFirstColumn="0" w:lastRowLastColumn="0"/>
            <w:tcW w:w="402" w:type="pct"/>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4B5CAF70" w14:textId="77777777" w:rsidR="00341810" w:rsidRPr="005060E0" w:rsidRDefault="00341810" w:rsidP="00341810">
            <w:pPr>
              <w:widowControl w:val="0"/>
              <w:spacing w:after="0" w:line="240" w:lineRule="auto"/>
              <w:jc w:val="center"/>
              <w:rPr>
                <w:rFonts w:cs="Arial"/>
                <w:b w:val="0"/>
                <w:sz w:val="15"/>
                <w:szCs w:val="15"/>
              </w:rPr>
            </w:pPr>
          </w:p>
        </w:tc>
        <w:tc>
          <w:tcPr>
            <w:tcW w:w="303" w:type="pct"/>
            <w:tcBorders>
              <w:top w:val="dotted" w:sz="4" w:space="0" w:color="606072"/>
              <w:left w:val="dotted" w:sz="4" w:space="0" w:color="606372" w:themeColor="text2"/>
              <w:bottom w:val="dotted" w:sz="4" w:space="0" w:color="606072"/>
              <w:right w:val="single" w:sz="4" w:space="0" w:color="606072"/>
            </w:tcBorders>
            <w:shd w:val="clear" w:color="auto" w:fill="DEDFE3" w:themeFill="text2" w:themeFillTint="33"/>
            <w:tcMar>
              <w:left w:w="28" w:type="dxa"/>
              <w:right w:w="28" w:type="dxa"/>
            </w:tcMar>
            <w:vAlign w:val="center"/>
          </w:tcPr>
          <w:p w14:paraId="3DC33DC5" w14:textId="77777777" w:rsidR="00341810" w:rsidRPr="005060E0" w:rsidRDefault="00341810"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150</w:t>
            </w:r>
          </w:p>
        </w:tc>
        <w:tc>
          <w:tcPr>
            <w:tcW w:w="197" w:type="pct"/>
            <w:tcBorders>
              <w:top w:val="nil"/>
              <w:left w:val="single" w:sz="4" w:space="0" w:color="606072"/>
              <w:bottom w:val="nil"/>
              <w:right w:val="single" w:sz="4" w:space="0" w:color="606072"/>
            </w:tcBorders>
            <w:shd w:val="clear" w:color="auto" w:fill="auto"/>
            <w:tcMar>
              <w:left w:w="28" w:type="dxa"/>
              <w:right w:w="28" w:type="dxa"/>
            </w:tcMar>
          </w:tcPr>
          <w:p w14:paraId="06257F7E" w14:textId="77777777" w:rsidR="00341810" w:rsidRPr="005060E0" w:rsidRDefault="00341810"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502" w:type="pct"/>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6798BED7" w14:textId="3008BE45"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51" w:type="pct"/>
            <w:tcBorders>
              <w:top w:val="dotted" w:sz="4" w:space="0" w:color="606072"/>
              <w:left w:val="dotted" w:sz="4" w:space="0" w:color="606072"/>
              <w:bottom w:val="dotted" w:sz="4" w:space="0" w:color="606072"/>
              <w:right w:val="dotted" w:sz="4" w:space="0" w:color="606072"/>
            </w:tcBorders>
            <w:tcMar>
              <w:left w:w="28" w:type="dxa"/>
              <w:right w:w="28" w:type="dxa"/>
            </w:tcMar>
            <w:vAlign w:val="center"/>
          </w:tcPr>
          <w:p w14:paraId="69DE358A" w14:textId="51A86AE6"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51"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0CB8DD81" w14:textId="0D817C54"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52"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2B1666B2" w14:textId="6C9F753C"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50" w:type="pct"/>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156E836C" w14:textId="01078F22"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503" w:type="pct"/>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4BB48805" w14:textId="29C33721"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51" w:type="pct"/>
            <w:tcBorders>
              <w:top w:val="dotted" w:sz="4" w:space="0" w:color="606072"/>
              <w:left w:val="dotted" w:sz="4" w:space="0" w:color="606072"/>
              <w:bottom w:val="dotted" w:sz="4" w:space="0" w:color="606072"/>
              <w:right w:val="dotted" w:sz="4" w:space="0" w:color="606072"/>
            </w:tcBorders>
            <w:tcMar>
              <w:left w:w="28" w:type="dxa"/>
              <w:right w:w="28" w:type="dxa"/>
            </w:tcMar>
            <w:vAlign w:val="center"/>
          </w:tcPr>
          <w:p w14:paraId="67D31416" w14:textId="05BF4A9D"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27B67BE4" w14:textId="48FB134F"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1EBBA2E3" w14:textId="724E92BA"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1F6495C4" w14:textId="38CC0BC9"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502" w:type="pct"/>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70D235A0" w14:textId="49B73E12"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dotted" w:sz="4" w:space="0" w:color="606072"/>
              <w:left w:val="dotted" w:sz="4" w:space="0" w:color="606072"/>
              <w:bottom w:val="dotted" w:sz="4" w:space="0" w:color="606072"/>
              <w:right w:val="dotted" w:sz="4" w:space="0" w:color="606072"/>
            </w:tcBorders>
            <w:tcMar>
              <w:left w:w="28" w:type="dxa"/>
              <w:right w:w="28" w:type="dxa"/>
            </w:tcMar>
            <w:vAlign w:val="center"/>
          </w:tcPr>
          <w:p w14:paraId="4B602885" w14:textId="2B0C3AF4"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150"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42FF57A6" w14:textId="69997F1B"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00"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58D25345" w14:textId="72CD5499"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182" w:type="pct"/>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17D16159" w14:textId="324DA198"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r>
      <w:tr w:rsidR="007F77AB" w:rsidRPr="005060E0" w14:paraId="1A2C30AF" w14:textId="77777777" w:rsidTr="00D41B95">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402" w:type="pct"/>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7BD8F840" w14:textId="77777777" w:rsidR="00341810" w:rsidRPr="005060E0" w:rsidRDefault="00341810" w:rsidP="00341810">
            <w:pPr>
              <w:widowControl w:val="0"/>
              <w:spacing w:after="0" w:line="240" w:lineRule="auto"/>
              <w:jc w:val="center"/>
              <w:rPr>
                <w:rFonts w:cs="Arial"/>
                <w:b w:val="0"/>
                <w:sz w:val="15"/>
                <w:szCs w:val="15"/>
              </w:rPr>
            </w:pPr>
          </w:p>
        </w:tc>
        <w:tc>
          <w:tcPr>
            <w:tcW w:w="303" w:type="pct"/>
            <w:tcBorders>
              <w:top w:val="dotted" w:sz="4" w:space="0" w:color="606072"/>
              <w:left w:val="dotted" w:sz="4" w:space="0" w:color="606372" w:themeColor="text2"/>
              <w:bottom w:val="single" w:sz="4" w:space="0" w:color="606072"/>
              <w:right w:val="single" w:sz="4" w:space="0" w:color="606072"/>
            </w:tcBorders>
            <w:shd w:val="clear" w:color="auto" w:fill="D5E5FF"/>
            <w:tcMar>
              <w:left w:w="28" w:type="dxa"/>
              <w:right w:w="28" w:type="dxa"/>
            </w:tcMar>
            <w:vAlign w:val="center"/>
          </w:tcPr>
          <w:p w14:paraId="4DB8ACAE" w14:textId="77777777" w:rsidR="00341810" w:rsidRPr="005060E0" w:rsidRDefault="00341810"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200</w:t>
            </w:r>
          </w:p>
        </w:tc>
        <w:tc>
          <w:tcPr>
            <w:tcW w:w="197" w:type="pct"/>
            <w:tcBorders>
              <w:top w:val="nil"/>
              <w:left w:val="single" w:sz="4" w:space="0" w:color="606072"/>
              <w:bottom w:val="single" w:sz="4" w:space="0" w:color="606072"/>
              <w:right w:val="single" w:sz="4" w:space="0" w:color="606072"/>
            </w:tcBorders>
            <w:shd w:val="clear" w:color="auto" w:fill="auto"/>
            <w:tcMar>
              <w:left w:w="28" w:type="dxa"/>
              <w:right w:w="28" w:type="dxa"/>
            </w:tcMar>
          </w:tcPr>
          <w:p w14:paraId="40C56BBF" w14:textId="77777777" w:rsidR="00341810" w:rsidRPr="005060E0" w:rsidRDefault="00341810"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p>
        </w:tc>
        <w:tc>
          <w:tcPr>
            <w:tcW w:w="502" w:type="pct"/>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70C364BC" w14:textId="2BA63A6E"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51"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12FC8526" w14:textId="0FD6028B"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51"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7C8CB83A" w14:textId="5B28736F"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52"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3D847677" w14:textId="1102DDA2"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50" w:type="pct"/>
            <w:tcBorders>
              <w:top w:val="dotted" w:sz="4" w:space="0" w:color="606072"/>
              <w:left w:val="dotted" w:sz="4" w:space="0" w:color="606072"/>
              <w:bottom w:val="single" w:sz="4" w:space="0" w:color="606072"/>
              <w:right w:val="single" w:sz="4" w:space="0" w:color="606072"/>
            </w:tcBorders>
            <w:shd w:val="clear" w:color="auto" w:fill="D5E5FF"/>
            <w:tcMar>
              <w:left w:w="28" w:type="dxa"/>
              <w:right w:w="28" w:type="dxa"/>
            </w:tcMar>
            <w:vAlign w:val="center"/>
          </w:tcPr>
          <w:p w14:paraId="1DC19491" w14:textId="504EDC36"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503" w:type="pct"/>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266D3048" w14:textId="7AD060E7"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51"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45E1F713" w14:textId="6E8FDC90"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08D0613B" w14:textId="3D78E2C6"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3D2ED94B" w14:textId="66B161AE"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dotted" w:sz="4" w:space="0" w:color="606072"/>
              <w:left w:val="dotted" w:sz="4" w:space="0" w:color="606072"/>
              <w:bottom w:val="single" w:sz="4" w:space="0" w:color="606072"/>
              <w:right w:val="single" w:sz="4" w:space="0" w:color="606072"/>
            </w:tcBorders>
            <w:shd w:val="clear" w:color="auto" w:fill="D5E5FF"/>
            <w:tcMar>
              <w:left w:w="28" w:type="dxa"/>
              <w:right w:w="28" w:type="dxa"/>
            </w:tcMar>
            <w:vAlign w:val="center"/>
          </w:tcPr>
          <w:p w14:paraId="4952E950" w14:textId="3895B49B"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502" w:type="pct"/>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0CCD7E74" w14:textId="0F74D3EC"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4278DA31" w14:textId="6F3E0E04"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150"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31577087" w14:textId="0DC1B305"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00"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0284C603" w14:textId="4B1DEBD6"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182" w:type="pct"/>
            <w:tcBorders>
              <w:top w:val="dotted" w:sz="4" w:space="0" w:color="606072"/>
              <w:left w:val="dotted" w:sz="4" w:space="0" w:color="606072"/>
              <w:bottom w:val="single" w:sz="4" w:space="0" w:color="606072"/>
              <w:right w:val="single" w:sz="4" w:space="0" w:color="606072"/>
            </w:tcBorders>
            <w:shd w:val="clear" w:color="auto" w:fill="D5E5FF"/>
            <w:tcMar>
              <w:left w:w="28" w:type="dxa"/>
              <w:right w:w="28" w:type="dxa"/>
            </w:tcMar>
            <w:vAlign w:val="center"/>
          </w:tcPr>
          <w:p w14:paraId="3AAD01D6" w14:textId="0E13481F"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r>
      <w:tr w:rsidR="00975888" w:rsidRPr="005060E0" w14:paraId="69E78400" w14:textId="77777777" w:rsidTr="00DF6730">
        <w:trPr>
          <w:trHeight w:hRule="exact" w:val="255"/>
        </w:trPr>
        <w:tc>
          <w:tcPr>
            <w:cnfStyle w:val="001000000000" w:firstRow="0" w:lastRow="0" w:firstColumn="1" w:lastColumn="0" w:oddVBand="0" w:evenVBand="0" w:oddHBand="0" w:evenHBand="0" w:firstRowFirstColumn="0" w:firstRowLastColumn="0" w:lastRowFirstColumn="0" w:lastRowLastColumn="0"/>
            <w:tcW w:w="5000" w:type="pct"/>
            <w:gridSpan w:val="18"/>
            <w:tcBorders>
              <w:top w:val="single" w:sz="4" w:space="0" w:color="606072"/>
              <w:left w:val="single" w:sz="4" w:space="0" w:color="606072"/>
              <w:bottom w:val="single" w:sz="4" w:space="0" w:color="606072"/>
              <w:right w:val="single" w:sz="4" w:space="0" w:color="606072"/>
            </w:tcBorders>
            <w:shd w:val="clear" w:color="auto" w:fill="BFBFBF" w:themeFill="background1" w:themeFillShade="BF"/>
            <w:tcMar>
              <w:left w:w="28" w:type="dxa"/>
              <w:right w:w="28" w:type="dxa"/>
            </w:tcMar>
            <w:vAlign w:val="center"/>
          </w:tcPr>
          <w:p w14:paraId="00DAEDF5" w14:textId="707BC077" w:rsidR="00975888" w:rsidRPr="005060E0" w:rsidRDefault="00CE5917" w:rsidP="00CE5917">
            <w:pPr>
              <w:widowControl w:val="0"/>
              <w:spacing w:after="0" w:line="240" w:lineRule="auto"/>
              <w:rPr>
                <w:rFonts w:cs="Arial"/>
                <w:b w:val="0"/>
                <w:sz w:val="15"/>
                <w:szCs w:val="15"/>
              </w:rPr>
            </w:pPr>
            <w:r w:rsidRPr="005060E0">
              <w:rPr>
                <w:rFonts w:cs="Arial"/>
                <w:b w:val="0"/>
                <w:sz w:val="15"/>
                <w:szCs w:val="15"/>
              </w:rPr>
              <w:t>Total number of unique exceedance days</w:t>
            </w:r>
          </w:p>
        </w:tc>
      </w:tr>
      <w:tr w:rsidR="007F77AB" w:rsidRPr="005060E0" w14:paraId="3993817A" w14:textId="77777777" w:rsidTr="00D41B95">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402" w:type="pct"/>
            <w:vMerge w:val="restart"/>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2C546E0F" w14:textId="77777777" w:rsidR="00341810" w:rsidRPr="005060E0" w:rsidRDefault="00341810" w:rsidP="00341810">
            <w:pPr>
              <w:widowControl w:val="0"/>
              <w:spacing w:after="0" w:line="240" w:lineRule="auto"/>
              <w:jc w:val="center"/>
              <w:rPr>
                <w:rFonts w:cs="Arial"/>
                <w:b w:val="0"/>
                <w:sz w:val="15"/>
                <w:szCs w:val="15"/>
              </w:rPr>
            </w:pPr>
            <w:r w:rsidRPr="005060E0">
              <w:rPr>
                <w:rFonts w:cs="Arial"/>
                <w:b w:val="0"/>
                <w:sz w:val="15"/>
                <w:szCs w:val="15"/>
              </w:rPr>
              <w:t>24-hour</w:t>
            </w:r>
          </w:p>
        </w:tc>
        <w:tc>
          <w:tcPr>
            <w:tcW w:w="303" w:type="pct"/>
            <w:tcBorders>
              <w:top w:val="single" w:sz="4" w:space="0" w:color="606072"/>
              <w:left w:val="dotted" w:sz="4" w:space="0" w:color="606372" w:themeColor="text2"/>
              <w:bottom w:val="dotted" w:sz="4" w:space="0" w:color="606072"/>
              <w:right w:val="single" w:sz="4" w:space="0" w:color="606072"/>
            </w:tcBorders>
            <w:shd w:val="clear" w:color="auto" w:fill="DEDFE3" w:themeFill="text2" w:themeFillTint="33"/>
            <w:tcMar>
              <w:left w:w="28" w:type="dxa"/>
              <w:right w:w="28" w:type="dxa"/>
            </w:tcMar>
            <w:vAlign w:val="center"/>
          </w:tcPr>
          <w:p w14:paraId="3E0F100A" w14:textId="77777777" w:rsidR="00341810" w:rsidRPr="005060E0" w:rsidRDefault="00341810"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7</w:t>
            </w:r>
          </w:p>
        </w:tc>
        <w:tc>
          <w:tcPr>
            <w:tcW w:w="197" w:type="pct"/>
            <w:tcBorders>
              <w:top w:val="single" w:sz="4" w:space="0" w:color="606072"/>
              <w:left w:val="single" w:sz="4" w:space="0" w:color="606072"/>
              <w:bottom w:val="nil"/>
              <w:right w:val="single" w:sz="4" w:space="0" w:color="606072"/>
            </w:tcBorders>
            <w:shd w:val="clear" w:color="auto" w:fill="auto"/>
            <w:tcMar>
              <w:left w:w="28" w:type="dxa"/>
              <w:right w:w="28" w:type="dxa"/>
            </w:tcMar>
          </w:tcPr>
          <w:p w14:paraId="62E71A42" w14:textId="77777777" w:rsidR="00341810" w:rsidRPr="005060E0" w:rsidRDefault="00341810"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p>
        </w:tc>
        <w:tc>
          <w:tcPr>
            <w:tcW w:w="502" w:type="pct"/>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56E752E2" w14:textId="02EBDA31"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51" w:type="pct"/>
            <w:tcBorders>
              <w:top w:val="single" w:sz="4" w:space="0" w:color="606072"/>
              <w:left w:val="dotted" w:sz="4" w:space="0" w:color="606072"/>
              <w:bottom w:val="dotted" w:sz="4" w:space="0" w:color="606072"/>
              <w:right w:val="dotted" w:sz="4" w:space="0" w:color="606072"/>
            </w:tcBorders>
            <w:tcMar>
              <w:left w:w="28" w:type="dxa"/>
              <w:right w:w="28" w:type="dxa"/>
            </w:tcMar>
            <w:vAlign w:val="center"/>
          </w:tcPr>
          <w:p w14:paraId="03637A14" w14:textId="7CF37506"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51"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1A4EF9CE" w14:textId="215E3D2A"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52"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62D21193" w14:textId="0C90800C"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50" w:type="pct"/>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2FF92805" w14:textId="258F8044"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503" w:type="pct"/>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048105B6" w14:textId="77777777" w:rsidR="00341810" w:rsidRPr="005060E0" w:rsidRDefault="00341810"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2</w:t>
            </w:r>
          </w:p>
        </w:tc>
        <w:tc>
          <w:tcPr>
            <w:tcW w:w="251" w:type="pct"/>
            <w:tcBorders>
              <w:top w:val="single" w:sz="4" w:space="0" w:color="606072"/>
              <w:left w:val="dotted" w:sz="4" w:space="0" w:color="606072"/>
              <w:bottom w:val="dotted" w:sz="4" w:space="0" w:color="606072"/>
              <w:right w:val="dotted" w:sz="4" w:space="0" w:color="606072"/>
            </w:tcBorders>
            <w:tcMar>
              <w:left w:w="28" w:type="dxa"/>
              <w:right w:w="28" w:type="dxa"/>
            </w:tcMar>
            <w:vAlign w:val="center"/>
          </w:tcPr>
          <w:p w14:paraId="64C4CBF1" w14:textId="70540910" w:rsidR="00341810" w:rsidRPr="005060E0" w:rsidRDefault="00812125"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94</w:t>
            </w:r>
          </w:p>
        </w:tc>
        <w:tc>
          <w:tcPr>
            <w:tcW w:w="201"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6CD0B88F" w14:textId="20E7D963" w:rsidR="00341810" w:rsidRPr="005060E0" w:rsidRDefault="00812125"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94</w:t>
            </w:r>
          </w:p>
        </w:tc>
        <w:tc>
          <w:tcPr>
            <w:tcW w:w="201"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1E454840" w14:textId="3468194C" w:rsidR="00341810" w:rsidRPr="005060E0" w:rsidRDefault="00812125"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115</w:t>
            </w:r>
          </w:p>
        </w:tc>
        <w:tc>
          <w:tcPr>
            <w:tcW w:w="201" w:type="pct"/>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62F1944B" w14:textId="73501174" w:rsidR="00341810" w:rsidRPr="005060E0" w:rsidRDefault="00812125"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57</w:t>
            </w:r>
          </w:p>
        </w:tc>
        <w:tc>
          <w:tcPr>
            <w:tcW w:w="502" w:type="pct"/>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68D2E14D" w14:textId="77777777" w:rsidR="00341810" w:rsidRPr="005060E0" w:rsidRDefault="00341810"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4</w:t>
            </w:r>
          </w:p>
        </w:tc>
        <w:tc>
          <w:tcPr>
            <w:tcW w:w="201" w:type="pct"/>
            <w:tcBorders>
              <w:top w:val="single" w:sz="4" w:space="0" w:color="606072"/>
              <w:left w:val="dotted" w:sz="4" w:space="0" w:color="606072"/>
              <w:bottom w:val="dotted" w:sz="4" w:space="0" w:color="606072"/>
              <w:right w:val="dotted" w:sz="4" w:space="0" w:color="606072"/>
            </w:tcBorders>
            <w:tcMar>
              <w:left w:w="28" w:type="dxa"/>
              <w:right w:w="28" w:type="dxa"/>
            </w:tcMar>
            <w:vAlign w:val="center"/>
          </w:tcPr>
          <w:p w14:paraId="7D1A41ED" w14:textId="146ED351" w:rsidR="00341810" w:rsidRPr="005060E0" w:rsidRDefault="00812125"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12</w:t>
            </w:r>
          </w:p>
        </w:tc>
        <w:tc>
          <w:tcPr>
            <w:tcW w:w="150"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73602412" w14:textId="73F6F0F2" w:rsidR="00341810" w:rsidRPr="005060E0" w:rsidRDefault="00812125"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12</w:t>
            </w:r>
          </w:p>
        </w:tc>
        <w:tc>
          <w:tcPr>
            <w:tcW w:w="200"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4A54B3DC" w14:textId="27492B16" w:rsidR="00341810" w:rsidRPr="005060E0" w:rsidRDefault="00812125"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24</w:t>
            </w:r>
          </w:p>
        </w:tc>
        <w:tc>
          <w:tcPr>
            <w:tcW w:w="182" w:type="pct"/>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2E84D95D" w14:textId="39F209E0" w:rsidR="00341810" w:rsidRPr="005060E0" w:rsidRDefault="00812125"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3</w:t>
            </w:r>
          </w:p>
        </w:tc>
      </w:tr>
      <w:tr w:rsidR="007F77AB" w:rsidRPr="005060E0" w14:paraId="5F114416" w14:textId="77777777" w:rsidTr="00D41B95">
        <w:trPr>
          <w:trHeight w:hRule="exact" w:val="227"/>
        </w:trPr>
        <w:tc>
          <w:tcPr>
            <w:cnfStyle w:val="001000000000" w:firstRow="0" w:lastRow="0" w:firstColumn="1" w:lastColumn="0" w:oddVBand="0" w:evenVBand="0" w:oddHBand="0" w:evenHBand="0" w:firstRowFirstColumn="0" w:firstRowLastColumn="0" w:lastRowFirstColumn="0" w:lastRowLastColumn="0"/>
            <w:tcW w:w="402" w:type="pct"/>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6ADB041A" w14:textId="77777777" w:rsidR="00341810" w:rsidRPr="005060E0" w:rsidRDefault="00341810" w:rsidP="00341810">
            <w:pPr>
              <w:widowControl w:val="0"/>
              <w:spacing w:after="0" w:line="240" w:lineRule="auto"/>
              <w:jc w:val="center"/>
              <w:rPr>
                <w:rFonts w:cs="Arial"/>
                <w:b w:val="0"/>
                <w:sz w:val="15"/>
                <w:szCs w:val="15"/>
              </w:rPr>
            </w:pPr>
          </w:p>
        </w:tc>
        <w:tc>
          <w:tcPr>
            <w:tcW w:w="303" w:type="pct"/>
            <w:tcBorders>
              <w:top w:val="dotted" w:sz="4" w:space="0" w:color="606072"/>
              <w:left w:val="dotted" w:sz="4" w:space="0" w:color="606372" w:themeColor="text2"/>
              <w:bottom w:val="dotted" w:sz="4" w:space="0" w:color="606072"/>
              <w:right w:val="single" w:sz="4" w:space="0" w:color="606072"/>
            </w:tcBorders>
            <w:shd w:val="clear" w:color="auto" w:fill="DEDFE3" w:themeFill="text2" w:themeFillTint="33"/>
            <w:tcMar>
              <w:left w:w="28" w:type="dxa"/>
              <w:right w:w="28" w:type="dxa"/>
            </w:tcMar>
            <w:vAlign w:val="center"/>
          </w:tcPr>
          <w:p w14:paraId="6F395107" w14:textId="77777777" w:rsidR="00341810" w:rsidRPr="005060E0" w:rsidRDefault="00341810"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20</w:t>
            </w:r>
          </w:p>
        </w:tc>
        <w:tc>
          <w:tcPr>
            <w:tcW w:w="197" w:type="pct"/>
            <w:tcBorders>
              <w:top w:val="nil"/>
              <w:left w:val="single" w:sz="4" w:space="0" w:color="606072"/>
              <w:bottom w:val="nil"/>
              <w:right w:val="single" w:sz="4" w:space="0" w:color="606072"/>
            </w:tcBorders>
            <w:shd w:val="clear" w:color="auto" w:fill="auto"/>
            <w:tcMar>
              <w:left w:w="28" w:type="dxa"/>
              <w:right w:w="28" w:type="dxa"/>
            </w:tcMar>
          </w:tcPr>
          <w:p w14:paraId="04E675DA" w14:textId="77777777" w:rsidR="00341810" w:rsidRPr="005060E0" w:rsidRDefault="00341810"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502" w:type="pct"/>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1843ECDC" w14:textId="491FD698"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51" w:type="pct"/>
            <w:tcBorders>
              <w:top w:val="dotted" w:sz="4" w:space="0" w:color="606072"/>
              <w:left w:val="dotted" w:sz="4" w:space="0" w:color="606072"/>
              <w:bottom w:val="dotted" w:sz="4" w:space="0" w:color="606072"/>
              <w:right w:val="dotted" w:sz="4" w:space="0" w:color="606072"/>
            </w:tcBorders>
            <w:tcMar>
              <w:left w:w="28" w:type="dxa"/>
              <w:right w:w="28" w:type="dxa"/>
            </w:tcMar>
            <w:vAlign w:val="center"/>
          </w:tcPr>
          <w:p w14:paraId="00E28466" w14:textId="59110F85"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51"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0CFDF3AE" w14:textId="0E847848"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52"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057A1DA7" w14:textId="27DBD049"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50" w:type="pct"/>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38D03A91" w14:textId="3E461414"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503" w:type="pct"/>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276392EC" w14:textId="569BF472"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51" w:type="pct"/>
            <w:tcBorders>
              <w:top w:val="dotted" w:sz="4" w:space="0" w:color="606072"/>
              <w:left w:val="dotted" w:sz="4" w:space="0" w:color="606072"/>
              <w:bottom w:val="dotted" w:sz="4" w:space="0" w:color="606072"/>
              <w:right w:val="dotted" w:sz="4" w:space="0" w:color="606072"/>
            </w:tcBorders>
            <w:tcMar>
              <w:left w:w="28" w:type="dxa"/>
              <w:right w:w="28" w:type="dxa"/>
            </w:tcMar>
            <w:vAlign w:val="center"/>
          </w:tcPr>
          <w:p w14:paraId="32083968" w14:textId="196B0F3B"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008F242D" w14:textId="57C5811B"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0E6B7A36" w14:textId="6B11F1EC"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4C3C355F" w14:textId="482C4F97"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502" w:type="pct"/>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3CD854FE" w14:textId="0D7A74E2"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dotted" w:sz="4" w:space="0" w:color="606072"/>
              <w:left w:val="dotted" w:sz="4" w:space="0" w:color="606072"/>
              <w:bottom w:val="dotted" w:sz="4" w:space="0" w:color="606072"/>
              <w:right w:val="dotted" w:sz="4" w:space="0" w:color="606072"/>
            </w:tcBorders>
            <w:tcMar>
              <w:left w:w="28" w:type="dxa"/>
              <w:right w:w="28" w:type="dxa"/>
            </w:tcMar>
            <w:vAlign w:val="center"/>
          </w:tcPr>
          <w:p w14:paraId="52415D67" w14:textId="6D0F23ED"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150"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30A91D0C" w14:textId="1965F22B"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00"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62CC2D06" w14:textId="0DF56434"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182" w:type="pct"/>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4DE82CF3" w14:textId="377E404E"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r>
      <w:tr w:rsidR="007F77AB" w:rsidRPr="005060E0" w14:paraId="2F1490B5" w14:textId="77777777" w:rsidTr="00D41B95">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402" w:type="pct"/>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346DE9B8" w14:textId="77777777" w:rsidR="00341810" w:rsidRPr="005060E0" w:rsidRDefault="00341810" w:rsidP="00341810">
            <w:pPr>
              <w:widowControl w:val="0"/>
              <w:spacing w:after="0" w:line="240" w:lineRule="auto"/>
              <w:jc w:val="center"/>
              <w:rPr>
                <w:rFonts w:cs="Arial"/>
                <w:b w:val="0"/>
                <w:sz w:val="15"/>
                <w:szCs w:val="15"/>
              </w:rPr>
            </w:pPr>
          </w:p>
        </w:tc>
        <w:tc>
          <w:tcPr>
            <w:tcW w:w="303" w:type="pct"/>
            <w:tcBorders>
              <w:top w:val="dotted" w:sz="4" w:space="0" w:color="606072"/>
              <w:left w:val="dotted" w:sz="4" w:space="0" w:color="606372" w:themeColor="text2"/>
              <w:bottom w:val="dotted" w:sz="4" w:space="0" w:color="606072"/>
              <w:right w:val="single" w:sz="4" w:space="0" w:color="606072"/>
            </w:tcBorders>
            <w:shd w:val="clear" w:color="auto" w:fill="DEDFE3" w:themeFill="text2" w:themeFillTint="33"/>
            <w:tcMar>
              <w:left w:w="28" w:type="dxa"/>
              <w:right w:w="28" w:type="dxa"/>
            </w:tcMar>
            <w:vAlign w:val="center"/>
          </w:tcPr>
          <w:p w14:paraId="77ABF6A1" w14:textId="77777777" w:rsidR="00341810" w:rsidRPr="005060E0" w:rsidRDefault="00341810"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40</w:t>
            </w:r>
          </w:p>
        </w:tc>
        <w:tc>
          <w:tcPr>
            <w:tcW w:w="197" w:type="pct"/>
            <w:tcBorders>
              <w:top w:val="nil"/>
              <w:left w:val="single" w:sz="4" w:space="0" w:color="606072"/>
              <w:bottom w:val="nil"/>
              <w:right w:val="single" w:sz="4" w:space="0" w:color="606072"/>
            </w:tcBorders>
            <w:shd w:val="clear" w:color="auto" w:fill="auto"/>
            <w:tcMar>
              <w:left w:w="28" w:type="dxa"/>
              <w:right w:w="28" w:type="dxa"/>
            </w:tcMar>
          </w:tcPr>
          <w:p w14:paraId="1B2186EF" w14:textId="77777777" w:rsidR="00341810" w:rsidRPr="005060E0" w:rsidRDefault="00341810"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p>
        </w:tc>
        <w:tc>
          <w:tcPr>
            <w:tcW w:w="502" w:type="pct"/>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70424FD2" w14:textId="1EF6B0BB"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51" w:type="pct"/>
            <w:tcBorders>
              <w:top w:val="dotted" w:sz="4" w:space="0" w:color="606072"/>
              <w:left w:val="dotted" w:sz="4" w:space="0" w:color="606072"/>
              <w:bottom w:val="dotted" w:sz="4" w:space="0" w:color="606072"/>
              <w:right w:val="dotted" w:sz="4" w:space="0" w:color="606072"/>
            </w:tcBorders>
            <w:tcMar>
              <w:left w:w="28" w:type="dxa"/>
              <w:right w:w="28" w:type="dxa"/>
            </w:tcMar>
            <w:vAlign w:val="center"/>
          </w:tcPr>
          <w:p w14:paraId="3AFD12B1" w14:textId="437F8402"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51"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19C2DD41" w14:textId="02AFB7E3"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52"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63AECEFE" w14:textId="4731B293"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50" w:type="pct"/>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4447D1F2" w14:textId="068892DE"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503" w:type="pct"/>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124E0B6E" w14:textId="2E910EB5"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51" w:type="pct"/>
            <w:tcBorders>
              <w:top w:val="dotted" w:sz="4" w:space="0" w:color="606072"/>
              <w:left w:val="dotted" w:sz="4" w:space="0" w:color="606072"/>
              <w:bottom w:val="dotted" w:sz="4" w:space="0" w:color="606072"/>
              <w:right w:val="dotted" w:sz="4" w:space="0" w:color="606072"/>
            </w:tcBorders>
            <w:tcMar>
              <w:left w:w="28" w:type="dxa"/>
              <w:right w:w="28" w:type="dxa"/>
            </w:tcMar>
            <w:vAlign w:val="center"/>
          </w:tcPr>
          <w:p w14:paraId="57193E9F" w14:textId="7D949185"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7E84346C" w14:textId="528B1EB7"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30DC0B32" w14:textId="57D2CABB"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04A64FAA" w14:textId="53B77AFD"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502" w:type="pct"/>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7B4ADFB5" w14:textId="3D7643DC"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dotted" w:sz="4" w:space="0" w:color="606072"/>
              <w:left w:val="dotted" w:sz="4" w:space="0" w:color="606072"/>
              <w:bottom w:val="dotted" w:sz="4" w:space="0" w:color="606072"/>
              <w:right w:val="dotted" w:sz="4" w:space="0" w:color="606072"/>
            </w:tcBorders>
            <w:tcMar>
              <w:left w:w="28" w:type="dxa"/>
              <w:right w:w="28" w:type="dxa"/>
            </w:tcMar>
            <w:vAlign w:val="center"/>
          </w:tcPr>
          <w:p w14:paraId="02751061" w14:textId="559F7897"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150"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600202D2" w14:textId="392D85C0"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00"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48332B3A" w14:textId="60DEED21"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182" w:type="pct"/>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6E0E20FE" w14:textId="105B35ED"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r>
      <w:tr w:rsidR="007F77AB" w:rsidRPr="005060E0" w14:paraId="5DBA62E1" w14:textId="77777777" w:rsidTr="00D41B95">
        <w:trPr>
          <w:trHeight w:hRule="exact" w:val="227"/>
        </w:trPr>
        <w:tc>
          <w:tcPr>
            <w:cnfStyle w:val="001000000000" w:firstRow="0" w:lastRow="0" w:firstColumn="1" w:lastColumn="0" w:oddVBand="0" w:evenVBand="0" w:oddHBand="0" w:evenHBand="0" w:firstRowFirstColumn="0" w:firstRowLastColumn="0" w:lastRowFirstColumn="0" w:lastRowLastColumn="0"/>
            <w:tcW w:w="402" w:type="pct"/>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430040E7" w14:textId="77777777" w:rsidR="00341810" w:rsidRPr="005060E0" w:rsidRDefault="00341810" w:rsidP="00341810">
            <w:pPr>
              <w:widowControl w:val="0"/>
              <w:spacing w:after="0" w:line="240" w:lineRule="auto"/>
              <w:jc w:val="center"/>
              <w:rPr>
                <w:rFonts w:cs="Arial"/>
                <w:b w:val="0"/>
                <w:sz w:val="15"/>
                <w:szCs w:val="15"/>
              </w:rPr>
            </w:pPr>
          </w:p>
        </w:tc>
        <w:tc>
          <w:tcPr>
            <w:tcW w:w="303" w:type="pct"/>
            <w:tcBorders>
              <w:top w:val="dotted" w:sz="4" w:space="0" w:color="606072"/>
              <w:left w:val="dotted" w:sz="4" w:space="0" w:color="606372" w:themeColor="text2"/>
              <w:bottom w:val="single" w:sz="4" w:space="0" w:color="606072"/>
              <w:right w:val="single" w:sz="4" w:space="0" w:color="606072"/>
            </w:tcBorders>
            <w:shd w:val="clear" w:color="auto" w:fill="D5E5FF"/>
            <w:tcMar>
              <w:left w:w="28" w:type="dxa"/>
              <w:right w:w="28" w:type="dxa"/>
            </w:tcMar>
            <w:vAlign w:val="center"/>
          </w:tcPr>
          <w:p w14:paraId="7BC6ACE4" w14:textId="77777777" w:rsidR="00341810" w:rsidRPr="005060E0" w:rsidRDefault="00341810"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80</w:t>
            </w:r>
          </w:p>
        </w:tc>
        <w:tc>
          <w:tcPr>
            <w:tcW w:w="197" w:type="pct"/>
            <w:tcBorders>
              <w:top w:val="nil"/>
              <w:left w:val="single" w:sz="4" w:space="0" w:color="606072"/>
              <w:bottom w:val="single" w:sz="4" w:space="0" w:color="606072"/>
              <w:right w:val="single" w:sz="4" w:space="0" w:color="606072"/>
            </w:tcBorders>
            <w:shd w:val="clear" w:color="auto" w:fill="auto"/>
            <w:tcMar>
              <w:left w:w="28" w:type="dxa"/>
              <w:right w:w="28" w:type="dxa"/>
            </w:tcMar>
          </w:tcPr>
          <w:p w14:paraId="0FE391E7" w14:textId="77777777" w:rsidR="00341810" w:rsidRPr="005060E0" w:rsidRDefault="00341810"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502" w:type="pct"/>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28611420" w14:textId="5D7A2678"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51"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2F4DD4DC" w14:textId="76ED1F18"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51"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57EBCF77" w14:textId="7872F77F"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52"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0C82F661" w14:textId="6EEB5320"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50" w:type="pct"/>
            <w:tcBorders>
              <w:top w:val="dotted" w:sz="4" w:space="0" w:color="606072"/>
              <w:left w:val="dotted" w:sz="4" w:space="0" w:color="606072"/>
              <w:bottom w:val="single" w:sz="4" w:space="0" w:color="606072"/>
              <w:right w:val="single" w:sz="4" w:space="0" w:color="606072"/>
            </w:tcBorders>
            <w:shd w:val="clear" w:color="auto" w:fill="D5E5FF"/>
            <w:tcMar>
              <w:left w:w="28" w:type="dxa"/>
              <w:right w:w="28" w:type="dxa"/>
            </w:tcMar>
            <w:vAlign w:val="center"/>
          </w:tcPr>
          <w:p w14:paraId="17329B2B" w14:textId="52B41913"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503" w:type="pct"/>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0B776F61" w14:textId="533F1D83"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51"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7FF89CE6" w14:textId="5F90283A"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7FA81A63" w14:textId="74E54768"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6F094B76" w14:textId="3531829D"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dotted" w:sz="4" w:space="0" w:color="606072"/>
              <w:left w:val="dotted" w:sz="4" w:space="0" w:color="606072"/>
              <w:bottom w:val="single" w:sz="4" w:space="0" w:color="606072"/>
              <w:right w:val="single" w:sz="4" w:space="0" w:color="606072"/>
            </w:tcBorders>
            <w:shd w:val="clear" w:color="auto" w:fill="D5E5FF"/>
            <w:tcMar>
              <w:left w:w="28" w:type="dxa"/>
              <w:right w:w="28" w:type="dxa"/>
            </w:tcMar>
            <w:vAlign w:val="center"/>
          </w:tcPr>
          <w:p w14:paraId="52A0E5AD" w14:textId="2ABB095A"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502" w:type="pct"/>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019808C6" w14:textId="351E1224"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40954F20" w14:textId="7C2CCE11"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150"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3B094522" w14:textId="0106F4DC"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00"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6DAE0BBB" w14:textId="3BEE8D6A"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182" w:type="pct"/>
            <w:tcBorders>
              <w:top w:val="dotted" w:sz="4" w:space="0" w:color="606072"/>
              <w:left w:val="dotted" w:sz="4" w:space="0" w:color="606072"/>
              <w:bottom w:val="single" w:sz="4" w:space="0" w:color="606072"/>
              <w:right w:val="single" w:sz="4" w:space="0" w:color="606072"/>
            </w:tcBorders>
            <w:shd w:val="clear" w:color="auto" w:fill="D5E5FF"/>
            <w:tcMar>
              <w:left w:w="28" w:type="dxa"/>
              <w:right w:w="28" w:type="dxa"/>
            </w:tcMar>
            <w:vAlign w:val="center"/>
          </w:tcPr>
          <w:p w14:paraId="4904F1BB" w14:textId="1594DC1A"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r>
      <w:tr w:rsidR="00975888" w:rsidRPr="005060E0" w14:paraId="44FF4018" w14:textId="77777777" w:rsidTr="00DF6730">
        <w:trPr>
          <w:cnfStyle w:val="000000100000" w:firstRow="0" w:lastRow="0" w:firstColumn="0" w:lastColumn="0" w:oddVBand="0" w:evenVBand="0" w:oddHBand="1" w:evenHBand="0" w:firstRowFirstColumn="0" w:firstRowLastColumn="0" w:lastRowFirstColumn="0" w:lastRowLastColumn="0"/>
          <w:trHeight w:hRule="exact" w:val="255"/>
        </w:trPr>
        <w:tc>
          <w:tcPr>
            <w:cnfStyle w:val="001000000000" w:firstRow="0" w:lastRow="0" w:firstColumn="1" w:lastColumn="0" w:oddVBand="0" w:evenVBand="0" w:oddHBand="0" w:evenHBand="0" w:firstRowFirstColumn="0" w:firstRowLastColumn="0" w:lastRowFirstColumn="0" w:lastRowLastColumn="0"/>
            <w:tcW w:w="5000" w:type="pct"/>
            <w:gridSpan w:val="18"/>
            <w:tcBorders>
              <w:top w:val="single" w:sz="4" w:space="0" w:color="606072"/>
              <w:left w:val="single" w:sz="4" w:space="0" w:color="606072"/>
              <w:bottom w:val="single" w:sz="4" w:space="0" w:color="606072"/>
              <w:right w:val="single" w:sz="4" w:space="0" w:color="606072"/>
            </w:tcBorders>
            <w:shd w:val="clear" w:color="auto" w:fill="BFBFBF" w:themeFill="background1" w:themeFillShade="BF"/>
            <w:tcMar>
              <w:left w:w="28" w:type="dxa"/>
              <w:right w:w="28" w:type="dxa"/>
            </w:tcMar>
            <w:vAlign w:val="center"/>
          </w:tcPr>
          <w:p w14:paraId="1498CD0E" w14:textId="73D39760" w:rsidR="00975888" w:rsidRPr="005060E0" w:rsidRDefault="00CE5917" w:rsidP="00CE5917">
            <w:pPr>
              <w:widowControl w:val="0"/>
              <w:spacing w:after="0" w:line="240" w:lineRule="auto"/>
              <w:rPr>
                <w:rFonts w:cs="Arial"/>
                <w:b w:val="0"/>
                <w:sz w:val="15"/>
                <w:szCs w:val="15"/>
              </w:rPr>
            </w:pPr>
            <w:r w:rsidRPr="005060E0">
              <w:rPr>
                <w:rFonts w:eastAsia="Times New Roman" w:cs="Arial"/>
                <w:b w:val="0"/>
                <w:color w:val="000000"/>
                <w:sz w:val="15"/>
                <w:szCs w:val="15"/>
                <w:lang w:eastAsia="en-AU"/>
              </w:rPr>
              <w:t>Total number of monitoring stations exceeding standard</w:t>
            </w:r>
          </w:p>
        </w:tc>
      </w:tr>
      <w:tr w:rsidR="007F77AB" w:rsidRPr="005060E0" w14:paraId="2E08A642" w14:textId="77777777" w:rsidTr="00D41B95">
        <w:trPr>
          <w:trHeight w:hRule="exact" w:val="227"/>
        </w:trPr>
        <w:tc>
          <w:tcPr>
            <w:cnfStyle w:val="001000000000" w:firstRow="0" w:lastRow="0" w:firstColumn="1" w:lastColumn="0" w:oddVBand="0" w:evenVBand="0" w:oddHBand="0" w:evenHBand="0" w:firstRowFirstColumn="0" w:firstRowLastColumn="0" w:lastRowFirstColumn="0" w:lastRowLastColumn="0"/>
            <w:tcW w:w="402" w:type="pct"/>
            <w:vMerge w:val="restart"/>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52704AAC" w14:textId="77777777" w:rsidR="00341810" w:rsidRPr="005060E0" w:rsidRDefault="00341810" w:rsidP="00341810">
            <w:pPr>
              <w:widowControl w:val="0"/>
              <w:spacing w:after="0" w:line="240" w:lineRule="auto"/>
              <w:jc w:val="center"/>
              <w:rPr>
                <w:rFonts w:cs="Arial"/>
                <w:b w:val="0"/>
                <w:sz w:val="15"/>
                <w:szCs w:val="15"/>
              </w:rPr>
            </w:pPr>
            <w:r w:rsidRPr="005060E0">
              <w:rPr>
                <w:rFonts w:cs="Arial"/>
                <w:b w:val="0"/>
                <w:sz w:val="15"/>
                <w:szCs w:val="15"/>
              </w:rPr>
              <w:t>Annual</w:t>
            </w:r>
          </w:p>
        </w:tc>
        <w:tc>
          <w:tcPr>
            <w:tcW w:w="303" w:type="pct"/>
            <w:tcBorders>
              <w:top w:val="single" w:sz="4" w:space="0" w:color="606072"/>
              <w:left w:val="dotted" w:sz="4" w:space="0" w:color="606372" w:themeColor="text2"/>
              <w:bottom w:val="dotted" w:sz="4" w:space="0" w:color="606072"/>
              <w:right w:val="single" w:sz="4" w:space="0" w:color="606072"/>
            </w:tcBorders>
            <w:shd w:val="clear" w:color="auto" w:fill="DEDFE3" w:themeFill="text2" w:themeFillTint="33"/>
            <w:tcMar>
              <w:left w:w="28" w:type="dxa"/>
              <w:right w:w="28" w:type="dxa"/>
            </w:tcMar>
            <w:vAlign w:val="center"/>
          </w:tcPr>
          <w:p w14:paraId="38ED88C5" w14:textId="77777777" w:rsidR="00341810" w:rsidRPr="005060E0" w:rsidRDefault="00341810"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10</w:t>
            </w:r>
          </w:p>
        </w:tc>
        <w:tc>
          <w:tcPr>
            <w:tcW w:w="197" w:type="pct"/>
            <w:tcBorders>
              <w:top w:val="single" w:sz="4" w:space="0" w:color="606072"/>
              <w:left w:val="single" w:sz="4" w:space="0" w:color="606072"/>
              <w:bottom w:val="nil"/>
              <w:right w:val="single" w:sz="4" w:space="0" w:color="606072"/>
            </w:tcBorders>
            <w:shd w:val="clear" w:color="auto" w:fill="auto"/>
            <w:tcMar>
              <w:left w:w="28" w:type="dxa"/>
              <w:right w:w="28" w:type="dxa"/>
            </w:tcMar>
          </w:tcPr>
          <w:p w14:paraId="0BA4B0B5" w14:textId="77777777" w:rsidR="00341810" w:rsidRPr="005060E0" w:rsidRDefault="00341810"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502" w:type="pct"/>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481BB9A3" w14:textId="62DAA5FE"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51" w:type="pct"/>
            <w:tcBorders>
              <w:top w:val="single" w:sz="4" w:space="0" w:color="606072"/>
              <w:left w:val="dotted" w:sz="4" w:space="0" w:color="606072"/>
              <w:bottom w:val="dotted" w:sz="4" w:space="0" w:color="606072"/>
              <w:right w:val="dotted" w:sz="4" w:space="0" w:color="606072"/>
            </w:tcBorders>
            <w:tcMar>
              <w:left w:w="28" w:type="dxa"/>
              <w:right w:w="28" w:type="dxa"/>
            </w:tcMar>
            <w:vAlign w:val="center"/>
          </w:tcPr>
          <w:p w14:paraId="6AAD90A8" w14:textId="3091F028"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51"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1F937332" w14:textId="2ABB195D"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52"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76B709CC" w14:textId="3E82664E"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50" w:type="pct"/>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66FFBFA2" w14:textId="08DF6268"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503" w:type="pct"/>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7C6792AC" w14:textId="2761731E"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51" w:type="pct"/>
            <w:tcBorders>
              <w:top w:val="single" w:sz="4" w:space="0" w:color="606072"/>
              <w:left w:val="dotted" w:sz="4" w:space="0" w:color="606072"/>
              <w:bottom w:val="dotted" w:sz="4" w:space="0" w:color="606072"/>
              <w:right w:val="dotted" w:sz="4" w:space="0" w:color="606072"/>
            </w:tcBorders>
            <w:tcMar>
              <w:left w:w="28" w:type="dxa"/>
              <w:right w:w="28" w:type="dxa"/>
            </w:tcMar>
            <w:vAlign w:val="center"/>
          </w:tcPr>
          <w:p w14:paraId="2C72D51C" w14:textId="2A4191C1"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4C665A21" w14:textId="6CABBFC8"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0D9C7E5B" w14:textId="78FA69BD"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47A81EC8" w14:textId="4AC0F62C"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502" w:type="pct"/>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17B1C190" w14:textId="05D6BB2E"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single" w:sz="4" w:space="0" w:color="606072"/>
              <w:left w:val="dotted" w:sz="4" w:space="0" w:color="606072"/>
              <w:bottom w:val="dotted" w:sz="4" w:space="0" w:color="606072"/>
              <w:right w:val="dotted" w:sz="4" w:space="0" w:color="606072"/>
            </w:tcBorders>
            <w:tcMar>
              <w:left w:w="28" w:type="dxa"/>
              <w:right w:w="28" w:type="dxa"/>
            </w:tcMar>
            <w:vAlign w:val="center"/>
          </w:tcPr>
          <w:p w14:paraId="195B822A" w14:textId="7DAEDF7E"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150"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669D385B" w14:textId="5A3FC699"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200"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3887F69E" w14:textId="757BB8A6"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182" w:type="pct"/>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530CD307" w14:textId="72831764" w:rsidR="00341810" w:rsidRPr="005060E0" w:rsidRDefault="00491E7C" w:rsidP="0034181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r>
      <w:tr w:rsidR="007F77AB" w:rsidRPr="005060E0" w14:paraId="324991AD" w14:textId="77777777" w:rsidTr="00D41B95">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402" w:type="pct"/>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1CDF0F57" w14:textId="77777777" w:rsidR="00341810" w:rsidRPr="005060E0" w:rsidRDefault="00341810" w:rsidP="00341810">
            <w:pPr>
              <w:widowControl w:val="0"/>
              <w:spacing w:after="0" w:line="240" w:lineRule="auto"/>
              <w:jc w:val="center"/>
              <w:rPr>
                <w:rFonts w:cs="Arial"/>
                <w:sz w:val="15"/>
                <w:szCs w:val="15"/>
              </w:rPr>
            </w:pPr>
          </w:p>
        </w:tc>
        <w:tc>
          <w:tcPr>
            <w:tcW w:w="303" w:type="pct"/>
            <w:tcBorders>
              <w:top w:val="dotted" w:sz="4" w:space="0" w:color="606072"/>
              <w:left w:val="dotted" w:sz="4" w:space="0" w:color="606372" w:themeColor="text2"/>
              <w:bottom w:val="single" w:sz="4" w:space="0" w:color="606072"/>
              <w:right w:val="single" w:sz="4" w:space="0" w:color="606072"/>
            </w:tcBorders>
            <w:shd w:val="clear" w:color="auto" w:fill="D5E5FF"/>
            <w:tcMar>
              <w:left w:w="28" w:type="dxa"/>
              <w:right w:w="28" w:type="dxa"/>
            </w:tcMar>
            <w:vAlign w:val="center"/>
          </w:tcPr>
          <w:p w14:paraId="345C3C85" w14:textId="77777777" w:rsidR="00341810" w:rsidRPr="005060E0" w:rsidRDefault="00341810"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20</w:t>
            </w:r>
          </w:p>
        </w:tc>
        <w:tc>
          <w:tcPr>
            <w:tcW w:w="197" w:type="pct"/>
            <w:tcBorders>
              <w:top w:val="nil"/>
              <w:left w:val="single" w:sz="4" w:space="0" w:color="606072"/>
              <w:bottom w:val="single" w:sz="4" w:space="0" w:color="606072"/>
              <w:right w:val="single" w:sz="4" w:space="0" w:color="606072"/>
            </w:tcBorders>
            <w:shd w:val="clear" w:color="auto" w:fill="auto"/>
            <w:tcMar>
              <w:left w:w="28" w:type="dxa"/>
              <w:right w:w="28" w:type="dxa"/>
            </w:tcMar>
          </w:tcPr>
          <w:p w14:paraId="518A91D5" w14:textId="77777777" w:rsidR="00341810" w:rsidRPr="005060E0" w:rsidRDefault="00341810"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p>
        </w:tc>
        <w:tc>
          <w:tcPr>
            <w:tcW w:w="502" w:type="pct"/>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4C097836" w14:textId="71DE994A"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51"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225595AC" w14:textId="6CAAB1AA"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51"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485BAA18" w14:textId="116F58BD"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52"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7F9946E9" w14:textId="1D9A46DF"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50" w:type="pct"/>
            <w:tcBorders>
              <w:top w:val="dotted" w:sz="4" w:space="0" w:color="606072"/>
              <w:left w:val="dotted" w:sz="4" w:space="0" w:color="606072"/>
              <w:bottom w:val="single" w:sz="4" w:space="0" w:color="606072"/>
              <w:right w:val="single" w:sz="4" w:space="0" w:color="606072"/>
            </w:tcBorders>
            <w:shd w:val="clear" w:color="auto" w:fill="D5E5FF"/>
            <w:tcMar>
              <w:left w:w="28" w:type="dxa"/>
              <w:right w:w="28" w:type="dxa"/>
            </w:tcMar>
            <w:vAlign w:val="center"/>
          </w:tcPr>
          <w:p w14:paraId="364263F0" w14:textId="31B8E25C"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503" w:type="pct"/>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2C00BB71" w14:textId="0B89EC97"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51"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33239BF1" w14:textId="2B1E67DD"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782247BC" w14:textId="71E666A9"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5626F9AC" w14:textId="453AAE82"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dotted" w:sz="4" w:space="0" w:color="606072"/>
              <w:left w:val="dotted" w:sz="4" w:space="0" w:color="606072"/>
              <w:bottom w:val="single" w:sz="4" w:space="0" w:color="606072"/>
              <w:right w:val="single" w:sz="4" w:space="0" w:color="606072"/>
            </w:tcBorders>
            <w:shd w:val="clear" w:color="auto" w:fill="D5E5FF"/>
            <w:tcMar>
              <w:left w:w="28" w:type="dxa"/>
              <w:right w:w="28" w:type="dxa"/>
            </w:tcMar>
            <w:vAlign w:val="center"/>
          </w:tcPr>
          <w:p w14:paraId="3045176C" w14:textId="411786CE"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502" w:type="pct"/>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65A05F33" w14:textId="6C3FFB30"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01"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547126FB" w14:textId="6DF66039"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150"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13F143E7" w14:textId="7D075E76"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200"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29C6AACB" w14:textId="3F4711E8"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182" w:type="pct"/>
            <w:tcBorders>
              <w:top w:val="dotted" w:sz="4" w:space="0" w:color="606072"/>
              <w:left w:val="dotted" w:sz="4" w:space="0" w:color="606072"/>
              <w:bottom w:val="single" w:sz="4" w:space="0" w:color="606072"/>
              <w:right w:val="single" w:sz="4" w:space="0" w:color="606072"/>
            </w:tcBorders>
            <w:shd w:val="clear" w:color="auto" w:fill="D5E5FF"/>
            <w:tcMar>
              <w:left w:w="28" w:type="dxa"/>
              <w:right w:w="28" w:type="dxa"/>
            </w:tcMar>
            <w:vAlign w:val="center"/>
          </w:tcPr>
          <w:p w14:paraId="4592F83A" w14:textId="60DAE510" w:rsidR="00341810" w:rsidRPr="005060E0" w:rsidRDefault="00491E7C" w:rsidP="0034181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r>
    </w:tbl>
    <w:p w14:paraId="4B667410" w14:textId="77777777" w:rsidR="00341810" w:rsidRPr="005060E0" w:rsidRDefault="00341810" w:rsidP="00CD08E7">
      <w:pPr>
        <w:pStyle w:val="ListParagraph"/>
        <w:numPr>
          <w:ilvl w:val="0"/>
          <w:numId w:val="34"/>
        </w:numPr>
        <w:spacing w:before="40" w:after="0" w:line="240" w:lineRule="auto"/>
        <w:ind w:left="284" w:hanging="284"/>
        <w:rPr>
          <w:rFonts w:cs="Arial"/>
          <w:sz w:val="16"/>
          <w:szCs w:val="16"/>
        </w:rPr>
      </w:pPr>
      <w:r w:rsidRPr="005060E0">
        <w:rPr>
          <w:rFonts w:cs="Arial"/>
          <w:sz w:val="16"/>
          <w:szCs w:val="16"/>
        </w:rPr>
        <w:t>Rounded to nearest integer.</w:t>
      </w:r>
    </w:p>
    <w:p w14:paraId="145E6385" w14:textId="1942B7C8" w:rsidR="00341810" w:rsidRPr="005060E0" w:rsidRDefault="00341810" w:rsidP="00064F3E">
      <w:pPr>
        <w:pStyle w:val="PBTablecaption"/>
        <w:spacing w:before="360"/>
        <w:rPr>
          <w:rFonts w:cs="Arial"/>
        </w:rPr>
      </w:pPr>
      <w:bookmarkStart w:id="123" w:name="_Ref472442415"/>
      <w:bookmarkStart w:id="124" w:name="_Ref471926785"/>
      <w:bookmarkStart w:id="125" w:name="_Toc504335440"/>
      <w:r w:rsidRPr="005060E0">
        <w:rPr>
          <w:rFonts w:cs="Arial"/>
        </w:rPr>
        <w:t xml:space="preserve">Table </w:t>
      </w:r>
      <w:r w:rsidRPr="005060E0">
        <w:rPr>
          <w:rFonts w:cs="Arial"/>
        </w:rPr>
        <w:fldChar w:fldCharType="begin"/>
      </w:r>
      <w:r w:rsidRPr="005060E0">
        <w:rPr>
          <w:rFonts w:cs="Arial"/>
        </w:rPr>
        <w:instrText xml:space="preserve"> STYLEREF 1 \s </w:instrText>
      </w:r>
      <w:r w:rsidRPr="005060E0">
        <w:rPr>
          <w:rFonts w:cs="Arial"/>
        </w:rPr>
        <w:fldChar w:fldCharType="separate"/>
      </w:r>
      <w:r w:rsidR="00F2067C">
        <w:rPr>
          <w:rFonts w:cs="Arial"/>
          <w:noProof/>
        </w:rPr>
        <w:t>6</w:t>
      </w:r>
      <w:r w:rsidRPr="005060E0">
        <w:rPr>
          <w:rFonts w:cs="Arial"/>
          <w:noProof/>
        </w:rPr>
        <w:fldChar w:fldCharType="end"/>
      </w:r>
      <w:r w:rsidRPr="005060E0">
        <w:rPr>
          <w:rFonts w:cs="Arial"/>
        </w:rPr>
        <w:noBreakHyphen/>
      </w:r>
      <w:r w:rsidRPr="005060E0">
        <w:rPr>
          <w:rFonts w:cs="Arial"/>
        </w:rPr>
        <w:fldChar w:fldCharType="begin"/>
      </w:r>
      <w:r w:rsidRPr="005060E0">
        <w:rPr>
          <w:rFonts w:cs="Arial"/>
        </w:rPr>
        <w:instrText xml:space="preserve"> SEQ Table \* ARABIC \s 1 </w:instrText>
      </w:r>
      <w:r w:rsidRPr="005060E0">
        <w:rPr>
          <w:rFonts w:cs="Arial"/>
        </w:rPr>
        <w:fldChar w:fldCharType="separate"/>
      </w:r>
      <w:r w:rsidR="00F2067C">
        <w:rPr>
          <w:rFonts w:cs="Arial"/>
          <w:noProof/>
        </w:rPr>
        <w:t>8</w:t>
      </w:r>
      <w:r w:rsidRPr="005060E0">
        <w:rPr>
          <w:rFonts w:cs="Arial"/>
          <w:noProof/>
        </w:rPr>
        <w:fldChar w:fldCharType="end"/>
      </w:r>
      <w:bookmarkEnd w:id="123"/>
      <w:r w:rsidRPr="005060E0">
        <w:rPr>
          <w:rFonts w:cs="Arial"/>
        </w:rPr>
        <w:t xml:space="preserve">: </w:t>
      </w:r>
      <w:bookmarkEnd w:id="124"/>
      <w:r w:rsidRPr="005060E0">
        <w:rPr>
          <w:rFonts w:cs="Arial"/>
        </w:rPr>
        <w:t>Projected</w:t>
      </w:r>
      <w:r w:rsidR="00975888" w:rsidRPr="005060E0">
        <w:rPr>
          <w:rFonts w:eastAsia="Arial" w:cs="Arial"/>
          <w:iCs/>
        </w:rPr>
        <w:t xml:space="preserve"> </w:t>
      </w:r>
      <w:r w:rsidRPr="005060E0">
        <w:rPr>
          <w:rFonts w:eastAsia="Arial" w:cs="Arial"/>
          <w:iCs/>
        </w:rPr>
        <w:t>exceedance</w:t>
      </w:r>
      <w:r w:rsidR="00975888" w:rsidRPr="005060E0">
        <w:rPr>
          <w:rFonts w:eastAsia="Arial" w:cs="Arial"/>
          <w:iCs/>
        </w:rPr>
        <w:t>s of</w:t>
      </w:r>
      <w:r w:rsidRPr="005060E0">
        <w:rPr>
          <w:rFonts w:cs="Arial"/>
        </w:rPr>
        <w:t xml:space="preserve"> </w:t>
      </w:r>
      <w:r w:rsidR="00CE5917" w:rsidRPr="005060E0">
        <w:rPr>
          <w:rFonts w:cs="Arial"/>
        </w:rPr>
        <w:t xml:space="preserve">current and </w:t>
      </w:r>
      <w:r w:rsidRPr="005060E0">
        <w:rPr>
          <w:rFonts w:cs="Arial"/>
        </w:rPr>
        <w:t>proposed SO</w:t>
      </w:r>
      <w:r w:rsidRPr="005060E0">
        <w:rPr>
          <w:rFonts w:cs="Arial"/>
          <w:vertAlign w:val="subscript"/>
        </w:rPr>
        <w:t>2</w:t>
      </w:r>
      <w:r w:rsidRPr="005060E0">
        <w:rPr>
          <w:rFonts w:cs="Arial"/>
        </w:rPr>
        <w:t xml:space="preserve"> standards (Abatement Package</w:t>
      </w:r>
      <w:bookmarkEnd w:id="125"/>
      <w:r w:rsidRPr="005060E0">
        <w:rPr>
          <w:rFonts w:cs="Arial"/>
        </w:rPr>
        <w:t xml:space="preserve"> scenario, NSW)</w:t>
      </w:r>
    </w:p>
    <w:tbl>
      <w:tblPr>
        <w:tblStyle w:val="ListTable3-Accent12"/>
        <w:tblW w:w="9692" w:type="dxa"/>
        <w:jc w:val="center"/>
        <w:tblLayout w:type="fixed"/>
        <w:tblLook w:val="04A0" w:firstRow="1" w:lastRow="0" w:firstColumn="1" w:lastColumn="0" w:noHBand="0" w:noVBand="1"/>
      </w:tblPr>
      <w:tblGrid>
        <w:gridCol w:w="1140"/>
        <w:gridCol w:w="977"/>
        <w:gridCol w:w="616"/>
        <w:gridCol w:w="631"/>
        <w:gridCol w:w="631"/>
        <w:gridCol w:w="632"/>
        <w:gridCol w:w="12"/>
        <w:gridCol w:w="621"/>
        <w:gridCol w:w="632"/>
        <w:gridCol w:w="632"/>
        <w:gridCol w:w="633"/>
        <w:gridCol w:w="8"/>
        <w:gridCol w:w="624"/>
        <w:gridCol w:w="632"/>
        <w:gridCol w:w="633"/>
        <w:gridCol w:w="632"/>
        <w:gridCol w:w="6"/>
      </w:tblGrid>
      <w:tr w:rsidR="00341810" w:rsidRPr="005060E0" w14:paraId="4D16831A" w14:textId="77777777" w:rsidTr="00341810">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100" w:firstRow="0" w:lastRow="0" w:firstColumn="1" w:lastColumn="0" w:oddVBand="0" w:evenVBand="0" w:oddHBand="0" w:evenHBand="0" w:firstRowFirstColumn="1" w:firstRowLastColumn="0" w:lastRowFirstColumn="0" w:lastRowLastColumn="0"/>
            <w:tcW w:w="1140" w:type="dxa"/>
            <w:vMerge w:val="restart"/>
            <w:tcBorders>
              <w:top w:val="single" w:sz="4" w:space="0" w:color="606072"/>
              <w:left w:val="single" w:sz="4" w:space="0" w:color="606072"/>
              <w:bottom w:val="single" w:sz="4" w:space="0" w:color="606072"/>
              <w:right w:val="single" w:sz="4" w:space="0" w:color="606072"/>
            </w:tcBorders>
            <w:shd w:val="clear" w:color="auto" w:fill="606072"/>
            <w:vAlign w:val="center"/>
          </w:tcPr>
          <w:p w14:paraId="041C8F0E" w14:textId="77777777" w:rsidR="00341810" w:rsidRPr="005060E0" w:rsidRDefault="00341810" w:rsidP="00341810">
            <w:pPr>
              <w:pStyle w:val="BodyText"/>
              <w:spacing w:after="0" w:line="240" w:lineRule="auto"/>
              <w:jc w:val="center"/>
              <w:rPr>
                <w:b w:val="0"/>
                <w:color w:val="FFFFFF" w:themeColor="background1"/>
                <w:sz w:val="15"/>
                <w:szCs w:val="15"/>
              </w:rPr>
            </w:pPr>
            <w:r w:rsidRPr="005060E0">
              <w:rPr>
                <w:b w:val="0"/>
                <w:color w:val="FFFFFF" w:themeColor="background1"/>
                <w:sz w:val="15"/>
                <w:szCs w:val="15"/>
              </w:rPr>
              <w:t>Period</w:t>
            </w:r>
          </w:p>
        </w:tc>
        <w:tc>
          <w:tcPr>
            <w:tcW w:w="977" w:type="dxa"/>
            <w:vMerge w:val="restart"/>
            <w:tcBorders>
              <w:top w:val="single" w:sz="4" w:space="0" w:color="606072"/>
              <w:left w:val="single" w:sz="4" w:space="0" w:color="606072"/>
              <w:bottom w:val="single" w:sz="4" w:space="0" w:color="606072"/>
              <w:right w:val="single" w:sz="4" w:space="0" w:color="606072"/>
            </w:tcBorders>
            <w:shd w:val="clear" w:color="auto" w:fill="606072"/>
            <w:vAlign w:val="center"/>
          </w:tcPr>
          <w:p w14:paraId="56A8C63B" w14:textId="77777777" w:rsidR="00341810" w:rsidRPr="005060E0" w:rsidRDefault="00341810" w:rsidP="0034181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Standard (ppb)</w:t>
            </w:r>
          </w:p>
        </w:tc>
        <w:tc>
          <w:tcPr>
            <w:tcW w:w="2522" w:type="dxa"/>
            <w:gridSpan w:val="5"/>
            <w:tcBorders>
              <w:top w:val="single" w:sz="4" w:space="0" w:color="606072"/>
              <w:left w:val="single" w:sz="4" w:space="0" w:color="606072"/>
              <w:bottom w:val="single" w:sz="4" w:space="0" w:color="606072"/>
              <w:right w:val="single" w:sz="4" w:space="0" w:color="606072"/>
            </w:tcBorders>
            <w:shd w:val="clear" w:color="auto" w:fill="606072"/>
            <w:vAlign w:val="center"/>
          </w:tcPr>
          <w:p w14:paraId="23C99D7A" w14:textId="77777777" w:rsidR="00341810" w:rsidRPr="005060E0" w:rsidRDefault="00341810" w:rsidP="00341810">
            <w:pPr>
              <w:pStyle w:val="BodyText"/>
              <w:spacing w:after="0" w:line="240" w:lineRule="auto"/>
              <w:ind w:left="-92"/>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 xml:space="preserve">   NSW: Sydney </w:t>
            </w:r>
          </w:p>
        </w:tc>
        <w:tc>
          <w:tcPr>
            <w:tcW w:w="2526" w:type="dxa"/>
            <w:gridSpan w:val="5"/>
            <w:tcBorders>
              <w:top w:val="single" w:sz="4" w:space="0" w:color="606072"/>
              <w:left w:val="single" w:sz="4" w:space="0" w:color="606072"/>
              <w:bottom w:val="single" w:sz="4" w:space="0" w:color="606072"/>
              <w:right w:val="single" w:sz="4" w:space="0" w:color="606072"/>
            </w:tcBorders>
            <w:shd w:val="clear" w:color="auto" w:fill="606072"/>
            <w:vAlign w:val="center"/>
          </w:tcPr>
          <w:p w14:paraId="08AB1536" w14:textId="77777777" w:rsidR="00341810" w:rsidRPr="005060E0" w:rsidRDefault="00341810" w:rsidP="00341810">
            <w:pPr>
              <w:pStyle w:val="BodyText"/>
              <w:spacing w:after="0" w:line="240" w:lineRule="auto"/>
              <w:ind w:left="-61"/>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 xml:space="preserve"> NSW: Newcastle</w:t>
            </w:r>
          </w:p>
        </w:tc>
        <w:tc>
          <w:tcPr>
            <w:tcW w:w="2527" w:type="dxa"/>
            <w:gridSpan w:val="5"/>
            <w:tcBorders>
              <w:top w:val="single" w:sz="4" w:space="0" w:color="606072"/>
              <w:left w:val="single" w:sz="4" w:space="0" w:color="606072"/>
              <w:bottom w:val="single" w:sz="4" w:space="0" w:color="606072"/>
              <w:right w:val="single" w:sz="4" w:space="0" w:color="606072"/>
            </w:tcBorders>
            <w:shd w:val="clear" w:color="auto" w:fill="606072"/>
            <w:vAlign w:val="center"/>
          </w:tcPr>
          <w:p w14:paraId="26595B76" w14:textId="77777777" w:rsidR="00341810" w:rsidRPr="005060E0" w:rsidRDefault="00341810" w:rsidP="00341810">
            <w:pPr>
              <w:pStyle w:val="BodyText"/>
              <w:spacing w:after="0" w:line="240" w:lineRule="auto"/>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NSW: Wollongong</w:t>
            </w:r>
          </w:p>
        </w:tc>
      </w:tr>
      <w:tr w:rsidR="00BF7BF2" w:rsidRPr="005060E0" w14:paraId="5FD9374C" w14:textId="77777777" w:rsidTr="00D23D58">
        <w:tblPrEx>
          <w:tblBorders>
            <w:top w:val="single" w:sz="2" w:space="0" w:color="0076C0" w:themeColor="accent1"/>
            <w:left w:val="single" w:sz="2" w:space="0" w:color="0076C0" w:themeColor="accent1"/>
            <w:bottom w:val="single" w:sz="2" w:space="0" w:color="0076C0" w:themeColor="accent1"/>
            <w:right w:val="single" w:sz="2" w:space="0" w:color="0076C0" w:themeColor="accent1"/>
          </w:tblBorders>
          <w:tblCellMar>
            <w:left w:w="41" w:type="dxa"/>
            <w:right w:w="41" w:type="dxa"/>
          </w:tblCellMar>
        </w:tblPrEx>
        <w:trPr>
          <w:gridAfter w:val="1"/>
          <w:cnfStyle w:val="100000000000" w:firstRow="1" w:lastRow="0" w:firstColumn="0" w:lastColumn="0" w:oddVBand="0" w:evenVBand="0" w:oddHBand="0" w:evenHBand="0" w:firstRowFirstColumn="0" w:firstRowLastColumn="0" w:lastRowFirstColumn="0" w:lastRowLastColumn="0"/>
          <w:wAfter w:w="6" w:type="dxa"/>
          <w:trHeight w:hRule="exact" w:val="283"/>
          <w:tblHeader/>
          <w:jc w:val="center"/>
        </w:trPr>
        <w:tc>
          <w:tcPr>
            <w:cnfStyle w:val="001000000100" w:firstRow="0" w:lastRow="0" w:firstColumn="1" w:lastColumn="0" w:oddVBand="0" w:evenVBand="0" w:oddHBand="0" w:evenHBand="0" w:firstRowFirstColumn="1" w:firstRowLastColumn="0" w:lastRowFirstColumn="0" w:lastRowLastColumn="0"/>
            <w:tcW w:w="1140" w:type="dxa"/>
            <w:vMerge/>
            <w:tcBorders>
              <w:top w:val="single" w:sz="4" w:space="0" w:color="606072"/>
              <w:left w:val="single" w:sz="4" w:space="0" w:color="606072"/>
              <w:bottom w:val="single" w:sz="4" w:space="0" w:color="606072"/>
              <w:right w:val="single" w:sz="4" w:space="0" w:color="606072"/>
            </w:tcBorders>
            <w:shd w:val="clear" w:color="auto" w:fill="606072"/>
            <w:vAlign w:val="center"/>
          </w:tcPr>
          <w:p w14:paraId="73B04FFD" w14:textId="77777777" w:rsidR="00341810" w:rsidRPr="005060E0" w:rsidRDefault="00341810" w:rsidP="00341810">
            <w:pPr>
              <w:pStyle w:val="BodyText"/>
              <w:spacing w:after="0" w:line="240" w:lineRule="auto"/>
              <w:rPr>
                <w:b w:val="0"/>
                <w:color w:val="FFFFFF" w:themeColor="background1"/>
                <w:sz w:val="15"/>
                <w:szCs w:val="15"/>
              </w:rPr>
            </w:pPr>
          </w:p>
        </w:tc>
        <w:tc>
          <w:tcPr>
            <w:tcW w:w="977" w:type="dxa"/>
            <w:vMerge/>
            <w:tcBorders>
              <w:top w:val="single" w:sz="4" w:space="0" w:color="606072"/>
              <w:left w:val="single" w:sz="4" w:space="0" w:color="606072"/>
              <w:bottom w:val="single" w:sz="4" w:space="0" w:color="606072"/>
              <w:right w:val="single" w:sz="4" w:space="0" w:color="606072"/>
            </w:tcBorders>
            <w:shd w:val="clear" w:color="auto" w:fill="606072"/>
            <w:vAlign w:val="center"/>
          </w:tcPr>
          <w:p w14:paraId="4DF98B0E" w14:textId="77777777" w:rsidR="00341810" w:rsidRPr="005060E0" w:rsidRDefault="00341810" w:rsidP="0034181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p>
        </w:tc>
        <w:tc>
          <w:tcPr>
            <w:tcW w:w="616"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79587285" w14:textId="77777777" w:rsidR="00341810" w:rsidRPr="005060E0" w:rsidRDefault="00341810" w:rsidP="0034181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2016</w:t>
            </w:r>
          </w:p>
        </w:tc>
        <w:tc>
          <w:tcPr>
            <w:tcW w:w="631"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512E61BC" w14:textId="77777777" w:rsidR="00341810" w:rsidRPr="005060E0" w:rsidRDefault="00341810" w:rsidP="0034181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2021</w:t>
            </w:r>
          </w:p>
        </w:tc>
        <w:tc>
          <w:tcPr>
            <w:tcW w:w="631"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7B68483A" w14:textId="77777777" w:rsidR="00341810" w:rsidRPr="005060E0" w:rsidRDefault="00341810" w:rsidP="0034181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2031</w:t>
            </w:r>
          </w:p>
        </w:tc>
        <w:tc>
          <w:tcPr>
            <w:tcW w:w="632"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6AA7DE97" w14:textId="77777777" w:rsidR="00341810" w:rsidRPr="005060E0" w:rsidRDefault="00341810" w:rsidP="0034181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2040</w:t>
            </w:r>
          </w:p>
        </w:tc>
        <w:tc>
          <w:tcPr>
            <w:tcW w:w="633" w:type="dxa"/>
            <w:gridSpan w:val="2"/>
            <w:tcBorders>
              <w:top w:val="single" w:sz="4" w:space="0" w:color="606072"/>
              <w:left w:val="single" w:sz="4" w:space="0" w:color="606072"/>
              <w:bottom w:val="single" w:sz="4" w:space="0" w:color="606072"/>
              <w:right w:val="single" w:sz="4" w:space="0" w:color="606072"/>
            </w:tcBorders>
            <w:shd w:val="clear" w:color="auto" w:fill="606072"/>
            <w:vAlign w:val="center"/>
          </w:tcPr>
          <w:p w14:paraId="45133B12" w14:textId="77777777" w:rsidR="00341810" w:rsidRPr="005060E0" w:rsidRDefault="00341810" w:rsidP="0034181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2016</w:t>
            </w:r>
          </w:p>
        </w:tc>
        <w:tc>
          <w:tcPr>
            <w:tcW w:w="632"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0DCDF0D1" w14:textId="77777777" w:rsidR="00341810" w:rsidRPr="005060E0" w:rsidRDefault="00341810" w:rsidP="0034181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2021</w:t>
            </w:r>
          </w:p>
        </w:tc>
        <w:tc>
          <w:tcPr>
            <w:tcW w:w="632"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309C3C25" w14:textId="77777777" w:rsidR="00341810" w:rsidRPr="005060E0" w:rsidRDefault="00341810" w:rsidP="0034181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2031</w:t>
            </w:r>
          </w:p>
        </w:tc>
        <w:tc>
          <w:tcPr>
            <w:tcW w:w="633"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74BC3673" w14:textId="77777777" w:rsidR="00341810" w:rsidRPr="005060E0" w:rsidRDefault="00341810" w:rsidP="0034181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2040</w:t>
            </w:r>
          </w:p>
        </w:tc>
        <w:tc>
          <w:tcPr>
            <w:tcW w:w="632" w:type="dxa"/>
            <w:gridSpan w:val="2"/>
            <w:tcBorders>
              <w:top w:val="single" w:sz="4" w:space="0" w:color="606072"/>
              <w:left w:val="single" w:sz="4" w:space="0" w:color="606072"/>
              <w:bottom w:val="single" w:sz="4" w:space="0" w:color="606072"/>
              <w:right w:val="single" w:sz="4" w:space="0" w:color="606072"/>
            </w:tcBorders>
            <w:shd w:val="clear" w:color="auto" w:fill="606072"/>
            <w:vAlign w:val="center"/>
          </w:tcPr>
          <w:p w14:paraId="7381BFE7" w14:textId="77777777" w:rsidR="00341810" w:rsidRPr="005060E0" w:rsidRDefault="00341810" w:rsidP="0034181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sidRPr="005060E0">
              <w:rPr>
                <w:b w:val="0"/>
                <w:color w:val="FFFFFF" w:themeColor="background1"/>
                <w:sz w:val="15"/>
                <w:szCs w:val="15"/>
              </w:rPr>
              <w:t>2016</w:t>
            </w:r>
          </w:p>
        </w:tc>
        <w:tc>
          <w:tcPr>
            <w:tcW w:w="632"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53ABF0EF" w14:textId="77777777" w:rsidR="00341810" w:rsidRPr="005060E0" w:rsidRDefault="00341810" w:rsidP="0034181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sidRPr="005060E0">
              <w:rPr>
                <w:b w:val="0"/>
                <w:color w:val="FFFFFF" w:themeColor="background1"/>
                <w:sz w:val="15"/>
                <w:szCs w:val="15"/>
              </w:rPr>
              <w:t>2021</w:t>
            </w:r>
          </w:p>
        </w:tc>
        <w:tc>
          <w:tcPr>
            <w:tcW w:w="633"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0646EFF2" w14:textId="77777777" w:rsidR="00341810" w:rsidRPr="005060E0" w:rsidRDefault="00341810" w:rsidP="0034181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sidRPr="005060E0">
              <w:rPr>
                <w:b w:val="0"/>
                <w:color w:val="FFFFFF" w:themeColor="background1"/>
                <w:sz w:val="15"/>
                <w:szCs w:val="15"/>
              </w:rPr>
              <w:t>2031</w:t>
            </w:r>
          </w:p>
        </w:tc>
        <w:tc>
          <w:tcPr>
            <w:tcW w:w="632"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6A6FD8B3" w14:textId="77777777" w:rsidR="00341810" w:rsidRPr="005060E0" w:rsidRDefault="00341810" w:rsidP="0034181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2040</w:t>
            </w:r>
          </w:p>
        </w:tc>
      </w:tr>
      <w:tr w:rsidR="00D23D58" w:rsidRPr="005060E0" w14:paraId="218225E0" w14:textId="77777777" w:rsidTr="00D23D58">
        <w:trPr>
          <w:gridAfter w:val="1"/>
          <w:cnfStyle w:val="000000100000" w:firstRow="0" w:lastRow="0" w:firstColumn="0" w:lastColumn="0" w:oddVBand="0" w:evenVBand="0" w:oddHBand="1" w:evenHBand="0" w:firstRowFirstColumn="0" w:firstRowLastColumn="0" w:lastRowFirstColumn="0" w:lastRowLastColumn="0"/>
          <w:wAfter w:w="6"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9686" w:type="dxa"/>
            <w:gridSpan w:val="16"/>
            <w:tcBorders>
              <w:top w:val="single" w:sz="4" w:space="0" w:color="606072"/>
              <w:left w:val="single" w:sz="4" w:space="0" w:color="606072"/>
              <w:bottom w:val="single" w:sz="4" w:space="0" w:color="606072"/>
              <w:right w:val="single" w:sz="4" w:space="0" w:color="606072"/>
            </w:tcBorders>
            <w:shd w:val="clear" w:color="auto" w:fill="BFBFBF" w:themeFill="background1" w:themeFillShade="BF"/>
            <w:vAlign w:val="center"/>
          </w:tcPr>
          <w:p w14:paraId="05DD9AA3" w14:textId="62310B48" w:rsidR="00D23D58" w:rsidRPr="005060E0" w:rsidRDefault="00D23D58" w:rsidP="00D23D58">
            <w:pPr>
              <w:pStyle w:val="BodyText"/>
              <w:spacing w:after="0" w:line="240" w:lineRule="auto"/>
              <w:rPr>
                <w:sz w:val="15"/>
                <w:szCs w:val="15"/>
              </w:rPr>
            </w:pPr>
            <w:r w:rsidRPr="005060E0">
              <w:rPr>
                <w:rFonts w:cs="Arial"/>
                <w:b w:val="0"/>
                <w:sz w:val="15"/>
                <w:szCs w:val="15"/>
              </w:rPr>
              <w:t>Total number of unique exceedance days</w:t>
            </w:r>
          </w:p>
        </w:tc>
      </w:tr>
      <w:tr w:rsidR="007F77AB" w:rsidRPr="005060E0" w14:paraId="33FDD9EE" w14:textId="77777777" w:rsidTr="00D23D58">
        <w:trPr>
          <w:gridAfter w:val="1"/>
          <w:wAfter w:w="6"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1140" w:type="dxa"/>
            <w:vMerge w:val="restart"/>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2B2B4A82" w14:textId="77777777" w:rsidR="00341810" w:rsidRPr="005060E0" w:rsidRDefault="00341810" w:rsidP="00341810">
            <w:pPr>
              <w:pStyle w:val="BodyText"/>
              <w:spacing w:after="0" w:line="240" w:lineRule="auto"/>
              <w:jc w:val="center"/>
              <w:rPr>
                <w:b w:val="0"/>
                <w:sz w:val="15"/>
                <w:szCs w:val="15"/>
              </w:rPr>
            </w:pPr>
            <w:r w:rsidRPr="005060E0">
              <w:rPr>
                <w:b w:val="0"/>
                <w:sz w:val="15"/>
                <w:szCs w:val="15"/>
              </w:rPr>
              <w:t>1-hour</w:t>
            </w:r>
          </w:p>
        </w:tc>
        <w:tc>
          <w:tcPr>
            <w:tcW w:w="977" w:type="dxa"/>
            <w:tcBorders>
              <w:top w:val="single" w:sz="4" w:space="0" w:color="606072"/>
              <w:left w:val="dotted" w:sz="4" w:space="0" w:color="606372" w:themeColor="text2"/>
              <w:bottom w:val="dotted" w:sz="4" w:space="0" w:color="606072"/>
              <w:right w:val="single" w:sz="4" w:space="0" w:color="606072"/>
            </w:tcBorders>
            <w:shd w:val="clear" w:color="auto" w:fill="DEDFE3" w:themeFill="text2" w:themeFillTint="33"/>
            <w:vAlign w:val="center"/>
          </w:tcPr>
          <w:p w14:paraId="36D62648" w14:textId="77777777" w:rsidR="00341810" w:rsidRPr="005060E0" w:rsidRDefault="00341810"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75</w:t>
            </w:r>
          </w:p>
        </w:tc>
        <w:tc>
          <w:tcPr>
            <w:tcW w:w="616" w:type="dxa"/>
            <w:tcBorders>
              <w:top w:val="single" w:sz="4" w:space="0" w:color="606072"/>
              <w:left w:val="single" w:sz="4" w:space="0" w:color="606072"/>
              <w:bottom w:val="dotted" w:sz="4" w:space="0" w:color="606072"/>
              <w:right w:val="dotted" w:sz="4" w:space="0" w:color="606072"/>
            </w:tcBorders>
            <w:shd w:val="clear" w:color="auto" w:fill="auto"/>
            <w:vAlign w:val="center"/>
          </w:tcPr>
          <w:p w14:paraId="508775D1" w14:textId="382BC37C"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1" w:type="dxa"/>
            <w:tcBorders>
              <w:top w:val="single" w:sz="4" w:space="0" w:color="606072"/>
              <w:left w:val="dotted" w:sz="4" w:space="0" w:color="606072"/>
              <w:bottom w:val="dotted" w:sz="4" w:space="0" w:color="606072"/>
              <w:right w:val="dotted" w:sz="4" w:space="0" w:color="606072"/>
            </w:tcBorders>
            <w:shd w:val="clear" w:color="auto" w:fill="auto"/>
            <w:vAlign w:val="center"/>
          </w:tcPr>
          <w:p w14:paraId="77BFAEB6" w14:textId="02A630A8"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1" w:type="dxa"/>
            <w:tcBorders>
              <w:top w:val="single" w:sz="4" w:space="0" w:color="606072"/>
              <w:left w:val="dotted" w:sz="4" w:space="0" w:color="606072"/>
              <w:bottom w:val="dotted" w:sz="4" w:space="0" w:color="606072"/>
              <w:right w:val="dotted" w:sz="4" w:space="0" w:color="606072"/>
            </w:tcBorders>
            <w:shd w:val="clear" w:color="auto" w:fill="auto"/>
            <w:vAlign w:val="center"/>
          </w:tcPr>
          <w:p w14:paraId="0F9E6984" w14:textId="2A0376F2"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single" w:sz="4" w:space="0" w:color="606072"/>
              <w:left w:val="dotted" w:sz="4" w:space="0" w:color="606072"/>
              <w:bottom w:val="dotted" w:sz="4" w:space="0" w:color="606072"/>
              <w:right w:val="single" w:sz="4" w:space="0" w:color="606072"/>
            </w:tcBorders>
            <w:shd w:val="clear" w:color="auto" w:fill="auto"/>
            <w:vAlign w:val="center"/>
          </w:tcPr>
          <w:p w14:paraId="4B42A7EC" w14:textId="59368307"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3" w:type="dxa"/>
            <w:gridSpan w:val="2"/>
            <w:tcBorders>
              <w:top w:val="single" w:sz="4" w:space="0" w:color="606072"/>
              <w:left w:val="single" w:sz="4" w:space="0" w:color="606072"/>
              <w:bottom w:val="dotted" w:sz="4" w:space="0" w:color="606072"/>
              <w:right w:val="dotted" w:sz="4" w:space="0" w:color="606072"/>
            </w:tcBorders>
            <w:shd w:val="clear" w:color="auto" w:fill="auto"/>
            <w:vAlign w:val="center"/>
          </w:tcPr>
          <w:p w14:paraId="5730E0B3" w14:textId="097C0B7F"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09291650" w14:textId="695DCEC5"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0849A207" w14:textId="75E0F434"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3" w:type="dxa"/>
            <w:tcBorders>
              <w:top w:val="single" w:sz="4" w:space="0" w:color="606072"/>
              <w:left w:val="dotted" w:sz="4" w:space="0" w:color="606072"/>
              <w:bottom w:val="dotted" w:sz="4" w:space="0" w:color="606072"/>
              <w:right w:val="single" w:sz="4" w:space="0" w:color="606072"/>
            </w:tcBorders>
            <w:shd w:val="clear" w:color="auto" w:fill="auto"/>
            <w:vAlign w:val="center"/>
          </w:tcPr>
          <w:p w14:paraId="0BD9AB68" w14:textId="332818A0"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gridSpan w:val="2"/>
            <w:tcBorders>
              <w:top w:val="single" w:sz="4" w:space="0" w:color="606072"/>
              <w:left w:val="single" w:sz="4" w:space="0" w:color="606072"/>
              <w:bottom w:val="dotted" w:sz="4" w:space="0" w:color="606072"/>
              <w:right w:val="dotted" w:sz="4" w:space="0" w:color="606072"/>
            </w:tcBorders>
            <w:shd w:val="clear" w:color="auto" w:fill="auto"/>
            <w:vAlign w:val="center"/>
          </w:tcPr>
          <w:p w14:paraId="3891657C" w14:textId="1987C662"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3CEF226F" w14:textId="0707633E"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3" w:type="dxa"/>
            <w:tcBorders>
              <w:top w:val="single" w:sz="4" w:space="0" w:color="606072"/>
              <w:left w:val="dotted" w:sz="4" w:space="0" w:color="606072"/>
              <w:bottom w:val="dotted" w:sz="4" w:space="0" w:color="606072"/>
              <w:right w:val="dotted" w:sz="4" w:space="0" w:color="606072"/>
            </w:tcBorders>
            <w:shd w:val="clear" w:color="auto" w:fill="auto"/>
            <w:vAlign w:val="center"/>
          </w:tcPr>
          <w:p w14:paraId="3D08D4BD" w14:textId="0DE398AE"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single" w:sz="4" w:space="0" w:color="606072"/>
              <w:left w:val="dotted" w:sz="4" w:space="0" w:color="606072"/>
              <w:bottom w:val="dotted" w:sz="4" w:space="0" w:color="606072"/>
              <w:right w:val="single" w:sz="4" w:space="0" w:color="606072"/>
            </w:tcBorders>
            <w:shd w:val="clear" w:color="auto" w:fill="auto"/>
            <w:vAlign w:val="center"/>
          </w:tcPr>
          <w:p w14:paraId="16D63D64" w14:textId="12D2FD5C"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r>
      <w:tr w:rsidR="007F77AB" w:rsidRPr="005060E0" w14:paraId="080F61A9" w14:textId="77777777" w:rsidTr="00D23D58">
        <w:trPr>
          <w:gridAfter w:val="1"/>
          <w:cnfStyle w:val="000000100000" w:firstRow="0" w:lastRow="0" w:firstColumn="0" w:lastColumn="0" w:oddVBand="0" w:evenVBand="0" w:oddHBand="1" w:evenHBand="0" w:firstRowFirstColumn="0" w:firstRowLastColumn="0" w:lastRowFirstColumn="0" w:lastRowLastColumn="0"/>
          <w:wAfter w:w="6"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1140"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2C9E4692" w14:textId="77777777" w:rsidR="00341810" w:rsidRPr="005060E0" w:rsidRDefault="00341810" w:rsidP="00341810">
            <w:pPr>
              <w:pStyle w:val="BodyText"/>
              <w:spacing w:after="0" w:line="240" w:lineRule="auto"/>
              <w:jc w:val="center"/>
              <w:rPr>
                <w:b w:val="0"/>
                <w:sz w:val="15"/>
                <w:szCs w:val="15"/>
              </w:rPr>
            </w:pPr>
          </w:p>
        </w:tc>
        <w:tc>
          <w:tcPr>
            <w:tcW w:w="977" w:type="dxa"/>
            <w:tcBorders>
              <w:top w:val="dotted" w:sz="4" w:space="0" w:color="606072"/>
              <w:left w:val="dotted" w:sz="4" w:space="0" w:color="606372" w:themeColor="text2"/>
              <w:bottom w:val="dotted" w:sz="4" w:space="0" w:color="606072"/>
              <w:right w:val="single" w:sz="4" w:space="0" w:color="606072"/>
            </w:tcBorders>
            <w:shd w:val="clear" w:color="auto" w:fill="DEDFE3" w:themeFill="text2" w:themeFillTint="33"/>
            <w:vAlign w:val="center"/>
          </w:tcPr>
          <w:p w14:paraId="4F0610FA" w14:textId="77777777" w:rsidR="00341810" w:rsidRPr="005060E0" w:rsidRDefault="00341810"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100</w:t>
            </w:r>
          </w:p>
        </w:tc>
        <w:tc>
          <w:tcPr>
            <w:tcW w:w="616" w:type="dxa"/>
            <w:tcBorders>
              <w:top w:val="dotted" w:sz="4" w:space="0" w:color="606072"/>
              <w:left w:val="single" w:sz="4" w:space="0" w:color="606072"/>
              <w:bottom w:val="dotted" w:sz="4" w:space="0" w:color="606072"/>
              <w:right w:val="dotted" w:sz="4" w:space="0" w:color="606072"/>
            </w:tcBorders>
            <w:shd w:val="clear" w:color="auto" w:fill="auto"/>
            <w:vAlign w:val="center"/>
          </w:tcPr>
          <w:p w14:paraId="36C61AAA" w14:textId="32B62E12"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68F9CF69" w14:textId="60E85C27"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5296DF50" w14:textId="7DA5C423"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dotted" w:sz="4" w:space="0" w:color="606072"/>
              <w:right w:val="single" w:sz="4" w:space="0" w:color="606072"/>
            </w:tcBorders>
            <w:shd w:val="clear" w:color="auto" w:fill="auto"/>
            <w:vAlign w:val="center"/>
          </w:tcPr>
          <w:p w14:paraId="0101D6AF" w14:textId="6992021E"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3" w:type="dxa"/>
            <w:gridSpan w:val="2"/>
            <w:tcBorders>
              <w:top w:val="dotted" w:sz="4" w:space="0" w:color="606072"/>
              <w:left w:val="single" w:sz="4" w:space="0" w:color="606072"/>
              <w:bottom w:val="dotted" w:sz="4" w:space="0" w:color="606072"/>
              <w:right w:val="dotted" w:sz="4" w:space="0" w:color="606072"/>
            </w:tcBorders>
            <w:shd w:val="clear" w:color="auto" w:fill="auto"/>
            <w:vAlign w:val="center"/>
          </w:tcPr>
          <w:p w14:paraId="3E95AA27" w14:textId="34442490"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0EAD64F3" w14:textId="42E972C9"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2D0687DC" w14:textId="4AF484C2"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3" w:type="dxa"/>
            <w:tcBorders>
              <w:top w:val="dotted" w:sz="4" w:space="0" w:color="606072"/>
              <w:left w:val="dotted" w:sz="4" w:space="0" w:color="606072"/>
              <w:bottom w:val="dotted" w:sz="4" w:space="0" w:color="606072"/>
              <w:right w:val="single" w:sz="4" w:space="0" w:color="606072"/>
            </w:tcBorders>
            <w:shd w:val="clear" w:color="auto" w:fill="auto"/>
            <w:vAlign w:val="center"/>
          </w:tcPr>
          <w:p w14:paraId="6E96C4A2" w14:textId="0D893813"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gridSpan w:val="2"/>
            <w:tcBorders>
              <w:top w:val="dotted" w:sz="4" w:space="0" w:color="606072"/>
              <w:left w:val="single" w:sz="4" w:space="0" w:color="606072"/>
              <w:bottom w:val="dotted" w:sz="4" w:space="0" w:color="606072"/>
              <w:right w:val="dotted" w:sz="4" w:space="0" w:color="606072"/>
            </w:tcBorders>
            <w:shd w:val="clear" w:color="auto" w:fill="auto"/>
            <w:vAlign w:val="center"/>
          </w:tcPr>
          <w:p w14:paraId="29026028" w14:textId="7841B084"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5B2FA82F" w14:textId="0CB61926"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3" w:type="dxa"/>
            <w:tcBorders>
              <w:top w:val="dotted" w:sz="4" w:space="0" w:color="606072"/>
              <w:left w:val="dotted" w:sz="4" w:space="0" w:color="606072"/>
              <w:bottom w:val="dotted" w:sz="4" w:space="0" w:color="606072"/>
              <w:right w:val="dotted" w:sz="4" w:space="0" w:color="606072"/>
            </w:tcBorders>
            <w:shd w:val="clear" w:color="auto" w:fill="auto"/>
            <w:vAlign w:val="center"/>
          </w:tcPr>
          <w:p w14:paraId="4E54021E" w14:textId="3E8C09D2"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dotted" w:sz="4" w:space="0" w:color="606072"/>
              <w:right w:val="single" w:sz="4" w:space="0" w:color="606072"/>
            </w:tcBorders>
            <w:shd w:val="clear" w:color="auto" w:fill="auto"/>
            <w:vAlign w:val="center"/>
          </w:tcPr>
          <w:p w14:paraId="07E21A16" w14:textId="41F8954B"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r>
      <w:tr w:rsidR="007F77AB" w:rsidRPr="005060E0" w14:paraId="57819469" w14:textId="77777777" w:rsidTr="00D23D58">
        <w:trPr>
          <w:gridAfter w:val="1"/>
          <w:wAfter w:w="6"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1140"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5122558D" w14:textId="77777777" w:rsidR="00341810" w:rsidRPr="005060E0" w:rsidRDefault="00341810" w:rsidP="00341810">
            <w:pPr>
              <w:pStyle w:val="BodyText"/>
              <w:spacing w:after="0" w:line="240" w:lineRule="auto"/>
              <w:jc w:val="center"/>
              <w:rPr>
                <w:b w:val="0"/>
                <w:sz w:val="15"/>
                <w:szCs w:val="15"/>
              </w:rPr>
            </w:pPr>
          </w:p>
        </w:tc>
        <w:tc>
          <w:tcPr>
            <w:tcW w:w="977" w:type="dxa"/>
            <w:tcBorders>
              <w:top w:val="dotted" w:sz="4" w:space="0" w:color="606072"/>
              <w:left w:val="dotted" w:sz="4" w:space="0" w:color="606372" w:themeColor="text2"/>
              <w:bottom w:val="dotted" w:sz="4" w:space="0" w:color="606072"/>
              <w:right w:val="single" w:sz="4" w:space="0" w:color="606072"/>
            </w:tcBorders>
            <w:shd w:val="clear" w:color="auto" w:fill="DEDFE3" w:themeFill="text2" w:themeFillTint="33"/>
            <w:vAlign w:val="center"/>
          </w:tcPr>
          <w:p w14:paraId="2D38F52A" w14:textId="77777777" w:rsidR="00341810" w:rsidRPr="005060E0" w:rsidRDefault="00341810"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150</w:t>
            </w:r>
          </w:p>
        </w:tc>
        <w:tc>
          <w:tcPr>
            <w:tcW w:w="616" w:type="dxa"/>
            <w:tcBorders>
              <w:top w:val="dotted" w:sz="4" w:space="0" w:color="606072"/>
              <w:left w:val="single" w:sz="4" w:space="0" w:color="606072"/>
              <w:bottom w:val="dotted" w:sz="4" w:space="0" w:color="606072"/>
              <w:right w:val="dotted" w:sz="4" w:space="0" w:color="606072"/>
            </w:tcBorders>
            <w:shd w:val="clear" w:color="auto" w:fill="auto"/>
            <w:vAlign w:val="center"/>
          </w:tcPr>
          <w:p w14:paraId="7D221828" w14:textId="022F23C4"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2005B6D0" w14:textId="573A3DCD"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1642FBD8" w14:textId="711C5511"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dotted" w:sz="4" w:space="0" w:color="606072"/>
              <w:right w:val="single" w:sz="4" w:space="0" w:color="606072"/>
            </w:tcBorders>
            <w:shd w:val="clear" w:color="auto" w:fill="auto"/>
            <w:vAlign w:val="center"/>
          </w:tcPr>
          <w:p w14:paraId="22C43C60" w14:textId="625841B1"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3" w:type="dxa"/>
            <w:gridSpan w:val="2"/>
            <w:tcBorders>
              <w:top w:val="dotted" w:sz="4" w:space="0" w:color="606072"/>
              <w:left w:val="single" w:sz="4" w:space="0" w:color="606072"/>
              <w:bottom w:val="dotted" w:sz="4" w:space="0" w:color="606072"/>
              <w:right w:val="dotted" w:sz="4" w:space="0" w:color="606072"/>
            </w:tcBorders>
            <w:shd w:val="clear" w:color="auto" w:fill="auto"/>
            <w:vAlign w:val="center"/>
          </w:tcPr>
          <w:p w14:paraId="5D4CFD79" w14:textId="321B5AE5"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6DA4F98C" w14:textId="26E676F7"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6D0673F5" w14:textId="19758BE0"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3" w:type="dxa"/>
            <w:tcBorders>
              <w:top w:val="dotted" w:sz="4" w:space="0" w:color="606072"/>
              <w:left w:val="dotted" w:sz="4" w:space="0" w:color="606072"/>
              <w:bottom w:val="dotted" w:sz="4" w:space="0" w:color="606072"/>
              <w:right w:val="single" w:sz="4" w:space="0" w:color="606072"/>
            </w:tcBorders>
            <w:shd w:val="clear" w:color="auto" w:fill="auto"/>
            <w:vAlign w:val="center"/>
          </w:tcPr>
          <w:p w14:paraId="2B9B60D6" w14:textId="5308D359"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gridSpan w:val="2"/>
            <w:tcBorders>
              <w:top w:val="dotted" w:sz="4" w:space="0" w:color="606072"/>
              <w:left w:val="single" w:sz="4" w:space="0" w:color="606072"/>
              <w:bottom w:val="dotted" w:sz="4" w:space="0" w:color="606072"/>
              <w:right w:val="dotted" w:sz="4" w:space="0" w:color="606072"/>
            </w:tcBorders>
            <w:shd w:val="clear" w:color="auto" w:fill="auto"/>
            <w:vAlign w:val="center"/>
          </w:tcPr>
          <w:p w14:paraId="02DEBBB3" w14:textId="7CA19FAA"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35D38038" w14:textId="7DF16986"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3" w:type="dxa"/>
            <w:tcBorders>
              <w:top w:val="dotted" w:sz="4" w:space="0" w:color="606072"/>
              <w:left w:val="dotted" w:sz="4" w:space="0" w:color="606072"/>
              <w:bottom w:val="dotted" w:sz="4" w:space="0" w:color="606072"/>
              <w:right w:val="dotted" w:sz="4" w:space="0" w:color="606072"/>
            </w:tcBorders>
            <w:shd w:val="clear" w:color="auto" w:fill="auto"/>
            <w:vAlign w:val="center"/>
          </w:tcPr>
          <w:p w14:paraId="0DEAB50C" w14:textId="50B4A205"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dotted" w:sz="4" w:space="0" w:color="606072"/>
              <w:right w:val="single" w:sz="4" w:space="0" w:color="606072"/>
            </w:tcBorders>
            <w:shd w:val="clear" w:color="auto" w:fill="auto"/>
            <w:vAlign w:val="center"/>
          </w:tcPr>
          <w:p w14:paraId="00304988" w14:textId="0E39432D"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r>
      <w:tr w:rsidR="007F77AB" w:rsidRPr="005060E0" w14:paraId="1DB64661" w14:textId="77777777" w:rsidTr="00D41B95">
        <w:trPr>
          <w:gridAfter w:val="1"/>
          <w:cnfStyle w:val="000000100000" w:firstRow="0" w:lastRow="0" w:firstColumn="0" w:lastColumn="0" w:oddVBand="0" w:evenVBand="0" w:oddHBand="1" w:evenHBand="0" w:firstRowFirstColumn="0" w:firstRowLastColumn="0" w:lastRowFirstColumn="0" w:lastRowLastColumn="0"/>
          <w:wAfter w:w="6"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1140"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21276E38" w14:textId="77777777" w:rsidR="00341810" w:rsidRPr="005060E0" w:rsidRDefault="00341810" w:rsidP="00341810">
            <w:pPr>
              <w:pStyle w:val="BodyText"/>
              <w:spacing w:after="0" w:line="240" w:lineRule="auto"/>
              <w:jc w:val="center"/>
              <w:rPr>
                <w:b w:val="0"/>
                <w:sz w:val="15"/>
                <w:szCs w:val="15"/>
              </w:rPr>
            </w:pPr>
          </w:p>
        </w:tc>
        <w:tc>
          <w:tcPr>
            <w:tcW w:w="977" w:type="dxa"/>
            <w:tcBorders>
              <w:top w:val="dotted" w:sz="4" w:space="0" w:color="606072"/>
              <w:left w:val="dotted" w:sz="4" w:space="0" w:color="606372" w:themeColor="text2"/>
              <w:bottom w:val="single" w:sz="4" w:space="0" w:color="606072"/>
              <w:right w:val="single" w:sz="4" w:space="0" w:color="606072"/>
            </w:tcBorders>
            <w:shd w:val="clear" w:color="auto" w:fill="D5E5FF"/>
            <w:vAlign w:val="center"/>
          </w:tcPr>
          <w:p w14:paraId="00BC15B1" w14:textId="77777777" w:rsidR="00341810" w:rsidRPr="005060E0" w:rsidRDefault="00341810"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200</w:t>
            </w:r>
          </w:p>
        </w:tc>
        <w:tc>
          <w:tcPr>
            <w:tcW w:w="616" w:type="dxa"/>
            <w:tcBorders>
              <w:top w:val="dotted" w:sz="4" w:space="0" w:color="606072"/>
              <w:left w:val="single" w:sz="4" w:space="0" w:color="606072"/>
              <w:bottom w:val="single" w:sz="4" w:space="0" w:color="606072"/>
              <w:right w:val="dotted" w:sz="4" w:space="0" w:color="606072"/>
            </w:tcBorders>
            <w:shd w:val="clear" w:color="auto" w:fill="D5E5FF"/>
            <w:vAlign w:val="center"/>
          </w:tcPr>
          <w:p w14:paraId="4A98D562" w14:textId="44326405"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1"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643EDF47" w14:textId="4FE62F8E"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1"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5B088174" w14:textId="461BDCA8"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single" w:sz="4" w:space="0" w:color="606072"/>
              <w:right w:val="single" w:sz="4" w:space="0" w:color="606072"/>
            </w:tcBorders>
            <w:shd w:val="clear" w:color="auto" w:fill="D5E5FF"/>
            <w:vAlign w:val="center"/>
          </w:tcPr>
          <w:p w14:paraId="705B3719" w14:textId="5D50D0A4"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3" w:type="dxa"/>
            <w:gridSpan w:val="2"/>
            <w:tcBorders>
              <w:top w:val="dotted" w:sz="4" w:space="0" w:color="606072"/>
              <w:left w:val="single" w:sz="4" w:space="0" w:color="606072"/>
              <w:bottom w:val="single" w:sz="4" w:space="0" w:color="606072"/>
              <w:right w:val="dotted" w:sz="4" w:space="0" w:color="606072"/>
            </w:tcBorders>
            <w:shd w:val="clear" w:color="auto" w:fill="D5E5FF"/>
            <w:vAlign w:val="center"/>
          </w:tcPr>
          <w:p w14:paraId="765DB2DD" w14:textId="25651258"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03A3C100" w14:textId="37E4800C"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3C2FC217" w14:textId="2CEB52A1"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3" w:type="dxa"/>
            <w:tcBorders>
              <w:top w:val="dotted" w:sz="4" w:space="0" w:color="606072"/>
              <w:left w:val="dotted" w:sz="4" w:space="0" w:color="606072"/>
              <w:bottom w:val="single" w:sz="4" w:space="0" w:color="606072"/>
              <w:right w:val="single" w:sz="4" w:space="0" w:color="606072"/>
            </w:tcBorders>
            <w:shd w:val="clear" w:color="auto" w:fill="D5E5FF"/>
            <w:vAlign w:val="center"/>
          </w:tcPr>
          <w:p w14:paraId="0F35C2D3" w14:textId="205F59CE"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gridSpan w:val="2"/>
            <w:tcBorders>
              <w:top w:val="dotted" w:sz="4" w:space="0" w:color="606072"/>
              <w:left w:val="single" w:sz="4" w:space="0" w:color="606072"/>
              <w:bottom w:val="single" w:sz="4" w:space="0" w:color="606072"/>
              <w:right w:val="dotted" w:sz="4" w:space="0" w:color="606072"/>
            </w:tcBorders>
            <w:shd w:val="clear" w:color="auto" w:fill="D5E5FF"/>
            <w:vAlign w:val="center"/>
          </w:tcPr>
          <w:p w14:paraId="1C7FE3A8" w14:textId="2B8BF2CF"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714D770D" w14:textId="0BA68D33"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3"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43DD1174" w14:textId="456184E8"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single" w:sz="4" w:space="0" w:color="606072"/>
              <w:right w:val="single" w:sz="4" w:space="0" w:color="606072"/>
            </w:tcBorders>
            <w:shd w:val="clear" w:color="auto" w:fill="D5E5FF"/>
            <w:vAlign w:val="center"/>
          </w:tcPr>
          <w:p w14:paraId="12F35FFE" w14:textId="002728D4"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r>
      <w:tr w:rsidR="00D23D58" w:rsidRPr="005060E0" w14:paraId="785796E2" w14:textId="77777777" w:rsidTr="00D23D58">
        <w:trPr>
          <w:gridAfter w:val="1"/>
          <w:wAfter w:w="6"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9686" w:type="dxa"/>
            <w:gridSpan w:val="16"/>
            <w:tcBorders>
              <w:top w:val="single" w:sz="4" w:space="0" w:color="606072"/>
              <w:left w:val="single" w:sz="4" w:space="0" w:color="606072"/>
              <w:bottom w:val="single" w:sz="4" w:space="0" w:color="606072"/>
              <w:right w:val="single" w:sz="4" w:space="0" w:color="606072"/>
            </w:tcBorders>
            <w:shd w:val="clear" w:color="auto" w:fill="BFBFBF" w:themeFill="background1" w:themeFillShade="BF"/>
            <w:vAlign w:val="center"/>
          </w:tcPr>
          <w:p w14:paraId="17497699" w14:textId="3B34C86F" w:rsidR="00D23D58" w:rsidRPr="005060E0" w:rsidRDefault="00D23D58" w:rsidP="00D23D58">
            <w:pPr>
              <w:pStyle w:val="BodyText"/>
              <w:spacing w:after="0" w:line="240" w:lineRule="auto"/>
              <w:rPr>
                <w:sz w:val="15"/>
                <w:szCs w:val="15"/>
              </w:rPr>
            </w:pPr>
            <w:r w:rsidRPr="005060E0">
              <w:rPr>
                <w:rFonts w:cs="Arial"/>
                <w:b w:val="0"/>
                <w:sz w:val="15"/>
                <w:szCs w:val="15"/>
              </w:rPr>
              <w:t>Total number of unique exceedance days</w:t>
            </w:r>
          </w:p>
        </w:tc>
      </w:tr>
      <w:tr w:rsidR="007F77AB" w:rsidRPr="005060E0" w14:paraId="3C44604C" w14:textId="77777777" w:rsidTr="00D23D58">
        <w:trPr>
          <w:gridAfter w:val="1"/>
          <w:cnfStyle w:val="000000100000" w:firstRow="0" w:lastRow="0" w:firstColumn="0" w:lastColumn="0" w:oddVBand="0" w:evenVBand="0" w:oddHBand="1" w:evenHBand="0" w:firstRowFirstColumn="0" w:firstRowLastColumn="0" w:lastRowFirstColumn="0" w:lastRowLastColumn="0"/>
          <w:wAfter w:w="6"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1140" w:type="dxa"/>
            <w:vMerge w:val="restart"/>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74B6A611" w14:textId="77777777" w:rsidR="00341810" w:rsidRPr="005060E0" w:rsidRDefault="00341810" w:rsidP="00341810">
            <w:pPr>
              <w:pStyle w:val="BodyText"/>
              <w:spacing w:after="0" w:line="240" w:lineRule="auto"/>
              <w:jc w:val="center"/>
              <w:rPr>
                <w:b w:val="0"/>
                <w:sz w:val="15"/>
                <w:szCs w:val="15"/>
              </w:rPr>
            </w:pPr>
            <w:r w:rsidRPr="005060E0">
              <w:rPr>
                <w:b w:val="0"/>
                <w:sz w:val="15"/>
                <w:szCs w:val="15"/>
              </w:rPr>
              <w:t>24-hour</w:t>
            </w:r>
          </w:p>
        </w:tc>
        <w:tc>
          <w:tcPr>
            <w:tcW w:w="977" w:type="dxa"/>
            <w:tcBorders>
              <w:top w:val="single" w:sz="4" w:space="0" w:color="606072"/>
              <w:left w:val="dotted" w:sz="4" w:space="0" w:color="606372" w:themeColor="text2"/>
              <w:bottom w:val="dotted" w:sz="4" w:space="0" w:color="606072"/>
              <w:right w:val="single" w:sz="4" w:space="0" w:color="606072"/>
            </w:tcBorders>
            <w:shd w:val="clear" w:color="auto" w:fill="DEDFE3" w:themeFill="text2" w:themeFillTint="33"/>
            <w:vAlign w:val="center"/>
          </w:tcPr>
          <w:p w14:paraId="1E0DC82C" w14:textId="77777777" w:rsidR="00341810" w:rsidRPr="005060E0" w:rsidRDefault="00341810"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7</w:t>
            </w:r>
          </w:p>
        </w:tc>
        <w:tc>
          <w:tcPr>
            <w:tcW w:w="616" w:type="dxa"/>
            <w:tcBorders>
              <w:top w:val="single" w:sz="4" w:space="0" w:color="606072"/>
              <w:left w:val="single" w:sz="4" w:space="0" w:color="606072"/>
              <w:bottom w:val="dotted" w:sz="4" w:space="0" w:color="606072"/>
              <w:right w:val="dotted" w:sz="4" w:space="0" w:color="606072"/>
            </w:tcBorders>
            <w:shd w:val="clear" w:color="auto" w:fill="auto"/>
            <w:vAlign w:val="center"/>
          </w:tcPr>
          <w:p w14:paraId="11C50C57" w14:textId="70BA31D6"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1" w:type="dxa"/>
            <w:tcBorders>
              <w:top w:val="single" w:sz="4" w:space="0" w:color="606072"/>
              <w:left w:val="dotted" w:sz="4" w:space="0" w:color="606072"/>
              <w:bottom w:val="dotted" w:sz="4" w:space="0" w:color="606072"/>
              <w:right w:val="dotted" w:sz="4" w:space="0" w:color="606072"/>
            </w:tcBorders>
            <w:shd w:val="clear" w:color="auto" w:fill="auto"/>
            <w:vAlign w:val="center"/>
          </w:tcPr>
          <w:p w14:paraId="4F771C9A" w14:textId="3034D587"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1" w:type="dxa"/>
            <w:tcBorders>
              <w:top w:val="single" w:sz="4" w:space="0" w:color="606072"/>
              <w:left w:val="dotted" w:sz="4" w:space="0" w:color="606072"/>
              <w:bottom w:val="dotted" w:sz="4" w:space="0" w:color="606072"/>
              <w:right w:val="dotted" w:sz="4" w:space="0" w:color="606072"/>
            </w:tcBorders>
            <w:shd w:val="clear" w:color="auto" w:fill="auto"/>
            <w:vAlign w:val="center"/>
          </w:tcPr>
          <w:p w14:paraId="27912639" w14:textId="22EA67AB"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single" w:sz="4" w:space="0" w:color="606072"/>
              <w:left w:val="dotted" w:sz="4" w:space="0" w:color="606072"/>
              <w:bottom w:val="dotted" w:sz="4" w:space="0" w:color="606072"/>
              <w:right w:val="single" w:sz="4" w:space="0" w:color="606072"/>
            </w:tcBorders>
            <w:shd w:val="clear" w:color="auto" w:fill="auto"/>
            <w:vAlign w:val="center"/>
          </w:tcPr>
          <w:p w14:paraId="0674303A" w14:textId="797D84FE"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3" w:type="dxa"/>
            <w:gridSpan w:val="2"/>
            <w:tcBorders>
              <w:top w:val="single" w:sz="4" w:space="0" w:color="606072"/>
              <w:left w:val="single" w:sz="4" w:space="0" w:color="606072"/>
              <w:bottom w:val="dotted" w:sz="4" w:space="0" w:color="606072"/>
              <w:right w:val="dotted" w:sz="4" w:space="0" w:color="606072"/>
            </w:tcBorders>
            <w:shd w:val="clear" w:color="auto" w:fill="auto"/>
            <w:vAlign w:val="center"/>
          </w:tcPr>
          <w:p w14:paraId="326ADA8B" w14:textId="16B90A25" w:rsidR="00341810" w:rsidRPr="005060E0" w:rsidRDefault="00812125"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94</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484EC62F" w14:textId="2722C217" w:rsidR="00341810" w:rsidRPr="005060E0" w:rsidRDefault="00812125"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45</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1115E20D" w14:textId="2FD0046F" w:rsidR="00341810" w:rsidRPr="005060E0" w:rsidRDefault="00812125"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3</w:t>
            </w:r>
          </w:p>
        </w:tc>
        <w:tc>
          <w:tcPr>
            <w:tcW w:w="633" w:type="dxa"/>
            <w:tcBorders>
              <w:top w:val="single" w:sz="4" w:space="0" w:color="606072"/>
              <w:left w:val="dotted" w:sz="4" w:space="0" w:color="606072"/>
              <w:bottom w:val="dotted" w:sz="4" w:space="0" w:color="606072"/>
              <w:right w:val="single" w:sz="4" w:space="0" w:color="606072"/>
            </w:tcBorders>
            <w:shd w:val="clear" w:color="auto" w:fill="auto"/>
            <w:vAlign w:val="center"/>
          </w:tcPr>
          <w:p w14:paraId="0F8DD28F" w14:textId="19BF1D12"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gridSpan w:val="2"/>
            <w:tcBorders>
              <w:top w:val="single" w:sz="4" w:space="0" w:color="606072"/>
              <w:left w:val="single" w:sz="4" w:space="0" w:color="606072"/>
              <w:bottom w:val="dotted" w:sz="4" w:space="0" w:color="606072"/>
              <w:right w:val="dotted" w:sz="4" w:space="0" w:color="606072"/>
            </w:tcBorders>
            <w:shd w:val="clear" w:color="auto" w:fill="auto"/>
            <w:vAlign w:val="center"/>
          </w:tcPr>
          <w:p w14:paraId="4ED37684" w14:textId="05FB1F60" w:rsidR="00341810" w:rsidRPr="005060E0" w:rsidRDefault="00812125"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12</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21767322" w14:textId="2EE0B45B"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3" w:type="dxa"/>
            <w:tcBorders>
              <w:top w:val="single" w:sz="4" w:space="0" w:color="606072"/>
              <w:left w:val="dotted" w:sz="4" w:space="0" w:color="606072"/>
              <w:bottom w:val="dotted" w:sz="4" w:space="0" w:color="606072"/>
              <w:right w:val="dotted" w:sz="4" w:space="0" w:color="606072"/>
            </w:tcBorders>
            <w:shd w:val="clear" w:color="auto" w:fill="auto"/>
            <w:vAlign w:val="center"/>
          </w:tcPr>
          <w:p w14:paraId="582B9646" w14:textId="5D74382C"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single" w:sz="4" w:space="0" w:color="606072"/>
              <w:left w:val="dotted" w:sz="4" w:space="0" w:color="606072"/>
              <w:bottom w:val="dotted" w:sz="4" w:space="0" w:color="606072"/>
              <w:right w:val="single" w:sz="4" w:space="0" w:color="606072"/>
            </w:tcBorders>
            <w:shd w:val="clear" w:color="auto" w:fill="auto"/>
            <w:vAlign w:val="center"/>
          </w:tcPr>
          <w:p w14:paraId="1B30DABE" w14:textId="4983765C"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r>
      <w:tr w:rsidR="007F77AB" w:rsidRPr="005060E0" w14:paraId="7F67609E" w14:textId="77777777" w:rsidTr="00D23D58">
        <w:trPr>
          <w:gridAfter w:val="1"/>
          <w:wAfter w:w="6"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1140"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262F2312" w14:textId="77777777" w:rsidR="00341810" w:rsidRPr="005060E0" w:rsidRDefault="00341810" w:rsidP="00341810">
            <w:pPr>
              <w:pStyle w:val="BodyText"/>
              <w:spacing w:after="0" w:line="240" w:lineRule="auto"/>
              <w:jc w:val="center"/>
              <w:rPr>
                <w:b w:val="0"/>
                <w:sz w:val="15"/>
                <w:szCs w:val="15"/>
              </w:rPr>
            </w:pPr>
          </w:p>
        </w:tc>
        <w:tc>
          <w:tcPr>
            <w:tcW w:w="977" w:type="dxa"/>
            <w:tcBorders>
              <w:top w:val="dotted" w:sz="4" w:space="0" w:color="606072"/>
              <w:left w:val="dotted" w:sz="4" w:space="0" w:color="606372" w:themeColor="text2"/>
              <w:bottom w:val="dotted" w:sz="4" w:space="0" w:color="606072"/>
              <w:right w:val="single" w:sz="4" w:space="0" w:color="606072"/>
            </w:tcBorders>
            <w:shd w:val="clear" w:color="auto" w:fill="DEDFE3" w:themeFill="text2" w:themeFillTint="33"/>
            <w:vAlign w:val="center"/>
          </w:tcPr>
          <w:p w14:paraId="79612CBF" w14:textId="77777777" w:rsidR="00341810" w:rsidRPr="005060E0" w:rsidRDefault="00341810"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20</w:t>
            </w:r>
          </w:p>
        </w:tc>
        <w:tc>
          <w:tcPr>
            <w:tcW w:w="616" w:type="dxa"/>
            <w:tcBorders>
              <w:top w:val="dotted" w:sz="4" w:space="0" w:color="606072"/>
              <w:left w:val="single" w:sz="4" w:space="0" w:color="606072"/>
              <w:bottom w:val="dotted" w:sz="4" w:space="0" w:color="606072"/>
              <w:right w:val="dotted" w:sz="4" w:space="0" w:color="606072"/>
            </w:tcBorders>
            <w:shd w:val="clear" w:color="auto" w:fill="auto"/>
            <w:vAlign w:val="center"/>
          </w:tcPr>
          <w:p w14:paraId="1FFE98F8" w14:textId="376B831A"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053F260F" w14:textId="0904AA19"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62A3B742" w14:textId="3C027155"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dotted" w:sz="4" w:space="0" w:color="606072"/>
              <w:right w:val="single" w:sz="4" w:space="0" w:color="606072"/>
            </w:tcBorders>
            <w:shd w:val="clear" w:color="auto" w:fill="auto"/>
            <w:vAlign w:val="center"/>
          </w:tcPr>
          <w:p w14:paraId="3DBA4674" w14:textId="7677C4E6"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3" w:type="dxa"/>
            <w:gridSpan w:val="2"/>
            <w:tcBorders>
              <w:top w:val="dotted" w:sz="4" w:space="0" w:color="606072"/>
              <w:left w:val="single" w:sz="4" w:space="0" w:color="606072"/>
              <w:bottom w:val="dotted" w:sz="4" w:space="0" w:color="606072"/>
              <w:right w:val="dotted" w:sz="4" w:space="0" w:color="606072"/>
            </w:tcBorders>
            <w:shd w:val="clear" w:color="auto" w:fill="auto"/>
            <w:vAlign w:val="center"/>
          </w:tcPr>
          <w:p w14:paraId="2E2DA410" w14:textId="2F25ED63"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27FBBE13" w14:textId="634E4E0C"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7FB7A495" w14:textId="18C263AE"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3" w:type="dxa"/>
            <w:tcBorders>
              <w:top w:val="dotted" w:sz="4" w:space="0" w:color="606072"/>
              <w:left w:val="dotted" w:sz="4" w:space="0" w:color="606072"/>
              <w:bottom w:val="dotted" w:sz="4" w:space="0" w:color="606072"/>
              <w:right w:val="single" w:sz="4" w:space="0" w:color="606072"/>
            </w:tcBorders>
            <w:shd w:val="clear" w:color="auto" w:fill="auto"/>
            <w:vAlign w:val="center"/>
          </w:tcPr>
          <w:p w14:paraId="4331E57C" w14:textId="0E00F074"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gridSpan w:val="2"/>
            <w:tcBorders>
              <w:top w:val="dotted" w:sz="4" w:space="0" w:color="606072"/>
              <w:left w:val="single" w:sz="4" w:space="0" w:color="606072"/>
              <w:bottom w:val="dotted" w:sz="4" w:space="0" w:color="606072"/>
              <w:right w:val="dotted" w:sz="4" w:space="0" w:color="606072"/>
            </w:tcBorders>
            <w:shd w:val="clear" w:color="auto" w:fill="auto"/>
            <w:vAlign w:val="center"/>
          </w:tcPr>
          <w:p w14:paraId="6C3D9B8A" w14:textId="2BEE9224"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1284E0A4" w14:textId="32700471"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3" w:type="dxa"/>
            <w:tcBorders>
              <w:top w:val="dotted" w:sz="4" w:space="0" w:color="606072"/>
              <w:left w:val="dotted" w:sz="4" w:space="0" w:color="606072"/>
              <w:bottom w:val="dotted" w:sz="4" w:space="0" w:color="606072"/>
              <w:right w:val="dotted" w:sz="4" w:space="0" w:color="606072"/>
            </w:tcBorders>
            <w:shd w:val="clear" w:color="auto" w:fill="auto"/>
            <w:vAlign w:val="center"/>
          </w:tcPr>
          <w:p w14:paraId="0EAAAF73" w14:textId="2A2D41C7"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dotted" w:sz="4" w:space="0" w:color="606072"/>
              <w:right w:val="single" w:sz="4" w:space="0" w:color="606072"/>
            </w:tcBorders>
            <w:shd w:val="clear" w:color="auto" w:fill="auto"/>
            <w:vAlign w:val="center"/>
          </w:tcPr>
          <w:p w14:paraId="45198746" w14:textId="512FD699"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r>
      <w:tr w:rsidR="007F77AB" w:rsidRPr="005060E0" w14:paraId="41BF6548" w14:textId="77777777" w:rsidTr="00D23D58">
        <w:trPr>
          <w:gridAfter w:val="1"/>
          <w:cnfStyle w:val="000000100000" w:firstRow="0" w:lastRow="0" w:firstColumn="0" w:lastColumn="0" w:oddVBand="0" w:evenVBand="0" w:oddHBand="1" w:evenHBand="0" w:firstRowFirstColumn="0" w:firstRowLastColumn="0" w:lastRowFirstColumn="0" w:lastRowLastColumn="0"/>
          <w:wAfter w:w="6"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1140"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3BF28596" w14:textId="77777777" w:rsidR="00341810" w:rsidRPr="005060E0" w:rsidRDefault="00341810" w:rsidP="00341810">
            <w:pPr>
              <w:pStyle w:val="BodyText"/>
              <w:spacing w:after="0" w:line="240" w:lineRule="auto"/>
              <w:jc w:val="center"/>
              <w:rPr>
                <w:b w:val="0"/>
                <w:sz w:val="15"/>
                <w:szCs w:val="15"/>
              </w:rPr>
            </w:pPr>
          </w:p>
        </w:tc>
        <w:tc>
          <w:tcPr>
            <w:tcW w:w="977" w:type="dxa"/>
            <w:tcBorders>
              <w:top w:val="dotted" w:sz="4" w:space="0" w:color="606072"/>
              <w:left w:val="dotted" w:sz="4" w:space="0" w:color="606372" w:themeColor="text2"/>
              <w:bottom w:val="dotted" w:sz="4" w:space="0" w:color="606072"/>
              <w:right w:val="single" w:sz="4" w:space="0" w:color="606072"/>
            </w:tcBorders>
            <w:shd w:val="clear" w:color="auto" w:fill="DEDFE3" w:themeFill="text2" w:themeFillTint="33"/>
            <w:vAlign w:val="center"/>
          </w:tcPr>
          <w:p w14:paraId="61FB8C74" w14:textId="77777777" w:rsidR="00341810" w:rsidRPr="005060E0" w:rsidRDefault="00341810"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40</w:t>
            </w:r>
          </w:p>
        </w:tc>
        <w:tc>
          <w:tcPr>
            <w:tcW w:w="616" w:type="dxa"/>
            <w:tcBorders>
              <w:top w:val="dotted" w:sz="4" w:space="0" w:color="606072"/>
              <w:left w:val="single" w:sz="4" w:space="0" w:color="606072"/>
              <w:bottom w:val="dotted" w:sz="4" w:space="0" w:color="606072"/>
              <w:right w:val="dotted" w:sz="4" w:space="0" w:color="606072"/>
            </w:tcBorders>
            <w:shd w:val="clear" w:color="auto" w:fill="auto"/>
            <w:vAlign w:val="center"/>
          </w:tcPr>
          <w:p w14:paraId="0A482A7E" w14:textId="7F645B37"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0D92C9EA" w14:textId="1961A830"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5358DAF1" w14:textId="4666629E"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dotted" w:sz="4" w:space="0" w:color="606072"/>
              <w:right w:val="single" w:sz="4" w:space="0" w:color="606072"/>
            </w:tcBorders>
            <w:shd w:val="clear" w:color="auto" w:fill="auto"/>
            <w:vAlign w:val="center"/>
          </w:tcPr>
          <w:p w14:paraId="12D42D97" w14:textId="5C47A82B"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3" w:type="dxa"/>
            <w:gridSpan w:val="2"/>
            <w:tcBorders>
              <w:top w:val="dotted" w:sz="4" w:space="0" w:color="606072"/>
              <w:left w:val="single" w:sz="4" w:space="0" w:color="606072"/>
              <w:bottom w:val="dotted" w:sz="4" w:space="0" w:color="606072"/>
              <w:right w:val="dotted" w:sz="4" w:space="0" w:color="606072"/>
            </w:tcBorders>
            <w:shd w:val="clear" w:color="auto" w:fill="auto"/>
            <w:vAlign w:val="center"/>
          </w:tcPr>
          <w:p w14:paraId="70E5ABC1" w14:textId="05A6D857"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35FB0A44" w14:textId="09AA66EB"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7AC5B5FB" w14:textId="172725F9"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3" w:type="dxa"/>
            <w:tcBorders>
              <w:top w:val="dotted" w:sz="4" w:space="0" w:color="606072"/>
              <w:left w:val="dotted" w:sz="4" w:space="0" w:color="606072"/>
              <w:bottom w:val="dotted" w:sz="4" w:space="0" w:color="606072"/>
              <w:right w:val="single" w:sz="4" w:space="0" w:color="606072"/>
            </w:tcBorders>
            <w:shd w:val="clear" w:color="auto" w:fill="auto"/>
            <w:vAlign w:val="center"/>
          </w:tcPr>
          <w:p w14:paraId="0DE351E0" w14:textId="17454D39"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gridSpan w:val="2"/>
            <w:tcBorders>
              <w:top w:val="dotted" w:sz="4" w:space="0" w:color="606072"/>
              <w:left w:val="single" w:sz="4" w:space="0" w:color="606072"/>
              <w:bottom w:val="dotted" w:sz="4" w:space="0" w:color="606072"/>
              <w:right w:val="dotted" w:sz="4" w:space="0" w:color="606072"/>
            </w:tcBorders>
            <w:shd w:val="clear" w:color="auto" w:fill="auto"/>
            <w:vAlign w:val="center"/>
          </w:tcPr>
          <w:p w14:paraId="64C8C33B" w14:textId="7E8EF1B9"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04F6ABDE" w14:textId="361C2335"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3" w:type="dxa"/>
            <w:tcBorders>
              <w:top w:val="dotted" w:sz="4" w:space="0" w:color="606072"/>
              <w:left w:val="dotted" w:sz="4" w:space="0" w:color="606072"/>
              <w:bottom w:val="dotted" w:sz="4" w:space="0" w:color="606072"/>
              <w:right w:val="dotted" w:sz="4" w:space="0" w:color="606072"/>
            </w:tcBorders>
            <w:shd w:val="clear" w:color="auto" w:fill="auto"/>
            <w:vAlign w:val="center"/>
          </w:tcPr>
          <w:p w14:paraId="062C19AD" w14:textId="65AECFE6"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dotted" w:sz="4" w:space="0" w:color="606072"/>
              <w:right w:val="single" w:sz="4" w:space="0" w:color="606072"/>
            </w:tcBorders>
            <w:shd w:val="clear" w:color="auto" w:fill="auto"/>
            <w:vAlign w:val="center"/>
          </w:tcPr>
          <w:p w14:paraId="64E1B3E6" w14:textId="5A9083E4"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r>
      <w:tr w:rsidR="007F77AB" w:rsidRPr="005060E0" w14:paraId="186CBCC2" w14:textId="77777777" w:rsidTr="00D41B95">
        <w:trPr>
          <w:gridAfter w:val="1"/>
          <w:wAfter w:w="6"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1140"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669D561E" w14:textId="77777777" w:rsidR="00341810" w:rsidRPr="005060E0" w:rsidRDefault="00341810" w:rsidP="00341810">
            <w:pPr>
              <w:pStyle w:val="BodyText"/>
              <w:spacing w:after="0" w:line="240" w:lineRule="auto"/>
              <w:jc w:val="center"/>
              <w:rPr>
                <w:b w:val="0"/>
                <w:sz w:val="15"/>
                <w:szCs w:val="15"/>
              </w:rPr>
            </w:pPr>
          </w:p>
        </w:tc>
        <w:tc>
          <w:tcPr>
            <w:tcW w:w="977" w:type="dxa"/>
            <w:tcBorders>
              <w:top w:val="dotted" w:sz="4" w:space="0" w:color="606072"/>
              <w:left w:val="dotted" w:sz="4" w:space="0" w:color="606372" w:themeColor="text2"/>
              <w:bottom w:val="single" w:sz="4" w:space="0" w:color="606072"/>
              <w:right w:val="single" w:sz="4" w:space="0" w:color="606072"/>
            </w:tcBorders>
            <w:shd w:val="clear" w:color="auto" w:fill="D5E5FF"/>
            <w:vAlign w:val="center"/>
          </w:tcPr>
          <w:p w14:paraId="3CFDAA5F" w14:textId="77777777" w:rsidR="00341810" w:rsidRPr="005060E0" w:rsidRDefault="00341810"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80</w:t>
            </w:r>
          </w:p>
        </w:tc>
        <w:tc>
          <w:tcPr>
            <w:tcW w:w="616" w:type="dxa"/>
            <w:tcBorders>
              <w:top w:val="dotted" w:sz="4" w:space="0" w:color="606072"/>
              <w:left w:val="single" w:sz="4" w:space="0" w:color="606072"/>
              <w:bottom w:val="single" w:sz="4" w:space="0" w:color="606072"/>
              <w:right w:val="dotted" w:sz="4" w:space="0" w:color="606072"/>
            </w:tcBorders>
            <w:shd w:val="clear" w:color="auto" w:fill="D5E5FF"/>
            <w:vAlign w:val="center"/>
          </w:tcPr>
          <w:p w14:paraId="6A7DC072" w14:textId="030012C2"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1"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754CCF9F" w14:textId="018425DF"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1"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1EC5EA6B" w14:textId="3057C9B6"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single" w:sz="4" w:space="0" w:color="606072"/>
              <w:right w:val="single" w:sz="4" w:space="0" w:color="606072"/>
            </w:tcBorders>
            <w:shd w:val="clear" w:color="auto" w:fill="D5E5FF"/>
            <w:vAlign w:val="center"/>
          </w:tcPr>
          <w:p w14:paraId="29BED4D4" w14:textId="26FBB056"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3" w:type="dxa"/>
            <w:gridSpan w:val="2"/>
            <w:tcBorders>
              <w:top w:val="dotted" w:sz="4" w:space="0" w:color="606072"/>
              <w:left w:val="single" w:sz="4" w:space="0" w:color="606072"/>
              <w:bottom w:val="single" w:sz="4" w:space="0" w:color="606072"/>
              <w:right w:val="dotted" w:sz="4" w:space="0" w:color="606072"/>
            </w:tcBorders>
            <w:shd w:val="clear" w:color="auto" w:fill="D5E5FF"/>
            <w:vAlign w:val="center"/>
          </w:tcPr>
          <w:p w14:paraId="18F78735" w14:textId="7E16BD90"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6B0ACCF3" w14:textId="62AA5E1D"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1865782C" w14:textId="645C8E15"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3" w:type="dxa"/>
            <w:tcBorders>
              <w:top w:val="dotted" w:sz="4" w:space="0" w:color="606072"/>
              <w:left w:val="dotted" w:sz="4" w:space="0" w:color="606072"/>
              <w:bottom w:val="single" w:sz="4" w:space="0" w:color="606072"/>
              <w:right w:val="single" w:sz="4" w:space="0" w:color="606072"/>
            </w:tcBorders>
            <w:shd w:val="clear" w:color="auto" w:fill="D5E5FF"/>
            <w:vAlign w:val="center"/>
          </w:tcPr>
          <w:p w14:paraId="07BFE70F" w14:textId="63E24769"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gridSpan w:val="2"/>
            <w:tcBorders>
              <w:top w:val="dotted" w:sz="4" w:space="0" w:color="606072"/>
              <w:left w:val="single" w:sz="4" w:space="0" w:color="606072"/>
              <w:bottom w:val="single" w:sz="4" w:space="0" w:color="606072"/>
              <w:right w:val="dotted" w:sz="4" w:space="0" w:color="606072"/>
            </w:tcBorders>
            <w:shd w:val="clear" w:color="auto" w:fill="D5E5FF"/>
            <w:vAlign w:val="center"/>
          </w:tcPr>
          <w:p w14:paraId="680FF154" w14:textId="287981B1"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46AA1D46" w14:textId="09F02F04"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3"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0731E6A4" w14:textId="17A69561"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single" w:sz="4" w:space="0" w:color="606072"/>
              <w:right w:val="single" w:sz="4" w:space="0" w:color="606072"/>
            </w:tcBorders>
            <w:shd w:val="clear" w:color="auto" w:fill="D5E5FF"/>
            <w:vAlign w:val="center"/>
          </w:tcPr>
          <w:p w14:paraId="2069DDBF" w14:textId="3A6D2860"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r>
      <w:tr w:rsidR="00D23D58" w:rsidRPr="005060E0" w14:paraId="3C18A5A9" w14:textId="77777777" w:rsidTr="00D23D58">
        <w:trPr>
          <w:gridAfter w:val="1"/>
          <w:cnfStyle w:val="000000100000" w:firstRow="0" w:lastRow="0" w:firstColumn="0" w:lastColumn="0" w:oddVBand="0" w:evenVBand="0" w:oddHBand="1" w:evenHBand="0" w:firstRowFirstColumn="0" w:firstRowLastColumn="0" w:lastRowFirstColumn="0" w:lastRowLastColumn="0"/>
          <w:wAfter w:w="6"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9686" w:type="dxa"/>
            <w:gridSpan w:val="16"/>
            <w:tcBorders>
              <w:top w:val="single" w:sz="4" w:space="0" w:color="606072"/>
              <w:left w:val="single" w:sz="4" w:space="0" w:color="606072"/>
              <w:bottom w:val="single" w:sz="4" w:space="0" w:color="606072"/>
              <w:right w:val="single" w:sz="4" w:space="0" w:color="606072"/>
            </w:tcBorders>
            <w:shd w:val="clear" w:color="auto" w:fill="BFBFBF" w:themeFill="background1" w:themeFillShade="BF"/>
            <w:vAlign w:val="center"/>
          </w:tcPr>
          <w:p w14:paraId="54D64B6E" w14:textId="09B9FBF4" w:rsidR="00D23D58" w:rsidRPr="005060E0" w:rsidRDefault="00D23D58" w:rsidP="00D23D58">
            <w:pPr>
              <w:pStyle w:val="BodyText"/>
              <w:spacing w:after="0" w:line="240" w:lineRule="auto"/>
              <w:rPr>
                <w:sz w:val="15"/>
                <w:szCs w:val="15"/>
              </w:rPr>
            </w:pPr>
            <w:r w:rsidRPr="005060E0">
              <w:rPr>
                <w:rFonts w:eastAsia="Times New Roman" w:cs="Arial"/>
                <w:b w:val="0"/>
                <w:color w:val="000000"/>
                <w:sz w:val="15"/>
                <w:szCs w:val="15"/>
                <w:lang w:eastAsia="en-AU"/>
              </w:rPr>
              <w:t>Total number of monitoring stations exceeding standard</w:t>
            </w:r>
          </w:p>
        </w:tc>
      </w:tr>
      <w:tr w:rsidR="007F77AB" w:rsidRPr="005060E0" w14:paraId="2DB2888C" w14:textId="77777777" w:rsidTr="00D23D58">
        <w:trPr>
          <w:gridAfter w:val="1"/>
          <w:wAfter w:w="6"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1140" w:type="dxa"/>
            <w:vMerge w:val="restart"/>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1E92262F" w14:textId="77777777" w:rsidR="00D23D58" w:rsidRPr="005060E0" w:rsidRDefault="00D23D58" w:rsidP="00D23D58">
            <w:pPr>
              <w:pStyle w:val="BodyText"/>
              <w:spacing w:after="0" w:line="240" w:lineRule="auto"/>
              <w:jc w:val="center"/>
              <w:rPr>
                <w:b w:val="0"/>
                <w:sz w:val="15"/>
                <w:szCs w:val="15"/>
              </w:rPr>
            </w:pPr>
            <w:r w:rsidRPr="005060E0">
              <w:rPr>
                <w:b w:val="0"/>
                <w:sz w:val="15"/>
                <w:szCs w:val="15"/>
              </w:rPr>
              <w:t>Annual</w:t>
            </w:r>
          </w:p>
        </w:tc>
        <w:tc>
          <w:tcPr>
            <w:tcW w:w="977" w:type="dxa"/>
            <w:tcBorders>
              <w:top w:val="single" w:sz="4" w:space="0" w:color="606072"/>
              <w:left w:val="dotted" w:sz="4" w:space="0" w:color="606372" w:themeColor="text2"/>
              <w:bottom w:val="dotted" w:sz="4" w:space="0" w:color="606072"/>
              <w:right w:val="single" w:sz="4" w:space="0" w:color="606072"/>
            </w:tcBorders>
            <w:shd w:val="clear" w:color="auto" w:fill="DEDFE3" w:themeFill="text2" w:themeFillTint="33"/>
            <w:vAlign w:val="center"/>
          </w:tcPr>
          <w:p w14:paraId="67CFAC64" w14:textId="77777777" w:rsidR="00D23D58" w:rsidRPr="005060E0" w:rsidRDefault="00D23D58" w:rsidP="00D23D5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10</w:t>
            </w:r>
          </w:p>
        </w:tc>
        <w:tc>
          <w:tcPr>
            <w:tcW w:w="616" w:type="dxa"/>
            <w:tcBorders>
              <w:top w:val="single" w:sz="4" w:space="0" w:color="606072"/>
              <w:left w:val="single" w:sz="4" w:space="0" w:color="606072"/>
              <w:bottom w:val="dotted" w:sz="4" w:space="0" w:color="606072"/>
              <w:right w:val="dotted" w:sz="4" w:space="0" w:color="606072"/>
            </w:tcBorders>
            <w:shd w:val="clear" w:color="auto" w:fill="auto"/>
            <w:vAlign w:val="center"/>
          </w:tcPr>
          <w:p w14:paraId="251577EF" w14:textId="49DE986F" w:rsidR="00D23D58" w:rsidRPr="005060E0" w:rsidRDefault="00491E7C" w:rsidP="00D23D5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1" w:type="dxa"/>
            <w:tcBorders>
              <w:top w:val="single" w:sz="4" w:space="0" w:color="606072"/>
              <w:left w:val="dotted" w:sz="4" w:space="0" w:color="606072"/>
              <w:bottom w:val="dotted" w:sz="4" w:space="0" w:color="606072"/>
              <w:right w:val="dotted" w:sz="4" w:space="0" w:color="606072"/>
            </w:tcBorders>
            <w:shd w:val="clear" w:color="auto" w:fill="auto"/>
            <w:vAlign w:val="center"/>
          </w:tcPr>
          <w:p w14:paraId="43A6CC1D" w14:textId="11F24F29" w:rsidR="00D23D58" w:rsidRPr="005060E0" w:rsidRDefault="00491E7C" w:rsidP="00D23D5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1" w:type="dxa"/>
            <w:tcBorders>
              <w:top w:val="single" w:sz="4" w:space="0" w:color="606072"/>
              <w:left w:val="dotted" w:sz="4" w:space="0" w:color="606072"/>
              <w:bottom w:val="dotted" w:sz="4" w:space="0" w:color="606072"/>
              <w:right w:val="dotted" w:sz="4" w:space="0" w:color="606072"/>
            </w:tcBorders>
            <w:shd w:val="clear" w:color="auto" w:fill="auto"/>
            <w:vAlign w:val="center"/>
          </w:tcPr>
          <w:p w14:paraId="70F14887" w14:textId="28771A1E" w:rsidR="00D23D58" w:rsidRPr="005060E0" w:rsidRDefault="00491E7C" w:rsidP="00D23D5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single" w:sz="4" w:space="0" w:color="606072"/>
              <w:left w:val="dotted" w:sz="4" w:space="0" w:color="606072"/>
              <w:bottom w:val="dotted" w:sz="4" w:space="0" w:color="606072"/>
              <w:right w:val="single" w:sz="4" w:space="0" w:color="606072"/>
            </w:tcBorders>
            <w:shd w:val="clear" w:color="auto" w:fill="auto"/>
            <w:vAlign w:val="center"/>
          </w:tcPr>
          <w:p w14:paraId="737854A2" w14:textId="1BAED82E" w:rsidR="00D23D58" w:rsidRPr="005060E0" w:rsidRDefault="00491E7C" w:rsidP="00D23D5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3" w:type="dxa"/>
            <w:gridSpan w:val="2"/>
            <w:tcBorders>
              <w:top w:val="single" w:sz="4" w:space="0" w:color="606072"/>
              <w:left w:val="single" w:sz="4" w:space="0" w:color="606072"/>
              <w:bottom w:val="dotted" w:sz="4" w:space="0" w:color="606072"/>
              <w:right w:val="dotted" w:sz="4" w:space="0" w:color="606072"/>
            </w:tcBorders>
            <w:shd w:val="clear" w:color="auto" w:fill="auto"/>
            <w:vAlign w:val="center"/>
          </w:tcPr>
          <w:p w14:paraId="6A53B2C6" w14:textId="582D9D4F" w:rsidR="00D23D58" w:rsidRPr="005060E0" w:rsidRDefault="00491E7C" w:rsidP="00D23D5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27FE53BC" w14:textId="2AAD60E4" w:rsidR="00D23D58" w:rsidRPr="005060E0" w:rsidRDefault="00491E7C" w:rsidP="00D23D5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62DF2C29" w14:textId="14A2EA86" w:rsidR="00D23D58" w:rsidRPr="005060E0" w:rsidRDefault="00491E7C" w:rsidP="00D23D5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3" w:type="dxa"/>
            <w:tcBorders>
              <w:top w:val="single" w:sz="4" w:space="0" w:color="606072"/>
              <w:left w:val="dotted" w:sz="4" w:space="0" w:color="606072"/>
              <w:bottom w:val="dotted" w:sz="4" w:space="0" w:color="606072"/>
              <w:right w:val="single" w:sz="4" w:space="0" w:color="606072"/>
            </w:tcBorders>
            <w:shd w:val="clear" w:color="auto" w:fill="auto"/>
            <w:vAlign w:val="center"/>
          </w:tcPr>
          <w:p w14:paraId="26AE0B12" w14:textId="6731515A" w:rsidR="00D23D58" w:rsidRPr="005060E0" w:rsidRDefault="00491E7C" w:rsidP="00D23D5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gridSpan w:val="2"/>
            <w:tcBorders>
              <w:top w:val="single" w:sz="4" w:space="0" w:color="606072"/>
              <w:left w:val="single" w:sz="4" w:space="0" w:color="606072"/>
              <w:bottom w:val="dotted" w:sz="4" w:space="0" w:color="606072"/>
              <w:right w:val="dotted" w:sz="4" w:space="0" w:color="606072"/>
            </w:tcBorders>
            <w:shd w:val="clear" w:color="auto" w:fill="auto"/>
            <w:vAlign w:val="center"/>
          </w:tcPr>
          <w:p w14:paraId="7DEB73C6" w14:textId="3E0701E2" w:rsidR="00D23D58" w:rsidRPr="005060E0" w:rsidRDefault="00491E7C" w:rsidP="00D23D5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4CC562A6" w14:textId="0A61DE47" w:rsidR="00D23D58" w:rsidRPr="005060E0" w:rsidRDefault="00491E7C" w:rsidP="00D23D5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3" w:type="dxa"/>
            <w:tcBorders>
              <w:top w:val="single" w:sz="4" w:space="0" w:color="606072"/>
              <w:left w:val="dotted" w:sz="4" w:space="0" w:color="606072"/>
              <w:bottom w:val="dotted" w:sz="4" w:space="0" w:color="606072"/>
              <w:right w:val="dotted" w:sz="4" w:space="0" w:color="606072"/>
            </w:tcBorders>
            <w:shd w:val="clear" w:color="auto" w:fill="auto"/>
            <w:vAlign w:val="center"/>
          </w:tcPr>
          <w:p w14:paraId="4B664D8D" w14:textId="70D7AD27" w:rsidR="00D23D58" w:rsidRPr="005060E0" w:rsidRDefault="00491E7C" w:rsidP="00D23D5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single" w:sz="4" w:space="0" w:color="606072"/>
              <w:left w:val="dotted" w:sz="4" w:space="0" w:color="606072"/>
              <w:bottom w:val="dotted" w:sz="4" w:space="0" w:color="606072"/>
              <w:right w:val="single" w:sz="4" w:space="0" w:color="606072"/>
            </w:tcBorders>
            <w:shd w:val="clear" w:color="auto" w:fill="auto"/>
            <w:vAlign w:val="center"/>
          </w:tcPr>
          <w:p w14:paraId="2EB9EC7F" w14:textId="22B4AB0A" w:rsidR="00D23D58" w:rsidRPr="005060E0" w:rsidRDefault="00491E7C" w:rsidP="00D23D5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r>
      <w:tr w:rsidR="007F77AB" w:rsidRPr="005060E0" w14:paraId="750ECA02" w14:textId="77777777" w:rsidTr="00D41B95">
        <w:trPr>
          <w:gridAfter w:val="1"/>
          <w:cnfStyle w:val="000000100000" w:firstRow="0" w:lastRow="0" w:firstColumn="0" w:lastColumn="0" w:oddVBand="0" w:evenVBand="0" w:oddHBand="1" w:evenHBand="0" w:firstRowFirstColumn="0" w:firstRowLastColumn="0" w:lastRowFirstColumn="0" w:lastRowLastColumn="0"/>
          <w:wAfter w:w="6"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1140"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352D367B" w14:textId="77777777" w:rsidR="00D23D58" w:rsidRPr="005060E0" w:rsidRDefault="00D23D58" w:rsidP="00D23D58">
            <w:pPr>
              <w:pStyle w:val="BodyText"/>
              <w:spacing w:after="0" w:line="240" w:lineRule="auto"/>
              <w:jc w:val="center"/>
              <w:rPr>
                <w:sz w:val="15"/>
                <w:szCs w:val="15"/>
              </w:rPr>
            </w:pPr>
          </w:p>
        </w:tc>
        <w:tc>
          <w:tcPr>
            <w:tcW w:w="977" w:type="dxa"/>
            <w:tcBorders>
              <w:top w:val="dotted" w:sz="4" w:space="0" w:color="606072"/>
              <w:left w:val="dotted" w:sz="4" w:space="0" w:color="606372" w:themeColor="text2"/>
              <w:bottom w:val="single" w:sz="4" w:space="0" w:color="606072"/>
              <w:right w:val="single" w:sz="4" w:space="0" w:color="606072"/>
            </w:tcBorders>
            <w:shd w:val="clear" w:color="auto" w:fill="D5E5FF"/>
            <w:vAlign w:val="center"/>
          </w:tcPr>
          <w:p w14:paraId="228FDB6F" w14:textId="77777777" w:rsidR="00D23D58" w:rsidRPr="005060E0" w:rsidRDefault="00D23D58" w:rsidP="00D23D5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20</w:t>
            </w:r>
          </w:p>
        </w:tc>
        <w:tc>
          <w:tcPr>
            <w:tcW w:w="616" w:type="dxa"/>
            <w:tcBorders>
              <w:top w:val="dotted" w:sz="4" w:space="0" w:color="606072"/>
              <w:left w:val="single" w:sz="4" w:space="0" w:color="606072"/>
              <w:bottom w:val="single" w:sz="4" w:space="0" w:color="606072"/>
              <w:right w:val="dotted" w:sz="4" w:space="0" w:color="606072"/>
            </w:tcBorders>
            <w:shd w:val="clear" w:color="auto" w:fill="D5E5FF"/>
            <w:vAlign w:val="center"/>
          </w:tcPr>
          <w:p w14:paraId="03E2077F" w14:textId="437A1B9C" w:rsidR="00D23D58" w:rsidRPr="005060E0" w:rsidRDefault="00491E7C" w:rsidP="00D23D5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1"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11464245" w14:textId="1CCAE2BD" w:rsidR="00D23D58" w:rsidRPr="005060E0" w:rsidRDefault="00491E7C" w:rsidP="00D23D5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1"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4F690E35" w14:textId="15F962BD" w:rsidR="00D23D58" w:rsidRPr="005060E0" w:rsidRDefault="00491E7C" w:rsidP="00D23D5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single" w:sz="4" w:space="0" w:color="606072"/>
              <w:right w:val="single" w:sz="4" w:space="0" w:color="606072"/>
            </w:tcBorders>
            <w:shd w:val="clear" w:color="auto" w:fill="D5E5FF"/>
            <w:vAlign w:val="center"/>
          </w:tcPr>
          <w:p w14:paraId="0C52E97D" w14:textId="0C69CBDD" w:rsidR="00D23D58" w:rsidRPr="005060E0" w:rsidRDefault="00491E7C" w:rsidP="00D23D5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3" w:type="dxa"/>
            <w:gridSpan w:val="2"/>
            <w:tcBorders>
              <w:top w:val="dotted" w:sz="4" w:space="0" w:color="606072"/>
              <w:left w:val="single" w:sz="4" w:space="0" w:color="606072"/>
              <w:bottom w:val="single" w:sz="4" w:space="0" w:color="606072"/>
              <w:right w:val="dotted" w:sz="4" w:space="0" w:color="606072"/>
            </w:tcBorders>
            <w:shd w:val="clear" w:color="auto" w:fill="D5E5FF"/>
            <w:vAlign w:val="center"/>
          </w:tcPr>
          <w:p w14:paraId="63D418E7" w14:textId="1814AB62" w:rsidR="00D23D58" w:rsidRPr="005060E0" w:rsidRDefault="00491E7C" w:rsidP="00D23D5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5ACC5478" w14:textId="46980F22" w:rsidR="00D23D58" w:rsidRPr="005060E0" w:rsidRDefault="00491E7C" w:rsidP="00D23D5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6BD177C7" w14:textId="7B60A174" w:rsidR="00D23D58" w:rsidRPr="005060E0" w:rsidRDefault="00491E7C" w:rsidP="00D23D5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3" w:type="dxa"/>
            <w:tcBorders>
              <w:top w:val="dotted" w:sz="4" w:space="0" w:color="606072"/>
              <w:left w:val="dotted" w:sz="4" w:space="0" w:color="606072"/>
              <w:bottom w:val="single" w:sz="4" w:space="0" w:color="606072"/>
              <w:right w:val="single" w:sz="4" w:space="0" w:color="606072"/>
            </w:tcBorders>
            <w:shd w:val="clear" w:color="auto" w:fill="D5E5FF"/>
            <w:vAlign w:val="center"/>
          </w:tcPr>
          <w:p w14:paraId="39DAD56E" w14:textId="621A3EC5" w:rsidR="00D23D58" w:rsidRPr="005060E0" w:rsidRDefault="00491E7C" w:rsidP="00064F3E">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gridSpan w:val="2"/>
            <w:tcBorders>
              <w:top w:val="dotted" w:sz="4" w:space="0" w:color="606072"/>
              <w:left w:val="single" w:sz="4" w:space="0" w:color="606072"/>
              <w:bottom w:val="single" w:sz="4" w:space="0" w:color="606072"/>
              <w:right w:val="dotted" w:sz="4" w:space="0" w:color="606072"/>
            </w:tcBorders>
            <w:shd w:val="clear" w:color="auto" w:fill="D5E5FF"/>
            <w:vAlign w:val="center"/>
          </w:tcPr>
          <w:p w14:paraId="66713DD1" w14:textId="0DE0EC50" w:rsidR="00D23D58" w:rsidRPr="005060E0" w:rsidRDefault="00491E7C" w:rsidP="00D23D5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215D74C3" w14:textId="2841F6F3" w:rsidR="00D23D58" w:rsidRPr="005060E0" w:rsidRDefault="00491E7C" w:rsidP="00D23D5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3"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19551DA8" w14:textId="20DC7416" w:rsidR="00D23D58" w:rsidRPr="005060E0" w:rsidRDefault="00491E7C" w:rsidP="00D23D5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single" w:sz="4" w:space="0" w:color="606072"/>
              <w:right w:val="single" w:sz="4" w:space="0" w:color="606072"/>
            </w:tcBorders>
            <w:shd w:val="clear" w:color="auto" w:fill="D5E5FF"/>
            <w:vAlign w:val="center"/>
          </w:tcPr>
          <w:p w14:paraId="7415FE03" w14:textId="6F097546" w:rsidR="00D23D58" w:rsidRPr="005060E0" w:rsidRDefault="00491E7C" w:rsidP="00064F3E">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r>
    </w:tbl>
    <w:p w14:paraId="66C65EBA" w14:textId="340360D4" w:rsidR="00CE5917" w:rsidRPr="005060E0" w:rsidRDefault="00CE5917" w:rsidP="00CE5917">
      <w:pPr>
        <w:pStyle w:val="PBTablecaption"/>
        <w:rPr>
          <w:rFonts w:eastAsia="Arial" w:cs="Arial"/>
        </w:rPr>
      </w:pPr>
      <w:bookmarkStart w:id="126" w:name="_Ref507505984"/>
      <w:r w:rsidRPr="005060E0">
        <w:rPr>
          <w:rFonts w:cs="Arial"/>
        </w:rPr>
        <w:t xml:space="preserve">Table </w:t>
      </w:r>
      <w:r w:rsidRPr="005060E0">
        <w:rPr>
          <w:rFonts w:cs="Arial"/>
        </w:rPr>
        <w:fldChar w:fldCharType="begin"/>
      </w:r>
      <w:r w:rsidRPr="005060E0">
        <w:rPr>
          <w:rFonts w:cs="Arial"/>
        </w:rPr>
        <w:instrText xml:space="preserve"> STYLEREF 1 \s </w:instrText>
      </w:r>
      <w:r w:rsidRPr="005060E0">
        <w:rPr>
          <w:rFonts w:cs="Arial"/>
        </w:rPr>
        <w:fldChar w:fldCharType="separate"/>
      </w:r>
      <w:r w:rsidR="00F2067C">
        <w:rPr>
          <w:rFonts w:cs="Arial"/>
          <w:noProof/>
        </w:rPr>
        <w:t>6</w:t>
      </w:r>
      <w:r w:rsidRPr="005060E0">
        <w:rPr>
          <w:rFonts w:cs="Arial"/>
          <w:noProof/>
        </w:rPr>
        <w:fldChar w:fldCharType="end"/>
      </w:r>
      <w:r w:rsidRPr="005060E0">
        <w:rPr>
          <w:rFonts w:cs="Arial"/>
        </w:rPr>
        <w:noBreakHyphen/>
      </w:r>
      <w:r w:rsidRPr="005060E0">
        <w:rPr>
          <w:rFonts w:cs="Arial"/>
        </w:rPr>
        <w:fldChar w:fldCharType="begin"/>
      </w:r>
      <w:r w:rsidRPr="005060E0">
        <w:rPr>
          <w:rFonts w:cs="Arial"/>
        </w:rPr>
        <w:instrText xml:space="preserve"> SEQ Table \* ARABIC \s 1 </w:instrText>
      </w:r>
      <w:r w:rsidRPr="005060E0">
        <w:rPr>
          <w:rFonts w:cs="Arial"/>
        </w:rPr>
        <w:fldChar w:fldCharType="separate"/>
      </w:r>
      <w:r w:rsidR="00F2067C">
        <w:rPr>
          <w:rFonts w:cs="Arial"/>
          <w:noProof/>
        </w:rPr>
        <w:t>9</w:t>
      </w:r>
      <w:r w:rsidRPr="005060E0">
        <w:rPr>
          <w:rFonts w:cs="Arial"/>
          <w:noProof/>
        </w:rPr>
        <w:fldChar w:fldCharType="end"/>
      </w:r>
      <w:bookmarkEnd w:id="126"/>
      <w:r w:rsidRPr="005060E0">
        <w:rPr>
          <w:rFonts w:cs="Arial"/>
        </w:rPr>
        <w:t>: Projected</w:t>
      </w:r>
      <w:r w:rsidRPr="005060E0">
        <w:rPr>
          <w:rFonts w:eastAsia="Arial" w:cs="Arial"/>
        </w:rPr>
        <w:t xml:space="preserve"> exceedances of current and proposed SO</w:t>
      </w:r>
      <w:r w:rsidRPr="005060E0">
        <w:rPr>
          <w:rFonts w:eastAsia="Arial" w:cs="Arial"/>
          <w:vertAlign w:val="subscript"/>
        </w:rPr>
        <w:t>2</w:t>
      </w:r>
      <w:r w:rsidRPr="005060E0">
        <w:rPr>
          <w:rFonts w:eastAsia="Arial" w:cs="Arial"/>
        </w:rPr>
        <w:t xml:space="preserve"> standards (BAU scenario, VIC)</w:t>
      </w:r>
    </w:p>
    <w:tbl>
      <w:tblPr>
        <w:tblStyle w:val="ListTable3-Accent17"/>
        <w:tblW w:w="11902" w:type="dxa"/>
        <w:jc w:val="center"/>
        <w:tblLayout w:type="fixed"/>
        <w:tblLook w:val="04A0" w:firstRow="1" w:lastRow="0" w:firstColumn="1" w:lastColumn="0" w:noHBand="0" w:noVBand="1"/>
      </w:tblPr>
      <w:tblGrid>
        <w:gridCol w:w="846"/>
        <w:gridCol w:w="1559"/>
        <w:gridCol w:w="425"/>
        <w:gridCol w:w="1418"/>
        <w:gridCol w:w="850"/>
        <w:gridCol w:w="851"/>
        <w:gridCol w:w="850"/>
        <w:gridCol w:w="851"/>
        <w:gridCol w:w="1417"/>
        <w:gridCol w:w="709"/>
        <w:gridCol w:w="709"/>
        <w:gridCol w:w="709"/>
        <w:gridCol w:w="708"/>
      </w:tblGrid>
      <w:tr w:rsidR="00CE5917" w:rsidRPr="005060E0" w14:paraId="378270B9" w14:textId="77777777" w:rsidTr="005D3208">
        <w:trPr>
          <w:cnfStyle w:val="100000000000" w:firstRow="1" w:lastRow="0" w:firstColumn="0" w:lastColumn="0" w:oddVBand="0" w:evenVBand="0" w:oddHBand="0" w:evenHBand="0" w:firstRowFirstColumn="0" w:firstRowLastColumn="0" w:lastRowFirstColumn="0" w:lastRowLastColumn="0"/>
          <w:trHeight w:hRule="exact" w:val="227"/>
          <w:tblHeader/>
          <w:jc w:val="center"/>
        </w:trPr>
        <w:tc>
          <w:tcPr>
            <w:cnfStyle w:val="001000000100" w:firstRow="0" w:lastRow="0" w:firstColumn="1" w:lastColumn="0" w:oddVBand="0" w:evenVBand="0" w:oddHBand="0" w:evenHBand="0" w:firstRowFirstColumn="1" w:firstRowLastColumn="0" w:lastRowFirstColumn="0" w:lastRowLastColumn="0"/>
            <w:tcW w:w="846" w:type="dxa"/>
            <w:vMerge w:val="restar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632CE301" w14:textId="77777777" w:rsidR="00CE5917" w:rsidRPr="005060E0" w:rsidRDefault="00CE5917" w:rsidP="00D23D58">
            <w:pPr>
              <w:widowControl w:val="0"/>
              <w:spacing w:after="0" w:line="240" w:lineRule="auto"/>
              <w:jc w:val="center"/>
              <w:rPr>
                <w:rFonts w:cs="Arial"/>
                <w:b w:val="0"/>
                <w:color w:val="FFFFFF" w:themeColor="background1"/>
                <w:sz w:val="15"/>
                <w:szCs w:val="15"/>
              </w:rPr>
            </w:pPr>
            <w:r w:rsidRPr="005060E0">
              <w:rPr>
                <w:rFonts w:cs="Arial"/>
                <w:b w:val="0"/>
                <w:color w:val="FFFFFF" w:themeColor="background1"/>
                <w:sz w:val="15"/>
                <w:szCs w:val="15"/>
              </w:rPr>
              <w:t>Averaging period</w:t>
            </w:r>
          </w:p>
        </w:tc>
        <w:tc>
          <w:tcPr>
            <w:tcW w:w="1559" w:type="dxa"/>
            <w:vMerge w:val="restar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4C0D8A9C" w14:textId="77777777" w:rsidR="00CE5917" w:rsidRPr="005060E0" w:rsidRDefault="00CE5917" w:rsidP="00D23D5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Standard (ppb)</w:t>
            </w:r>
          </w:p>
        </w:tc>
        <w:tc>
          <w:tcPr>
            <w:tcW w:w="425" w:type="dxa"/>
            <w:vMerge w:val="restar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3E8B5611" w14:textId="77777777" w:rsidR="00CE5917" w:rsidRPr="005060E0" w:rsidRDefault="00CE5917" w:rsidP="00D23D58">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p>
        </w:tc>
        <w:tc>
          <w:tcPr>
            <w:tcW w:w="4820" w:type="dxa"/>
            <w:gridSpan w:val="5"/>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0271AA63" w14:textId="77777777" w:rsidR="00CE5917" w:rsidRPr="005060E0" w:rsidRDefault="00CE5917" w:rsidP="00D23D58">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VIC: Port Phillip Region</w:t>
            </w:r>
          </w:p>
        </w:tc>
        <w:tc>
          <w:tcPr>
            <w:tcW w:w="4252" w:type="dxa"/>
            <w:gridSpan w:val="5"/>
            <w:tcBorders>
              <w:top w:val="single" w:sz="4" w:space="0" w:color="606072"/>
              <w:left w:val="single" w:sz="4" w:space="0" w:color="606072"/>
              <w:bottom w:val="single" w:sz="4" w:space="0" w:color="606072"/>
              <w:right w:val="single" w:sz="4" w:space="0" w:color="606072"/>
            </w:tcBorders>
            <w:shd w:val="clear" w:color="auto" w:fill="606072"/>
            <w:vAlign w:val="center"/>
          </w:tcPr>
          <w:p w14:paraId="5DA25421" w14:textId="77777777" w:rsidR="00CE5917" w:rsidRPr="005060E0" w:rsidRDefault="00CE5917" w:rsidP="00D23D58">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VIC: Latrobe Valley</w:t>
            </w:r>
          </w:p>
        </w:tc>
      </w:tr>
      <w:tr w:rsidR="00CE5917" w:rsidRPr="005060E0" w14:paraId="6BF6CBE9" w14:textId="77777777" w:rsidTr="005D3208">
        <w:tblPrEx>
          <w:tblBorders>
            <w:top w:val="single" w:sz="2" w:space="0" w:color="0076C0"/>
            <w:left w:val="single" w:sz="2" w:space="0" w:color="0076C0"/>
            <w:bottom w:val="single" w:sz="2" w:space="0" w:color="0076C0"/>
            <w:right w:val="single" w:sz="2" w:space="0" w:color="0076C0"/>
          </w:tblBorders>
          <w:tblCellMar>
            <w:left w:w="41" w:type="dxa"/>
            <w:right w:w="41" w:type="dxa"/>
          </w:tblCellMar>
        </w:tblPrEx>
        <w:trPr>
          <w:cnfStyle w:val="100000000000" w:firstRow="1" w:lastRow="0" w:firstColumn="0" w:lastColumn="0" w:oddVBand="0" w:evenVBand="0" w:oddHBand="0" w:evenHBand="0" w:firstRowFirstColumn="0" w:firstRowLastColumn="0" w:lastRowFirstColumn="0" w:lastRowLastColumn="0"/>
          <w:trHeight w:hRule="exact" w:val="227"/>
          <w:tblHeader/>
          <w:jc w:val="center"/>
        </w:trPr>
        <w:tc>
          <w:tcPr>
            <w:cnfStyle w:val="001000000100" w:firstRow="0" w:lastRow="0" w:firstColumn="1" w:lastColumn="0" w:oddVBand="0" w:evenVBand="0" w:oddHBand="0" w:evenHBand="0" w:firstRowFirstColumn="1" w:firstRowLastColumn="0" w:lastRowFirstColumn="0" w:lastRowLastColumn="0"/>
            <w:tcW w:w="846" w:type="dxa"/>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222B47EB" w14:textId="77777777" w:rsidR="00CE5917" w:rsidRPr="005060E0" w:rsidRDefault="00CE5917" w:rsidP="00D23D58">
            <w:pPr>
              <w:widowControl w:val="0"/>
              <w:spacing w:after="0" w:line="240" w:lineRule="auto"/>
              <w:rPr>
                <w:rFonts w:cs="Arial"/>
                <w:b w:val="0"/>
                <w:color w:val="FFFFFF" w:themeColor="background1"/>
                <w:sz w:val="15"/>
                <w:szCs w:val="15"/>
              </w:rPr>
            </w:pPr>
          </w:p>
        </w:tc>
        <w:tc>
          <w:tcPr>
            <w:tcW w:w="1559" w:type="dxa"/>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7172CC9F" w14:textId="77777777" w:rsidR="00CE5917" w:rsidRPr="005060E0" w:rsidRDefault="00CE5917" w:rsidP="00D23D58">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p>
        </w:tc>
        <w:tc>
          <w:tcPr>
            <w:tcW w:w="425" w:type="dxa"/>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5C20F030" w14:textId="77777777" w:rsidR="00CE5917" w:rsidRPr="005060E0" w:rsidRDefault="00CE5917" w:rsidP="00D23D5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p>
        </w:tc>
        <w:tc>
          <w:tcPr>
            <w:tcW w:w="1418" w:type="dxa"/>
            <w:tcBorders>
              <w:top w:val="single" w:sz="4" w:space="0" w:color="606072"/>
              <w:left w:val="single" w:sz="4" w:space="0" w:color="606072"/>
              <w:bottom w:val="single" w:sz="4" w:space="0" w:color="606072"/>
              <w:right w:val="single" w:sz="4" w:space="0" w:color="606072"/>
            </w:tcBorders>
            <w:shd w:val="clear" w:color="auto" w:fill="828284" w:themeFill="text1" w:themeFillTint="A6"/>
            <w:tcMar>
              <w:left w:w="28" w:type="dxa"/>
              <w:right w:w="28" w:type="dxa"/>
            </w:tcMar>
            <w:vAlign w:val="center"/>
          </w:tcPr>
          <w:p w14:paraId="76AB4829" w14:textId="77777777" w:rsidR="00CE5917" w:rsidRPr="005060E0" w:rsidRDefault="00CE5917" w:rsidP="00D23D5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Measured</w:t>
            </w:r>
          </w:p>
        </w:tc>
        <w:tc>
          <w:tcPr>
            <w:tcW w:w="3402" w:type="dxa"/>
            <w:gridSpan w:val="4"/>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23FC4E39" w14:textId="34D1951B" w:rsidR="00CE5917" w:rsidRPr="005060E0" w:rsidRDefault="00CE5917" w:rsidP="00D23D5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Projected</w:t>
            </w:r>
          </w:p>
        </w:tc>
        <w:tc>
          <w:tcPr>
            <w:tcW w:w="1417" w:type="dxa"/>
            <w:tcBorders>
              <w:top w:val="single" w:sz="4" w:space="0" w:color="606072"/>
              <w:left w:val="single" w:sz="4" w:space="0" w:color="606072"/>
              <w:bottom w:val="single" w:sz="4" w:space="0" w:color="606072"/>
              <w:right w:val="single" w:sz="4" w:space="0" w:color="606072"/>
            </w:tcBorders>
            <w:shd w:val="clear" w:color="auto" w:fill="828284" w:themeFill="text1" w:themeFillTint="A6"/>
            <w:tcMar>
              <w:left w:w="28" w:type="dxa"/>
              <w:right w:w="28" w:type="dxa"/>
            </w:tcMar>
            <w:vAlign w:val="center"/>
          </w:tcPr>
          <w:p w14:paraId="2151A7F7" w14:textId="77777777" w:rsidR="00CE5917" w:rsidRPr="005060E0" w:rsidRDefault="00CE5917" w:rsidP="00D23D5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Measured</w:t>
            </w:r>
          </w:p>
        </w:tc>
        <w:tc>
          <w:tcPr>
            <w:tcW w:w="2835" w:type="dxa"/>
            <w:gridSpan w:val="4"/>
            <w:tcBorders>
              <w:top w:val="single" w:sz="4" w:space="0" w:color="606072"/>
              <w:left w:val="single" w:sz="4" w:space="0" w:color="606072"/>
              <w:bottom w:val="single" w:sz="4" w:space="0" w:color="606072"/>
              <w:right w:val="single" w:sz="4" w:space="0" w:color="606072"/>
            </w:tcBorders>
            <w:shd w:val="clear" w:color="auto" w:fill="606072"/>
            <w:vAlign w:val="center"/>
          </w:tcPr>
          <w:p w14:paraId="54A57E9A" w14:textId="67CA341B" w:rsidR="00CE5917" w:rsidRPr="005060E0" w:rsidRDefault="00CE5917" w:rsidP="00D23D5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Projected</w:t>
            </w:r>
          </w:p>
        </w:tc>
      </w:tr>
      <w:tr w:rsidR="00BF7BF2" w:rsidRPr="005060E0" w14:paraId="4C764F9B" w14:textId="77777777" w:rsidTr="005D3208">
        <w:tblPrEx>
          <w:tblBorders>
            <w:top w:val="single" w:sz="2" w:space="0" w:color="0076C0"/>
            <w:left w:val="single" w:sz="2" w:space="0" w:color="0076C0"/>
            <w:bottom w:val="single" w:sz="2" w:space="0" w:color="0076C0"/>
            <w:right w:val="single" w:sz="2" w:space="0" w:color="0076C0"/>
          </w:tblBorders>
          <w:tblCellMar>
            <w:left w:w="41" w:type="dxa"/>
            <w:right w:w="41" w:type="dxa"/>
          </w:tblCellMar>
        </w:tblPrEx>
        <w:trPr>
          <w:cnfStyle w:val="100000000000" w:firstRow="1" w:lastRow="0" w:firstColumn="0" w:lastColumn="0" w:oddVBand="0" w:evenVBand="0" w:oddHBand="0" w:evenHBand="0" w:firstRowFirstColumn="0" w:firstRowLastColumn="0" w:lastRowFirstColumn="0" w:lastRowLastColumn="0"/>
          <w:trHeight w:hRule="exact" w:val="397"/>
          <w:tblHeader/>
          <w:jc w:val="center"/>
        </w:trPr>
        <w:tc>
          <w:tcPr>
            <w:cnfStyle w:val="001000000100" w:firstRow="0" w:lastRow="0" w:firstColumn="1" w:lastColumn="0" w:oddVBand="0" w:evenVBand="0" w:oddHBand="0" w:evenHBand="0" w:firstRowFirstColumn="1" w:firstRowLastColumn="0" w:lastRowFirstColumn="0" w:lastRowLastColumn="0"/>
            <w:tcW w:w="846" w:type="dxa"/>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75F98E0C" w14:textId="77777777" w:rsidR="00CE5917" w:rsidRPr="005060E0" w:rsidRDefault="00CE5917" w:rsidP="00D23D58">
            <w:pPr>
              <w:widowControl w:val="0"/>
              <w:spacing w:after="0" w:line="240" w:lineRule="auto"/>
              <w:rPr>
                <w:rFonts w:cs="Arial"/>
                <w:b w:val="0"/>
                <w:color w:val="FFFFFF" w:themeColor="background1"/>
                <w:sz w:val="15"/>
                <w:szCs w:val="15"/>
              </w:rPr>
            </w:pPr>
          </w:p>
        </w:tc>
        <w:tc>
          <w:tcPr>
            <w:tcW w:w="1559" w:type="dxa"/>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01CB4B7D" w14:textId="77777777" w:rsidR="00CE5917" w:rsidRPr="005060E0" w:rsidRDefault="00CE5917" w:rsidP="00D23D58">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p>
        </w:tc>
        <w:tc>
          <w:tcPr>
            <w:tcW w:w="425" w:type="dxa"/>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6F1BA7E4" w14:textId="77777777" w:rsidR="00CE5917" w:rsidRPr="005060E0" w:rsidRDefault="00CE5917" w:rsidP="00D23D5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p>
        </w:tc>
        <w:tc>
          <w:tcPr>
            <w:tcW w:w="1418" w:type="dxa"/>
            <w:tcBorders>
              <w:top w:val="single" w:sz="4" w:space="0" w:color="606072"/>
              <w:left w:val="single" w:sz="4" w:space="0" w:color="606072"/>
              <w:bottom w:val="single" w:sz="4" w:space="0" w:color="606072"/>
              <w:right w:val="single" w:sz="4" w:space="0" w:color="606072"/>
            </w:tcBorders>
            <w:shd w:val="clear" w:color="auto" w:fill="808080" w:themeFill="background1" w:themeFillShade="80"/>
            <w:tcMar>
              <w:left w:w="28" w:type="dxa"/>
              <w:right w:w="28" w:type="dxa"/>
            </w:tcMar>
            <w:vAlign w:val="center"/>
          </w:tcPr>
          <w:p w14:paraId="374CAAEE" w14:textId="315A3017" w:rsidR="00CE5917" w:rsidRPr="005060E0" w:rsidRDefault="00D23D58" w:rsidP="00D23D5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2010</w:t>
            </w:r>
            <w:r w:rsidR="00DF4D3A" w:rsidRPr="005060E0">
              <w:rPr>
                <w:rFonts w:cs="Arial"/>
                <w:b w:val="0"/>
                <w:color w:val="FFFFFF" w:themeColor="background1"/>
                <w:sz w:val="15"/>
                <w:szCs w:val="15"/>
              </w:rPr>
              <w:t>–20</w:t>
            </w:r>
            <w:r w:rsidR="00CE5917" w:rsidRPr="005060E0">
              <w:rPr>
                <w:rFonts w:cs="Arial"/>
                <w:b w:val="0"/>
                <w:color w:val="FFFFFF" w:themeColor="background1"/>
                <w:sz w:val="15"/>
                <w:szCs w:val="15"/>
              </w:rPr>
              <w:t>14</w:t>
            </w:r>
          </w:p>
          <w:p w14:paraId="134640FC" w14:textId="25A67F88" w:rsidR="00CE5917" w:rsidRPr="005060E0" w:rsidRDefault="00D23D58" w:rsidP="00D23D5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 xml:space="preserve">annual </w:t>
            </w:r>
            <w:r w:rsidR="00CE5917" w:rsidRPr="005060E0">
              <w:rPr>
                <w:rFonts w:cs="Arial"/>
                <w:b w:val="0"/>
                <w:color w:val="FFFFFF" w:themeColor="background1"/>
                <w:sz w:val="15"/>
                <w:szCs w:val="15"/>
              </w:rPr>
              <w:t>average</w:t>
            </w:r>
            <w:r w:rsidR="00CE5917" w:rsidRPr="005060E0">
              <w:rPr>
                <w:rFonts w:cs="Arial"/>
                <w:b w:val="0"/>
                <w:color w:val="FFFFFF" w:themeColor="background1"/>
                <w:sz w:val="15"/>
                <w:szCs w:val="15"/>
                <w:vertAlign w:val="superscript"/>
              </w:rPr>
              <w:t>(a)</w:t>
            </w:r>
          </w:p>
        </w:tc>
        <w:tc>
          <w:tcPr>
            <w:tcW w:w="850" w:type="dxa"/>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0937B2D5" w14:textId="77777777" w:rsidR="00CE5917" w:rsidRPr="005060E0" w:rsidRDefault="00CE5917" w:rsidP="00D23D5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2016</w:t>
            </w:r>
          </w:p>
        </w:tc>
        <w:tc>
          <w:tcPr>
            <w:tcW w:w="851" w:type="dxa"/>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38D43A18" w14:textId="77777777" w:rsidR="00CE5917" w:rsidRPr="005060E0" w:rsidRDefault="00CE5917" w:rsidP="00D23D5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2021</w:t>
            </w:r>
          </w:p>
        </w:tc>
        <w:tc>
          <w:tcPr>
            <w:tcW w:w="850" w:type="dxa"/>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40C584B5" w14:textId="77777777" w:rsidR="00CE5917" w:rsidRPr="005060E0" w:rsidRDefault="00CE5917" w:rsidP="00D23D5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2031</w:t>
            </w:r>
          </w:p>
        </w:tc>
        <w:tc>
          <w:tcPr>
            <w:tcW w:w="851" w:type="dxa"/>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7480F35C" w14:textId="77777777" w:rsidR="00CE5917" w:rsidRPr="005060E0" w:rsidRDefault="00CE5917" w:rsidP="00D23D5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2040</w:t>
            </w:r>
          </w:p>
        </w:tc>
        <w:tc>
          <w:tcPr>
            <w:tcW w:w="1417" w:type="dxa"/>
            <w:tcBorders>
              <w:top w:val="single" w:sz="4" w:space="0" w:color="606072"/>
              <w:left w:val="single" w:sz="4" w:space="0" w:color="606072"/>
              <w:bottom w:val="single" w:sz="4" w:space="0" w:color="606072"/>
              <w:right w:val="single" w:sz="4" w:space="0" w:color="606072"/>
            </w:tcBorders>
            <w:shd w:val="clear" w:color="auto" w:fill="808080" w:themeFill="background1" w:themeFillShade="80"/>
            <w:tcMar>
              <w:left w:w="28" w:type="dxa"/>
              <w:right w:w="28" w:type="dxa"/>
            </w:tcMar>
            <w:vAlign w:val="center"/>
          </w:tcPr>
          <w:p w14:paraId="660E2ADF" w14:textId="012FC446" w:rsidR="00CE5917" w:rsidRPr="005060E0" w:rsidRDefault="00D23D58" w:rsidP="00D23D5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2010</w:t>
            </w:r>
            <w:r w:rsidR="00DF4D3A" w:rsidRPr="005060E0">
              <w:rPr>
                <w:rFonts w:cs="Arial"/>
                <w:b w:val="0"/>
                <w:color w:val="FFFFFF" w:themeColor="background1"/>
                <w:sz w:val="15"/>
                <w:szCs w:val="15"/>
              </w:rPr>
              <w:t>–20</w:t>
            </w:r>
            <w:r w:rsidR="00CE5917" w:rsidRPr="005060E0">
              <w:rPr>
                <w:rFonts w:cs="Arial"/>
                <w:b w:val="0"/>
                <w:color w:val="FFFFFF" w:themeColor="background1"/>
                <w:sz w:val="15"/>
                <w:szCs w:val="15"/>
              </w:rPr>
              <w:t>14</w:t>
            </w:r>
          </w:p>
          <w:p w14:paraId="488F9F0D" w14:textId="77B16B7C" w:rsidR="00CE5917" w:rsidRPr="005060E0" w:rsidRDefault="00D23D58" w:rsidP="00D23D5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annual</w:t>
            </w:r>
            <w:r w:rsidR="00CE5917" w:rsidRPr="005060E0">
              <w:rPr>
                <w:rFonts w:cs="Arial"/>
                <w:b w:val="0"/>
                <w:color w:val="FFFFFF" w:themeColor="background1"/>
                <w:sz w:val="15"/>
                <w:szCs w:val="15"/>
              </w:rPr>
              <w:t xml:space="preserve"> average</w:t>
            </w:r>
            <w:r w:rsidR="00CE5917" w:rsidRPr="005060E0">
              <w:rPr>
                <w:rFonts w:cs="Arial"/>
                <w:b w:val="0"/>
                <w:color w:val="FFFFFF" w:themeColor="background1"/>
                <w:sz w:val="15"/>
                <w:szCs w:val="15"/>
                <w:vertAlign w:val="superscript"/>
              </w:rPr>
              <w:t>(a)</w:t>
            </w:r>
          </w:p>
        </w:tc>
        <w:tc>
          <w:tcPr>
            <w:tcW w:w="709"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48D5A118" w14:textId="77777777" w:rsidR="00CE5917" w:rsidRPr="005060E0" w:rsidRDefault="00CE5917" w:rsidP="00D23D5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2016</w:t>
            </w:r>
          </w:p>
        </w:tc>
        <w:tc>
          <w:tcPr>
            <w:tcW w:w="709" w:type="dxa"/>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4691FAB9" w14:textId="77777777" w:rsidR="00CE5917" w:rsidRPr="005060E0" w:rsidRDefault="00CE5917" w:rsidP="00D23D5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2021</w:t>
            </w:r>
          </w:p>
        </w:tc>
        <w:tc>
          <w:tcPr>
            <w:tcW w:w="709" w:type="dxa"/>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694C5F59" w14:textId="77777777" w:rsidR="00CE5917" w:rsidRPr="005060E0" w:rsidRDefault="00CE5917" w:rsidP="00D23D5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2031</w:t>
            </w:r>
          </w:p>
        </w:tc>
        <w:tc>
          <w:tcPr>
            <w:tcW w:w="708" w:type="dxa"/>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31F2D8DC" w14:textId="77777777" w:rsidR="00CE5917" w:rsidRPr="005060E0" w:rsidRDefault="00CE5917" w:rsidP="00D23D5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2040</w:t>
            </w:r>
          </w:p>
        </w:tc>
      </w:tr>
      <w:tr w:rsidR="005D3208" w:rsidRPr="005060E0" w14:paraId="1BDB3A65" w14:textId="77777777" w:rsidTr="005D3208">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1000000000" w:firstRow="0" w:lastRow="0" w:firstColumn="1" w:lastColumn="0" w:oddVBand="0" w:evenVBand="0" w:oddHBand="0" w:evenHBand="0" w:firstRowFirstColumn="0" w:firstRowLastColumn="0" w:lastRowFirstColumn="0" w:lastRowLastColumn="0"/>
            <w:tcW w:w="11902" w:type="dxa"/>
            <w:gridSpan w:val="13"/>
            <w:tcBorders>
              <w:top w:val="single" w:sz="4" w:space="0" w:color="606072"/>
              <w:left w:val="single" w:sz="4" w:space="0" w:color="606072"/>
              <w:bottom w:val="single" w:sz="4" w:space="0" w:color="606072"/>
              <w:right w:val="single" w:sz="4" w:space="0" w:color="606072"/>
            </w:tcBorders>
            <w:shd w:val="clear" w:color="auto" w:fill="BFBFBF" w:themeFill="background1" w:themeFillShade="BF"/>
            <w:tcMar>
              <w:left w:w="28" w:type="dxa"/>
              <w:right w:w="28" w:type="dxa"/>
            </w:tcMar>
            <w:vAlign w:val="center"/>
          </w:tcPr>
          <w:p w14:paraId="58BE6951" w14:textId="35A4525D" w:rsidR="005D3208" w:rsidRPr="005060E0" w:rsidRDefault="005D3208" w:rsidP="005D3208">
            <w:pPr>
              <w:widowControl w:val="0"/>
              <w:spacing w:after="0" w:line="240" w:lineRule="auto"/>
              <w:rPr>
                <w:rFonts w:cs="Arial"/>
                <w:sz w:val="15"/>
                <w:szCs w:val="15"/>
              </w:rPr>
            </w:pPr>
            <w:r w:rsidRPr="005060E0">
              <w:rPr>
                <w:rFonts w:cs="Arial"/>
                <w:b w:val="0"/>
                <w:sz w:val="15"/>
                <w:szCs w:val="15"/>
              </w:rPr>
              <w:t>Total number of unique exceedance days</w:t>
            </w:r>
          </w:p>
        </w:tc>
      </w:tr>
      <w:tr w:rsidR="007F77AB" w:rsidRPr="005060E0" w14:paraId="2E11A55E" w14:textId="77777777" w:rsidTr="005D3208">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71D8C56C" w14:textId="77777777" w:rsidR="00CE5917" w:rsidRPr="005060E0" w:rsidRDefault="00CE5917" w:rsidP="00D23D58">
            <w:pPr>
              <w:widowControl w:val="0"/>
              <w:spacing w:after="0" w:line="240" w:lineRule="auto"/>
              <w:jc w:val="center"/>
              <w:rPr>
                <w:rFonts w:cs="Arial"/>
                <w:b w:val="0"/>
                <w:sz w:val="15"/>
                <w:szCs w:val="15"/>
              </w:rPr>
            </w:pPr>
            <w:r w:rsidRPr="005060E0">
              <w:rPr>
                <w:rFonts w:cs="Arial"/>
                <w:b w:val="0"/>
                <w:sz w:val="15"/>
                <w:szCs w:val="15"/>
              </w:rPr>
              <w:t>1-hour</w:t>
            </w:r>
          </w:p>
        </w:tc>
        <w:tc>
          <w:tcPr>
            <w:tcW w:w="1559" w:type="dxa"/>
            <w:tcBorders>
              <w:top w:val="single" w:sz="4" w:space="0" w:color="606072"/>
              <w:left w:val="dotted" w:sz="4" w:space="0" w:color="606372" w:themeColor="text2"/>
              <w:bottom w:val="dotted" w:sz="4" w:space="0" w:color="606072"/>
              <w:right w:val="single" w:sz="4" w:space="0" w:color="606072"/>
            </w:tcBorders>
            <w:shd w:val="clear" w:color="auto" w:fill="DEDFE3" w:themeFill="text2" w:themeFillTint="33"/>
            <w:tcMar>
              <w:left w:w="28" w:type="dxa"/>
              <w:right w:w="28" w:type="dxa"/>
            </w:tcMar>
            <w:vAlign w:val="center"/>
          </w:tcPr>
          <w:p w14:paraId="241AB174" w14:textId="77777777" w:rsidR="00CE5917" w:rsidRPr="005060E0" w:rsidRDefault="00CE5917"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75</w:t>
            </w:r>
          </w:p>
        </w:tc>
        <w:tc>
          <w:tcPr>
            <w:tcW w:w="425" w:type="dxa"/>
            <w:tcBorders>
              <w:top w:val="single" w:sz="4" w:space="0" w:color="606072"/>
              <w:left w:val="single" w:sz="4" w:space="0" w:color="606072"/>
              <w:bottom w:val="nil"/>
              <w:right w:val="single" w:sz="4" w:space="0" w:color="606072"/>
            </w:tcBorders>
            <w:tcMar>
              <w:left w:w="28" w:type="dxa"/>
              <w:right w:w="28" w:type="dxa"/>
            </w:tcMar>
          </w:tcPr>
          <w:p w14:paraId="2F16744D" w14:textId="77777777" w:rsidR="00CE5917" w:rsidRPr="005060E0" w:rsidRDefault="00CE5917"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1418" w:type="dxa"/>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0B787A8E" w14:textId="2E792DF6"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850" w:type="dxa"/>
            <w:tcBorders>
              <w:top w:val="single" w:sz="4" w:space="0" w:color="606072"/>
              <w:left w:val="dotted" w:sz="4" w:space="0" w:color="606072"/>
              <w:bottom w:val="dotted" w:sz="4" w:space="0" w:color="606072"/>
              <w:right w:val="dotted" w:sz="4" w:space="0" w:color="606072"/>
            </w:tcBorders>
            <w:tcMar>
              <w:left w:w="28" w:type="dxa"/>
              <w:right w:w="28" w:type="dxa"/>
            </w:tcMar>
            <w:vAlign w:val="center"/>
          </w:tcPr>
          <w:p w14:paraId="28023F20" w14:textId="62F0BB55"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851"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793C8889" w14:textId="2DA17754"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850"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224EEEC6" w14:textId="08AE355C"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851" w:type="dxa"/>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492AF746" w14:textId="5AA637A8"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1417" w:type="dxa"/>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105D0E00" w14:textId="0BDE7894"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709" w:type="dxa"/>
            <w:tcBorders>
              <w:top w:val="single" w:sz="4" w:space="0" w:color="606072"/>
              <w:left w:val="dotted" w:sz="4" w:space="0" w:color="606072"/>
              <w:bottom w:val="dotted" w:sz="4" w:space="0" w:color="606072"/>
              <w:right w:val="dotted" w:sz="4" w:space="0" w:color="606072"/>
            </w:tcBorders>
            <w:vAlign w:val="center"/>
          </w:tcPr>
          <w:p w14:paraId="5CEEDA1C" w14:textId="3F3AB0DD"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709"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52324248" w14:textId="175C5C81"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709" w:type="dxa"/>
            <w:tcBorders>
              <w:top w:val="single" w:sz="4" w:space="0" w:color="606072"/>
              <w:left w:val="dotted" w:sz="4" w:space="0" w:color="606072"/>
              <w:bottom w:val="dotted" w:sz="4" w:space="0" w:color="606072"/>
              <w:right w:val="dotted" w:sz="4" w:space="0" w:color="808080" w:themeColor="background1" w:themeShade="80"/>
            </w:tcBorders>
            <w:shd w:val="clear" w:color="auto" w:fill="auto"/>
            <w:tcMar>
              <w:left w:w="28" w:type="dxa"/>
              <w:right w:w="28" w:type="dxa"/>
            </w:tcMar>
            <w:vAlign w:val="center"/>
          </w:tcPr>
          <w:p w14:paraId="6D25A363" w14:textId="664B1203"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708" w:type="dxa"/>
            <w:tcBorders>
              <w:top w:val="single" w:sz="4" w:space="0" w:color="606072"/>
              <w:left w:val="dotted" w:sz="4" w:space="0" w:color="808080" w:themeColor="background1" w:themeShade="80"/>
              <w:bottom w:val="dotted" w:sz="4" w:space="0" w:color="606072"/>
              <w:right w:val="single" w:sz="4" w:space="0" w:color="606072"/>
            </w:tcBorders>
            <w:shd w:val="clear" w:color="auto" w:fill="auto"/>
            <w:tcMar>
              <w:left w:w="28" w:type="dxa"/>
              <w:right w:w="28" w:type="dxa"/>
            </w:tcMar>
            <w:vAlign w:val="center"/>
          </w:tcPr>
          <w:p w14:paraId="57FA07FF" w14:textId="15C72045"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r>
      <w:tr w:rsidR="007F77AB" w:rsidRPr="005060E0" w14:paraId="71598B7F" w14:textId="77777777" w:rsidTr="005D3208">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7601D7EB" w14:textId="77777777" w:rsidR="00CE5917" w:rsidRPr="005060E0" w:rsidRDefault="00CE5917" w:rsidP="00D23D58">
            <w:pPr>
              <w:widowControl w:val="0"/>
              <w:spacing w:after="0" w:line="240" w:lineRule="auto"/>
              <w:jc w:val="center"/>
              <w:rPr>
                <w:rFonts w:cs="Arial"/>
                <w:b w:val="0"/>
                <w:sz w:val="15"/>
                <w:szCs w:val="15"/>
              </w:rPr>
            </w:pPr>
          </w:p>
        </w:tc>
        <w:tc>
          <w:tcPr>
            <w:tcW w:w="1559" w:type="dxa"/>
            <w:tcBorders>
              <w:top w:val="dotted" w:sz="4" w:space="0" w:color="606072"/>
              <w:left w:val="dotted" w:sz="4" w:space="0" w:color="606372" w:themeColor="text2"/>
              <w:bottom w:val="dotted" w:sz="4" w:space="0" w:color="606072"/>
              <w:right w:val="single" w:sz="4" w:space="0" w:color="606072"/>
            </w:tcBorders>
            <w:shd w:val="clear" w:color="auto" w:fill="DEDFE3" w:themeFill="text2" w:themeFillTint="33"/>
            <w:tcMar>
              <w:left w:w="28" w:type="dxa"/>
              <w:right w:w="28" w:type="dxa"/>
            </w:tcMar>
            <w:vAlign w:val="center"/>
          </w:tcPr>
          <w:p w14:paraId="3FC54B3B" w14:textId="77777777" w:rsidR="00CE5917" w:rsidRPr="005060E0" w:rsidRDefault="00CE5917"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100</w:t>
            </w:r>
          </w:p>
        </w:tc>
        <w:tc>
          <w:tcPr>
            <w:tcW w:w="425" w:type="dxa"/>
            <w:tcBorders>
              <w:top w:val="nil"/>
              <w:left w:val="single" w:sz="4" w:space="0" w:color="606072"/>
              <w:bottom w:val="nil"/>
              <w:right w:val="single" w:sz="4" w:space="0" w:color="606072"/>
            </w:tcBorders>
            <w:tcMar>
              <w:left w:w="28" w:type="dxa"/>
              <w:right w:w="28" w:type="dxa"/>
            </w:tcMar>
          </w:tcPr>
          <w:p w14:paraId="0EE3EFD4" w14:textId="77777777" w:rsidR="00CE5917" w:rsidRPr="005060E0" w:rsidRDefault="00CE5917"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p>
        </w:tc>
        <w:tc>
          <w:tcPr>
            <w:tcW w:w="1418" w:type="dxa"/>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59743FE0" w14:textId="5CDA06CD"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850" w:type="dxa"/>
            <w:tcBorders>
              <w:top w:val="dotted" w:sz="4" w:space="0" w:color="606072"/>
              <w:left w:val="dotted" w:sz="4" w:space="0" w:color="606072"/>
              <w:bottom w:val="dotted" w:sz="4" w:space="0" w:color="606072"/>
              <w:right w:val="dotted" w:sz="4" w:space="0" w:color="606072"/>
            </w:tcBorders>
            <w:tcMar>
              <w:left w:w="28" w:type="dxa"/>
              <w:right w:w="28" w:type="dxa"/>
            </w:tcMar>
            <w:vAlign w:val="center"/>
          </w:tcPr>
          <w:p w14:paraId="5BC3667D" w14:textId="4AC7FCA1"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851"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723FBBBF" w14:textId="546A598D"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850"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121295A3" w14:textId="329C55F8"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851" w:type="dxa"/>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6E033C71" w14:textId="7B6A3533"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1417" w:type="dxa"/>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0D32BE07" w14:textId="5C068E5F"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vAlign w:val="center"/>
          </w:tcPr>
          <w:p w14:paraId="6EB0D97F" w14:textId="0298713A"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1194DDDE" w14:textId="0108659D"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709" w:type="dxa"/>
            <w:tcBorders>
              <w:top w:val="dotted" w:sz="4" w:space="0" w:color="606072"/>
              <w:left w:val="dotted" w:sz="4" w:space="0" w:color="606072"/>
              <w:bottom w:val="dotted" w:sz="4" w:space="0" w:color="606072"/>
              <w:right w:val="dotted" w:sz="4" w:space="0" w:color="808080" w:themeColor="background1" w:themeShade="80"/>
            </w:tcBorders>
            <w:shd w:val="clear" w:color="auto" w:fill="auto"/>
            <w:tcMar>
              <w:left w:w="28" w:type="dxa"/>
              <w:right w:w="28" w:type="dxa"/>
            </w:tcMar>
            <w:vAlign w:val="center"/>
          </w:tcPr>
          <w:p w14:paraId="17104386" w14:textId="3569CE20"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708" w:type="dxa"/>
            <w:tcBorders>
              <w:top w:val="dotted" w:sz="4" w:space="0" w:color="606072"/>
              <w:left w:val="dotted" w:sz="4" w:space="0" w:color="808080" w:themeColor="background1" w:themeShade="80"/>
              <w:bottom w:val="dotted" w:sz="4" w:space="0" w:color="606072"/>
              <w:right w:val="single" w:sz="4" w:space="0" w:color="606072"/>
            </w:tcBorders>
            <w:shd w:val="clear" w:color="auto" w:fill="auto"/>
            <w:tcMar>
              <w:left w:w="28" w:type="dxa"/>
              <w:right w:w="28" w:type="dxa"/>
            </w:tcMar>
            <w:vAlign w:val="center"/>
          </w:tcPr>
          <w:p w14:paraId="65FB3628" w14:textId="4D50FFDC"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r>
      <w:tr w:rsidR="007F77AB" w:rsidRPr="005060E0" w14:paraId="5F4892C7" w14:textId="77777777" w:rsidTr="005D3208">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134987B7" w14:textId="77777777" w:rsidR="00CE5917" w:rsidRPr="005060E0" w:rsidRDefault="00CE5917" w:rsidP="00D23D58">
            <w:pPr>
              <w:widowControl w:val="0"/>
              <w:spacing w:after="0" w:line="240" w:lineRule="auto"/>
              <w:jc w:val="center"/>
              <w:rPr>
                <w:rFonts w:cs="Arial"/>
                <w:b w:val="0"/>
                <w:sz w:val="15"/>
                <w:szCs w:val="15"/>
              </w:rPr>
            </w:pPr>
          </w:p>
        </w:tc>
        <w:tc>
          <w:tcPr>
            <w:tcW w:w="1559" w:type="dxa"/>
            <w:tcBorders>
              <w:top w:val="dotted" w:sz="4" w:space="0" w:color="606072"/>
              <w:left w:val="dotted" w:sz="4" w:space="0" w:color="606372" w:themeColor="text2"/>
              <w:bottom w:val="dotted" w:sz="4" w:space="0" w:color="606072"/>
              <w:right w:val="single" w:sz="4" w:space="0" w:color="606072"/>
            </w:tcBorders>
            <w:shd w:val="clear" w:color="auto" w:fill="DEDFE3" w:themeFill="text2" w:themeFillTint="33"/>
            <w:tcMar>
              <w:left w:w="28" w:type="dxa"/>
              <w:right w:w="28" w:type="dxa"/>
            </w:tcMar>
            <w:vAlign w:val="center"/>
          </w:tcPr>
          <w:p w14:paraId="06E845A2" w14:textId="77777777" w:rsidR="00CE5917" w:rsidRPr="005060E0" w:rsidRDefault="00CE5917"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150</w:t>
            </w:r>
          </w:p>
        </w:tc>
        <w:tc>
          <w:tcPr>
            <w:tcW w:w="425" w:type="dxa"/>
            <w:tcBorders>
              <w:top w:val="nil"/>
              <w:left w:val="single" w:sz="4" w:space="0" w:color="606072"/>
              <w:bottom w:val="nil"/>
              <w:right w:val="single" w:sz="4" w:space="0" w:color="606072"/>
            </w:tcBorders>
            <w:tcMar>
              <w:left w:w="28" w:type="dxa"/>
              <w:right w:w="28" w:type="dxa"/>
            </w:tcMar>
          </w:tcPr>
          <w:p w14:paraId="17C41CA3" w14:textId="77777777" w:rsidR="00CE5917" w:rsidRPr="005060E0" w:rsidRDefault="00CE5917"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1418" w:type="dxa"/>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598B6950" w14:textId="0B2E7D51"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850" w:type="dxa"/>
            <w:tcBorders>
              <w:top w:val="dotted" w:sz="4" w:space="0" w:color="606072"/>
              <w:left w:val="dotted" w:sz="4" w:space="0" w:color="606072"/>
              <w:bottom w:val="dotted" w:sz="4" w:space="0" w:color="606072"/>
              <w:right w:val="dotted" w:sz="4" w:space="0" w:color="606072"/>
            </w:tcBorders>
            <w:tcMar>
              <w:left w:w="28" w:type="dxa"/>
              <w:right w:w="28" w:type="dxa"/>
            </w:tcMar>
            <w:vAlign w:val="center"/>
          </w:tcPr>
          <w:p w14:paraId="54540292" w14:textId="7E0A8660"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851"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35F37315" w14:textId="36960417"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850"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5792B083" w14:textId="722DA50B"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851" w:type="dxa"/>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318A8129" w14:textId="0D6DAB67"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1417" w:type="dxa"/>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2989C721" w14:textId="380D2887"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vAlign w:val="center"/>
          </w:tcPr>
          <w:p w14:paraId="25A91089" w14:textId="71186F7C"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61EC1F8D" w14:textId="4B937F39"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709" w:type="dxa"/>
            <w:tcBorders>
              <w:top w:val="dotted" w:sz="4" w:space="0" w:color="606072"/>
              <w:left w:val="dotted" w:sz="4" w:space="0" w:color="606072"/>
              <w:bottom w:val="dotted" w:sz="4" w:space="0" w:color="606072"/>
              <w:right w:val="dotted" w:sz="4" w:space="0" w:color="808080" w:themeColor="background1" w:themeShade="80"/>
            </w:tcBorders>
            <w:shd w:val="clear" w:color="auto" w:fill="auto"/>
            <w:tcMar>
              <w:left w:w="28" w:type="dxa"/>
              <w:right w:w="28" w:type="dxa"/>
            </w:tcMar>
            <w:vAlign w:val="center"/>
          </w:tcPr>
          <w:p w14:paraId="3A833E83" w14:textId="1B3CB870"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708" w:type="dxa"/>
            <w:tcBorders>
              <w:top w:val="dotted" w:sz="4" w:space="0" w:color="606072"/>
              <w:left w:val="dotted" w:sz="4" w:space="0" w:color="808080" w:themeColor="background1" w:themeShade="80"/>
              <w:bottom w:val="dotted" w:sz="4" w:space="0" w:color="606072"/>
              <w:right w:val="single" w:sz="4" w:space="0" w:color="606072"/>
            </w:tcBorders>
            <w:shd w:val="clear" w:color="auto" w:fill="auto"/>
            <w:tcMar>
              <w:left w:w="28" w:type="dxa"/>
              <w:right w:w="28" w:type="dxa"/>
            </w:tcMar>
            <w:vAlign w:val="center"/>
          </w:tcPr>
          <w:p w14:paraId="5801FCB5" w14:textId="57F9EFC9"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r>
      <w:tr w:rsidR="007F77AB" w:rsidRPr="005060E0" w14:paraId="028E2473" w14:textId="77777777" w:rsidTr="00D41B95">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7E33D320" w14:textId="77777777" w:rsidR="00CE5917" w:rsidRPr="005060E0" w:rsidRDefault="00CE5917" w:rsidP="00D23D58">
            <w:pPr>
              <w:widowControl w:val="0"/>
              <w:spacing w:after="0" w:line="240" w:lineRule="auto"/>
              <w:jc w:val="center"/>
              <w:rPr>
                <w:rFonts w:cs="Arial"/>
                <w:b w:val="0"/>
                <w:sz w:val="15"/>
                <w:szCs w:val="15"/>
              </w:rPr>
            </w:pPr>
          </w:p>
        </w:tc>
        <w:tc>
          <w:tcPr>
            <w:tcW w:w="1559" w:type="dxa"/>
            <w:tcBorders>
              <w:top w:val="dotted" w:sz="4" w:space="0" w:color="606072"/>
              <w:left w:val="dotted" w:sz="4" w:space="0" w:color="606372" w:themeColor="text2"/>
              <w:bottom w:val="single" w:sz="4" w:space="0" w:color="606072"/>
              <w:right w:val="single" w:sz="4" w:space="0" w:color="606072"/>
            </w:tcBorders>
            <w:shd w:val="clear" w:color="auto" w:fill="D5E5FF"/>
            <w:tcMar>
              <w:left w:w="28" w:type="dxa"/>
              <w:right w:w="28" w:type="dxa"/>
            </w:tcMar>
            <w:vAlign w:val="center"/>
          </w:tcPr>
          <w:p w14:paraId="253775FA" w14:textId="77777777" w:rsidR="00CE5917" w:rsidRPr="005060E0" w:rsidRDefault="00CE5917"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200</w:t>
            </w:r>
          </w:p>
        </w:tc>
        <w:tc>
          <w:tcPr>
            <w:tcW w:w="425" w:type="dxa"/>
            <w:tcBorders>
              <w:top w:val="nil"/>
              <w:left w:val="single" w:sz="4" w:space="0" w:color="606072"/>
              <w:bottom w:val="single" w:sz="4" w:space="0" w:color="606072"/>
              <w:right w:val="single" w:sz="4" w:space="0" w:color="606072"/>
            </w:tcBorders>
            <w:tcMar>
              <w:left w:w="28" w:type="dxa"/>
              <w:right w:w="28" w:type="dxa"/>
            </w:tcMar>
          </w:tcPr>
          <w:p w14:paraId="5BB5BB54" w14:textId="77777777" w:rsidR="00CE5917" w:rsidRPr="005060E0" w:rsidRDefault="00CE5917"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p>
        </w:tc>
        <w:tc>
          <w:tcPr>
            <w:tcW w:w="1418" w:type="dxa"/>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65E0789A" w14:textId="4540BD79"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850"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6F7FAC25" w14:textId="3B9C0856"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851"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0FFBFF7B" w14:textId="3B60B9A2"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850"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5184C4DC" w14:textId="055DE1D8"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851" w:type="dxa"/>
            <w:tcBorders>
              <w:top w:val="dotted" w:sz="4" w:space="0" w:color="606072"/>
              <w:left w:val="dotted" w:sz="4" w:space="0" w:color="606072"/>
              <w:bottom w:val="single" w:sz="4" w:space="0" w:color="606072"/>
              <w:right w:val="single" w:sz="4" w:space="0" w:color="606072"/>
            </w:tcBorders>
            <w:shd w:val="clear" w:color="auto" w:fill="D5E5FF"/>
            <w:tcMar>
              <w:left w:w="28" w:type="dxa"/>
              <w:right w:w="28" w:type="dxa"/>
            </w:tcMar>
            <w:vAlign w:val="center"/>
          </w:tcPr>
          <w:p w14:paraId="6D810815" w14:textId="0F872FFC"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1417" w:type="dxa"/>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0A1FF782" w14:textId="0D92AF70"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709"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0766DCAB" w14:textId="58256039"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709"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102C4692" w14:textId="0EF9DDE0"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709" w:type="dxa"/>
            <w:tcBorders>
              <w:top w:val="dotted" w:sz="4" w:space="0" w:color="606072"/>
              <w:left w:val="dotted" w:sz="4" w:space="0" w:color="606072"/>
              <w:bottom w:val="single" w:sz="4" w:space="0" w:color="606072"/>
              <w:right w:val="dotted" w:sz="4" w:space="0" w:color="808080" w:themeColor="background1" w:themeShade="80"/>
            </w:tcBorders>
            <w:shd w:val="clear" w:color="auto" w:fill="D5E5FF"/>
            <w:tcMar>
              <w:left w:w="28" w:type="dxa"/>
              <w:right w:w="28" w:type="dxa"/>
            </w:tcMar>
            <w:vAlign w:val="center"/>
          </w:tcPr>
          <w:p w14:paraId="0D9BF63B" w14:textId="7790E8AC"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708" w:type="dxa"/>
            <w:tcBorders>
              <w:top w:val="dotted" w:sz="4" w:space="0" w:color="606072"/>
              <w:left w:val="dotted" w:sz="4" w:space="0" w:color="808080" w:themeColor="background1" w:themeShade="80"/>
              <w:bottom w:val="single" w:sz="4" w:space="0" w:color="606072"/>
              <w:right w:val="single" w:sz="4" w:space="0" w:color="606072"/>
            </w:tcBorders>
            <w:shd w:val="clear" w:color="auto" w:fill="D5E5FF"/>
            <w:tcMar>
              <w:left w:w="28" w:type="dxa"/>
              <w:right w:w="28" w:type="dxa"/>
            </w:tcMar>
            <w:vAlign w:val="center"/>
          </w:tcPr>
          <w:p w14:paraId="3341E8D6" w14:textId="2DDD459E"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r>
      <w:tr w:rsidR="005D3208" w:rsidRPr="005060E0" w14:paraId="58E1FAD8" w14:textId="77777777" w:rsidTr="005D3208">
        <w:trPr>
          <w:trHeight w:hRule="exact" w:val="255"/>
          <w:jc w:val="center"/>
        </w:trPr>
        <w:tc>
          <w:tcPr>
            <w:cnfStyle w:val="001000000000" w:firstRow="0" w:lastRow="0" w:firstColumn="1" w:lastColumn="0" w:oddVBand="0" w:evenVBand="0" w:oddHBand="0" w:evenHBand="0" w:firstRowFirstColumn="0" w:firstRowLastColumn="0" w:lastRowFirstColumn="0" w:lastRowLastColumn="0"/>
            <w:tcW w:w="11902" w:type="dxa"/>
            <w:gridSpan w:val="13"/>
            <w:tcBorders>
              <w:top w:val="single" w:sz="4" w:space="0" w:color="606072"/>
              <w:left w:val="single" w:sz="4" w:space="0" w:color="606072"/>
              <w:bottom w:val="single" w:sz="4" w:space="0" w:color="606072"/>
              <w:right w:val="single" w:sz="4" w:space="0" w:color="606072"/>
            </w:tcBorders>
            <w:shd w:val="clear" w:color="auto" w:fill="BFBFBF" w:themeFill="background1" w:themeFillShade="BF"/>
            <w:tcMar>
              <w:left w:w="28" w:type="dxa"/>
              <w:right w:w="28" w:type="dxa"/>
            </w:tcMar>
            <w:vAlign w:val="center"/>
          </w:tcPr>
          <w:p w14:paraId="5BFECBEC" w14:textId="5C16254B" w:rsidR="005D3208" w:rsidRPr="005060E0" w:rsidRDefault="005D3208" w:rsidP="005D3208">
            <w:pPr>
              <w:widowControl w:val="0"/>
              <w:spacing w:after="0" w:line="240" w:lineRule="auto"/>
              <w:rPr>
                <w:rFonts w:cs="Arial"/>
                <w:sz w:val="15"/>
                <w:szCs w:val="15"/>
              </w:rPr>
            </w:pPr>
            <w:r w:rsidRPr="005060E0">
              <w:rPr>
                <w:rFonts w:cs="Arial"/>
                <w:b w:val="0"/>
                <w:sz w:val="15"/>
                <w:szCs w:val="15"/>
              </w:rPr>
              <w:t>Total number of unique exceedance days</w:t>
            </w:r>
          </w:p>
        </w:tc>
      </w:tr>
      <w:tr w:rsidR="007F77AB" w:rsidRPr="005060E0" w14:paraId="7EDF1505" w14:textId="77777777" w:rsidTr="005D3208">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221906ED" w14:textId="77777777" w:rsidR="00CE5917" w:rsidRPr="005060E0" w:rsidRDefault="00CE5917" w:rsidP="00D23D58">
            <w:pPr>
              <w:widowControl w:val="0"/>
              <w:spacing w:after="0" w:line="240" w:lineRule="auto"/>
              <w:jc w:val="center"/>
              <w:rPr>
                <w:rFonts w:cs="Arial"/>
                <w:b w:val="0"/>
                <w:sz w:val="15"/>
                <w:szCs w:val="15"/>
              </w:rPr>
            </w:pPr>
            <w:r w:rsidRPr="005060E0">
              <w:rPr>
                <w:rFonts w:cs="Arial"/>
                <w:b w:val="0"/>
                <w:sz w:val="15"/>
                <w:szCs w:val="15"/>
              </w:rPr>
              <w:t>24-hour</w:t>
            </w:r>
          </w:p>
        </w:tc>
        <w:tc>
          <w:tcPr>
            <w:tcW w:w="1559" w:type="dxa"/>
            <w:tcBorders>
              <w:top w:val="single" w:sz="4" w:space="0" w:color="606072"/>
              <w:left w:val="dotted" w:sz="4" w:space="0" w:color="606372" w:themeColor="text2"/>
              <w:bottom w:val="dotted" w:sz="4" w:space="0" w:color="606072"/>
              <w:right w:val="single" w:sz="4" w:space="0" w:color="606072"/>
            </w:tcBorders>
            <w:shd w:val="clear" w:color="auto" w:fill="DEDFE3" w:themeFill="text2" w:themeFillTint="33"/>
            <w:tcMar>
              <w:left w:w="28" w:type="dxa"/>
              <w:right w:w="28" w:type="dxa"/>
            </w:tcMar>
            <w:vAlign w:val="center"/>
          </w:tcPr>
          <w:p w14:paraId="352B7FF4" w14:textId="77777777" w:rsidR="00CE5917" w:rsidRPr="005060E0" w:rsidRDefault="00CE5917"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7</w:t>
            </w:r>
          </w:p>
        </w:tc>
        <w:tc>
          <w:tcPr>
            <w:tcW w:w="425" w:type="dxa"/>
            <w:tcBorders>
              <w:top w:val="single" w:sz="4" w:space="0" w:color="606072"/>
              <w:left w:val="single" w:sz="4" w:space="0" w:color="606072"/>
              <w:bottom w:val="nil"/>
              <w:right w:val="single" w:sz="4" w:space="0" w:color="606072"/>
            </w:tcBorders>
            <w:tcMar>
              <w:left w:w="28" w:type="dxa"/>
              <w:right w:w="28" w:type="dxa"/>
            </w:tcMar>
          </w:tcPr>
          <w:p w14:paraId="60D8738E" w14:textId="77777777" w:rsidR="00CE5917" w:rsidRPr="005060E0" w:rsidRDefault="00CE5917"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p>
        </w:tc>
        <w:tc>
          <w:tcPr>
            <w:tcW w:w="1418" w:type="dxa"/>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6AD5E61A" w14:textId="77777777" w:rsidR="00CE5917" w:rsidRPr="005060E0" w:rsidRDefault="00CE5917"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9</w:t>
            </w:r>
          </w:p>
        </w:tc>
        <w:tc>
          <w:tcPr>
            <w:tcW w:w="850" w:type="dxa"/>
            <w:tcBorders>
              <w:top w:val="single" w:sz="4" w:space="0" w:color="606072"/>
              <w:left w:val="dotted" w:sz="4" w:space="0" w:color="606072"/>
              <w:bottom w:val="dotted" w:sz="4" w:space="0" w:color="606072"/>
              <w:right w:val="dotted" w:sz="4" w:space="0" w:color="606072"/>
            </w:tcBorders>
            <w:tcMar>
              <w:left w:w="28" w:type="dxa"/>
              <w:right w:w="28" w:type="dxa"/>
            </w:tcMar>
            <w:vAlign w:val="center"/>
          </w:tcPr>
          <w:p w14:paraId="2AE95348" w14:textId="7F63B464" w:rsidR="00CE5917" w:rsidRPr="005060E0" w:rsidRDefault="00812125"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81</w:t>
            </w:r>
          </w:p>
        </w:tc>
        <w:tc>
          <w:tcPr>
            <w:tcW w:w="851"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542CB0EB" w14:textId="0613C409" w:rsidR="00CE5917" w:rsidRPr="005060E0" w:rsidRDefault="00812125"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78</w:t>
            </w:r>
          </w:p>
        </w:tc>
        <w:tc>
          <w:tcPr>
            <w:tcW w:w="850"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518C1750" w14:textId="3B14A311" w:rsidR="00CE5917" w:rsidRPr="005060E0" w:rsidRDefault="00812125"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51</w:t>
            </w:r>
          </w:p>
        </w:tc>
        <w:tc>
          <w:tcPr>
            <w:tcW w:w="851" w:type="dxa"/>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06674024" w14:textId="64B13311" w:rsidR="00CE5917" w:rsidRPr="005060E0" w:rsidRDefault="00812125"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48</w:t>
            </w:r>
          </w:p>
        </w:tc>
        <w:tc>
          <w:tcPr>
            <w:tcW w:w="1417" w:type="dxa"/>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42146405" w14:textId="77777777" w:rsidR="00CE5917" w:rsidRPr="005060E0" w:rsidRDefault="00CE5917"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1</w:t>
            </w:r>
          </w:p>
        </w:tc>
        <w:tc>
          <w:tcPr>
            <w:tcW w:w="709" w:type="dxa"/>
            <w:tcBorders>
              <w:top w:val="single" w:sz="4" w:space="0" w:color="606072"/>
              <w:left w:val="dotted" w:sz="4" w:space="0" w:color="606072"/>
              <w:bottom w:val="dotted" w:sz="4" w:space="0" w:color="606072"/>
              <w:right w:val="dotted" w:sz="4" w:space="0" w:color="606072"/>
            </w:tcBorders>
            <w:vAlign w:val="center"/>
          </w:tcPr>
          <w:p w14:paraId="234DDD79" w14:textId="360A87D2" w:rsidR="00CE5917" w:rsidRPr="005060E0" w:rsidRDefault="00812125"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6</w:t>
            </w:r>
          </w:p>
        </w:tc>
        <w:tc>
          <w:tcPr>
            <w:tcW w:w="709"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7D3633A2" w14:textId="5C6748AE" w:rsidR="00CE5917" w:rsidRPr="005060E0" w:rsidRDefault="00812125"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6</w:t>
            </w:r>
          </w:p>
        </w:tc>
        <w:tc>
          <w:tcPr>
            <w:tcW w:w="709" w:type="dxa"/>
            <w:tcBorders>
              <w:top w:val="single" w:sz="4" w:space="0" w:color="606072"/>
              <w:left w:val="dotted" w:sz="4" w:space="0" w:color="606072"/>
              <w:bottom w:val="dotted" w:sz="4" w:space="0" w:color="606072"/>
              <w:right w:val="dotted" w:sz="4" w:space="0" w:color="808080" w:themeColor="background1" w:themeShade="80"/>
            </w:tcBorders>
            <w:shd w:val="clear" w:color="auto" w:fill="auto"/>
            <w:tcMar>
              <w:left w:w="28" w:type="dxa"/>
              <w:right w:w="28" w:type="dxa"/>
            </w:tcMar>
            <w:vAlign w:val="center"/>
          </w:tcPr>
          <w:p w14:paraId="2367D566" w14:textId="75E0D958" w:rsidR="00CE5917" w:rsidRPr="005060E0" w:rsidRDefault="00812125"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6</w:t>
            </w:r>
          </w:p>
        </w:tc>
        <w:tc>
          <w:tcPr>
            <w:tcW w:w="708" w:type="dxa"/>
            <w:tcBorders>
              <w:top w:val="single" w:sz="4" w:space="0" w:color="606072"/>
              <w:left w:val="dotted" w:sz="4" w:space="0" w:color="808080" w:themeColor="background1" w:themeShade="80"/>
              <w:bottom w:val="dotted" w:sz="4" w:space="0" w:color="606072"/>
              <w:right w:val="single" w:sz="4" w:space="0" w:color="606072"/>
            </w:tcBorders>
            <w:shd w:val="clear" w:color="auto" w:fill="auto"/>
            <w:tcMar>
              <w:left w:w="28" w:type="dxa"/>
              <w:right w:w="28" w:type="dxa"/>
            </w:tcMar>
            <w:vAlign w:val="center"/>
          </w:tcPr>
          <w:p w14:paraId="61727428" w14:textId="77777777" w:rsidR="00CE5917" w:rsidRPr="005060E0" w:rsidRDefault="00CE5917"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6</w:t>
            </w:r>
          </w:p>
        </w:tc>
      </w:tr>
      <w:tr w:rsidR="007F77AB" w:rsidRPr="005060E0" w14:paraId="7C16E964" w14:textId="77777777" w:rsidTr="005D3208">
        <w:trPr>
          <w:trHeight w:hRule="exact" w:val="255"/>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4F364FA2" w14:textId="77777777" w:rsidR="00CE5917" w:rsidRPr="005060E0" w:rsidRDefault="00CE5917" w:rsidP="00D23D58">
            <w:pPr>
              <w:widowControl w:val="0"/>
              <w:spacing w:after="0" w:line="240" w:lineRule="auto"/>
              <w:jc w:val="center"/>
              <w:rPr>
                <w:rFonts w:cs="Arial"/>
                <w:b w:val="0"/>
                <w:sz w:val="15"/>
                <w:szCs w:val="15"/>
              </w:rPr>
            </w:pPr>
          </w:p>
        </w:tc>
        <w:tc>
          <w:tcPr>
            <w:tcW w:w="1559" w:type="dxa"/>
            <w:tcBorders>
              <w:top w:val="dotted" w:sz="4" w:space="0" w:color="606072"/>
              <w:left w:val="dotted" w:sz="4" w:space="0" w:color="606372" w:themeColor="text2"/>
              <w:bottom w:val="dotted" w:sz="4" w:space="0" w:color="606072"/>
              <w:right w:val="single" w:sz="4" w:space="0" w:color="606072"/>
            </w:tcBorders>
            <w:shd w:val="clear" w:color="auto" w:fill="DEDFE3" w:themeFill="text2" w:themeFillTint="33"/>
            <w:tcMar>
              <w:left w:w="28" w:type="dxa"/>
              <w:right w:w="28" w:type="dxa"/>
            </w:tcMar>
            <w:vAlign w:val="center"/>
          </w:tcPr>
          <w:p w14:paraId="7199EC90" w14:textId="77777777" w:rsidR="00CE5917" w:rsidRPr="005060E0" w:rsidRDefault="00CE5917"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20</w:t>
            </w:r>
          </w:p>
        </w:tc>
        <w:tc>
          <w:tcPr>
            <w:tcW w:w="425" w:type="dxa"/>
            <w:tcBorders>
              <w:top w:val="nil"/>
              <w:left w:val="single" w:sz="4" w:space="0" w:color="606072"/>
              <w:bottom w:val="nil"/>
              <w:right w:val="single" w:sz="4" w:space="0" w:color="606072"/>
            </w:tcBorders>
            <w:tcMar>
              <w:left w:w="28" w:type="dxa"/>
              <w:right w:w="28" w:type="dxa"/>
            </w:tcMar>
          </w:tcPr>
          <w:p w14:paraId="3915540A" w14:textId="77777777" w:rsidR="00CE5917" w:rsidRPr="005060E0" w:rsidRDefault="00CE5917"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1418" w:type="dxa"/>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0245C3B3" w14:textId="39E9722C"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850" w:type="dxa"/>
            <w:tcBorders>
              <w:top w:val="dotted" w:sz="4" w:space="0" w:color="606072"/>
              <w:left w:val="dotted" w:sz="4" w:space="0" w:color="606072"/>
              <w:bottom w:val="dotted" w:sz="4" w:space="0" w:color="606072"/>
              <w:right w:val="dotted" w:sz="4" w:space="0" w:color="606072"/>
            </w:tcBorders>
            <w:tcMar>
              <w:left w:w="28" w:type="dxa"/>
              <w:right w:w="28" w:type="dxa"/>
            </w:tcMar>
            <w:vAlign w:val="center"/>
          </w:tcPr>
          <w:p w14:paraId="4971691E" w14:textId="3476D3D1"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851"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1EDA7B7F" w14:textId="5D6040C4"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850"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3EC06837" w14:textId="6056AE04"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851" w:type="dxa"/>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766ADED8" w14:textId="659C70DE"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1417" w:type="dxa"/>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7CF3EEA4" w14:textId="2EE5E8E3"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vAlign w:val="center"/>
          </w:tcPr>
          <w:p w14:paraId="3516F241" w14:textId="14D8E74A"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4C587803" w14:textId="567086A0"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709" w:type="dxa"/>
            <w:tcBorders>
              <w:top w:val="dotted" w:sz="4" w:space="0" w:color="606072"/>
              <w:left w:val="dotted" w:sz="4" w:space="0" w:color="606072"/>
              <w:bottom w:val="dotted" w:sz="4" w:space="0" w:color="606072"/>
              <w:right w:val="dotted" w:sz="4" w:space="0" w:color="808080" w:themeColor="background1" w:themeShade="80"/>
            </w:tcBorders>
            <w:shd w:val="clear" w:color="auto" w:fill="auto"/>
            <w:tcMar>
              <w:left w:w="28" w:type="dxa"/>
              <w:right w:w="28" w:type="dxa"/>
            </w:tcMar>
            <w:vAlign w:val="center"/>
          </w:tcPr>
          <w:p w14:paraId="7900E11B" w14:textId="5B11A80E"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708" w:type="dxa"/>
            <w:tcBorders>
              <w:top w:val="dotted" w:sz="4" w:space="0" w:color="606072"/>
              <w:left w:val="dotted" w:sz="4" w:space="0" w:color="808080" w:themeColor="background1" w:themeShade="80"/>
              <w:bottom w:val="dotted" w:sz="4" w:space="0" w:color="606072"/>
              <w:right w:val="single" w:sz="4" w:space="0" w:color="606072"/>
            </w:tcBorders>
            <w:shd w:val="clear" w:color="auto" w:fill="auto"/>
            <w:tcMar>
              <w:left w:w="28" w:type="dxa"/>
              <w:right w:w="28" w:type="dxa"/>
            </w:tcMar>
            <w:vAlign w:val="center"/>
          </w:tcPr>
          <w:p w14:paraId="31C8B6BB" w14:textId="0BB3CDA6"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r>
      <w:tr w:rsidR="007F77AB" w:rsidRPr="005060E0" w14:paraId="0FDD9630" w14:textId="77777777" w:rsidTr="005D3208">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160489C8" w14:textId="77777777" w:rsidR="00CE5917" w:rsidRPr="005060E0" w:rsidRDefault="00CE5917" w:rsidP="00D23D58">
            <w:pPr>
              <w:widowControl w:val="0"/>
              <w:spacing w:after="0" w:line="240" w:lineRule="auto"/>
              <w:jc w:val="center"/>
              <w:rPr>
                <w:rFonts w:cs="Arial"/>
                <w:b w:val="0"/>
                <w:sz w:val="15"/>
                <w:szCs w:val="15"/>
              </w:rPr>
            </w:pPr>
          </w:p>
        </w:tc>
        <w:tc>
          <w:tcPr>
            <w:tcW w:w="1559" w:type="dxa"/>
            <w:tcBorders>
              <w:top w:val="dotted" w:sz="4" w:space="0" w:color="606072"/>
              <w:left w:val="dotted" w:sz="4" w:space="0" w:color="606372" w:themeColor="text2"/>
              <w:bottom w:val="dotted" w:sz="4" w:space="0" w:color="606072"/>
              <w:right w:val="single" w:sz="4" w:space="0" w:color="606072"/>
            </w:tcBorders>
            <w:shd w:val="clear" w:color="auto" w:fill="DEDFE3" w:themeFill="text2" w:themeFillTint="33"/>
            <w:tcMar>
              <w:left w:w="28" w:type="dxa"/>
              <w:right w:w="28" w:type="dxa"/>
            </w:tcMar>
            <w:vAlign w:val="center"/>
          </w:tcPr>
          <w:p w14:paraId="47267939" w14:textId="77777777" w:rsidR="00CE5917" w:rsidRPr="005060E0" w:rsidRDefault="00CE5917"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40</w:t>
            </w:r>
          </w:p>
        </w:tc>
        <w:tc>
          <w:tcPr>
            <w:tcW w:w="425" w:type="dxa"/>
            <w:tcBorders>
              <w:top w:val="nil"/>
              <w:left w:val="single" w:sz="4" w:space="0" w:color="606072"/>
              <w:bottom w:val="nil"/>
              <w:right w:val="single" w:sz="4" w:space="0" w:color="606072"/>
            </w:tcBorders>
            <w:tcMar>
              <w:left w:w="28" w:type="dxa"/>
              <w:right w:w="28" w:type="dxa"/>
            </w:tcMar>
          </w:tcPr>
          <w:p w14:paraId="2A05690F" w14:textId="77777777" w:rsidR="00CE5917" w:rsidRPr="005060E0" w:rsidRDefault="00CE5917"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p>
        </w:tc>
        <w:tc>
          <w:tcPr>
            <w:tcW w:w="1418" w:type="dxa"/>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2C9C26C3" w14:textId="6ED1932F"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850" w:type="dxa"/>
            <w:tcBorders>
              <w:top w:val="dotted" w:sz="4" w:space="0" w:color="606072"/>
              <w:left w:val="dotted" w:sz="4" w:space="0" w:color="606072"/>
              <w:bottom w:val="dotted" w:sz="4" w:space="0" w:color="606072"/>
              <w:right w:val="dotted" w:sz="4" w:space="0" w:color="606072"/>
            </w:tcBorders>
            <w:tcMar>
              <w:left w:w="28" w:type="dxa"/>
              <w:right w:w="28" w:type="dxa"/>
            </w:tcMar>
            <w:vAlign w:val="center"/>
          </w:tcPr>
          <w:p w14:paraId="7D87D729" w14:textId="54991997"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851"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5F56354E" w14:textId="5723A213"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850"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0947E375" w14:textId="5DA91200"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851" w:type="dxa"/>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25EDA51F" w14:textId="25B18BC1"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1417" w:type="dxa"/>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28E450C8" w14:textId="0D5099F0"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vAlign w:val="center"/>
          </w:tcPr>
          <w:p w14:paraId="59FBDD2D" w14:textId="51476EB0"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2E60DCFE" w14:textId="6B56A983"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709" w:type="dxa"/>
            <w:tcBorders>
              <w:top w:val="dotted" w:sz="4" w:space="0" w:color="606072"/>
              <w:left w:val="dotted" w:sz="4" w:space="0" w:color="606072"/>
              <w:bottom w:val="dotted" w:sz="4" w:space="0" w:color="606072"/>
              <w:right w:val="dotted" w:sz="4" w:space="0" w:color="808080" w:themeColor="background1" w:themeShade="80"/>
            </w:tcBorders>
            <w:shd w:val="clear" w:color="auto" w:fill="auto"/>
            <w:tcMar>
              <w:left w:w="28" w:type="dxa"/>
              <w:right w:w="28" w:type="dxa"/>
            </w:tcMar>
            <w:vAlign w:val="center"/>
          </w:tcPr>
          <w:p w14:paraId="550AC75A" w14:textId="25AD37A7"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708" w:type="dxa"/>
            <w:tcBorders>
              <w:top w:val="dotted" w:sz="4" w:space="0" w:color="606072"/>
              <w:left w:val="dotted" w:sz="4" w:space="0" w:color="808080" w:themeColor="background1" w:themeShade="80"/>
              <w:bottom w:val="dotted" w:sz="4" w:space="0" w:color="606072"/>
              <w:right w:val="single" w:sz="4" w:space="0" w:color="606072"/>
            </w:tcBorders>
            <w:shd w:val="clear" w:color="auto" w:fill="auto"/>
            <w:tcMar>
              <w:left w:w="28" w:type="dxa"/>
              <w:right w:w="28" w:type="dxa"/>
            </w:tcMar>
            <w:vAlign w:val="center"/>
          </w:tcPr>
          <w:p w14:paraId="198EA1B0" w14:textId="128ACC45"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r>
      <w:tr w:rsidR="007F77AB" w:rsidRPr="005060E0" w14:paraId="3C9DF0F7" w14:textId="77777777" w:rsidTr="00D41B95">
        <w:trPr>
          <w:trHeight w:hRule="exact" w:val="255"/>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42D75A39" w14:textId="77777777" w:rsidR="00CE5917" w:rsidRPr="005060E0" w:rsidRDefault="00CE5917" w:rsidP="00D23D58">
            <w:pPr>
              <w:widowControl w:val="0"/>
              <w:spacing w:after="0" w:line="240" w:lineRule="auto"/>
              <w:jc w:val="center"/>
              <w:rPr>
                <w:rFonts w:cs="Arial"/>
                <w:b w:val="0"/>
                <w:sz w:val="15"/>
                <w:szCs w:val="15"/>
              </w:rPr>
            </w:pPr>
          </w:p>
        </w:tc>
        <w:tc>
          <w:tcPr>
            <w:tcW w:w="1559" w:type="dxa"/>
            <w:tcBorders>
              <w:top w:val="dotted" w:sz="4" w:space="0" w:color="606072"/>
              <w:left w:val="dotted" w:sz="4" w:space="0" w:color="606372" w:themeColor="text2"/>
              <w:bottom w:val="single" w:sz="4" w:space="0" w:color="606072"/>
              <w:right w:val="single" w:sz="4" w:space="0" w:color="606072"/>
            </w:tcBorders>
            <w:shd w:val="clear" w:color="auto" w:fill="D5E5FF"/>
            <w:tcMar>
              <w:left w:w="28" w:type="dxa"/>
              <w:right w:w="28" w:type="dxa"/>
            </w:tcMar>
            <w:vAlign w:val="center"/>
          </w:tcPr>
          <w:p w14:paraId="5AAD0BAE" w14:textId="77777777" w:rsidR="00CE5917" w:rsidRPr="005060E0" w:rsidRDefault="00CE5917"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80</w:t>
            </w:r>
          </w:p>
        </w:tc>
        <w:tc>
          <w:tcPr>
            <w:tcW w:w="425" w:type="dxa"/>
            <w:tcBorders>
              <w:top w:val="nil"/>
              <w:left w:val="single" w:sz="4" w:space="0" w:color="606072"/>
              <w:bottom w:val="single" w:sz="4" w:space="0" w:color="606072"/>
              <w:right w:val="single" w:sz="4" w:space="0" w:color="606072"/>
            </w:tcBorders>
            <w:tcMar>
              <w:left w:w="28" w:type="dxa"/>
              <w:right w:w="28" w:type="dxa"/>
            </w:tcMar>
          </w:tcPr>
          <w:p w14:paraId="3BA5FD49" w14:textId="77777777" w:rsidR="00CE5917" w:rsidRPr="005060E0" w:rsidRDefault="00CE5917"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1418" w:type="dxa"/>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69F2A2A6" w14:textId="1A83F4CF"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850"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1C569EF0" w14:textId="4216D380"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851"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421C0E7E" w14:textId="60DBF712"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850"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4964BF2E" w14:textId="7B485DF9"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851" w:type="dxa"/>
            <w:tcBorders>
              <w:top w:val="dotted" w:sz="4" w:space="0" w:color="606072"/>
              <w:left w:val="dotted" w:sz="4" w:space="0" w:color="606072"/>
              <w:bottom w:val="single" w:sz="4" w:space="0" w:color="606072"/>
              <w:right w:val="single" w:sz="4" w:space="0" w:color="606072"/>
            </w:tcBorders>
            <w:shd w:val="clear" w:color="auto" w:fill="D5E5FF"/>
            <w:tcMar>
              <w:left w:w="28" w:type="dxa"/>
              <w:right w:w="28" w:type="dxa"/>
            </w:tcMar>
            <w:vAlign w:val="center"/>
          </w:tcPr>
          <w:p w14:paraId="39072586" w14:textId="0DDE9021"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1417" w:type="dxa"/>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6237490A" w14:textId="358FEB52"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709"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7DF9E9C8" w14:textId="53643BBC"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709"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778AA619" w14:textId="101E3A5F"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709" w:type="dxa"/>
            <w:tcBorders>
              <w:top w:val="dotted" w:sz="4" w:space="0" w:color="606072"/>
              <w:left w:val="dotted" w:sz="4" w:space="0" w:color="606072"/>
              <w:bottom w:val="single" w:sz="4" w:space="0" w:color="606072"/>
              <w:right w:val="dotted" w:sz="4" w:space="0" w:color="808080" w:themeColor="background1" w:themeShade="80"/>
            </w:tcBorders>
            <w:shd w:val="clear" w:color="auto" w:fill="D5E5FF"/>
            <w:tcMar>
              <w:left w:w="28" w:type="dxa"/>
              <w:right w:w="28" w:type="dxa"/>
            </w:tcMar>
            <w:vAlign w:val="center"/>
          </w:tcPr>
          <w:p w14:paraId="1D130472" w14:textId="313FA161"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708" w:type="dxa"/>
            <w:tcBorders>
              <w:top w:val="dotted" w:sz="4" w:space="0" w:color="606072"/>
              <w:left w:val="dotted" w:sz="4" w:space="0" w:color="808080" w:themeColor="background1" w:themeShade="80"/>
              <w:bottom w:val="single" w:sz="4" w:space="0" w:color="606072"/>
              <w:right w:val="single" w:sz="4" w:space="0" w:color="606072"/>
            </w:tcBorders>
            <w:shd w:val="clear" w:color="auto" w:fill="D5E5FF"/>
            <w:tcMar>
              <w:left w:w="28" w:type="dxa"/>
              <w:right w:w="28" w:type="dxa"/>
            </w:tcMar>
            <w:vAlign w:val="center"/>
          </w:tcPr>
          <w:p w14:paraId="7D9E4A86" w14:textId="447C5F7F"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r>
      <w:tr w:rsidR="005D3208" w:rsidRPr="005060E0" w14:paraId="68A78315" w14:textId="77777777" w:rsidTr="005D3208">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1000000000" w:firstRow="0" w:lastRow="0" w:firstColumn="1" w:lastColumn="0" w:oddVBand="0" w:evenVBand="0" w:oddHBand="0" w:evenHBand="0" w:firstRowFirstColumn="0" w:firstRowLastColumn="0" w:lastRowFirstColumn="0" w:lastRowLastColumn="0"/>
            <w:tcW w:w="11902" w:type="dxa"/>
            <w:gridSpan w:val="13"/>
            <w:tcBorders>
              <w:top w:val="single" w:sz="4" w:space="0" w:color="606072"/>
              <w:left w:val="single" w:sz="4" w:space="0" w:color="606072"/>
              <w:bottom w:val="single" w:sz="4" w:space="0" w:color="606072"/>
              <w:right w:val="single" w:sz="4" w:space="0" w:color="606072"/>
            </w:tcBorders>
            <w:shd w:val="clear" w:color="auto" w:fill="BFBFBF" w:themeFill="background1" w:themeFillShade="BF"/>
            <w:tcMar>
              <w:left w:w="28" w:type="dxa"/>
              <w:right w:w="28" w:type="dxa"/>
            </w:tcMar>
            <w:vAlign w:val="center"/>
          </w:tcPr>
          <w:p w14:paraId="7DBA2196" w14:textId="12C80255" w:rsidR="005D3208" w:rsidRPr="005060E0" w:rsidRDefault="005D3208" w:rsidP="005D3208">
            <w:pPr>
              <w:widowControl w:val="0"/>
              <w:spacing w:after="0" w:line="240" w:lineRule="auto"/>
              <w:rPr>
                <w:rFonts w:cs="Arial"/>
                <w:sz w:val="15"/>
                <w:szCs w:val="15"/>
              </w:rPr>
            </w:pPr>
            <w:r w:rsidRPr="005060E0">
              <w:rPr>
                <w:rFonts w:eastAsia="Times New Roman" w:cs="Arial"/>
                <w:b w:val="0"/>
                <w:color w:val="000000"/>
                <w:sz w:val="15"/>
                <w:szCs w:val="15"/>
                <w:lang w:eastAsia="en-AU"/>
              </w:rPr>
              <w:t>Total number of monitoring stations exceeding standard</w:t>
            </w:r>
          </w:p>
        </w:tc>
      </w:tr>
      <w:tr w:rsidR="007F77AB" w:rsidRPr="005060E0" w14:paraId="64564883" w14:textId="77777777" w:rsidTr="005D3208">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1231F7FE" w14:textId="77777777" w:rsidR="00CE5917" w:rsidRPr="005060E0" w:rsidRDefault="00CE5917" w:rsidP="00D23D58">
            <w:pPr>
              <w:widowControl w:val="0"/>
              <w:spacing w:after="0" w:line="240" w:lineRule="auto"/>
              <w:jc w:val="center"/>
              <w:rPr>
                <w:rFonts w:cs="Arial"/>
                <w:b w:val="0"/>
                <w:sz w:val="15"/>
                <w:szCs w:val="15"/>
              </w:rPr>
            </w:pPr>
            <w:r w:rsidRPr="005060E0">
              <w:rPr>
                <w:rFonts w:cs="Arial"/>
                <w:b w:val="0"/>
                <w:sz w:val="15"/>
                <w:szCs w:val="15"/>
              </w:rPr>
              <w:t>Annual</w:t>
            </w:r>
          </w:p>
        </w:tc>
        <w:tc>
          <w:tcPr>
            <w:tcW w:w="1559" w:type="dxa"/>
            <w:tcBorders>
              <w:top w:val="single" w:sz="4" w:space="0" w:color="606072"/>
              <w:left w:val="dotted" w:sz="4" w:space="0" w:color="606372" w:themeColor="text2"/>
              <w:bottom w:val="dotted" w:sz="4" w:space="0" w:color="606072"/>
              <w:right w:val="single" w:sz="4" w:space="0" w:color="606072"/>
            </w:tcBorders>
            <w:shd w:val="clear" w:color="auto" w:fill="DEDFE3" w:themeFill="text2" w:themeFillTint="33"/>
            <w:tcMar>
              <w:left w:w="28" w:type="dxa"/>
              <w:right w:w="28" w:type="dxa"/>
            </w:tcMar>
            <w:vAlign w:val="center"/>
          </w:tcPr>
          <w:p w14:paraId="220390F5" w14:textId="77777777" w:rsidR="00CE5917" w:rsidRPr="005060E0" w:rsidRDefault="00CE5917"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10</w:t>
            </w:r>
          </w:p>
        </w:tc>
        <w:tc>
          <w:tcPr>
            <w:tcW w:w="425" w:type="dxa"/>
            <w:tcBorders>
              <w:top w:val="single" w:sz="4" w:space="0" w:color="606072"/>
              <w:left w:val="single" w:sz="4" w:space="0" w:color="606072"/>
              <w:bottom w:val="nil"/>
              <w:right w:val="single" w:sz="4" w:space="0" w:color="606072"/>
            </w:tcBorders>
            <w:tcMar>
              <w:left w:w="28" w:type="dxa"/>
              <w:right w:w="28" w:type="dxa"/>
            </w:tcMar>
          </w:tcPr>
          <w:p w14:paraId="7DDCDDFE" w14:textId="77777777" w:rsidR="00CE5917" w:rsidRPr="005060E0" w:rsidRDefault="00CE5917"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1418" w:type="dxa"/>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1D3D550F" w14:textId="280832BD"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850" w:type="dxa"/>
            <w:tcBorders>
              <w:top w:val="single" w:sz="4" w:space="0" w:color="606072"/>
              <w:left w:val="dotted" w:sz="4" w:space="0" w:color="606072"/>
              <w:bottom w:val="dotted" w:sz="4" w:space="0" w:color="606072"/>
              <w:right w:val="dotted" w:sz="4" w:space="0" w:color="606072"/>
            </w:tcBorders>
            <w:tcMar>
              <w:left w:w="28" w:type="dxa"/>
              <w:right w:w="28" w:type="dxa"/>
            </w:tcMar>
            <w:vAlign w:val="center"/>
          </w:tcPr>
          <w:p w14:paraId="54F4D69F" w14:textId="5BE86159"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851"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4FDA781D" w14:textId="6FF8B4F2"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850"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0B3ECF06" w14:textId="1CEDF308"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851" w:type="dxa"/>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0398CE88" w14:textId="300274B7"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1417" w:type="dxa"/>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1837F779" w14:textId="7D12071A"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709" w:type="dxa"/>
            <w:tcBorders>
              <w:top w:val="single" w:sz="4" w:space="0" w:color="606072"/>
              <w:left w:val="dotted" w:sz="4" w:space="0" w:color="606072"/>
              <w:bottom w:val="dotted" w:sz="4" w:space="0" w:color="606072"/>
              <w:right w:val="dotted" w:sz="4" w:space="0" w:color="606072"/>
            </w:tcBorders>
            <w:vAlign w:val="center"/>
          </w:tcPr>
          <w:p w14:paraId="361D9C0C" w14:textId="2B2C7DFD"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709"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28F84FF4" w14:textId="0328DCF1"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709" w:type="dxa"/>
            <w:tcBorders>
              <w:top w:val="single" w:sz="4" w:space="0" w:color="606072"/>
              <w:left w:val="dotted" w:sz="4" w:space="0" w:color="606072"/>
              <w:bottom w:val="dotted" w:sz="4" w:space="0" w:color="606072"/>
              <w:right w:val="dotted" w:sz="4" w:space="0" w:color="808080" w:themeColor="background1" w:themeShade="80"/>
            </w:tcBorders>
            <w:shd w:val="clear" w:color="auto" w:fill="auto"/>
            <w:tcMar>
              <w:left w:w="28" w:type="dxa"/>
              <w:right w:w="28" w:type="dxa"/>
            </w:tcMar>
            <w:vAlign w:val="center"/>
          </w:tcPr>
          <w:p w14:paraId="59200414" w14:textId="01458A45"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c>
          <w:tcPr>
            <w:tcW w:w="708" w:type="dxa"/>
            <w:tcBorders>
              <w:top w:val="single" w:sz="4" w:space="0" w:color="606072"/>
              <w:left w:val="dotted" w:sz="4" w:space="0" w:color="808080" w:themeColor="background1" w:themeShade="80"/>
              <w:bottom w:val="dotted" w:sz="4" w:space="0" w:color="606072"/>
              <w:right w:val="single" w:sz="4" w:space="0" w:color="606072"/>
            </w:tcBorders>
            <w:shd w:val="clear" w:color="auto" w:fill="auto"/>
            <w:tcMar>
              <w:left w:w="28" w:type="dxa"/>
              <w:right w:w="28" w:type="dxa"/>
            </w:tcMar>
            <w:vAlign w:val="center"/>
          </w:tcPr>
          <w:p w14:paraId="3C495533" w14:textId="28BCF616" w:rsidR="00CE5917" w:rsidRPr="005060E0" w:rsidRDefault="00491E7C" w:rsidP="00D23D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w:t>
            </w:r>
          </w:p>
        </w:tc>
      </w:tr>
      <w:tr w:rsidR="007F77AB" w:rsidRPr="005060E0" w14:paraId="2CC6EA72" w14:textId="77777777" w:rsidTr="00D41B95">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5D28B243" w14:textId="77777777" w:rsidR="00CE5917" w:rsidRPr="005060E0" w:rsidRDefault="00CE5917" w:rsidP="00D23D58">
            <w:pPr>
              <w:widowControl w:val="0"/>
              <w:spacing w:after="0" w:line="240" w:lineRule="auto"/>
              <w:jc w:val="center"/>
              <w:rPr>
                <w:rFonts w:cs="Arial"/>
                <w:sz w:val="15"/>
                <w:szCs w:val="15"/>
              </w:rPr>
            </w:pPr>
          </w:p>
        </w:tc>
        <w:tc>
          <w:tcPr>
            <w:tcW w:w="1559" w:type="dxa"/>
            <w:tcBorders>
              <w:top w:val="dotted" w:sz="4" w:space="0" w:color="606072"/>
              <w:left w:val="dotted" w:sz="4" w:space="0" w:color="606372" w:themeColor="text2"/>
              <w:bottom w:val="single" w:sz="4" w:space="0" w:color="606072"/>
              <w:right w:val="single" w:sz="4" w:space="0" w:color="606072"/>
            </w:tcBorders>
            <w:shd w:val="clear" w:color="auto" w:fill="D5E5FF"/>
            <w:tcMar>
              <w:left w:w="28" w:type="dxa"/>
              <w:right w:w="28" w:type="dxa"/>
            </w:tcMar>
            <w:vAlign w:val="center"/>
          </w:tcPr>
          <w:p w14:paraId="7D4BAB06" w14:textId="77777777" w:rsidR="00CE5917" w:rsidRPr="005060E0" w:rsidRDefault="00CE5917"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20</w:t>
            </w:r>
          </w:p>
        </w:tc>
        <w:tc>
          <w:tcPr>
            <w:tcW w:w="425" w:type="dxa"/>
            <w:tcBorders>
              <w:top w:val="nil"/>
              <w:left w:val="single" w:sz="4" w:space="0" w:color="606072"/>
              <w:bottom w:val="single" w:sz="4" w:space="0" w:color="606072"/>
              <w:right w:val="single" w:sz="4" w:space="0" w:color="606072"/>
            </w:tcBorders>
            <w:tcMar>
              <w:left w:w="28" w:type="dxa"/>
              <w:right w:w="28" w:type="dxa"/>
            </w:tcMar>
          </w:tcPr>
          <w:p w14:paraId="5AECFA97" w14:textId="77777777" w:rsidR="00CE5917" w:rsidRPr="005060E0" w:rsidRDefault="00CE5917"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p>
        </w:tc>
        <w:tc>
          <w:tcPr>
            <w:tcW w:w="1418" w:type="dxa"/>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505664F8" w14:textId="5C893F4D"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850"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1D6C7070" w14:textId="0FEDD4FE"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851"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64223334" w14:textId="4BBD008A"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850"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0F134CC7" w14:textId="6FE93779"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851" w:type="dxa"/>
            <w:tcBorders>
              <w:top w:val="dotted" w:sz="4" w:space="0" w:color="606072"/>
              <w:left w:val="dotted" w:sz="4" w:space="0" w:color="606072"/>
              <w:bottom w:val="single" w:sz="4" w:space="0" w:color="606072"/>
              <w:right w:val="single" w:sz="4" w:space="0" w:color="606072"/>
            </w:tcBorders>
            <w:shd w:val="clear" w:color="auto" w:fill="D5E5FF"/>
            <w:tcMar>
              <w:left w:w="28" w:type="dxa"/>
              <w:right w:w="28" w:type="dxa"/>
            </w:tcMar>
            <w:vAlign w:val="center"/>
          </w:tcPr>
          <w:p w14:paraId="72751D92" w14:textId="26BE5B52"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1417" w:type="dxa"/>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11FC5B7C" w14:textId="034633E7"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709"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194E57D3" w14:textId="75C0D939"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709"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6D8C00D5" w14:textId="5E5533E1"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709" w:type="dxa"/>
            <w:tcBorders>
              <w:top w:val="dotted" w:sz="4" w:space="0" w:color="606072"/>
              <w:left w:val="dotted" w:sz="4" w:space="0" w:color="606072"/>
              <w:bottom w:val="single" w:sz="4" w:space="0" w:color="606072"/>
              <w:right w:val="dotted" w:sz="4" w:space="0" w:color="808080" w:themeColor="background1" w:themeShade="80"/>
            </w:tcBorders>
            <w:shd w:val="clear" w:color="auto" w:fill="D5E5FF"/>
            <w:tcMar>
              <w:left w:w="28" w:type="dxa"/>
              <w:right w:w="28" w:type="dxa"/>
            </w:tcMar>
            <w:vAlign w:val="center"/>
          </w:tcPr>
          <w:p w14:paraId="2F08DAA6" w14:textId="698469E9"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c>
          <w:tcPr>
            <w:tcW w:w="708" w:type="dxa"/>
            <w:tcBorders>
              <w:top w:val="dotted" w:sz="4" w:space="0" w:color="606072"/>
              <w:left w:val="dotted" w:sz="4" w:space="0" w:color="808080" w:themeColor="background1" w:themeShade="80"/>
              <w:bottom w:val="single" w:sz="4" w:space="0" w:color="606072"/>
              <w:right w:val="single" w:sz="4" w:space="0" w:color="606072"/>
            </w:tcBorders>
            <w:shd w:val="clear" w:color="auto" w:fill="D5E5FF"/>
            <w:tcMar>
              <w:left w:w="28" w:type="dxa"/>
              <w:right w:w="28" w:type="dxa"/>
            </w:tcMar>
            <w:vAlign w:val="center"/>
          </w:tcPr>
          <w:p w14:paraId="01B8E21C" w14:textId="09C14A06" w:rsidR="00CE5917" w:rsidRPr="005060E0" w:rsidRDefault="00491E7C" w:rsidP="00D23D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w:t>
            </w:r>
          </w:p>
        </w:tc>
      </w:tr>
    </w:tbl>
    <w:p w14:paraId="661CD993" w14:textId="77777777" w:rsidR="00CE5917" w:rsidRPr="005060E0" w:rsidRDefault="00CE5917" w:rsidP="00CD08E7">
      <w:pPr>
        <w:pStyle w:val="ListParagraph"/>
        <w:numPr>
          <w:ilvl w:val="0"/>
          <w:numId w:val="35"/>
        </w:numPr>
        <w:spacing w:before="40" w:after="0" w:line="240" w:lineRule="auto"/>
        <w:ind w:left="1559" w:hanging="357"/>
        <w:rPr>
          <w:rFonts w:cs="Arial"/>
          <w:sz w:val="16"/>
          <w:szCs w:val="16"/>
        </w:rPr>
      </w:pPr>
      <w:r w:rsidRPr="005060E0">
        <w:rPr>
          <w:rFonts w:cs="Arial"/>
          <w:sz w:val="16"/>
          <w:szCs w:val="16"/>
        </w:rPr>
        <w:t>Rounded to nearest integer.</w:t>
      </w:r>
    </w:p>
    <w:p w14:paraId="1D21AD4D" w14:textId="662A40C4" w:rsidR="00341810" w:rsidRPr="005060E0" w:rsidRDefault="00341810" w:rsidP="00064F3E">
      <w:pPr>
        <w:pStyle w:val="PBTablecaption"/>
        <w:spacing w:before="360"/>
        <w:rPr>
          <w:rFonts w:cs="Arial"/>
        </w:rPr>
      </w:pPr>
      <w:bookmarkStart w:id="127" w:name="_Ref507505986"/>
      <w:r w:rsidRPr="005060E0">
        <w:rPr>
          <w:rFonts w:cs="Arial"/>
        </w:rPr>
        <w:t xml:space="preserve">Table </w:t>
      </w:r>
      <w:r w:rsidRPr="005060E0">
        <w:rPr>
          <w:rFonts w:cs="Arial"/>
        </w:rPr>
        <w:fldChar w:fldCharType="begin"/>
      </w:r>
      <w:r w:rsidRPr="005060E0">
        <w:rPr>
          <w:rFonts w:cs="Arial"/>
        </w:rPr>
        <w:instrText xml:space="preserve"> STYLEREF 1 \s </w:instrText>
      </w:r>
      <w:r w:rsidRPr="005060E0">
        <w:rPr>
          <w:rFonts w:cs="Arial"/>
        </w:rPr>
        <w:fldChar w:fldCharType="separate"/>
      </w:r>
      <w:r w:rsidR="00F2067C">
        <w:rPr>
          <w:rFonts w:cs="Arial"/>
          <w:noProof/>
        </w:rPr>
        <w:t>6</w:t>
      </w:r>
      <w:r w:rsidRPr="005060E0">
        <w:rPr>
          <w:rFonts w:cs="Arial"/>
          <w:noProof/>
        </w:rPr>
        <w:fldChar w:fldCharType="end"/>
      </w:r>
      <w:r w:rsidRPr="005060E0">
        <w:rPr>
          <w:rFonts w:cs="Arial"/>
        </w:rPr>
        <w:noBreakHyphen/>
      </w:r>
      <w:r w:rsidRPr="005060E0">
        <w:rPr>
          <w:rFonts w:cs="Arial"/>
        </w:rPr>
        <w:fldChar w:fldCharType="begin"/>
      </w:r>
      <w:r w:rsidRPr="005060E0">
        <w:rPr>
          <w:rFonts w:cs="Arial"/>
        </w:rPr>
        <w:instrText xml:space="preserve"> SEQ Table \* ARABIC \s 1 </w:instrText>
      </w:r>
      <w:r w:rsidRPr="005060E0">
        <w:rPr>
          <w:rFonts w:cs="Arial"/>
        </w:rPr>
        <w:fldChar w:fldCharType="separate"/>
      </w:r>
      <w:r w:rsidR="00F2067C">
        <w:rPr>
          <w:rFonts w:cs="Arial"/>
          <w:noProof/>
        </w:rPr>
        <w:t>10</w:t>
      </w:r>
      <w:r w:rsidRPr="005060E0">
        <w:rPr>
          <w:rFonts w:cs="Arial"/>
          <w:noProof/>
        </w:rPr>
        <w:fldChar w:fldCharType="end"/>
      </w:r>
      <w:bookmarkEnd w:id="127"/>
      <w:r w:rsidRPr="005060E0">
        <w:rPr>
          <w:rFonts w:cs="Arial"/>
        </w:rPr>
        <w:t>: Projected</w:t>
      </w:r>
      <w:r w:rsidR="00975888" w:rsidRPr="005060E0">
        <w:rPr>
          <w:rFonts w:eastAsia="Arial" w:cs="Arial"/>
          <w:iCs/>
        </w:rPr>
        <w:t xml:space="preserve"> exceedance</w:t>
      </w:r>
      <w:r w:rsidRPr="005060E0">
        <w:rPr>
          <w:rFonts w:eastAsia="Arial" w:cs="Arial"/>
          <w:iCs/>
        </w:rPr>
        <w:t>s</w:t>
      </w:r>
      <w:r w:rsidR="00CE5917" w:rsidRPr="005060E0">
        <w:rPr>
          <w:rFonts w:cs="Arial"/>
        </w:rPr>
        <w:t xml:space="preserve"> of current and proposed</w:t>
      </w:r>
      <w:r w:rsidRPr="005060E0">
        <w:rPr>
          <w:rFonts w:cs="Arial"/>
        </w:rPr>
        <w:t xml:space="preserve"> SO</w:t>
      </w:r>
      <w:r w:rsidRPr="005060E0">
        <w:rPr>
          <w:rFonts w:cs="Arial"/>
          <w:vertAlign w:val="subscript"/>
        </w:rPr>
        <w:t>2</w:t>
      </w:r>
      <w:r w:rsidRPr="005060E0">
        <w:rPr>
          <w:rFonts w:cs="Arial"/>
        </w:rPr>
        <w:t xml:space="preserve"> standards (Abatement Package scenario, VIC)</w:t>
      </w:r>
    </w:p>
    <w:tbl>
      <w:tblPr>
        <w:tblStyle w:val="ListTable3-Accent12"/>
        <w:tblW w:w="6876" w:type="dxa"/>
        <w:jc w:val="center"/>
        <w:tblLayout w:type="fixed"/>
        <w:tblLook w:val="04A0" w:firstRow="1" w:lastRow="0" w:firstColumn="1" w:lastColumn="0" w:noHBand="0" w:noVBand="1"/>
      </w:tblPr>
      <w:tblGrid>
        <w:gridCol w:w="851"/>
        <w:gridCol w:w="977"/>
        <w:gridCol w:w="616"/>
        <w:gridCol w:w="631"/>
        <w:gridCol w:w="631"/>
        <w:gridCol w:w="632"/>
        <w:gridCol w:w="12"/>
        <w:gridCol w:w="621"/>
        <w:gridCol w:w="632"/>
        <w:gridCol w:w="632"/>
        <w:gridCol w:w="633"/>
        <w:gridCol w:w="8"/>
      </w:tblGrid>
      <w:tr w:rsidR="00341810" w:rsidRPr="005060E0" w14:paraId="52316731" w14:textId="77777777" w:rsidTr="005D3208">
        <w:trPr>
          <w:cnfStyle w:val="100000000000" w:firstRow="1" w:lastRow="0" w:firstColumn="0" w:lastColumn="0" w:oddVBand="0" w:evenVBand="0" w:oddHBand="0" w:evenHBand="0" w:firstRowFirstColumn="0" w:firstRowLastColumn="0" w:lastRowFirstColumn="0" w:lastRowLastColumn="0"/>
          <w:trHeight w:hRule="exact" w:val="227"/>
          <w:tblHeader/>
          <w:jc w:val="center"/>
        </w:trPr>
        <w:tc>
          <w:tcPr>
            <w:cnfStyle w:val="001000000100" w:firstRow="0" w:lastRow="0" w:firstColumn="1" w:lastColumn="0" w:oddVBand="0" w:evenVBand="0" w:oddHBand="0" w:evenHBand="0" w:firstRowFirstColumn="1" w:firstRowLastColumn="0" w:lastRowFirstColumn="0" w:lastRowLastColumn="0"/>
            <w:tcW w:w="851" w:type="dxa"/>
            <w:vMerge w:val="restart"/>
            <w:tcBorders>
              <w:top w:val="single" w:sz="4" w:space="0" w:color="606072"/>
              <w:left w:val="single" w:sz="4" w:space="0" w:color="606072"/>
              <w:bottom w:val="single" w:sz="4" w:space="0" w:color="606072"/>
              <w:right w:val="single" w:sz="4" w:space="0" w:color="606072"/>
            </w:tcBorders>
            <w:shd w:val="clear" w:color="auto" w:fill="606072"/>
            <w:vAlign w:val="center"/>
          </w:tcPr>
          <w:p w14:paraId="300235D8" w14:textId="77777777" w:rsidR="00341810" w:rsidRPr="005060E0" w:rsidRDefault="00341810" w:rsidP="00341810">
            <w:pPr>
              <w:pStyle w:val="BodyText"/>
              <w:spacing w:after="0" w:line="240" w:lineRule="auto"/>
              <w:jc w:val="center"/>
              <w:rPr>
                <w:b w:val="0"/>
                <w:color w:val="FFFFFF" w:themeColor="background1"/>
                <w:sz w:val="15"/>
                <w:szCs w:val="15"/>
              </w:rPr>
            </w:pPr>
            <w:r w:rsidRPr="005060E0">
              <w:rPr>
                <w:b w:val="0"/>
                <w:color w:val="FFFFFF" w:themeColor="background1"/>
                <w:sz w:val="15"/>
                <w:szCs w:val="15"/>
              </w:rPr>
              <w:t>Period</w:t>
            </w:r>
          </w:p>
        </w:tc>
        <w:tc>
          <w:tcPr>
            <w:tcW w:w="977" w:type="dxa"/>
            <w:vMerge w:val="restart"/>
            <w:tcBorders>
              <w:top w:val="single" w:sz="4" w:space="0" w:color="606072"/>
              <w:left w:val="single" w:sz="4" w:space="0" w:color="606072"/>
              <w:bottom w:val="single" w:sz="4" w:space="0" w:color="606072"/>
              <w:right w:val="single" w:sz="4" w:space="0" w:color="606072"/>
            </w:tcBorders>
            <w:shd w:val="clear" w:color="auto" w:fill="606072"/>
            <w:vAlign w:val="center"/>
          </w:tcPr>
          <w:p w14:paraId="5FD87543" w14:textId="77777777" w:rsidR="00341810" w:rsidRPr="005060E0" w:rsidRDefault="00341810" w:rsidP="0034181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Standard (ppb)</w:t>
            </w:r>
          </w:p>
        </w:tc>
        <w:tc>
          <w:tcPr>
            <w:tcW w:w="2522" w:type="dxa"/>
            <w:gridSpan w:val="5"/>
            <w:tcBorders>
              <w:top w:val="single" w:sz="4" w:space="0" w:color="606072"/>
              <w:left w:val="single" w:sz="4" w:space="0" w:color="606072"/>
              <w:bottom w:val="single" w:sz="4" w:space="0" w:color="606072"/>
              <w:right w:val="single" w:sz="4" w:space="0" w:color="606072"/>
            </w:tcBorders>
            <w:shd w:val="clear" w:color="auto" w:fill="606072"/>
            <w:vAlign w:val="center"/>
          </w:tcPr>
          <w:p w14:paraId="0E17645C" w14:textId="77777777" w:rsidR="00341810" w:rsidRPr="005060E0" w:rsidRDefault="00341810" w:rsidP="00341810">
            <w:pPr>
              <w:pStyle w:val="BodyText"/>
              <w:spacing w:after="0" w:line="240" w:lineRule="auto"/>
              <w:ind w:left="-92"/>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 xml:space="preserve">   VIC: Port Phillip Region</w:t>
            </w:r>
          </w:p>
        </w:tc>
        <w:tc>
          <w:tcPr>
            <w:tcW w:w="2526" w:type="dxa"/>
            <w:gridSpan w:val="5"/>
            <w:tcBorders>
              <w:top w:val="single" w:sz="4" w:space="0" w:color="606072"/>
              <w:left w:val="single" w:sz="4" w:space="0" w:color="606072"/>
              <w:bottom w:val="single" w:sz="4" w:space="0" w:color="606072"/>
              <w:right w:val="single" w:sz="4" w:space="0" w:color="606072"/>
            </w:tcBorders>
            <w:shd w:val="clear" w:color="auto" w:fill="606072"/>
            <w:vAlign w:val="center"/>
          </w:tcPr>
          <w:p w14:paraId="3271C8CE" w14:textId="77777777" w:rsidR="00341810" w:rsidRPr="005060E0" w:rsidRDefault="00341810" w:rsidP="00341810">
            <w:pPr>
              <w:pStyle w:val="BodyText"/>
              <w:spacing w:after="0" w:line="240" w:lineRule="auto"/>
              <w:ind w:left="-61"/>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 xml:space="preserve"> VIC: Latrobe Valley</w:t>
            </w:r>
          </w:p>
        </w:tc>
      </w:tr>
      <w:tr w:rsidR="00BF7BF2" w:rsidRPr="005060E0" w14:paraId="6F86D08A" w14:textId="77777777" w:rsidTr="005D3208">
        <w:tblPrEx>
          <w:tblBorders>
            <w:top w:val="single" w:sz="2" w:space="0" w:color="0076C0" w:themeColor="accent1"/>
            <w:left w:val="single" w:sz="2" w:space="0" w:color="0076C0" w:themeColor="accent1"/>
            <w:bottom w:val="single" w:sz="2" w:space="0" w:color="0076C0" w:themeColor="accent1"/>
            <w:right w:val="single" w:sz="2" w:space="0" w:color="0076C0" w:themeColor="accent1"/>
          </w:tblBorders>
          <w:tblCellMar>
            <w:left w:w="41" w:type="dxa"/>
            <w:right w:w="41" w:type="dxa"/>
          </w:tblCellMar>
        </w:tblPrEx>
        <w:trPr>
          <w:gridAfter w:val="1"/>
          <w:cnfStyle w:val="100000000000" w:firstRow="1" w:lastRow="0" w:firstColumn="0" w:lastColumn="0" w:oddVBand="0" w:evenVBand="0" w:oddHBand="0" w:evenHBand="0" w:firstRowFirstColumn="0" w:firstRowLastColumn="0" w:lastRowFirstColumn="0" w:lastRowLastColumn="0"/>
          <w:wAfter w:w="8" w:type="dxa"/>
          <w:trHeight w:hRule="exact" w:val="227"/>
          <w:tblHeader/>
          <w:jc w:val="center"/>
        </w:trPr>
        <w:tc>
          <w:tcPr>
            <w:cnfStyle w:val="001000000100" w:firstRow="0" w:lastRow="0" w:firstColumn="1" w:lastColumn="0" w:oddVBand="0" w:evenVBand="0" w:oddHBand="0" w:evenHBand="0" w:firstRowFirstColumn="1" w:firstRowLastColumn="0" w:lastRowFirstColumn="0" w:lastRowLastColumn="0"/>
            <w:tcW w:w="851" w:type="dxa"/>
            <w:vMerge/>
            <w:tcBorders>
              <w:top w:val="single" w:sz="4" w:space="0" w:color="606072"/>
              <w:left w:val="single" w:sz="4" w:space="0" w:color="606072"/>
              <w:bottom w:val="single" w:sz="4" w:space="0" w:color="606072"/>
              <w:right w:val="single" w:sz="4" w:space="0" w:color="606072"/>
            </w:tcBorders>
            <w:shd w:val="clear" w:color="auto" w:fill="606072"/>
            <w:vAlign w:val="center"/>
          </w:tcPr>
          <w:p w14:paraId="4C50B345" w14:textId="77777777" w:rsidR="00341810" w:rsidRPr="005060E0" w:rsidRDefault="00341810" w:rsidP="00341810">
            <w:pPr>
              <w:pStyle w:val="BodyText"/>
              <w:spacing w:after="0" w:line="240" w:lineRule="auto"/>
              <w:rPr>
                <w:b w:val="0"/>
                <w:color w:val="FFFFFF" w:themeColor="background1"/>
                <w:sz w:val="15"/>
                <w:szCs w:val="15"/>
              </w:rPr>
            </w:pPr>
          </w:p>
        </w:tc>
        <w:tc>
          <w:tcPr>
            <w:tcW w:w="977" w:type="dxa"/>
            <w:vMerge/>
            <w:tcBorders>
              <w:top w:val="single" w:sz="4" w:space="0" w:color="606072"/>
              <w:left w:val="single" w:sz="4" w:space="0" w:color="606072"/>
              <w:bottom w:val="single" w:sz="4" w:space="0" w:color="606072"/>
              <w:right w:val="single" w:sz="4" w:space="0" w:color="606072"/>
            </w:tcBorders>
            <w:shd w:val="clear" w:color="auto" w:fill="606072"/>
            <w:vAlign w:val="center"/>
          </w:tcPr>
          <w:p w14:paraId="4EFA2A31" w14:textId="77777777" w:rsidR="00341810" w:rsidRPr="005060E0" w:rsidRDefault="00341810" w:rsidP="0034181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p>
        </w:tc>
        <w:tc>
          <w:tcPr>
            <w:tcW w:w="616"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6E31889E" w14:textId="77777777" w:rsidR="00341810" w:rsidRPr="005060E0" w:rsidRDefault="00341810" w:rsidP="0034181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2016</w:t>
            </w:r>
          </w:p>
        </w:tc>
        <w:tc>
          <w:tcPr>
            <w:tcW w:w="631"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7D530809" w14:textId="77777777" w:rsidR="00341810" w:rsidRPr="005060E0" w:rsidRDefault="00341810" w:rsidP="0034181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2021</w:t>
            </w:r>
          </w:p>
        </w:tc>
        <w:tc>
          <w:tcPr>
            <w:tcW w:w="631"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75683E2C" w14:textId="77777777" w:rsidR="00341810" w:rsidRPr="005060E0" w:rsidRDefault="00341810" w:rsidP="0034181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2031</w:t>
            </w:r>
          </w:p>
        </w:tc>
        <w:tc>
          <w:tcPr>
            <w:tcW w:w="632"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3B261665" w14:textId="77777777" w:rsidR="00341810" w:rsidRPr="005060E0" w:rsidRDefault="00341810" w:rsidP="0034181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2040</w:t>
            </w:r>
          </w:p>
        </w:tc>
        <w:tc>
          <w:tcPr>
            <w:tcW w:w="633" w:type="dxa"/>
            <w:gridSpan w:val="2"/>
            <w:tcBorders>
              <w:top w:val="single" w:sz="4" w:space="0" w:color="606072"/>
              <w:left w:val="single" w:sz="4" w:space="0" w:color="606072"/>
              <w:bottom w:val="single" w:sz="4" w:space="0" w:color="606072"/>
              <w:right w:val="single" w:sz="4" w:space="0" w:color="606072"/>
            </w:tcBorders>
            <w:shd w:val="clear" w:color="auto" w:fill="606072"/>
            <w:vAlign w:val="center"/>
          </w:tcPr>
          <w:p w14:paraId="3F35F6A2" w14:textId="77777777" w:rsidR="00341810" w:rsidRPr="005060E0" w:rsidRDefault="00341810" w:rsidP="0034181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2016</w:t>
            </w:r>
          </w:p>
        </w:tc>
        <w:tc>
          <w:tcPr>
            <w:tcW w:w="632"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14438BCE" w14:textId="77777777" w:rsidR="00341810" w:rsidRPr="005060E0" w:rsidRDefault="00341810" w:rsidP="0034181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2021</w:t>
            </w:r>
          </w:p>
        </w:tc>
        <w:tc>
          <w:tcPr>
            <w:tcW w:w="632"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7E572756" w14:textId="77777777" w:rsidR="00341810" w:rsidRPr="005060E0" w:rsidRDefault="00341810" w:rsidP="0034181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2031</w:t>
            </w:r>
          </w:p>
        </w:tc>
        <w:tc>
          <w:tcPr>
            <w:tcW w:w="633"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708D15B6" w14:textId="77777777" w:rsidR="00341810" w:rsidRPr="005060E0" w:rsidRDefault="00341810" w:rsidP="0034181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2040</w:t>
            </w:r>
          </w:p>
        </w:tc>
      </w:tr>
      <w:tr w:rsidR="005D3208" w:rsidRPr="005060E0" w14:paraId="3472A899" w14:textId="77777777" w:rsidTr="005D3208">
        <w:trPr>
          <w:gridAfter w:val="1"/>
          <w:cnfStyle w:val="000000100000" w:firstRow="0" w:lastRow="0" w:firstColumn="0" w:lastColumn="0" w:oddVBand="0" w:evenVBand="0" w:oddHBand="1" w:evenHBand="0" w:firstRowFirstColumn="0" w:firstRowLastColumn="0" w:lastRowFirstColumn="0" w:lastRowLastColumn="0"/>
          <w:wAfter w:w="8"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6868" w:type="dxa"/>
            <w:gridSpan w:val="11"/>
            <w:tcBorders>
              <w:top w:val="single" w:sz="4" w:space="0" w:color="606072"/>
              <w:left w:val="single" w:sz="4" w:space="0" w:color="606072"/>
              <w:bottom w:val="single" w:sz="4" w:space="0" w:color="606072"/>
              <w:right w:val="single" w:sz="4" w:space="0" w:color="606072"/>
            </w:tcBorders>
            <w:shd w:val="clear" w:color="auto" w:fill="BFBFBF" w:themeFill="background1" w:themeFillShade="BF"/>
            <w:vAlign w:val="center"/>
          </w:tcPr>
          <w:p w14:paraId="4D72494B" w14:textId="75FA9B4F" w:rsidR="005D3208" w:rsidRPr="005060E0" w:rsidRDefault="005D3208" w:rsidP="005D3208">
            <w:pPr>
              <w:pStyle w:val="BodyText"/>
              <w:spacing w:after="0" w:line="240" w:lineRule="auto"/>
              <w:rPr>
                <w:sz w:val="15"/>
                <w:szCs w:val="15"/>
              </w:rPr>
            </w:pPr>
            <w:r w:rsidRPr="005060E0">
              <w:rPr>
                <w:rFonts w:cs="Arial"/>
                <w:b w:val="0"/>
                <w:sz w:val="15"/>
                <w:szCs w:val="15"/>
              </w:rPr>
              <w:t>Total number of unique exceedance days</w:t>
            </w:r>
          </w:p>
        </w:tc>
      </w:tr>
      <w:tr w:rsidR="00BF7BF2" w:rsidRPr="005060E0" w14:paraId="1148612C" w14:textId="77777777" w:rsidTr="005D3208">
        <w:trPr>
          <w:gridAfter w:val="1"/>
          <w:wAfter w:w="8"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851" w:type="dxa"/>
            <w:vMerge w:val="restart"/>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21FB2DDA" w14:textId="77777777" w:rsidR="00341810" w:rsidRPr="005060E0" w:rsidRDefault="00341810" w:rsidP="00341810">
            <w:pPr>
              <w:pStyle w:val="BodyText"/>
              <w:spacing w:after="0" w:line="240" w:lineRule="auto"/>
              <w:jc w:val="center"/>
              <w:rPr>
                <w:b w:val="0"/>
                <w:sz w:val="15"/>
                <w:szCs w:val="15"/>
              </w:rPr>
            </w:pPr>
            <w:r w:rsidRPr="005060E0">
              <w:rPr>
                <w:b w:val="0"/>
                <w:sz w:val="15"/>
                <w:szCs w:val="15"/>
              </w:rPr>
              <w:t>1-hour</w:t>
            </w:r>
          </w:p>
        </w:tc>
        <w:tc>
          <w:tcPr>
            <w:tcW w:w="977" w:type="dxa"/>
            <w:tcBorders>
              <w:top w:val="single" w:sz="4" w:space="0" w:color="606072"/>
              <w:left w:val="dotted" w:sz="4" w:space="0" w:color="606372" w:themeColor="text2"/>
              <w:bottom w:val="dotted" w:sz="4" w:space="0" w:color="606072"/>
              <w:right w:val="single" w:sz="4" w:space="0" w:color="606072"/>
            </w:tcBorders>
            <w:shd w:val="clear" w:color="auto" w:fill="DEDFE3" w:themeFill="text2" w:themeFillTint="33"/>
            <w:vAlign w:val="center"/>
          </w:tcPr>
          <w:p w14:paraId="3C1AD771" w14:textId="77777777" w:rsidR="00341810" w:rsidRPr="005060E0" w:rsidRDefault="00341810"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75</w:t>
            </w:r>
          </w:p>
        </w:tc>
        <w:tc>
          <w:tcPr>
            <w:tcW w:w="616" w:type="dxa"/>
            <w:tcBorders>
              <w:top w:val="single" w:sz="4" w:space="0" w:color="606072"/>
              <w:left w:val="single" w:sz="4" w:space="0" w:color="606072"/>
              <w:bottom w:val="dotted" w:sz="4" w:space="0" w:color="606072"/>
              <w:right w:val="dotted" w:sz="4" w:space="0" w:color="606072"/>
            </w:tcBorders>
            <w:shd w:val="clear" w:color="auto" w:fill="auto"/>
            <w:vAlign w:val="center"/>
          </w:tcPr>
          <w:p w14:paraId="6CC7DC52" w14:textId="0898D208"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1" w:type="dxa"/>
            <w:tcBorders>
              <w:top w:val="single" w:sz="4" w:space="0" w:color="606072"/>
              <w:left w:val="dotted" w:sz="4" w:space="0" w:color="606072"/>
              <w:bottom w:val="dotted" w:sz="4" w:space="0" w:color="606072"/>
              <w:right w:val="dotted" w:sz="4" w:space="0" w:color="606072"/>
            </w:tcBorders>
            <w:shd w:val="clear" w:color="auto" w:fill="auto"/>
            <w:vAlign w:val="center"/>
          </w:tcPr>
          <w:p w14:paraId="4A5C2090" w14:textId="4052F146"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1" w:type="dxa"/>
            <w:tcBorders>
              <w:top w:val="single" w:sz="4" w:space="0" w:color="606072"/>
              <w:left w:val="dotted" w:sz="4" w:space="0" w:color="606072"/>
              <w:bottom w:val="dotted" w:sz="4" w:space="0" w:color="606072"/>
              <w:right w:val="dotted" w:sz="4" w:space="0" w:color="606072"/>
            </w:tcBorders>
            <w:shd w:val="clear" w:color="auto" w:fill="auto"/>
            <w:vAlign w:val="center"/>
          </w:tcPr>
          <w:p w14:paraId="4B5A0802" w14:textId="7576BD83"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single" w:sz="4" w:space="0" w:color="606072"/>
              <w:left w:val="dotted" w:sz="4" w:space="0" w:color="606072"/>
              <w:bottom w:val="dotted" w:sz="4" w:space="0" w:color="606072"/>
              <w:right w:val="single" w:sz="4" w:space="0" w:color="606072"/>
            </w:tcBorders>
            <w:shd w:val="clear" w:color="auto" w:fill="auto"/>
            <w:vAlign w:val="center"/>
          </w:tcPr>
          <w:p w14:paraId="57F20A72" w14:textId="3292B7CF"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3" w:type="dxa"/>
            <w:gridSpan w:val="2"/>
            <w:tcBorders>
              <w:top w:val="single" w:sz="4" w:space="0" w:color="606072"/>
              <w:left w:val="single" w:sz="4" w:space="0" w:color="606072"/>
              <w:bottom w:val="dotted" w:sz="4" w:space="0" w:color="606072"/>
              <w:right w:val="dotted" w:sz="4" w:space="0" w:color="606072"/>
            </w:tcBorders>
            <w:shd w:val="clear" w:color="auto" w:fill="auto"/>
            <w:vAlign w:val="center"/>
          </w:tcPr>
          <w:p w14:paraId="7B878975" w14:textId="08BECD57"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19B149BD" w14:textId="730CFBE5"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4166916E" w14:textId="2DC1B7D2"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3" w:type="dxa"/>
            <w:tcBorders>
              <w:top w:val="single" w:sz="4" w:space="0" w:color="606072"/>
              <w:left w:val="dotted" w:sz="4" w:space="0" w:color="606072"/>
              <w:bottom w:val="dotted" w:sz="4" w:space="0" w:color="606072"/>
              <w:right w:val="single" w:sz="4" w:space="0" w:color="606072"/>
            </w:tcBorders>
            <w:shd w:val="clear" w:color="auto" w:fill="auto"/>
            <w:vAlign w:val="center"/>
          </w:tcPr>
          <w:p w14:paraId="16E60487" w14:textId="06B0F201"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r>
      <w:tr w:rsidR="00BF7BF2" w:rsidRPr="005060E0" w14:paraId="127F2AAB" w14:textId="77777777" w:rsidTr="005D3208">
        <w:trPr>
          <w:gridAfter w:val="1"/>
          <w:cnfStyle w:val="000000100000" w:firstRow="0" w:lastRow="0" w:firstColumn="0" w:lastColumn="0" w:oddVBand="0" w:evenVBand="0" w:oddHBand="1" w:evenHBand="0" w:firstRowFirstColumn="0" w:firstRowLastColumn="0" w:lastRowFirstColumn="0" w:lastRowLastColumn="0"/>
          <w:wAfter w:w="8"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851"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20C49C51" w14:textId="77777777" w:rsidR="00341810" w:rsidRPr="005060E0" w:rsidRDefault="00341810" w:rsidP="00341810">
            <w:pPr>
              <w:pStyle w:val="BodyText"/>
              <w:spacing w:after="0" w:line="240" w:lineRule="auto"/>
              <w:jc w:val="center"/>
              <w:rPr>
                <w:b w:val="0"/>
                <w:sz w:val="15"/>
                <w:szCs w:val="15"/>
              </w:rPr>
            </w:pPr>
          </w:p>
        </w:tc>
        <w:tc>
          <w:tcPr>
            <w:tcW w:w="977" w:type="dxa"/>
            <w:tcBorders>
              <w:top w:val="dotted" w:sz="4" w:space="0" w:color="606072"/>
              <w:left w:val="dotted" w:sz="4" w:space="0" w:color="606372" w:themeColor="text2"/>
              <w:bottom w:val="dotted" w:sz="4" w:space="0" w:color="606072"/>
              <w:right w:val="single" w:sz="4" w:space="0" w:color="606072"/>
            </w:tcBorders>
            <w:shd w:val="clear" w:color="auto" w:fill="DEDFE3" w:themeFill="text2" w:themeFillTint="33"/>
            <w:vAlign w:val="center"/>
          </w:tcPr>
          <w:p w14:paraId="31ADA645" w14:textId="77777777" w:rsidR="00341810" w:rsidRPr="005060E0" w:rsidRDefault="00341810"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100</w:t>
            </w:r>
          </w:p>
        </w:tc>
        <w:tc>
          <w:tcPr>
            <w:tcW w:w="616" w:type="dxa"/>
            <w:tcBorders>
              <w:top w:val="dotted" w:sz="4" w:space="0" w:color="606072"/>
              <w:left w:val="single" w:sz="4" w:space="0" w:color="606072"/>
              <w:bottom w:val="dotted" w:sz="4" w:space="0" w:color="606072"/>
              <w:right w:val="dotted" w:sz="4" w:space="0" w:color="606072"/>
            </w:tcBorders>
            <w:shd w:val="clear" w:color="auto" w:fill="auto"/>
            <w:vAlign w:val="center"/>
          </w:tcPr>
          <w:p w14:paraId="6DD06C8C" w14:textId="470233A9"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6FE11BA3" w14:textId="0E204933"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29EE21E5" w14:textId="5AF2FEB5"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dotted" w:sz="4" w:space="0" w:color="606072"/>
              <w:right w:val="single" w:sz="4" w:space="0" w:color="606072"/>
            </w:tcBorders>
            <w:shd w:val="clear" w:color="auto" w:fill="auto"/>
            <w:vAlign w:val="center"/>
          </w:tcPr>
          <w:p w14:paraId="2F971467" w14:textId="383EF845"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3" w:type="dxa"/>
            <w:gridSpan w:val="2"/>
            <w:tcBorders>
              <w:top w:val="dotted" w:sz="4" w:space="0" w:color="606072"/>
              <w:left w:val="single" w:sz="4" w:space="0" w:color="606072"/>
              <w:bottom w:val="dotted" w:sz="4" w:space="0" w:color="606072"/>
              <w:right w:val="dotted" w:sz="4" w:space="0" w:color="606072"/>
            </w:tcBorders>
            <w:shd w:val="clear" w:color="auto" w:fill="auto"/>
            <w:vAlign w:val="center"/>
          </w:tcPr>
          <w:p w14:paraId="51F66E76" w14:textId="1227FF40"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75F883CC" w14:textId="4B43C61A"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59E52EA1" w14:textId="4B1636B9"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3" w:type="dxa"/>
            <w:tcBorders>
              <w:top w:val="dotted" w:sz="4" w:space="0" w:color="606072"/>
              <w:left w:val="dotted" w:sz="4" w:space="0" w:color="606072"/>
              <w:bottom w:val="dotted" w:sz="4" w:space="0" w:color="606072"/>
              <w:right w:val="single" w:sz="4" w:space="0" w:color="606072"/>
            </w:tcBorders>
            <w:shd w:val="clear" w:color="auto" w:fill="auto"/>
            <w:vAlign w:val="center"/>
          </w:tcPr>
          <w:p w14:paraId="483ACAB4" w14:textId="212C1636"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r>
      <w:tr w:rsidR="00BF7BF2" w:rsidRPr="005060E0" w14:paraId="087A2C26" w14:textId="77777777" w:rsidTr="005D3208">
        <w:trPr>
          <w:gridAfter w:val="1"/>
          <w:wAfter w:w="8"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851"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33949C57" w14:textId="77777777" w:rsidR="00341810" w:rsidRPr="005060E0" w:rsidRDefault="00341810" w:rsidP="00341810">
            <w:pPr>
              <w:pStyle w:val="BodyText"/>
              <w:spacing w:after="0" w:line="240" w:lineRule="auto"/>
              <w:jc w:val="center"/>
              <w:rPr>
                <w:b w:val="0"/>
                <w:sz w:val="15"/>
                <w:szCs w:val="15"/>
              </w:rPr>
            </w:pPr>
          </w:p>
        </w:tc>
        <w:tc>
          <w:tcPr>
            <w:tcW w:w="977" w:type="dxa"/>
            <w:tcBorders>
              <w:top w:val="dotted" w:sz="4" w:space="0" w:color="606072"/>
              <w:left w:val="dotted" w:sz="4" w:space="0" w:color="606372" w:themeColor="text2"/>
              <w:bottom w:val="dotted" w:sz="4" w:space="0" w:color="606072"/>
              <w:right w:val="single" w:sz="4" w:space="0" w:color="606072"/>
            </w:tcBorders>
            <w:shd w:val="clear" w:color="auto" w:fill="DEDFE3" w:themeFill="text2" w:themeFillTint="33"/>
            <w:vAlign w:val="center"/>
          </w:tcPr>
          <w:p w14:paraId="673E949D" w14:textId="77777777" w:rsidR="00341810" w:rsidRPr="005060E0" w:rsidRDefault="00341810"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150</w:t>
            </w:r>
          </w:p>
        </w:tc>
        <w:tc>
          <w:tcPr>
            <w:tcW w:w="616" w:type="dxa"/>
            <w:tcBorders>
              <w:top w:val="dotted" w:sz="4" w:space="0" w:color="606072"/>
              <w:left w:val="single" w:sz="4" w:space="0" w:color="606072"/>
              <w:bottom w:val="dotted" w:sz="4" w:space="0" w:color="606072"/>
              <w:right w:val="dotted" w:sz="4" w:space="0" w:color="606072"/>
            </w:tcBorders>
            <w:shd w:val="clear" w:color="auto" w:fill="auto"/>
            <w:vAlign w:val="center"/>
          </w:tcPr>
          <w:p w14:paraId="66D83129" w14:textId="0C89ADA4"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0EE2E1D7" w14:textId="0FADADFF"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30FEB6D2" w14:textId="2481F6CE"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dotted" w:sz="4" w:space="0" w:color="606072"/>
              <w:right w:val="single" w:sz="4" w:space="0" w:color="606072"/>
            </w:tcBorders>
            <w:shd w:val="clear" w:color="auto" w:fill="auto"/>
            <w:vAlign w:val="center"/>
          </w:tcPr>
          <w:p w14:paraId="36B8553B" w14:textId="1D96614F"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3" w:type="dxa"/>
            <w:gridSpan w:val="2"/>
            <w:tcBorders>
              <w:top w:val="dotted" w:sz="4" w:space="0" w:color="606072"/>
              <w:left w:val="single" w:sz="4" w:space="0" w:color="606072"/>
              <w:bottom w:val="dotted" w:sz="4" w:space="0" w:color="606072"/>
              <w:right w:val="dotted" w:sz="4" w:space="0" w:color="606072"/>
            </w:tcBorders>
            <w:shd w:val="clear" w:color="auto" w:fill="auto"/>
            <w:vAlign w:val="center"/>
          </w:tcPr>
          <w:p w14:paraId="58AA8216" w14:textId="36F23D7A"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204D750A" w14:textId="12D453A1"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568FBB73" w14:textId="680B6E71"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3" w:type="dxa"/>
            <w:tcBorders>
              <w:top w:val="dotted" w:sz="4" w:space="0" w:color="606072"/>
              <w:left w:val="dotted" w:sz="4" w:space="0" w:color="606072"/>
              <w:bottom w:val="dotted" w:sz="4" w:space="0" w:color="606072"/>
              <w:right w:val="single" w:sz="4" w:space="0" w:color="606072"/>
            </w:tcBorders>
            <w:shd w:val="clear" w:color="auto" w:fill="auto"/>
            <w:vAlign w:val="center"/>
          </w:tcPr>
          <w:p w14:paraId="63171B2B" w14:textId="155B716F"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r>
      <w:tr w:rsidR="007F77AB" w:rsidRPr="005060E0" w14:paraId="2DBDFF48" w14:textId="77777777" w:rsidTr="00D41B95">
        <w:trPr>
          <w:gridAfter w:val="1"/>
          <w:cnfStyle w:val="000000100000" w:firstRow="0" w:lastRow="0" w:firstColumn="0" w:lastColumn="0" w:oddVBand="0" w:evenVBand="0" w:oddHBand="1" w:evenHBand="0" w:firstRowFirstColumn="0" w:firstRowLastColumn="0" w:lastRowFirstColumn="0" w:lastRowLastColumn="0"/>
          <w:wAfter w:w="8" w:type="dxa"/>
          <w:trHeight w:val="227"/>
          <w:jc w:val="center"/>
        </w:trPr>
        <w:tc>
          <w:tcPr>
            <w:cnfStyle w:val="001000000000" w:firstRow="0" w:lastRow="0" w:firstColumn="1" w:lastColumn="0" w:oddVBand="0" w:evenVBand="0" w:oddHBand="0" w:evenHBand="0" w:firstRowFirstColumn="0" w:firstRowLastColumn="0" w:lastRowFirstColumn="0" w:lastRowLastColumn="0"/>
            <w:tcW w:w="851"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51FC5404" w14:textId="77777777" w:rsidR="00341810" w:rsidRPr="005060E0" w:rsidRDefault="00341810" w:rsidP="00341810">
            <w:pPr>
              <w:pStyle w:val="BodyText"/>
              <w:spacing w:after="0" w:line="240" w:lineRule="auto"/>
              <w:jc w:val="center"/>
              <w:rPr>
                <w:b w:val="0"/>
                <w:sz w:val="15"/>
                <w:szCs w:val="15"/>
              </w:rPr>
            </w:pPr>
          </w:p>
        </w:tc>
        <w:tc>
          <w:tcPr>
            <w:tcW w:w="977" w:type="dxa"/>
            <w:tcBorders>
              <w:top w:val="dotted" w:sz="4" w:space="0" w:color="606072"/>
              <w:left w:val="dotted" w:sz="4" w:space="0" w:color="606372" w:themeColor="text2"/>
              <w:bottom w:val="single" w:sz="4" w:space="0" w:color="606072"/>
              <w:right w:val="single" w:sz="4" w:space="0" w:color="606072"/>
            </w:tcBorders>
            <w:shd w:val="clear" w:color="auto" w:fill="D5E5FF"/>
            <w:vAlign w:val="center"/>
          </w:tcPr>
          <w:p w14:paraId="58300FB8" w14:textId="77777777" w:rsidR="00341810" w:rsidRPr="005060E0" w:rsidRDefault="00341810"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200</w:t>
            </w:r>
          </w:p>
        </w:tc>
        <w:tc>
          <w:tcPr>
            <w:tcW w:w="616" w:type="dxa"/>
            <w:tcBorders>
              <w:top w:val="dotted" w:sz="4" w:space="0" w:color="606072"/>
              <w:left w:val="single" w:sz="4" w:space="0" w:color="606072"/>
              <w:bottom w:val="single" w:sz="4" w:space="0" w:color="606072"/>
              <w:right w:val="dotted" w:sz="4" w:space="0" w:color="606072"/>
            </w:tcBorders>
            <w:shd w:val="clear" w:color="auto" w:fill="D5E5FF"/>
            <w:vAlign w:val="center"/>
          </w:tcPr>
          <w:p w14:paraId="46D7DFC2" w14:textId="649070D1"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1"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62AFEE1D" w14:textId="33A69DBC"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1"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124ECA2C" w14:textId="40755BF5"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single" w:sz="4" w:space="0" w:color="606072"/>
              <w:right w:val="single" w:sz="4" w:space="0" w:color="606072"/>
            </w:tcBorders>
            <w:shd w:val="clear" w:color="auto" w:fill="D5E5FF"/>
            <w:vAlign w:val="center"/>
          </w:tcPr>
          <w:p w14:paraId="73AEA238" w14:textId="7F2C58C1"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3" w:type="dxa"/>
            <w:gridSpan w:val="2"/>
            <w:tcBorders>
              <w:top w:val="dotted" w:sz="4" w:space="0" w:color="606072"/>
              <w:left w:val="single" w:sz="4" w:space="0" w:color="606072"/>
              <w:bottom w:val="single" w:sz="4" w:space="0" w:color="606072"/>
              <w:right w:val="dotted" w:sz="4" w:space="0" w:color="606072"/>
            </w:tcBorders>
            <w:shd w:val="clear" w:color="auto" w:fill="D5E5FF"/>
            <w:vAlign w:val="center"/>
          </w:tcPr>
          <w:p w14:paraId="0D922CF1" w14:textId="7197C3FF"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3BD2D0EC" w14:textId="4E2FEB55"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21A5D07E" w14:textId="5AC1EF66"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3" w:type="dxa"/>
            <w:tcBorders>
              <w:top w:val="dotted" w:sz="4" w:space="0" w:color="606072"/>
              <w:left w:val="dotted" w:sz="4" w:space="0" w:color="606072"/>
              <w:bottom w:val="single" w:sz="4" w:space="0" w:color="606072"/>
              <w:right w:val="single" w:sz="4" w:space="0" w:color="606072"/>
            </w:tcBorders>
            <w:shd w:val="clear" w:color="auto" w:fill="D5E5FF"/>
            <w:vAlign w:val="center"/>
          </w:tcPr>
          <w:p w14:paraId="713C34AF" w14:textId="65BA5ADD"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r>
      <w:tr w:rsidR="005D3208" w:rsidRPr="005060E0" w14:paraId="1A62095D" w14:textId="77777777" w:rsidTr="005D3208">
        <w:trPr>
          <w:gridAfter w:val="1"/>
          <w:wAfter w:w="8"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6868" w:type="dxa"/>
            <w:gridSpan w:val="11"/>
            <w:tcBorders>
              <w:top w:val="single" w:sz="4" w:space="0" w:color="606072"/>
              <w:left w:val="single" w:sz="4" w:space="0" w:color="606072"/>
              <w:bottom w:val="single" w:sz="4" w:space="0" w:color="606072"/>
              <w:right w:val="single" w:sz="4" w:space="0" w:color="606072"/>
            </w:tcBorders>
            <w:shd w:val="clear" w:color="auto" w:fill="BFBFBF" w:themeFill="background1" w:themeFillShade="BF"/>
            <w:vAlign w:val="center"/>
          </w:tcPr>
          <w:p w14:paraId="3291B1E2" w14:textId="662BD246" w:rsidR="005D3208" w:rsidRPr="005060E0" w:rsidRDefault="005D3208" w:rsidP="005D3208">
            <w:pPr>
              <w:pStyle w:val="BodyText"/>
              <w:spacing w:after="0" w:line="240" w:lineRule="auto"/>
              <w:rPr>
                <w:sz w:val="15"/>
                <w:szCs w:val="15"/>
              </w:rPr>
            </w:pPr>
            <w:r w:rsidRPr="005060E0">
              <w:rPr>
                <w:rFonts w:cs="Arial"/>
                <w:b w:val="0"/>
                <w:sz w:val="15"/>
                <w:szCs w:val="15"/>
              </w:rPr>
              <w:t>Total number of unique exceedance days</w:t>
            </w:r>
          </w:p>
        </w:tc>
      </w:tr>
      <w:tr w:rsidR="00BF7BF2" w:rsidRPr="005060E0" w14:paraId="493982DA" w14:textId="77777777" w:rsidTr="005D3208">
        <w:trPr>
          <w:gridAfter w:val="1"/>
          <w:cnfStyle w:val="000000100000" w:firstRow="0" w:lastRow="0" w:firstColumn="0" w:lastColumn="0" w:oddVBand="0" w:evenVBand="0" w:oddHBand="1" w:evenHBand="0" w:firstRowFirstColumn="0" w:firstRowLastColumn="0" w:lastRowFirstColumn="0" w:lastRowLastColumn="0"/>
          <w:wAfter w:w="8"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851" w:type="dxa"/>
            <w:vMerge w:val="restart"/>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6CF74199" w14:textId="77777777" w:rsidR="00341810" w:rsidRPr="005060E0" w:rsidRDefault="00341810" w:rsidP="00341810">
            <w:pPr>
              <w:pStyle w:val="BodyText"/>
              <w:spacing w:after="0" w:line="240" w:lineRule="auto"/>
              <w:jc w:val="center"/>
              <w:rPr>
                <w:b w:val="0"/>
                <w:sz w:val="15"/>
                <w:szCs w:val="15"/>
              </w:rPr>
            </w:pPr>
            <w:r w:rsidRPr="005060E0">
              <w:rPr>
                <w:b w:val="0"/>
                <w:sz w:val="15"/>
                <w:szCs w:val="15"/>
              </w:rPr>
              <w:t>24-hour</w:t>
            </w:r>
          </w:p>
        </w:tc>
        <w:tc>
          <w:tcPr>
            <w:tcW w:w="977" w:type="dxa"/>
            <w:tcBorders>
              <w:top w:val="single" w:sz="4" w:space="0" w:color="606072"/>
              <w:left w:val="dotted" w:sz="4" w:space="0" w:color="606372" w:themeColor="text2"/>
              <w:bottom w:val="dotted" w:sz="4" w:space="0" w:color="606072"/>
              <w:right w:val="single" w:sz="4" w:space="0" w:color="606072"/>
            </w:tcBorders>
            <w:shd w:val="clear" w:color="auto" w:fill="DEDFE3" w:themeFill="text2" w:themeFillTint="33"/>
            <w:vAlign w:val="center"/>
          </w:tcPr>
          <w:p w14:paraId="649C7F9E" w14:textId="77777777" w:rsidR="00341810" w:rsidRPr="005060E0" w:rsidRDefault="00341810"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7</w:t>
            </w:r>
          </w:p>
        </w:tc>
        <w:tc>
          <w:tcPr>
            <w:tcW w:w="616" w:type="dxa"/>
            <w:tcBorders>
              <w:top w:val="single" w:sz="4" w:space="0" w:color="606072"/>
              <w:left w:val="single" w:sz="4" w:space="0" w:color="606072"/>
              <w:bottom w:val="dotted" w:sz="4" w:space="0" w:color="606072"/>
              <w:right w:val="dotted" w:sz="4" w:space="0" w:color="606072"/>
            </w:tcBorders>
            <w:shd w:val="clear" w:color="auto" w:fill="auto"/>
            <w:vAlign w:val="center"/>
          </w:tcPr>
          <w:p w14:paraId="62D8C61C" w14:textId="3F3D55F2" w:rsidR="00341810" w:rsidRPr="005060E0" w:rsidRDefault="00812125"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81</w:t>
            </w:r>
          </w:p>
        </w:tc>
        <w:tc>
          <w:tcPr>
            <w:tcW w:w="631" w:type="dxa"/>
            <w:tcBorders>
              <w:top w:val="single" w:sz="4" w:space="0" w:color="606072"/>
              <w:left w:val="dotted" w:sz="4" w:space="0" w:color="606072"/>
              <w:bottom w:val="dotted" w:sz="4" w:space="0" w:color="606072"/>
              <w:right w:val="dotted" w:sz="4" w:space="0" w:color="606072"/>
            </w:tcBorders>
            <w:shd w:val="clear" w:color="auto" w:fill="auto"/>
            <w:vAlign w:val="center"/>
          </w:tcPr>
          <w:p w14:paraId="313507B9" w14:textId="4D534807" w:rsidR="00341810" w:rsidRPr="005060E0" w:rsidRDefault="001A00C7"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6</w:t>
            </w:r>
          </w:p>
        </w:tc>
        <w:tc>
          <w:tcPr>
            <w:tcW w:w="631" w:type="dxa"/>
            <w:tcBorders>
              <w:top w:val="single" w:sz="4" w:space="0" w:color="606072"/>
              <w:left w:val="dotted" w:sz="4" w:space="0" w:color="606072"/>
              <w:bottom w:val="dotted" w:sz="4" w:space="0" w:color="606072"/>
              <w:right w:val="dotted" w:sz="4" w:space="0" w:color="606072"/>
            </w:tcBorders>
            <w:shd w:val="clear" w:color="auto" w:fill="auto"/>
            <w:vAlign w:val="center"/>
          </w:tcPr>
          <w:p w14:paraId="5A761F18" w14:textId="70781B2A" w:rsidR="00341810" w:rsidRPr="005060E0" w:rsidRDefault="001A00C7"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6</w:t>
            </w:r>
          </w:p>
        </w:tc>
        <w:tc>
          <w:tcPr>
            <w:tcW w:w="632" w:type="dxa"/>
            <w:tcBorders>
              <w:top w:val="single" w:sz="4" w:space="0" w:color="606072"/>
              <w:left w:val="dotted" w:sz="4" w:space="0" w:color="606072"/>
              <w:bottom w:val="dotted" w:sz="4" w:space="0" w:color="606072"/>
              <w:right w:val="single" w:sz="4" w:space="0" w:color="606072"/>
            </w:tcBorders>
            <w:shd w:val="clear" w:color="auto" w:fill="auto"/>
            <w:vAlign w:val="center"/>
          </w:tcPr>
          <w:p w14:paraId="0093C23A" w14:textId="6CB84159"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3" w:type="dxa"/>
            <w:gridSpan w:val="2"/>
            <w:tcBorders>
              <w:top w:val="single" w:sz="4" w:space="0" w:color="606072"/>
              <w:left w:val="single" w:sz="4" w:space="0" w:color="606072"/>
              <w:bottom w:val="dotted" w:sz="4" w:space="0" w:color="606072"/>
              <w:right w:val="dotted" w:sz="4" w:space="0" w:color="606072"/>
            </w:tcBorders>
            <w:shd w:val="clear" w:color="auto" w:fill="auto"/>
            <w:vAlign w:val="center"/>
          </w:tcPr>
          <w:p w14:paraId="3F8ECAC4" w14:textId="30BB00AE" w:rsidR="00341810" w:rsidRPr="005060E0" w:rsidRDefault="00812125"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6</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640594AC" w14:textId="3D6F9F5A"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45257D20" w14:textId="208F04B0"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3" w:type="dxa"/>
            <w:tcBorders>
              <w:top w:val="single" w:sz="4" w:space="0" w:color="606072"/>
              <w:left w:val="dotted" w:sz="4" w:space="0" w:color="606072"/>
              <w:bottom w:val="dotted" w:sz="4" w:space="0" w:color="606072"/>
              <w:right w:val="single" w:sz="4" w:space="0" w:color="606072"/>
            </w:tcBorders>
            <w:shd w:val="clear" w:color="auto" w:fill="auto"/>
            <w:vAlign w:val="center"/>
          </w:tcPr>
          <w:p w14:paraId="4A3E0B04" w14:textId="6A10A024"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r>
      <w:tr w:rsidR="00BF7BF2" w:rsidRPr="005060E0" w14:paraId="468BAC4F" w14:textId="77777777" w:rsidTr="005D3208">
        <w:trPr>
          <w:gridAfter w:val="1"/>
          <w:wAfter w:w="8"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851"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3E5DBC56" w14:textId="77777777" w:rsidR="00341810" w:rsidRPr="005060E0" w:rsidRDefault="00341810" w:rsidP="00341810">
            <w:pPr>
              <w:pStyle w:val="BodyText"/>
              <w:spacing w:after="0" w:line="240" w:lineRule="auto"/>
              <w:jc w:val="center"/>
              <w:rPr>
                <w:b w:val="0"/>
                <w:sz w:val="15"/>
                <w:szCs w:val="15"/>
              </w:rPr>
            </w:pPr>
          </w:p>
        </w:tc>
        <w:tc>
          <w:tcPr>
            <w:tcW w:w="977" w:type="dxa"/>
            <w:tcBorders>
              <w:top w:val="dotted" w:sz="4" w:space="0" w:color="606072"/>
              <w:left w:val="dotted" w:sz="4" w:space="0" w:color="606372" w:themeColor="text2"/>
              <w:bottom w:val="dotted" w:sz="4" w:space="0" w:color="606072"/>
              <w:right w:val="single" w:sz="4" w:space="0" w:color="606072"/>
            </w:tcBorders>
            <w:shd w:val="clear" w:color="auto" w:fill="DEDFE3" w:themeFill="text2" w:themeFillTint="33"/>
            <w:vAlign w:val="center"/>
          </w:tcPr>
          <w:p w14:paraId="2D0F1299" w14:textId="77777777" w:rsidR="00341810" w:rsidRPr="005060E0" w:rsidRDefault="00341810"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20</w:t>
            </w:r>
          </w:p>
        </w:tc>
        <w:tc>
          <w:tcPr>
            <w:tcW w:w="616" w:type="dxa"/>
            <w:tcBorders>
              <w:top w:val="dotted" w:sz="4" w:space="0" w:color="606072"/>
              <w:left w:val="single" w:sz="4" w:space="0" w:color="606072"/>
              <w:bottom w:val="dotted" w:sz="4" w:space="0" w:color="606072"/>
              <w:right w:val="dotted" w:sz="4" w:space="0" w:color="606072"/>
            </w:tcBorders>
            <w:shd w:val="clear" w:color="auto" w:fill="auto"/>
            <w:vAlign w:val="center"/>
          </w:tcPr>
          <w:p w14:paraId="36494BE1" w14:textId="1462E156"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34F0B77A" w14:textId="23ECE3AF"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11BB9AC4" w14:textId="3A261CA6"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dotted" w:sz="4" w:space="0" w:color="606072"/>
              <w:right w:val="single" w:sz="4" w:space="0" w:color="606072"/>
            </w:tcBorders>
            <w:shd w:val="clear" w:color="auto" w:fill="auto"/>
            <w:vAlign w:val="center"/>
          </w:tcPr>
          <w:p w14:paraId="652D03B4" w14:textId="3C4C1588"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3" w:type="dxa"/>
            <w:gridSpan w:val="2"/>
            <w:tcBorders>
              <w:top w:val="dotted" w:sz="4" w:space="0" w:color="606072"/>
              <w:left w:val="single" w:sz="4" w:space="0" w:color="606072"/>
              <w:bottom w:val="dotted" w:sz="4" w:space="0" w:color="606072"/>
              <w:right w:val="dotted" w:sz="4" w:space="0" w:color="606072"/>
            </w:tcBorders>
            <w:shd w:val="clear" w:color="auto" w:fill="auto"/>
            <w:vAlign w:val="center"/>
          </w:tcPr>
          <w:p w14:paraId="0AF3FA91" w14:textId="146FDFD2"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4CE04EE9" w14:textId="0B9577F3"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5440305D" w14:textId="017BEAAB"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3" w:type="dxa"/>
            <w:tcBorders>
              <w:top w:val="dotted" w:sz="4" w:space="0" w:color="606072"/>
              <w:left w:val="dotted" w:sz="4" w:space="0" w:color="606072"/>
              <w:bottom w:val="dotted" w:sz="4" w:space="0" w:color="606072"/>
              <w:right w:val="single" w:sz="4" w:space="0" w:color="606072"/>
            </w:tcBorders>
            <w:shd w:val="clear" w:color="auto" w:fill="auto"/>
            <w:vAlign w:val="center"/>
          </w:tcPr>
          <w:p w14:paraId="3D8C32F5" w14:textId="62FEBF2E"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r>
      <w:tr w:rsidR="00BF7BF2" w:rsidRPr="005060E0" w14:paraId="54F7F993" w14:textId="77777777" w:rsidTr="005D3208">
        <w:trPr>
          <w:gridAfter w:val="1"/>
          <w:cnfStyle w:val="000000100000" w:firstRow="0" w:lastRow="0" w:firstColumn="0" w:lastColumn="0" w:oddVBand="0" w:evenVBand="0" w:oddHBand="1" w:evenHBand="0" w:firstRowFirstColumn="0" w:firstRowLastColumn="0" w:lastRowFirstColumn="0" w:lastRowLastColumn="0"/>
          <w:wAfter w:w="8"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851"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775E1B3A" w14:textId="77777777" w:rsidR="00341810" w:rsidRPr="005060E0" w:rsidRDefault="00341810" w:rsidP="00341810">
            <w:pPr>
              <w:pStyle w:val="BodyText"/>
              <w:spacing w:after="0" w:line="240" w:lineRule="auto"/>
              <w:jc w:val="center"/>
              <w:rPr>
                <w:b w:val="0"/>
                <w:sz w:val="15"/>
                <w:szCs w:val="15"/>
              </w:rPr>
            </w:pPr>
          </w:p>
        </w:tc>
        <w:tc>
          <w:tcPr>
            <w:tcW w:w="977" w:type="dxa"/>
            <w:tcBorders>
              <w:top w:val="dotted" w:sz="4" w:space="0" w:color="606072"/>
              <w:left w:val="dotted" w:sz="4" w:space="0" w:color="606372" w:themeColor="text2"/>
              <w:bottom w:val="dotted" w:sz="4" w:space="0" w:color="606072"/>
              <w:right w:val="single" w:sz="4" w:space="0" w:color="606072"/>
            </w:tcBorders>
            <w:shd w:val="clear" w:color="auto" w:fill="DEDFE3" w:themeFill="text2" w:themeFillTint="33"/>
            <w:vAlign w:val="center"/>
          </w:tcPr>
          <w:p w14:paraId="704779AD" w14:textId="77777777" w:rsidR="00341810" w:rsidRPr="005060E0" w:rsidRDefault="00341810"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40</w:t>
            </w:r>
          </w:p>
        </w:tc>
        <w:tc>
          <w:tcPr>
            <w:tcW w:w="616" w:type="dxa"/>
            <w:tcBorders>
              <w:top w:val="dotted" w:sz="4" w:space="0" w:color="606072"/>
              <w:left w:val="single" w:sz="4" w:space="0" w:color="606072"/>
              <w:bottom w:val="dotted" w:sz="4" w:space="0" w:color="606072"/>
              <w:right w:val="dotted" w:sz="4" w:space="0" w:color="606072"/>
            </w:tcBorders>
            <w:shd w:val="clear" w:color="auto" w:fill="auto"/>
            <w:vAlign w:val="center"/>
          </w:tcPr>
          <w:p w14:paraId="0113DA90" w14:textId="2F5A9AF2"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71B46B66" w14:textId="3BC2CC34"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318924E3" w14:textId="712FE761"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dotted" w:sz="4" w:space="0" w:color="606072"/>
              <w:right w:val="single" w:sz="4" w:space="0" w:color="606072"/>
            </w:tcBorders>
            <w:shd w:val="clear" w:color="auto" w:fill="auto"/>
            <w:vAlign w:val="center"/>
          </w:tcPr>
          <w:p w14:paraId="7558EF01" w14:textId="2025DE98"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3" w:type="dxa"/>
            <w:gridSpan w:val="2"/>
            <w:tcBorders>
              <w:top w:val="dotted" w:sz="4" w:space="0" w:color="606072"/>
              <w:left w:val="single" w:sz="4" w:space="0" w:color="606072"/>
              <w:bottom w:val="dotted" w:sz="4" w:space="0" w:color="606072"/>
              <w:right w:val="dotted" w:sz="4" w:space="0" w:color="606072"/>
            </w:tcBorders>
            <w:shd w:val="clear" w:color="auto" w:fill="auto"/>
            <w:vAlign w:val="center"/>
          </w:tcPr>
          <w:p w14:paraId="6FD5F1B2" w14:textId="0FDC3D6F"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7DA62F13" w14:textId="60C2207F"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6B68DE04" w14:textId="5B29C623"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3" w:type="dxa"/>
            <w:tcBorders>
              <w:top w:val="dotted" w:sz="4" w:space="0" w:color="606072"/>
              <w:left w:val="dotted" w:sz="4" w:space="0" w:color="606072"/>
              <w:bottom w:val="dotted" w:sz="4" w:space="0" w:color="606072"/>
              <w:right w:val="single" w:sz="4" w:space="0" w:color="606072"/>
            </w:tcBorders>
            <w:shd w:val="clear" w:color="auto" w:fill="auto"/>
            <w:vAlign w:val="center"/>
          </w:tcPr>
          <w:p w14:paraId="311A31DF" w14:textId="48448478"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r>
      <w:tr w:rsidR="007F77AB" w:rsidRPr="005060E0" w14:paraId="5F983137" w14:textId="77777777" w:rsidTr="00D41B95">
        <w:trPr>
          <w:gridAfter w:val="1"/>
          <w:wAfter w:w="8"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851"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482E53C5" w14:textId="77777777" w:rsidR="00341810" w:rsidRPr="005060E0" w:rsidRDefault="00341810" w:rsidP="00341810">
            <w:pPr>
              <w:pStyle w:val="BodyText"/>
              <w:spacing w:after="0" w:line="240" w:lineRule="auto"/>
              <w:jc w:val="center"/>
              <w:rPr>
                <w:b w:val="0"/>
                <w:sz w:val="15"/>
                <w:szCs w:val="15"/>
              </w:rPr>
            </w:pPr>
          </w:p>
        </w:tc>
        <w:tc>
          <w:tcPr>
            <w:tcW w:w="977" w:type="dxa"/>
            <w:tcBorders>
              <w:top w:val="dotted" w:sz="4" w:space="0" w:color="606072"/>
              <w:left w:val="dotted" w:sz="4" w:space="0" w:color="606372" w:themeColor="text2"/>
              <w:bottom w:val="single" w:sz="4" w:space="0" w:color="606072"/>
              <w:right w:val="single" w:sz="4" w:space="0" w:color="606072"/>
            </w:tcBorders>
            <w:shd w:val="clear" w:color="auto" w:fill="D5E5FF"/>
            <w:vAlign w:val="center"/>
          </w:tcPr>
          <w:p w14:paraId="34507E77" w14:textId="77777777" w:rsidR="00341810" w:rsidRPr="005060E0" w:rsidRDefault="00341810"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80</w:t>
            </w:r>
          </w:p>
        </w:tc>
        <w:tc>
          <w:tcPr>
            <w:tcW w:w="616" w:type="dxa"/>
            <w:tcBorders>
              <w:top w:val="dotted" w:sz="4" w:space="0" w:color="606072"/>
              <w:left w:val="single" w:sz="4" w:space="0" w:color="606072"/>
              <w:bottom w:val="single" w:sz="4" w:space="0" w:color="606072"/>
              <w:right w:val="dotted" w:sz="4" w:space="0" w:color="606072"/>
            </w:tcBorders>
            <w:shd w:val="clear" w:color="auto" w:fill="D5E5FF"/>
            <w:vAlign w:val="center"/>
          </w:tcPr>
          <w:p w14:paraId="0F10632A" w14:textId="58B872CA"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1"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02B90420" w14:textId="425DEC80"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1"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0EDFE624" w14:textId="3F348047"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single" w:sz="4" w:space="0" w:color="606072"/>
              <w:right w:val="single" w:sz="4" w:space="0" w:color="606072"/>
            </w:tcBorders>
            <w:shd w:val="clear" w:color="auto" w:fill="D5E5FF"/>
            <w:vAlign w:val="center"/>
          </w:tcPr>
          <w:p w14:paraId="3E8CB47E" w14:textId="4F3C60D2"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3" w:type="dxa"/>
            <w:gridSpan w:val="2"/>
            <w:tcBorders>
              <w:top w:val="dotted" w:sz="4" w:space="0" w:color="606072"/>
              <w:left w:val="single" w:sz="4" w:space="0" w:color="606072"/>
              <w:bottom w:val="single" w:sz="4" w:space="0" w:color="606072"/>
              <w:right w:val="dotted" w:sz="4" w:space="0" w:color="606072"/>
            </w:tcBorders>
            <w:shd w:val="clear" w:color="auto" w:fill="D5E5FF"/>
            <w:vAlign w:val="center"/>
          </w:tcPr>
          <w:p w14:paraId="36F52635" w14:textId="7787EEB1"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75C79053" w14:textId="1BEF7CB3"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03F8AE87" w14:textId="1B1BEC32"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3" w:type="dxa"/>
            <w:tcBorders>
              <w:top w:val="dotted" w:sz="4" w:space="0" w:color="606072"/>
              <w:left w:val="dotted" w:sz="4" w:space="0" w:color="606072"/>
              <w:bottom w:val="single" w:sz="4" w:space="0" w:color="606072"/>
              <w:right w:val="single" w:sz="4" w:space="0" w:color="606072"/>
            </w:tcBorders>
            <w:shd w:val="clear" w:color="auto" w:fill="D5E5FF"/>
            <w:vAlign w:val="center"/>
          </w:tcPr>
          <w:p w14:paraId="764C1395" w14:textId="6F86E918"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r>
      <w:tr w:rsidR="005D3208" w:rsidRPr="005060E0" w14:paraId="01D28E5A" w14:textId="77777777" w:rsidTr="005D3208">
        <w:trPr>
          <w:gridAfter w:val="1"/>
          <w:cnfStyle w:val="000000100000" w:firstRow="0" w:lastRow="0" w:firstColumn="0" w:lastColumn="0" w:oddVBand="0" w:evenVBand="0" w:oddHBand="1" w:evenHBand="0" w:firstRowFirstColumn="0" w:firstRowLastColumn="0" w:lastRowFirstColumn="0" w:lastRowLastColumn="0"/>
          <w:wAfter w:w="8"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6868" w:type="dxa"/>
            <w:gridSpan w:val="11"/>
            <w:tcBorders>
              <w:top w:val="single" w:sz="4" w:space="0" w:color="606072"/>
              <w:left w:val="single" w:sz="4" w:space="0" w:color="606072"/>
              <w:bottom w:val="single" w:sz="4" w:space="0" w:color="606072"/>
              <w:right w:val="single" w:sz="4" w:space="0" w:color="606072"/>
            </w:tcBorders>
            <w:shd w:val="clear" w:color="auto" w:fill="BFBFBF" w:themeFill="background1" w:themeFillShade="BF"/>
            <w:vAlign w:val="center"/>
          </w:tcPr>
          <w:p w14:paraId="137B7209" w14:textId="6AE160EF" w:rsidR="005D3208" w:rsidRPr="005060E0" w:rsidRDefault="005D3208" w:rsidP="005D3208">
            <w:pPr>
              <w:pStyle w:val="BodyText"/>
              <w:spacing w:after="0" w:line="240" w:lineRule="auto"/>
              <w:rPr>
                <w:sz w:val="15"/>
                <w:szCs w:val="15"/>
              </w:rPr>
            </w:pPr>
            <w:r w:rsidRPr="005060E0">
              <w:rPr>
                <w:rFonts w:eastAsia="Times New Roman" w:cs="Arial"/>
                <w:b w:val="0"/>
                <w:color w:val="000000"/>
                <w:sz w:val="15"/>
                <w:szCs w:val="15"/>
                <w:lang w:eastAsia="en-AU"/>
              </w:rPr>
              <w:t>Total number of monitoring stations exceeding standard</w:t>
            </w:r>
          </w:p>
        </w:tc>
      </w:tr>
      <w:tr w:rsidR="00BF7BF2" w:rsidRPr="005060E0" w14:paraId="26D63C33" w14:textId="77777777" w:rsidTr="005D3208">
        <w:trPr>
          <w:gridAfter w:val="1"/>
          <w:wAfter w:w="8"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851" w:type="dxa"/>
            <w:vMerge w:val="restart"/>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6CA4EF02" w14:textId="77777777" w:rsidR="00341810" w:rsidRPr="005060E0" w:rsidRDefault="00341810" w:rsidP="00341810">
            <w:pPr>
              <w:pStyle w:val="BodyText"/>
              <w:spacing w:after="0" w:line="240" w:lineRule="auto"/>
              <w:jc w:val="center"/>
              <w:rPr>
                <w:b w:val="0"/>
                <w:sz w:val="15"/>
                <w:szCs w:val="15"/>
              </w:rPr>
            </w:pPr>
            <w:r w:rsidRPr="005060E0">
              <w:rPr>
                <w:b w:val="0"/>
                <w:sz w:val="15"/>
                <w:szCs w:val="15"/>
              </w:rPr>
              <w:t>Annual</w:t>
            </w:r>
          </w:p>
        </w:tc>
        <w:tc>
          <w:tcPr>
            <w:tcW w:w="977" w:type="dxa"/>
            <w:tcBorders>
              <w:top w:val="single" w:sz="4" w:space="0" w:color="606072"/>
              <w:left w:val="dotted" w:sz="4" w:space="0" w:color="606372" w:themeColor="text2"/>
              <w:bottom w:val="dotted" w:sz="4" w:space="0" w:color="606072"/>
              <w:right w:val="single" w:sz="4" w:space="0" w:color="606072"/>
            </w:tcBorders>
            <w:shd w:val="clear" w:color="auto" w:fill="DEDFE3" w:themeFill="text2" w:themeFillTint="33"/>
            <w:vAlign w:val="center"/>
          </w:tcPr>
          <w:p w14:paraId="0E720C60" w14:textId="77777777" w:rsidR="00341810" w:rsidRPr="005060E0" w:rsidRDefault="00341810"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10</w:t>
            </w:r>
          </w:p>
        </w:tc>
        <w:tc>
          <w:tcPr>
            <w:tcW w:w="616" w:type="dxa"/>
            <w:tcBorders>
              <w:top w:val="single" w:sz="4" w:space="0" w:color="606072"/>
              <w:left w:val="single" w:sz="4" w:space="0" w:color="606072"/>
              <w:bottom w:val="dotted" w:sz="4" w:space="0" w:color="606072"/>
              <w:right w:val="dotted" w:sz="4" w:space="0" w:color="606072"/>
            </w:tcBorders>
            <w:shd w:val="clear" w:color="auto" w:fill="auto"/>
            <w:vAlign w:val="center"/>
          </w:tcPr>
          <w:p w14:paraId="48518109" w14:textId="67CAC323"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1" w:type="dxa"/>
            <w:tcBorders>
              <w:top w:val="single" w:sz="4" w:space="0" w:color="606072"/>
              <w:left w:val="dotted" w:sz="4" w:space="0" w:color="606072"/>
              <w:bottom w:val="dotted" w:sz="4" w:space="0" w:color="606072"/>
              <w:right w:val="dotted" w:sz="4" w:space="0" w:color="606072"/>
            </w:tcBorders>
            <w:shd w:val="clear" w:color="auto" w:fill="auto"/>
            <w:vAlign w:val="center"/>
          </w:tcPr>
          <w:p w14:paraId="79D01F04" w14:textId="52A1D061"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1" w:type="dxa"/>
            <w:tcBorders>
              <w:top w:val="single" w:sz="4" w:space="0" w:color="606072"/>
              <w:left w:val="dotted" w:sz="4" w:space="0" w:color="606072"/>
              <w:bottom w:val="dotted" w:sz="4" w:space="0" w:color="606072"/>
              <w:right w:val="dotted" w:sz="4" w:space="0" w:color="606072"/>
            </w:tcBorders>
            <w:shd w:val="clear" w:color="auto" w:fill="auto"/>
            <w:vAlign w:val="center"/>
          </w:tcPr>
          <w:p w14:paraId="4042DA1C" w14:textId="0DC3E742"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single" w:sz="4" w:space="0" w:color="606072"/>
              <w:left w:val="dotted" w:sz="4" w:space="0" w:color="606072"/>
              <w:bottom w:val="dotted" w:sz="4" w:space="0" w:color="606072"/>
              <w:right w:val="single" w:sz="4" w:space="0" w:color="606072"/>
            </w:tcBorders>
            <w:shd w:val="clear" w:color="auto" w:fill="auto"/>
            <w:vAlign w:val="center"/>
          </w:tcPr>
          <w:p w14:paraId="5FB62F2C" w14:textId="16D90527"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3" w:type="dxa"/>
            <w:gridSpan w:val="2"/>
            <w:tcBorders>
              <w:top w:val="single" w:sz="4" w:space="0" w:color="606072"/>
              <w:left w:val="single" w:sz="4" w:space="0" w:color="606072"/>
              <w:bottom w:val="dotted" w:sz="4" w:space="0" w:color="606072"/>
              <w:right w:val="dotted" w:sz="4" w:space="0" w:color="606072"/>
            </w:tcBorders>
            <w:shd w:val="clear" w:color="auto" w:fill="auto"/>
            <w:vAlign w:val="center"/>
          </w:tcPr>
          <w:p w14:paraId="6B3CA45E" w14:textId="14666574"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107A8DE2" w14:textId="66EC6D20"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48A1C196" w14:textId="40BDEEC5"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c>
          <w:tcPr>
            <w:tcW w:w="633" w:type="dxa"/>
            <w:tcBorders>
              <w:top w:val="single" w:sz="4" w:space="0" w:color="606072"/>
              <w:left w:val="dotted" w:sz="4" w:space="0" w:color="606072"/>
              <w:bottom w:val="dotted" w:sz="4" w:space="0" w:color="606072"/>
              <w:right w:val="single" w:sz="4" w:space="0" w:color="606072"/>
            </w:tcBorders>
            <w:shd w:val="clear" w:color="auto" w:fill="auto"/>
            <w:vAlign w:val="center"/>
          </w:tcPr>
          <w:p w14:paraId="008C70F6" w14:textId="63346B2B" w:rsidR="00341810" w:rsidRPr="005060E0" w:rsidRDefault="00491E7C" w:rsidP="0034181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w:t>
            </w:r>
          </w:p>
        </w:tc>
      </w:tr>
      <w:tr w:rsidR="007F77AB" w:rsidRPr="005060E0" w14:paraId="227ECD6A" w14:textId="77777777" w:rsidTr="00D41B95">
        <w:trPr>
          <w:gridAfter w:val="1"/>
          <w:cnfStyle w:val="000000100000" w:firstRow="0" w:lastRow="0" w:firstColumn="0" w:lastColumn="0" w:oddVBand="0" w:evenVBand="0" w:oddHBand="1" w:evenHBand="0" w:firstRowFirstColumn="0" w:firstRowLastColumn="0" w:lastRowFirstColumn="0" w:lastRowLastColumn="0"/>
          <w:wAfter w:w="8"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851"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03D0382A" w14:textId="77777777" w:rsidR="00341810" w:rsidRPr="005060E0" w:rsidRDefault="00341810" w:rsidP="00341810">
            <w:pPr>
              <w:pStyle w:val="BodyText"/>
              <w:spacing w:after="0" w:line="240" w:lineRule="auto"/>
              <w:jc w:val="center"/>
              <w:rPr>
                <w:sz w:val="15"/>
                <w:szCs w:val="15"/>
              </w:rPr>
            </w:pPr>
          </w:p>
        </w:tc>
        <w:tc>
          <w:tcPr>
            <w:tcW w:w="977" w:type="dxa"/>
            <w:tcBorders>
              <w:top w:val="dotted" w:sz="4" w:space="0" w:color="606072"/>
              <w:left w:val="dotted" w:sz="4" w:space="0" w:color="606372" w:themeColor="text2"/>
              <w:bottom w:val="single" w:sz="4" w:space="0" w:color="606072"/>
              <w:right w:val="single" w:sz="4" w:space="0" w:color="606072"/>
            </w:tcBorders>
            <w:shd w:val="clear" w:color="auto" w:fill="D5E5FF"/>
            <w:vAlign w:val="center"/>
          </w:tcPr>
          <w:p w14:paraId="660754BF" w14:textId="77777777" w:rsidR="00341810" w:rsidRPr="005060E0" w:rsidRDefault="00341810"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20</w:t>
            </w:r>
          </w:p>
        </w:tc>
        <w:tc>
          <w:tcPr>
            <w:tcW w:w="616" w:type="dxa"/>
            <w:tcBorders>
              <w:top w:val="dotted" w:sz="4" w:space="0" w:color="606072"/>
              <w:left w:val="single" w:sz="4" w:space="0" w:color="606072"/>
              <w:bottom w:val="single" w:sz="4" w:space="0" w:color="606072"/>
              <w:right w:val="dotted" w:sz="4" w:space="0" w:color="606072"/>
            </w:tcBorders>
            <w:shd w:val="clear" w:color="auto" w:fill="D5E5FF"/>
            <w:vAlign w:val="center"/>
          </w:tcPr>
          <w:p w14:paraId="424B0F65" w14:textId="3BD11260"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1"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549A7C58" w14:textId="3BE2491F"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1"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45A10FF7" w14:textId="1520E7C2"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single" w:sz="4" w:space="0" w:color="606072"/>
              <w:right w:val="single" w:sz="4" w:space="0" w:color="606072"/>
            </w:tcBorders>
            <w:shd w:val="clear" w:color="auto" w:fill="D5E5FF"/>
            <w:vAlign w:val="center"/>
          </w:tcPr>
          <w:p w14:paraId="4EEE41F5" w14:textId="681BC561"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3" w:type="dxa"/>
            <w:gridSpan w:val="2"/>
            <w:tcBorders>
              <w:top w:val="dotted" w:sz="4" w:space="0" w:color="606072"/>
              <w:left w:val="single" w:sz="4" w:space="0" w:color="606072"/>
              <w:bottom w:val="single" w:sz="4" w:space="0" w:color="606072"/>
              <w:right w:val="dotted" w:sz="4" w:space="0" w:color="606072"/>
            </w:tcBorders>
            <w:shd w:val="clear" w:color="auto" w:fill="D5E5FF"/>
            <w:vAlign w:val="center"/>
          </w:tcPr>
          <w:p w14:paraId="25653BEE" w14:textId="3F5DA4A5"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37B8F0D4" w14:textId="4718198A"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2"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4CFBC6E9" w14:textId="342C89BC"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c>
          <w:tcPr>
            <w:tcW w:w="633" w:type="dxa"/>
            <w:tcBorders>
              <w:top w:val="dotted" w:sz="4" w:space="0" w:color="606072"/>
              <w:left w:val="dotted" w:sz="4" w:space="0" w:color="606072"/>
              <w:bottom w:val="single" w:sz="4" w:space="0" w:color="606072"/>
              <w:right w:val="single" w:sz="4" w:space="0" w:color="606072"/>
            </w:tcBorders>
            <w:shd w:val="clear" w:color="auto" w:fill="D5E5FF"/>
            <w:vAlign w:val="center"/>
          </w:tcPr>
          <w:p w14:paraId="720AC6F0" w14:textId="1B28925D" w:rsidR="00341810" w:rsidRPr="005060E0" w:rsidRDefault="00491E7C" w:rsidP="0034181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w:t>
            </w:r>
          </w:p>
        </w:tc>
      </w:tr>
    </w:tbl>
    <w:p w14:paraId="2EA62DF7" w14:textId="77777777" w:rsidR="000B2D24" w:rsidRPr="005060E0" w:rsidRDefault="000B2D24" w:rsidP="004A4B44">
      <w:pPr>
        <w:rPr>
          <w:rFonts w:cs="Arial"/>
        </w:rPr>
        <w:sectPr w:rsidR="000B2D24" w:rsidRPr="005060E0" w:rsidSect="00A902EB">
          <w:headerReference w:type="default" r:id="rId25"/>
          <w:footerReference w:type="default" r:id="rId26"/>
          <w:pgSz w:w="16838" w:h="11906" w:orient="landscape" w:code="9"/>
          <w:pgMar w:top="1560" w:right="1276" w:bottom="1440" w:left="1440" w:header="567" w:footer="2" w:gutter="0"/>
          <w:cols w:space="255"/>
          <w:docGrid w:linePitch="360"/>
        </w:sectPr>
      </w:pPr>
    </w:p>
    <w:p w14:paraId="1DB15D0D" w14:textId="77777777" w:rsidR="00631FC7" w:rsidRPr="005060E0" w:rsidRDefault="00142795" w:rsidP="00064F3E">
      <w:pPr>
        <w:pStyle w:val="Heading2"/>
        <w:spacing w:before="0"/>
      </w:pPr>
      <w:bookmarkStart w:id="128" w:name="_Toc3278958"/>
      <w:r w:rsidRPr="005060E0">
        <w:t>H</w:t>
      </w:r>
      <w:r w:rsidR="00631FC7" w:rsidRPr="005060E0">
        <w:t xml:space="preserve">ealth </w:t>
      </w:r>
      <w:r w:rsidR="00B0576F" w:rsidRPr="005060E0">
        <w:t>risk assessment</w:t>
      </w:r>
      <w:bookmarkEnd w:id="128"/>
    </w:p>
    <w:p w14:paraId="088FF174" w14:textId="627A2D21" w:rsidR="00DC152E" w:rsidRPr="005060E0" w:rsidRDefault="00DC152E" w:rsidP="000B3B3D">
      <w:pPr>
        <w:pStyle w:val="Heading3"/>
      </w:pPr>
      <w:bookmarkStart w:id="129" w:name="_Toc508261181"/>
      <w:r w:rsidRPr="005060E0">
        <w:t>Health outcomes</w:t>
      </w:r>
      <w:r w:rsidR="00733F81" w:rsidRPr="005060E0">
        <w:t xml:space="preserve"> for Business-as-Usual</w:t>
      </w:r>
      <w:r w:rsidRPr="005060E0">
        <w:t xml:space="preserve"> and Abatement Package scenarios</w:t>
      </w:r>
      <w:bookmarkEnd w:id="129"/>
    </w:p>
    <w:p w14:paraId="5A5CDC99" w14:textId="206BB996" w:rsidR="00DC152E" w:rsidRPr="005060E0" w:rsidRDefault="00DC152E" w:rsidP="00BF7BF2">
      <w:pPr>
        <w:spacing w:after="360"/>
      </w:pPr>
      <w:bookmarkStart w:id="130" w:name="_Toc506533537"/>
      <w:r w:rsidRPr="005060E0">
        <w:t xml:space="preserve">The </w:t>
      </w:r>
      <w:r w:rsidR="00D66523" w:rsidRPr="005060E0">
        <w:t xml:space="preserve">aggregated </w:t>
      </w:r>
      <w:r w:rsidRPr="005060E0">
        <w:t>estimates for the number of historical and projected attributable health outcomes due to SO</w:t>
      </w:r>
      <w:r w:rsidRPr="005060E0">
        <w:rPr>
          <w:vertAlign w:val="subscript"/>
        </w:rPr>
        <w:t>2</w:t>
      </w:r>
      <w:r w:rsidRPr="005060E0">
        <w:t xml:space="preserve"> in the modelled airsheds (NSW and Victoria) </w:t>
      </w:r>
      <w:r w:rsidR="00D66523" w:rsidRPr="005060E0">
        <w:t xml:space="preserve">and other airsheds </w:t>
      </w:r>
      <w:r w:rsidR="000A2A88" w:rsidRPr="005060E0">
        <w:t xml:space="preserve">are shown in </w:t>
      </w:r>
      <w:r w:rsidR="000A2A88" w:rsidRPr="005060E0">
        <w:rPr>
          <w:sz w:val="22"/>
        </w:rPr>
        <w:fldChar w:fldCharType="begin"/>
      </w:r>
      <w:r w:rsidR="000A2A88" w:rsidRPr="005060E0">
        <w:rPr>
          <w:sz w:val="22"/>
        </w:rPr>
        <w:instrText xml:space="preserve"> REF _Ref508447111 \h </w:instrText>
      </w:r>
      <w:r w:rsidR="0062453C" w:rsidRPr="005060E0">
        <w:rPr>
          <w:sz w:val="22"/>
        </w:rPr>
        <w:instrText xml:space="preserve"> \* MERGEFORMAT </w:instrText>
      </w:r>
      <w:r w:rsidR="000A2A88" w:rsidRPr="005060E0">
        <w:rPr>
          <w:sz w:val="22"/>
        </w:rPr>
      </w:r>
      <w:r w:rsidR="000A2A88" w:rsidRPr="005060E0">
        <w:rPr>
          <w:sz w:val="22"/>
        </w:rPr>
        <w:fldChar w:fldCharType="separate"/>
      </w:r>
      <w:r w:rsidR="00F2067C" w:rsidRPr="00F2067C">
        <w:rPr>
          <w:rFonts w:cs="Arial"/>
          <w:szCs w:val="18"/>
        </w:rPr>
        <w:t xml:space="preserve">Table </w:t>
      </w:r>
      <w:r w:rsidR="00F2067C" w:rsidRPr="00F2067C">
        <w:rPr>
          <w:rFonts w:cs="Arial"/>
          <w:noProof/>
          <w:szCs w:val="18"/>
        </w:rPr>
        <w:t>6</w:t>
      </w:r>
      <w:r w:rsidR="00F2067C" w:rsidRPr="00F2067C">
        <w:rPr>
          <w:rFonts w:cs="Arial"/>
          <w:noProof/>
          <w:szCs w:val="18"/>
        </w:rPr>
        <w:noBreakHyphen/>
        <w:t>11</w:t>
      </w:r>
      <w:r w:rsidR="000A2A88" w:rsidRPr="005060E0">
        <w:rPr>
          <w:sz w:val="22"/>
        </w:rPr>
        <w:fldChar w:fldCharType="end"/>
      </w:r>
      <w:r w:rsidRPr="005060E0">
        <w:t>. The projected outcomes are presented for both the BAU and Abatement Package scenarios, and the health outcomes avoided in the latter are also stated</w:t>
      </w:r>
      <w:r w:rsidR="00D66523" w:rsidRPr="005060E0">
        <w:t xml:space="preserve"> for NSW and Victoria</w:t>
      </w:r>
      <w:r w:rsidRPr="005060E0">
        <w:t xml:space="preserve">. </w:t>
      </w:r>
    </w:p>
    <w:p w14:paraId="5AC90A56" w14:textId="1D107DAD" w:rsidR="00DC152E" w:rsidRPr="005060E0" w:rsidRDefault="000A2A88" w:rsidP="00DC152E">
      <w:pPr>
        <w:spacing w:after="120" w:line="240" w:lineRule="auto"/>
        <w:jc w:val="center"/>
        <w:rPr>
          <w:lang w:eastAsia="en-AU"/>
        </w:rPr>
      </w:pPr>
      <w:bookmarkStart w:id="131" w:name="_Ref508447111"/>
      <w:bookmarkEnd w:id="130"/>
      <w:r w:rsidRPr="005060E0">
        <w:rPr>
          <w:rFonts w:cs="Arial"/>
          <w:sz w:val="18"/>
          <w:szCs w:val="18"/>
        </w:rPr>
        <w:t xml:space="preserve">Table </w:t>
      </w:r>
      <w:r w:rsidRPr="005060E0">
        <w:rPr>
          <w:rFonts w:cs="Arial"/>
          <w:sz w:val="18"/>
          <w:szCs w:val="18"/>
        </w:rPr>
        <w:fldChar w:fldCharType="begin"/>
      </w:r>
      <w:r w:rsidRPr="005060E0">
        <w:rPr>
          <w:rFonts w:cs="Arial"/>
          <w:sz w:val="18"/>
          <w:szCs w:val="18"/>
        </w:rPr>
        <w:instrText xml:space="preserve"> STYLEREF 1 \s </w:instrText>
      </w:r>
      <w:r w:rsidRPr="005060E0">
        <w:rPr>
          <w:rFonts w:cs="Arial"/>
          <w:sz w:val="18"/>
          <w:szCs w:val="18"/>
        </w:rPr>
        <w:fldChar w:fldCharType="separate"/>
      </w:r>
      <w:r w:rsidR="00F2067C">
        <w:rPr>
          <w:rFonts w:cs="Arial"/>
          <w:noProof/>
          <w:sz w:val="18"/>
          <w:szCs w:val="18"/>
        </w:rPr>
        <w:t>6</w:t>
      </w:r>
      <w:r w:rsidRPr="005060E0">
        <w:rPr>
          <w:rFonts w:cs="Arial"/>
          <w:noProof/>
          <w:sz w:val="18"/>
          <w:szCs w:val="18"/>
        </w:rPr>
        <w:fldChar w:fldCharType="end"/>
      </w:r>
      <w:r w:rsidRPr="005060E0">
        <w:rPr>
          <w:rFonts w:cs="Arial"/>
          <w:sz w:val="18"/>
          <w:szCs w:val="18"/>
        </w:rPr>
        <w:noBreakHyphen/>
      </w:r>
      <w:r w:rsidRPr="005060E0">
        <w:rPr>
          <w:rFonts w:cs="Arial"/>
          <w:sz w:val="18"/>
          <w:szCs w:val="18"/>
        </w:rPr>
        <w:fldChar w:fldCharType="begin"/>
      </w:r>
      <w:r w:rsidRPr="005060E0">
        <w:rPr>
          <w:rFonts w:cs="Arial"/>
          <w:sz w:val="18"/>
          <w:szCs w:val="18"/>
        </w:rPr>
        <w:instrText xml:space="preserve"> SEQ Table \* ARABIC \s 1 </w:instrText>
      </w:r>
      <w:r w:rsidRPr="005060E0">
        <w:rPr>
          <w:rFonts w:cs="Arial"/>
          <w:sz w:val="18"/>
          <w:szCs w:val="18"/>
        </w:rPr>
        <w:fldChar w:fldCharType="separate"/>
      </w:r>
      <w:r w:rsidR="00F2067C">
        <w:rPr>
          <w:rFonts w:cs="Arial"/>
          <w:noProof/>
          <w:sz w:val="18"/>
          <w:szCs w:val="18"/>
        </w:rPr>
        <w:t>11</w:t>
      </w:r>
      <w:r w:rsidRPr="005060E0">
        <w:rPr>
          <w:rFonts w:cs="Arial"/>
          <w:noProof/>
          <w:sz w:val="18"/>
          <w:szCs w:val="18"/>
        </w:rPr>
        <w:fldChar w:fldCharType="end"/>
      </w:r>
      <w:bookmarkEnd w:id="131"/>
      <w:r w:rsidR="00DC152E" w:rsidRPr="005060E0">
        <w:rPr>
          <w:rStyle w:val="PBTablecaptionChar"/>
          <w:rFonts w:eastAsiaTheme="minorHAnsi"/>
        </w:rPr>
        <w:t>: Historical and projected health burden attributable to SO</w:t>
      </w:r>
      <w:r w:rsidR="00DC152E" w:rsidRPr="005060E0">
        <w:rPr>
          <w:rStyle w:val="PBTablecaptionChar"/>
          <w:rFonts w:eastAsiaTheme="minorHAnsi"/>
          <w:vertAlign w:val="subscript"/>
        </w:rPr>
        <w:t>2</w:t>
      </w:r>
      <w:r w:rsidR="00DC152E" w:rsidRPr="005060E0">
        <w:rPr>
          <w:rStyle w:val="PBTablecaptionChar"/>
          <w:rFonts w:eastAsiaTheme="minorHAnsi"/>
        </w:rPr>
        <w:t xml:space="preserve"> in Australian airsheds</w:t>
      </w:r>
      <w:r w:rsidR="00DC152E" w:rsidRPr="005060E0">
        <w:rPr>
          <w:lang w:eastAsia="en-AU"/>
        </w:rPr>
        <w:t xml:space="preserve"> </w:t>
      </w:r>
    </w:p>
    <w:tbl>
      <w:tblPr>
        <w:tblW w:w="5000" w:type="pct"/>
        <w:tblCellMar>
          <w:left w:w="57" w:type="dxa"/>
          <w:right w:w="28" w:type="dxa"/>
        </w:tblCellMar>
        <w:tblLook w:val="04A0" w:firstRow="1" w:lastRow="0" w:firstColumn="1" w:lastColumn="0" w:noHBand="0" w:noVBand="1"/>
      </w:tblPr>
      <w:tblGrid>
        <w:gridCol w:w="1355"/>
        <w:gridCol w:w="909"/>
        <w:gridCol w:w="1893"/>
        <w:gridCol w:w="911"/>
        <w:gridCol w:w="911"/>
        <w:gridCol w:w="913"/>
        <w:gridCol w:w="911"/>
        <w:gridCol w:w="911"/>
        <w:gridCol w:w="915"/>
      </w:tblGrid>
      <w:tr w:rsidR="00DC152E" w:rsidRPr="005060E0" w14:paraId="1BBD0E50" w14:textId="77777777" w:rsidTr="00BF7BF2">
        <w:trPr>
          <w:trHeight w:val="227"/>
          <w:tblHeader/>
        </w:trPr>
        <w:tc>
          <w:tcPr>
            <w:tcW w:w="704" w:type="pct"/>
            <w:vMerge w:val="restart"/>
            <w:tcBorders>
              <w:top w:val="single" w:sz="4" w:space="0" w:color="606072"/>
              <w:left w:val="single" w:sz="4" w:space="0" w:color="606072"/>
              <w:bottom w:val="single" w:sz="4" w:space="0" w:color="606072"/>
              <w:right w:val="single" w:sz="4" w:space="0" w:color="606072"/>
            </w:tcBorders>
            <w:shd w:val="clear" w:color="000000" w:fill="606072"/>
            <w:vAlign w:val="center"/>
            <w:hideMark/>
          </w:tcPr>
          <w:p w14:paraId="6D9E7C73" w14:textId="77777777" w:rsidR="00DC152E" w:rsidRPr="005060E0" w:rsidRDefault="00DC152E" w:rsidP="00B94BEF">
            <w:pPr>
              <w:widowControl w:val="0"/>
              <w:spacing w:after="0" w:line="240" w:lineRule="auto"/>
              <w:jc w:val="center"/>
              <w:rPr>
                <w:rFonts w:eastAsia="Times New Roman"/>
                <w:color w:val="FFFFFF"/>
                <w:sz w:val="16"/>
                <w:szCs w:val="16"/>
                <w:lang w:eastAsia="en-AU"/>
              </w:rPr>
            </w:pPr>
            <w:r w:rsidRPr="005060E0">
              <w:rPr>
                <w:rFonts w:eastAsia="Times New Roman"/>
                <w:color w:val="FFFFFF"/>
                <w:sz w:val="16"/>
                <w:szCs w:val="16"/>
                <w:lang w:eastAsia="en-AU"/>
              </w:rPr>
              <w:t>Airshed</w:t>
            </w:r>
          </w:p>
        </w:tc>
        <w:tc>
          <w:tcPr>
            <w:tcW w:w="2875" w:type="pct"/>
            <w:gridSpan w:val="5"/>
            <w:tcBorders>
              <w:top w:val="nil"/>
              <w:left w:val="nil"/>
              <w:bottom w:val="single" w:sz="4" w:space="0" w:color="606072"/>
              <w:right w:val="nil"/>
            </w:tcBorders>
            <w:shd w:val="clear" w:color="000000" w:fill="606072"/>
            <w:vAlign w:val="center"/>
            <w:hideMark/>
          </w:tcPr>
          <w:p w14:paraId="7419479A" w14:textId="77777777" w:rsidR="00DC152E" w:rsidRPr="005060E0" w:rsidRDefault="00DC152E" w:rsidP="008F6014">
            <w:pPr>
              <w:widowControl w:val="0"/>
              <w:spacing w:after="0" w:line="240" w:lineRule="auto"/>
              <w:rPr>
                <w:rFonts w:eastAsia="Times New Roman"/>
                <w:color w:val="FFFFFF"/>
                <w:sz w:val="16"/>
                <w:szCs w:val="16"/>
                <w:lang w:eastAsia="en-AU"/>
              </w:rPr>
            </w:pPr>
            <w:r w:rsidRPr="005060E0">
              <w:rPr>
                <w:rFonts w:eastAsia="Times New Roman"/>
                <w:color w:val="FFFFFF"/>
                <w:sz w:val="16"/>
                <w:szCs w:val="16"/>
                <w:lang w:eastAsia="en-AU"/>
              </w:rPr>
              <w:t>Number of attributable health outcomes</w:t>
            </w:r>
          </w:p>
        </w:tc>
        <w:tc>
          <w:tcPr>
            <w:tcW w:w="1421" w:type="pct"/>
            <w:gridSpan w:val="3"/>
            <w:tcBorders>
              <w:top w:val="nil"/>
              <w:left w:val="nil"/>
              <w:bottom w:val="single" w:sz="4" w:space="0" w:color="606072"/>
              <w:right w:val="single" w:sz="4" w:space="0" w:color="606072"/>
            </w:tcBorders>
            <w:shd w:val="clear" w:color="000000" w:fill="606072"/>
            <w:vAlign w:val="center"/>
            <w:hideMark/>
          </w:tcPr>
          <w:p w14:paraId="08DCDAA8" w14:textId="219AF31D" w:rsidR="00DC152E" w:rsidRPr="005060E0" w:rsidRDefault="00DC152E" w:rsidP="008F6014">
            <w:pPr>
              <w:widowControl w:val="0"/>
              <w:spacing w:after="0" w:line="240" w:lineRule="auto"/>
              <w:rPr>
                <w:rFonts w:eastAsia="Times New Roman"/>
                <w:color w:val="FFFFFF"/>
                <w:sz w:val="16"/>
                <w:szCs w:val="16"/>
                <w:lang w:eastAsia="en-AU"/>
              </w:rPr>
            </w:pPr>
            <w:r w:rsidRPr="005060E0">
              <w:rPr>
                <w:rFonts w:eastAsia="Times New Roman"/>
                <w:color w:val="FFFFFF"/>
                <w:sz w:val="16"/>
                <w:szCs w:val="16"/>
                <w:lang w:eastAsia="en-AU"/>
              </w:rPr>
              <w:t>Health outcomes avoided</w:t>
            </w:r>
            <w:r w:rsidR="006B10AC" w:rsidRPr="00FD63B9">
              <w:rPr>
                <w:rFonts w:eastAsia="Times New Roman"/>
                <w:color w:val="FFFFFF"/>
                <w:sz w:val="16"/>
                <w:szCs w:val="16"/>
                <w:vertAlign w:val="superscript"/>
                <w:lang w:eastAsia="en-AU"/>
              </w:rPr>
              <w:t>(b)</w:t>
            </w:r>
          </w:p>
        </w:tc>
      </w:tr>
      <w:tr w:rsidR="00DC152E" w:rsidRPr="005060E0" w14:paraId="0DB5CFD1" w14:textId="77777777" w:rsidTr="00BF7BF2">
        <w:trPr>
          <w:trHeight w:val="567"/>
          <w:tblHeader/>
        </w:trPr>
        <w:tc>
          <w:tcPr>
            <w:tcW w:w="704" w:type="pct"/>
            <w:vMerge/>
            <w:tcBorders>
              <w:top w:val="single" w:sz="4" w:space="0" w:color="606072"/>
              <w:left w:val="single" w:sz="4" w:space="0" w:color="606072"/>
              <w:bottom w:val="single" w:sz="4" w:space="0" w:color="606072"/>
              <w:right w:val="single" w:sz="4" w:space="0" w:color="606072"/>
            </w:tcBorders>
            <w:vAlign w:val="center"/>
            <w:hideMark/>
          </w:tcPr>
          <w:p w14:paraId="3EDADE24" w14:textId="77777777" w:rsidR="00DC152E" w:rsidRPr="005060E0" w:rsidRDefault="00DC152E" w:rsidP="00B94BEF">
            <w:pPr>
              <w:widowControl w:val="0"/>
              <w:spacing w:after="0" w:line="240" w:lineRule="auto"/>
              <w:rPr>
                <w:rFonts w:eastAsia="Times New Roman"/>
                <w:color w:val="FFFFFF"/>
                <w:sz w:val="16"/>
                <w:szCs w:val="16"/>
                <w:lang w:eastAsia="en-AU"/>
              </w:rPr>
            </w:pPr>
          </w:p>
        </w:tc>
        <w:tc>
          <w:tcPr>
            <w:tcW w:w="472" w:type="pct"/>
            <w:tcBorders>
              <w:top w:val="nil"/>
              <w:left w:val="nil"/>
              <w:bottom w:val="single" w:sz="4" w:space="0" w:color="606072"/>
              <w:right w:val="single" w:sz="4" w:space="0" w:color="606072"/>
            </w:tcBorders>
            <w:shd w:val="clear" w:color="000000" w:fill="606072"/>
            <w:tcMar>
              <w:left w:w="28" w:type="dxa"/>
              <w:right w:w="28" w:type="dxa"/>
            </w:tcMar>
            <w:vAlign w:val="center"/>
            <w:hideMark/>
          </w:tcPr>
          <w:p w14:paraId="6D88E511" w14:textId="53219C3F" w:rsidR="00DC152E" w:rsidRPr="005060E0" w:rsidRDefault="00DC152E" w:rsidP="00B94BEF">
            <w:pPr>
              <w:widowControl w:val="0"/>
              <w:spacing w:after="0" w:line="240" w:lineRule="auto"/>
              <w:jc w:val="center"/>
              <w:rPr>
                <w:rFonts w:eastAsia="Times New Roman"/>
                <w:color w:val="FFFFFF"/>
                <w:sz w:val="16"/>
                <w:szCs w:val="16"/>
                <w:lang w:eastAsia="en-AU"/>
              </w:rPr>
            </w:pPr>
            <w:r w:rsidRPr="005060E0">
              <w:rPr>
                <w:rFonts w:eastAsia="Times New Roman"/>
                <w:color w:val="FFFFFF"/>
                <w:sz w:val="16"/>
                <w:szCs w:val="16"/>
                <w:lang w:eastAsia="en-AU"/>
              </w:rPr>
              <w:t>Annual average 2010</w:t>
            </w:r>
            <w:r w:rsidR="00DF4D3A" w:rsidRPr="005060E0">
              <w:rPr>
                <w:rFonts w:eastAsia="Times New Roman"/>
                <w:color w:val="FFFFFF"/>
                <w:sz w:val="16"/>
                <w:szCs w:val="16"/>
                <w:lang w:eastAsia="en-AU"/>
              </w:rPr>
              <w:t>–20</w:t>
            </w:r>
            <w:r w:rsidRPr="005060E0">
              <w:rPr>
                <w:rFonts w:eastAsia="Times New Roman"/>
                <w:color w:val="FFFFFF"/>
                <w:sz w:val="16"/>
                <w:szCs w:val="16"/>
                <w:lang w:eastAsia="en-AU"/>
              </w:rPr>
              <w:t>14</w:t>
            </w:r>
          </w:p>
        </w:tc>
        <w:tc>
          <w:tcPr>
            <w:tcW w:w="983" w:type="pct"/>
            <w:tcBorders>
              <w:top w:val="nil"/>
              <w:left w:val="nil"/>
              <w:bottom w:val="single" w:sz="4" w:space="0" w:color="606072"/>
              <w:right w:val="single" w:sz="4" w:space="0" w:color="606072"/>
            </w:tcBorders>
            <w:shd w:val="clear" w:color="000000" w:fill="606072"/>
            <w:vAlign w:val="center"/>
            <w:hideMark/>
          </w:tcPr>
          <w:p w14:paraId="37C89CC9" w14:textId="77777777" w:rsidR="00DC152E" w:rsidRPr="005060E0" w:rsidRDefault="00DC152E" w:rsidP="00B94BEF">
            <w:pPr>
              <w:widowControl w:val="0"/>
              <w:spacing w:after="0" w:line="240" w:lineRule="auto"/>
              <w:jc w:val="center"/>
              <w:rPr>
                <w:rFonts w:eastAsia="Times New Roman"/>
                <w:i/>
                <w:iCs/>
                <w:color w:val="FFFFFF"/>
                <w:sz w:val="16"/>
                <w:szCs w:val="16"/>
                <w:lang w:eastAsia="en-AU"/>
              </w:rPr>
            </w:pPr>
            <w:r w:rsidRPr="005060E0">
              <w:rPr>
                <w:rFonts w:eastAsia="Times New Roman"/>
                <w:i/>
                <w:iCs/>
                <w:color w:val="FFFFFF"/>
                <w:sz w:val="16"/>
                <w:szCs w:val="16"/>
                <w:lang w:eastAsia="en-AU"/>
              </w:rPr>
              <w:t>Scenario</w:t>
            </w:r>
          </w:p>
        </w:tc>
        <w:tc>
          <w:tcPr>
            <w:tcW w:w="473" w:type="pct"/>
            <w:tcBorders>
              <w:top w:val="nil"/>
              <w:left w:val="nil"/>
              <w:bottom w:val="single" w:sz="4" w:space="0" w:color="606072"/>
              <w:right w:val="single" w:sz="4" w:space="0" w:color="606072"/>
            </w:tcBorders>
            <w:shd w:val="clear" w:color="000000" w:fill="606072"/>
            <w:vAlign w:val="center"/>
            <w:hideMark/>
          </w:tcPr>
          <w:p w14:paraId="26339C2B" w14:textId="77777777" w:rsidR="00DC152E" w:rsidRPr="005060E0" w:rsidRDefault="00DC152E" w:rsidP="00B94BEF">
            <w:pPr>
              <w:widowControl w:val="0"/>
              <w:spacing w:after="0" w:line="240" w:lineRule="auto"/>
              <w:jc w:val="center"/>
              <w:rPr>
                <w:rFonts w:eastAsia="Times New Roman"/>
                <w:color w:val="FFFFFF"/>
                <w:sz w:val="16"/>
                <w:szCs w:val="16"/>
                <w:lang w:eastAsia="en-AU"/>
              </w:rPr>
            </w:pPr>
            <w:r w:rsidRPr="005060E0">
              <w:rPr>
                <w:rFonts w:eastAsia="Times New Roman"/>
                <w:color w:val="FFFFFF"/>
                <w:sz w:val="16"/>
                <w:szCs w:val="16"/>
                <w:lang w:eastAsia="en-AU"/>
              </w:rPr>
              <w:t>2021</w:t>
            </w:r>
          </w:p>
        </w:tc>
        <w:tc>
          <w:tcPr>
            <w:tcW w:w="473" w:type="pct"/>
            <w:tcBorders>
              <w:top w:val="nil"/>
              <w:left w:val="nil"/>
              <w:bottom w:val="single" w:sz="4" w:space="0" w:color="606072"/>
              <w:right w:val="single" w:sz="4" w:space="0" w:color="606072"/>
            </w:tcBorders>
            <w:shd w:val="clear" w:color="000000" w:fill="606072"/>
            <w:vAlign w:val="center"/>
            <w:hideMark/>
          </w:tcPr>
          <w:p w14:paraId="24FAEC99" w14:textId="77777777" w:rsidR="00DC152E" w:rsidRPr="005060E0" w:rsidRDefault="00DC152E" w:rsidP="00B94BEF">
            <w:pPr>
              <w:widowControl w:val="0"/>
              <w:spacing w:after="0" w:line="240" w:lineRule="auto"/>
              <w:jc w:val="center"/>
              <w:rPr>
                <w:rFonts w:eastAsia="Times New Roman"/>
                <w:color w:val="FFFFFF"/>
                <w:sz w:val="16"/>
                <w:szCs w:val="16"/>
                <w:lang w:eastAsia="en-AU"/>
              </w:rPr>
            </w:pPr>
            <w:r w:rsidRPr="005060E0">
              <w:rPr>
                <w:rFonts w:eastAsia="Times New Roman"/>
                <w:color w:val="FFFFFF"/>
                <w:sz w:val="16"/>
                <w:szCs w:val="16"/>
                <w:lang w:eastAsia="en-AU"/>
              </w:rPr>
              <w:t>2031</w:t>
            </w:r>
          </w:p>
        </w:tc>
        <w:tc>
          <w:tcPr>
            <w:tcW w:w="474" w:type="pct"/>
            <w:tcBorders>
              <w:top w:val="nil"/>
              <w:left w:val="nil"/>
              <w:bottom w:val="single" w:sz="4" w:space="0" w:color="606072"/>
              <w:right w:val="single" w:sz="4" w:space="0" w:color="606072"/>
            </w:tcBorders>
            <w:shd w:val="clear" w:color="000000" w:fill="606072"/>
            <w:vAlign w:val="center"/>
            <w:hideMark/>
          </w:tcPr>
          <w:p w14:paraId="49536E4B" w14:textId="77777777" w:rsidR="00DC152E" w:rsidRPr="005060E0" w:rsidRDefault="00DC152E" w:rsidP="00B94BEF">
            <w:pPr>
              <w:widowControl w:val="0"/>
              <w:spacing w:after="0" w:line="240" w:lineRule="auto"/>
              <w:jc w:val="center"/>
              <w:rPr>
                <w:rFonts w:eastAsia="Times New Roman"/>
                <w:color w:val="FFFFFF"/>
                <w:sz w:val="16"/>
                <w:szCs w:val="16"/>
                <w:lang w:eastAsia="en-AU"/>
              </w:rPr>
            </w:pPr>
            <w:r w:rsidRPr="005060E0">
              <w:rPr>
                <w:rFonts w:eastAsia="Times New Roman"/>
                <w:color w:val="FFFFFF"/>
                <w:sz w:val="16"/>
                <w:szCs w:val="16"/>
                <w:lang w:eastAsia="en-AU"/>
              </w:rPr>
              <w:t>2040</w:t>
            </w:r>
          </w:p>
        </w:tc>
        <w:tc>
          <w:tcPr>
            <w:tcW w:w="473" w:type="pct"/>
            <w:tcBorders>
              <w:top w:val="nil"/>
              <w:left w:val="nil"/>
              <w:bottom w:val="single" w:sz="4" w:space="0" w:color="606072"/>
              <w:right w:val="single" w:sz="4" w:space="0" w:color="606072"/>
            </w:tcBorders>
            <w:shd w:val="clear" w:color="000000" w:fill="606072"/>
            <w:vAlign w:val="center"/>
            <w:hideMark/>
          </w:tcPr>
          <w:p w14:paraId="20BAFC61" w14:textId="77777777" w:rsidR="00DC152E" w:rsidRPr="005060E0" w:rsidRDefault="00DC152E" w:rsidP="00B94BEF">
            <w:pPr>
              <w:widowControl w:val="0"/>
              <w:spacing w:after="0" w:line="240" w:lineRule="auto"/>
              <w:jc w:val="center"/>
              <w:rPr>
                <w:rFonts w:eastAsia="Times New Roman"/>
                <w:color w:val="FFFFFF"/>
                <w:sz w:val="16"/>
                <w:szCs w:val="16"/>
                <w:lang w:eastAsia="en-AU"/>
              </w:rPr>
            </w:pPr>
            <w:r w:rsidRPr="005060E0">
              <w:rPr>
                <w:rFonts w:eastAsia="Times New Roman"/>
                <w:color w:val="FFFFFF"/>
                <w:sz w:val="16"/>
                <w:szCs w:val="16"/>
                <w:lang w:eastAsia="en-AU"/>
              </w:rPr>
              <w:t>2021</w:t>
            </w:r>
          </w:p>
        </w:tc>
        <w:tc>
          <w:tcPr>
            <w:tcW w:w="473" w:type="pct"/>
            <w:tcBorders>
              <w:top w:val="nil"/>
              <w:left w:val="nil"/>
              <w:bottom w:val="single" w:sz="4" w:space="0" w:color="606072"/>
              <w:right w:val="single" w:sz="4" w:space="0" w:color="606072"/>
            </w:tcBorders>
            <w:shd w:val="clear" w:color="000000" w:fill="606072"/>
            <w:vAlign w:val="center"/>
            <w:hideMark/>
          </w:tcPr>
          <w:p w14:paraId="4070D381" w14:textId="77777777" w:rsidR="00DC152E" w:rsidRPr="005060E0" w:rsidRDefault="00DC152E" w:rsidP="00B94BEF">
            <w:pPr>
              <w:widowControl w:val="0"/>
              <w:spacing w:after="0" w:line="240" w:lineRule="auto"/>
              <w:jc w:val="center"/>
              <w:rPr>
                <w:rFonts w:eastAsia="Times New Roman"/>
                <w:color w:val="FFFFFF"/>
                <w:sz w:val="16"/>
                <w:szCs w:val="16"/>
                <w:lang w:eastAsia="en-AU"/>
              </w:rPr>
            </w:pPr>
            <w:r w:rsidRPr="005060E0">
              <w:rPr>
                <w:rFonts w:eastAsia="Times New Roman"/>
                <w:color w:val="FFFFFF"/>
                <w:sz w:val="16"/>
                <w:szCs w:val="16"/>
                <w:lang w:eastAsia="en-AU"/>
              </w:rPr>
              <w:t>2031</w:t>
            </w:r>
          </w:p>
        </w:tc>
        <w:tc>
          <w:tcPr>
            <w:tcW w:w="475" w:type="pct"/>
            <w:tcBorders>
              <w:top w:val="nil"/>
              <w:left w:val="nil"/>
              <w:bottom w:val="single" w:sz="4" w:space="0" w:color="606072"/>
              <w:right w:val="single" w:sz="4" w:space="0" w:color="606072"/>
            </w:tcBorders>
            <w:shd w:val="clear" w:color="000000" w:fill="606072"/>
            <w:vAlign w:val="center"/>
            <w:hideMark/>
          </w:tcPr>
          <w:p w14:paraId="436ED388" w14:textId="77777777" w:rsidR="00DC152E" w:rsidRPr="005060E0" w:rsidRDefault="00DC152E" w:rsidP="00B94BEF">
            <w:pPr>
              <w:widowControl w:val="0"/>
              <w:spacing w:after="0" w:line="240" w:lineRule="auto"/>
              <w:jc w:val="center"/>
              <w:rPr>
                <w:rFonts w:eastAsia="Times New Roman"/>
                <w:color w:val="FFFFFF"/>
                <w:sz w:val="16"/>
                <w:szCs w:val="16"/>
                <w:lang w:eastAsia="en-AU"/>
              </w:rPr>
            </w:pPr>
            <w:r w:rsidRPr="005060E0">
              <w:rPr>
                <w:rFonts w:eastAsia="Times New Roman"/>
                <w:color w:val="FFFFFF"/>
                <w:sz w:val="16"/>
                <w:szCs w:val="16"/>
                <w:lang w:eastAsia="en-AU"/>
              </w:rPr>
              <w:t>2040</w:t>
            </w:r>
          </w:p>
        </w:tc>
      </w:tr>
      <w:tr w:rsidR="00DC152E" w:rsidRPr="005060E0" w14:paraId="7202F23C" w14:textId="77777777" w:rsidTr="00A70751">
        <w:trPr>
          <w:trHeight w:val="340"/>
        </w:trPr>
        <w:tc>
          <w:tcPr>
            <w:tcW w:w="5000" w:type="pct"/>
            <w:gridSpan w:val="9"/>
            <w:tcBorders>
              <w:top w:val="single" w:sz="4" w:space="0" w:color="606072"/>
              <w:left w:val="single" w:sz="4" w:space="0" w:color="606072"/>
              <w:bottom w:val="single" w:sz="4" w:space="0" w:color="606072"/>
              <w:right w:val="single" w:sz="4" w:space="0" w:color="606072"/>
            </w:tcBorders>
            <w:shd w:val="clear" w:color="auto" w:fill="DEDFE3" w:themeFill="text2" w:themeFillTint="33"/>
            <w:vAlign w:val="center"/>
            <w:hideMark/>
          </w:tcPr>
          <w:p w14:paraId="12F23C60" w14:textId="06D0EDED" w:rsidR="00DC152E" w:rsidRPr="005060E0" w:rsidRDefault="00DC152E" w:rsidP="00B94BEF">
            <w:pPr>
              <w:widowControl w:val="0"/>
              <w:spacing w:after="0" w:line="240" w:lineRule="auto"/>
              <w:rPr>
                <w:rFonts w:eastAsia="Times New Roman"/>
                <w:color w:val="000000"/>
                <w:sz w:val="16"/>
                <w:szCs w:val="16"/>
                <w:lang w:eastAsia="en-AU"/>
              </w:rPr>
            </w:pPr>
            <w:r w:rsidRPr="005060E0">
              <w:rPr>
                <w:rFonts w:eastAsia="Times New Roman"/>
                <w:color w:val="000000"/>
                <w:sz w:val="16"/>
                <w:szCs w:val="16"/>
                <w:lang w:eastAsia="en-AU"/>
              </w:rPr>
              <w:t>Daily mortality, all-cause</w:t>
            </w:r>
            <w:r w:rsidR="00627461" w:rsidRPr="005060E0">
              <w:rPr>
                <w:rFonts w:eastAsia="Times New Roman"/>
                <w:color w:val="000000"/>
                <w:sz w:val="16"/>
                <w:szCs w:val="16"/>
                <w:vertAlign w:val="superscript"/>
                <w:lang w:eastAsia="en-AU"/>
              </w:rPr>
              <w:t>(a)</w:t>
            </w:r>
          </w:p>
        </w:tc>
      </w:tr>
      <w:tr w:rsidR="00B94BEF" w:rsidRPr="005060E0" w14:paraId="05845D9A" w14:textId="77777777" w:rsidTr="00A70751">
        <w:trPr>
          <w:trHeight w:val="252"/>
        </w:trPr>
        <w:tc>
          <w:tcPr>
            <w:tcW w:w="704" w:type="pct"/>
            <w:vMerge w:val="restart"/>
            <w:tcBorders>
              <w:top w:val="nil"/>
              <w:left w:val="single" w:sz="4" w:space="0" w:color="606072"/>
              <w:bottom w:val="single" w:sz="4" w:space="0" w:color="606072"/>
              <w:right w:val="single" w:sz="4" w:space="0" w:color="606072"/>
            </w:tcBorders>
            <w:shd w:val="clear" w:color="auto" w:fill="F2F2F2" w:themeFill="background1" w:themeFillShade="F2"/>
            <w:vAlign w:val="center"/>
            <w:hideMark/>
          </w:tcPr>
          <w:p w14:paraId="7613CCF2" w14:textId="633514D4" w:rsidR="00B94BEF" w:rsidRPr="005060E0" w:rsidRDefault="00A70751" w:rsidP="00B94BEF">
            <w:pPr>
              <w:widowControl w:val="0"/>
              <w:spacing w:after="0" w:line="240" w:lineRule="auto"/>
              <w:rPr>
                <w:rFonts w:eastAsia="Times New Roman"/>
                <w:sz w:val="16"/>
                <w:szCs w:val="16"/>
                <w:lang w:eastAsia="en-AU"/>
              </w:rPr>
            </w:pPr>
            <w:r w:rsidRPr="005060E0">
              <w:rPr>
                <w:rFonts w:eastAsia="Times New Roman"/>
                <w:sz w:val="16"/>
                <w:szCs w:val="16"/>
                <w:lang w:eastAsia="en-AU"/>
              </w:rPr>
              <w:t>NSW and Victoria</w:t>
            </w:r>
          </w:p>
        </w:tc>
        <w:tc>
          <w:tcPr>
            <w:tcW w:w="472" w:type="pct"/>
            <w:vMerge w:val="restart"/>
            <w:tcBorders>
              <w:top w:val="nil"/>
              <w:left w:val="single" w:sz="4" w:space="0" w:color="606072"/>
              <w:bottom w:val="single" w:sz="4" w:space="0" w:color="606072"/>
              <w:right w:val="single" w:sz="4" w:space="0" w:color="606072"/>
            </w:tcBorders>
            <w:shd w:val="clear" w:color="auto" w:fill="auto"/>
            <w:vAlign w:val="center"/>
          </w:tcPr>
          <w:p w14:paraId="70AA6881" w14:textId="76F82CE6" w:rsidR="00B94BEF" w:rsidRPr="005060E0" w:rsidRDefault="00B94BEF" w:rsidP="00B94BEF">
            <w:pPr>
              <w:widowControl w:val="0"/>
              <w:spacing w:after="0" w:line="240" w:lineRule="auto"/>
              <w:jc w:val="center"/>
              <w:rPr>
                <w:rFonts w:eastAsia="Times New Roman"/>
                <w:sz w:val="16"/>
                <w:szCs w:val="16"/>
                <w:lang w:eastAsia="en-AU"/>
              </w:rPr>
            </w:pPr>
            <w:r w:rsidRPr="005060E0">
              <w:rPr>
                <w:rFonts w:eastAsia="Times New Roman"/>
                <w:sz w:val="16"/>
                <w:szCs w:val="16"/>
                <w:lang w:eastAsia="en-AU"/>
              </w:rPr>
              <w:t>70</w:t>
            </w:r>
          </w:p>
        </w:tc>
        <w:tc>
          <w:tcPr>
            <w:tcW w:w="983" w:type="pct"/>
            <w:tcBorders>
              <w:top w:val="nil"/>
              <w:left w:val="nil"/>
              <w:right w:val="single" w:sz="4" w:space="0" w:color="606072"/>
            </w:tcBorders>
            <w:shd w:val="clear" w:color="000000" w:fill="F2F2F2"/>
            <w:tcMar>
              <w:left w:w="28" w:type="dxa"/>
              <w:right w:w="28" w:type="dxa"/>
            </w:tcMar>
            <w:vAlign w:val="center"/>
            <w:hideMark/>
          </w:tcPr>
          <w:p w14:paraId="54782229" w14:textId="77777777" w:rsidR="00B94BEF" w:rsidRPr="005060E0" w:rsidRDefault="00B94BEF" w:rsidP="00B94BEF">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BAU</w:t>
            </w:r>
          </w:p>
        </w:tc>
        <w:tc>
          <w:tcPr>
            <w:tcW w:w="473" w:type="pct"/>
            <w:tcBorders>
              <w:top w:val="nil"/>
              <w:left w:val="nil"/>
              <w:right w:val="dotted" w:sz="4" w:space="0" w:color="auto"/>
            </w:tcBorders>
            <w:shd w:val="clear" w:color="auto" w:fill="auto"/>
            <w:vAlign w:val="center"/>
          </w:tcPr>
          <w:p w14:paraId="1FC35E21" w14:textId="1D582B5B" w:rsidR="00B94BEF" w:rsidRPr="005060E0" w:rsidRDefault="00B94BEF" w:rsidP="00B64AAD">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AU"/>
              </w:rPr>
              <w:t>153</w:t>
            </w:r>
          </w:p>
        </w:tc>
        <w:tc>
          <w:tcPr>
            <w:tcW w:w="473" w:type="pct"/>
            <w:tcBorders>
              <w:top w:val="nil"/>
              <w:left w:val="dotted" w:sz="4" w:space="0" w:color="auto"/>
              <w:right w:val="dotted" w:sz="4" w:space="0" w:color="auto"/>
            </w:tcBorders>
            <w:shd w:val="clear" w:color="auto" w:fill="auto"/>
            <w:vAlign w:val="center"/>
          </w:tcPr>
          <w:p w14:paraId="24FEECA9" w14:textId="5A8408A4" w:rsidR="00B94BEF" w:rsidRPr="005060E0" w:rsidRDefault="00B94BEF" w:rsidP="00B64AAD">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AU"/>
              </w:rPr>
              <w:t>180</w:t>
            </w:r>
          </w:p>
        </w:tc>
        <w:tc>
          <w:tcPr>
            <w:tcW w:w="474" w:type="pct"/>
            <w:tcBorders>
              <w:top w:val="nil"/>
              <w:left w:val="dotted" w:sz="4" w:space="0" w:color="auto"/>
              <w:right w:val="single" w:sz="4" w:space="0" w:color="606072"/>
            </w:tcBorders>
            <w:shd w:val="clear" w:color="auto" w:fill="auto"/>
            <w:vAlign w:val="center"/>
          </w:tcPr>
          <w:p w14:paraId="62C9CC9C" w14:textId="164C5977" w:rsidR="00B94BEF" w:rsidRPr="005060E0" w:rsidRDefault="00B94BEF" w:rsidP="00B64AAD">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AU"/>
              </w:rPr>
              <w:t>220</w:t>
            </w:r>
          </w:p>
        </w:tc>
        <w:tc>
          <w:tcPr>
            <w:tcW w:w="473" w:type="pct"/>
            <w:tcBorders>
              <w:top w:val="nil"/>
              <w:left w:val="nil"/>
              <w:right w:val="dotted" w:sz="4" w:space="0" w:color="auto"/>
            </w:tcBorders>
            <w:shd w:val="clear" w:color="auto" w:fill="DEDFE3" w:themeFill="text2" w:themeFillTint="33"/>
            <w:noWrap/>
            <w:vAlign w:val="center"/>
          </w:tcPr>
          <w:p w14:paraId="72BB65DE" w14:textId="35810201" w:rsidR="00B94BEF" w:rsidRPr="005060E0" w:rsidRDefault="00B94BEF" w:rsidP="00B64AAD">
            <w:pPr>
              <w:widowControl w:val="0"/>
              <w:spacing w:after="0" w:line="240" w:lineRule="auto"/>
              <w:jc w:val="center"/>
            </w:pPr>
          </w:p>
        </w:tc>
        <w:tc>
          <w:tcPr>
            <w:tcW w:w="473" w:type="pct"/>
            <w:tcBorders>
              <w:top w:val="nil"/>
              <w:left w:val="dotted" w:sz="4" w:space="0" w:color="auto"/>
              <w:right w:val="dotted" w:sz="4" w:space="0" w:color="auto"/>
            </w:tcBorders>
            <w:shd w:val="clear" w:color="auto" w:fill="DEDFE3" w:themeFill="text2" w:themeFillTint="33"/>
            <w:noWrap/>
            <w:vAlign w:val="center"/>
          </w:tcPr>
          <w:p w14:paraId="1A3FF6C1" w14:textId="3136A8F8" w:rsidR="00B94BEF" w:rsidRPr="005060E0" w:rsidRDefault="00B94BEF" w:rsidP="00B64AAD">
            <w:pPr>
              <w:widowControl w:val="0"/>
              <w:spacing w:after="0" w:line="240" w:lineRule="auto"/>
              <w:jc w:val="center"/>
            </w:pPr>
          </w:p>
        </w:tc>
        <w:tc>
          <w:tcPr>
            <w:tcW w:w="475" w:type="pct"/>
            <w:tcBorders>
              <w:top w:val="nil"/>
              <w:left w:val="dotted" w:sz="4" w:space="0" w:color="auto"/>
              <w:right w:val="single" w:sz="4" w:space="0" w:color="606072"/>
            </w:tcBorders>
            <w:shd w:val="clear" w:color="auto" w:fill="DEDFE3" w:themeFill="text2" w:themeFillTint="33"/>
            <w:noWrap/>
            <w:vAlign w:val="center"/>
          </w:tcPr>
          <w:p w14:paraId="22E9FC64" w14:textId="18FD0C4F" w:rsidR="00B94BEF" w:rsidRPr="005060E0" w:rsidRDefault="00B94BEF" w:rsidP="00B64AAD">
            <w:pPr>
              <w:widowControl w:val="0"/>
              <w:spacing w:after="0" w:line="240" w:lineRule="auto"/>
              <w:jc w:val="center"/>
            </w:pPr>
          </w:p>
        </w:tc>
      </w:tr>
      <w:tr w:rsidR="00B94BEF" w:rsidRPr="005060E0" w14:paraId="6B4C7061" w14:textId="77777777" w:rsidTr="00A70751">
        <w:trPr>
          <w:trHeight w:val="252"/>
        </w:trPr>
        <w:tc>
          <w:tcPr>
            <w:tcW w:w="704" w:type="pct"/>
            <w:vMerge/>
            <w:tcBorders>
              <w:top w:val="nil"/>
              <w:left w:val="single" w:sz="4" w:space="0" w:color="606072"/>
              <w:bottom w:val="single" w:sz="4" w:space="0" w:color="606072"/>
              <w:right w:val="single" w:sz="4" w:space="0" w:color="606072"/>
            </w:tcBorders>
            <w:shd w:val="clear" w:color="auto" w:fill="F2F2F2" w:themeFill="background1" w:themeFillShade="F2"/>
            <w:vAlign w:val="center"/>
            <w:hideMark/>
          </w:tcPr>
          <w:p w14:paraId="4207852F" w14:textId="77777777" w:rsidR="00B94BEF" w:rsidRPr="005060E0" w:rsidRDefault="00B94BEF" w:rsidP="00B94BEF">
            <w:pPr>
              <w:widowControl w:val="0"/>
              <w:spacing w:after="0" w:line="240" w:lineRule="auto"/>
              <w:rPr>
                <w:rFonts w:eastAsia="Times New Roman"/>
                <w:sz w:val="16"/>
                <w:szCs w:val="16"/>
                <w:lang w:eastAsia="en-AU"/>
              </w:rPr>
            </w:pPr>
          </w:p>
        </w:tc>
        <w:tc>
          <w:tcPr>
            <w:tcW w:w="472" w:type="pct"/>
            <w:vMerge/>
            <w:tcBorders>
              <w:top w:val="nil"/>
              <w:left w:val="single" w:sz="4" w:space="0" w:color="606072"/>
              <w:bottom w:val="single" w:sz="4" w:space="0" w:color="606072"/>
              <w:right w:val="single" w:sz="4" w:space="0" w:color="606072"/>
            </w:tcBorders>
            <w:vAlign w:val="center"/>
          </w:tcPr>
          <w:p w14:paraId="358D244E" w14:textId="77777777" w:rsidR="00B94BEF" w:rsidRPr="005060E0" w:rsidRDefault="00B94BEF" w:rsidP="00B94BEF">
            <w:pPr>
              <w:widowControl w:val="0"/>
              <w:spacing w:after="0" w:line="240" w:lineRule="auto"/>
              <w:rPr>
                <w:rFonts w:eastAsia="Times New Roman"/>
                <w:sz w:val="16"/>
                <w:szCs w:val="16"/>
                <w:lang w:eastAsia="en-AU"/>
              </w:rPr>
            </w:pPr>
          </w:p>
        </w:tc>
        <w:tc>
          <w:tcPr>
            <w:tcW w:w="983" w:type="pct"/>
            <w:tcBorders>
              <w:left w:val="nil"/>
              <w:bottom w:val="single" w:sz="4" w:space="0" w:color="606072"/>
              <w:right w:val="single" w:sz="4" w:space="0" w:color="606072"/>
            </w:tcBorders>
            <w:shd w:val="clear" w:color="000000" w:fill="F2F2F2"/>
            <w:tcMar>
              <w:left w:w="28" w:type="dxa"/>
              <w:right w:w="28" w:type="dxa"/>
            </w:tcMar>
            <w:vAlign w:val="center"/>
            <w:hideMark/>
          </w:tcPr>
          <w:p w14:paraId="02B6A213" w14:textId="77777777" w:rsidR="00B94BEF" w:rsidRPr="005060E0" w:rsidRDefault="00B94BEF" w:rsidP="00B94BEF">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Abatement Package</w:t>
            </w:r>
          </w:p>
        </w:tc>
        <w:tc>
          <w:tcPr>
            <w:tcW w:w="473" w:type="pct"/>
            <w:tcBorders>
              <w:left w:val="nil"/>
              <w:bottom w:val="single" w:sz="4" w:space="0" w:color="606072"/>
              <w:right w:val="dotted" w:sz="4" w:space="0" w:color="auto"/>
            </w:tcBorders>
            <w:shd w:val="clear" w:color="auto" w:fill="auto"/>
            <w:vAlign w:val="center"/>
          </w:tcPr>
          <w:p w14:paraId="33746F4C" w14:textId="5BD185FA" w:rsidR="00B94BEF" w:rsidRPr="005060E0" w:rsidRDefault="00B94BEF" w:rsidP="00B64AAD">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AU"/>
              </w:rPr>
              <w:t>112</w:t>
            </w:r>
          </w:p>
        </w:tc>
        <w:tc>
          <w:tcPr>
            <w:tcW w:w="473" w:type="pct"/>
            <w:tcBorders>
              <w:left w:val="dotted" w:sz="4" w:space="0" w:color="auto"/>
              <w:bottom w:val="single" w:sz="4" w:space="0" w:color="606072"/>
              <w:right w:val="dotted" w:sz="4" w:space="0" w:color="auto"/>
            </w:tcBorders>
            <w:shd w:val="clear" w:color="auto" w:fill="auto"/>
            <w:vAlign w:val="center"/>
          </w:tcPr>
          <w:p w14:paraId="14DE7987" w14:textId="100DBA04" w:rsidR="00B94BEF" w:rsidRPr="005060E0" w:rsidRDefault="00B94BEF" w:rsidP="00B64AAD">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AU"/>
              </w:rPr>
              <w:t>120</w:t>
            </w:r>
          </w:p>
        </w:tc>
        <w:tc>
          <w:tcPr>
            <w:tcW w:w="474" w:type="pct"/>
            <w:tcBorders>
              <w:left w:val="dotted" w:sz="4" w:space="0" w:color="auto"/>
              <w:bottom w:val="single" w:sz="4" w:space="0" w:color="606072"/>
              <w:right w:val="single" w:sz="4" w:space="0" w:color="606072"/>
            </w:tcBorders>
            <w:shd w:val="clear" w:color="auto" w:fill="auto"/>
            <w:vAlign w:val="center"/>
          </w:tcPr>
          <w:p w14:paraId="35E8DC07" w14:textId="79A5D808" w:rsidR="00B94BEF" w:rsidRPr="005060E0" w:rsidRDefault="00B94BEF" w:rsidP="00B64AAD">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AU"/>
              </w:rPr>
              <w:t>89</w:t>
            </w:r>
          </w:p>
        </w:tc>
        <w:tc>
          <w:tcPr>
            <w:tcW w:w="473" w:type="pct"/>
            <w:tcBorders>
              <w:left w:val="nil"/>
              <w:bottom w:val="single" w:sz="4" w:space="0" w:color="606072"/>
              <w:right w:val="dotted" w:sz="4" w:space="0" w:color="auto"/>
            </w:tcBorders>
            <w:shd w:val="clear" w:color="auto" w:fill="auto"/>
            <w:vAlign w:val="center"/>
          </w:tcPr>
          <w:p w14:paraId="414DC3EC" w14:textId="6A5DAE07" w:rsidR="00B94BEF" w:rsidRPr="005060E0" w:rsidRDefault="00B94BEF" w:rsidP="00B64AAD">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AU"/>
              </w:rPr>
              <w:t>40</w:t>
            </w:r>
          </w:p>
        </w:tc>
        <w:tc>
          <w:tcPr>
            <w:tcW w:w="473" w:type="pct"/>
            <w:tcBorders>
              <w:left w:val="dotted" w:sz="4" w:space="0" w:color="auto"/>
              <w:bottom w:val="single" w:sz="4" w:space="0" w:color="606072"/>
              <w:right w:val="dotted" w:sz="4" w:space="0" w:color="auto"/>
            </w:tcBorders>
            <w:shd w:val="clear" w:color="auto" w:fill="auto"/>
            <w:vAlign w:val="center"/>
          </w:tcPr>
          <w:p w14:paraId="5F62043B" w14:textId="26EA3DF4" w:rsidR="00B94BEF" w:rsidRPr="005060E0" w:rsidRDefault="00B94BEF" w:rsidP="00B64AAD">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AU"/>
              </w:rPr>
              <w:t>60</w:t>
            </w:r>
          </w:p>
        </w:tc>
        <w:tc>
          <w:tcPr>
            <w:tcW w:w="475" w:type="pct"/>
            <w:tcBorders>
              <w:left w:val="dotted" w:sz="4" w:space="0" w:color="auto"/>
              <w:bottom w:val="single" w:sz="4" w:space="0" w:color="606072"/>
              <w:right w:val="single" w:sz="4" w:space="0" w:color="606072"/>
            </w:tcBorders>
            <w:shd w:val="clear" w:color="auto" w:fill="auto"/>
            <w:vAlign w:val="center"/>
          </w:tcPr>
          <w:p w14:paraId="4E4940EC" w14:textId="03577357" w:rsidR="00B94BEF" w:rsidRPr="005060E0" w:rsidRDefault="00B94BEF" w:rsidP="00B64AAD">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AU"/>
              </w:rPr>
              <w:t>130</w:t>
            </w:r>
          </w:p>
        </w:tc>
      </w:tr>
      <w:tr w:rsidR="00B64AAD" w:rsidRPr="005060E0" w14:paraId="4E4FA4C1" w14:textId="77777777" w:rsidTr="00A70751">
        <w:trPr>
          <w:trHeight w:val="252"/>
        </w:trPr>
        <w:tc>
          <w:tcPr>
            <w:tcW w:w="704" w:type="pct"/>
            <w:vMerge w:val="restart"/>
            <w:tcBorders>
              <w:top w:val="nil"/>
              <w:left w:val="single" w:sz="4" w:space="0" w:color="606072"/>
              <w:bottom w:val="single" w:sz="4" w:space="0" w:color="606072"/>
              <w:right w:val="single" w:sz="4" w:space="0" w:color="606072"/>
            </w:tcBorders>
            <w:shd w:val="clear" w:color="auto" w:fill="F2F2F2" w:themeFill="background1" w:themeFillShade="F2"/>
            <w:vAlign w:val="center"/>
            <w:hideMark/>
          </w:tcPr>
          <w:p w14:paraId="3613C1DA" w14:textId="53D5CE70" w:rsidR="00B64AAD" w:rsidRPr="005060E0" w:rsidRDefault="00B64AAD" w:rsidP="00B64AAD">
            <w:pPr>
              <w:widowControl w:val="0"/>
              <w:spacing w:after="0" w:line="240" w:lineRule="auto"/>
              <w:rPr>
                <w:rFonts w:eastAsia="Times New Roman"/>
                <w:sz w:val="16"/>
                <w:szCs w:val="16"/>
                <w:lang w:eastAsia="en-AU"/>
              </w:rPr>
            </w:pPr>
            <w:r w:rsidRPr="005060E0">
              <w:rPr>
                <w:rFonts w:eastAsia="Times New Roman"/>
                <w:sz w:val="16"/>
                <w:szCs w:val="16"/>
                <w:lang w:eastAsia="en-AU"/>
              </w:rPr>
              <w:t>Other airsheds</w:t>
            </w:r>
          </w:p>
        </w:tc>
        <w:tc>
          <w:tcPr>
            <w:tcW w:w="472" w:type="pct"/>
            <w:vMerge w:val="restart"/>
            <w:tcBorders>
              <w:top w:val="nil"/>
              <w:left w:val="single" w:sz="4" w:space="0" w:color="606072"/>
              <w:bottom w:val="single" w:sz="4" w:space="0" w:color="606072"/>
              <w:right w:val="single" w:sz="4" w:space="0" w:color="606072"/>
            </w:tcBorders>
            <w:shd w:val="clear" w:color="auto" w:fill="auto"/>
            <w:vAlign w:val="center"/>
          </w:tcPr>
          <w:p w14:paraId="2F009F90" w14:textId="7B2671EF" w:rsidR="00B64AAD" w:rsidRPr="005060E0" w:rsidRDefault="00B64AAD" w:rsidP="00B64AAD">
            <w:pPr>
              <w:widowControl w:val="0"/>
              <w:spacing w:after="0" w:line="240" w:lineRule="auto"/>
              <w:jc w:val="center"/>
              <w:rPr>
                <w:rFonts w:eastAsia="Times New Roman"/>
                <w:sz w:val="16"/>
                <w:szCs w:val="16"/>
                <w:lang w:eastAsia="en-AU"/>
              </w:rPr>
            </w:pPr>
            <w:r w:rsidRPr="005060E0">
              <w:rPr>
                <w:rFonts w:eastAsia="Times New Roman"/>
                <w:sz w:val="16"/>
                <w:szCs w:val="16"/>
                <w:lang w:eastAsia="en-AU"/>
              </w:rPr>
              <w:t>37</w:t>
            </w:r>
          </w:p>
        </w:tc>
        <w:tc>
          <w:tcPr>
            <w:tcW w:w="983" w:type="pct"/>
            <w:tcBorders>
              <w:top w:val="nil"/>
              <w:left w:val="nil"/>
              <w:right w:val="single" w:sz="4" w:space="0" w:color="606072"/>
            </w:tcBorders>
            <w:shd w:val="clear" w:color="000000" w:fill="F2F2F2"/>
            <w:tcMar>
              <w:left w:w="28" w:type="dxa"/>
              <w:right w:w="28" w:type="dxa"/>
            </w:tcMar>
            <w:vAlign w:val="center"/>
            <w:hideMark/>
          </w:tcPr>
          <w:p w14:paraId="45F62936" w14:textId="77777777" w:rsidR="00B64AAD" w:rsidRPr="005060E0" w:rsidRDefault="00B64AAD" w:rsidP="00B64AAD">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BAU</w:t>
            </w:r>
          </w:p>
        </w:tc>
        <w:tc>
          <w:tcPr>
            <w:tcW w:w="473" w:type="pct"/>
            <w:tcBorders>
              <w:top w:val="single" w:sz="4" w:space="0" w:color="606072"/>
              <w:left w:val="nil"/>
              <w:right w:val="dotted" w:sz="4" w:space="0" w:color="auto"/>
            </w:tcBorders>
            <w:shd w:val="clear" w:color="auto" w:fill="auto"/>
            <w:vAlign w:val="center"/>
          </w:tcPr>
          <w:p w14:paraId="0F97C48D" w14:textId="06F97D43" w:rsidR="00B64AAD" w:rsidRPr="005060E0" w:rsidRDefault="00B64AAD" w:rsidP="00B64AAD">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top w:val="single" w:sz="4" w:space="0" w:color="606072"/>
              <w:left w:val="dotted" w:sz="4" w:space="0" w:color="auto"/>
              <w:right w:val="dotted" w:sz="4" w:space="0" w:color="auto"/>
            </w:tcBorders>
            <w:shd w:val="clear" w:color="auto" w:fill="auto"/>
            <w:vAlign w:val="center"/>
          </w:tcPr>
          <w:p w14:paraId="4C5C1716" w14:textId="132ED15A" w:rsidR="00B64AAD" w:rsidRPr="005060E0" w:rsidRDefault="00B64AAD" w:rsidP="00B64AAD">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4" w:type="pct"/>
            <w:tcBorders>
              <w:top w:val="single" w:sz="4" w:space="0" w:color="606072"/>
              <w:left w:val="dotted" w:sz="4" w:space="0" w:color="auto"/>
              <w:right w:val="single" w:sz="4" w:space="0" w:color="606072"/>
            </w:tcBorders>
            <w:shd w:val="clear" w:color="auto" w:fill="auto"/>
            <w:vAlign w:val="center"/>
          </w:tcPr>
          <w:p w14:paraId="03EE73DF" w14:textId="60B132C9" w:rsidR="00B64AAD" w:rsidRPr="005060E0" w:rsidRDefault="00B64AAD" w:rsidP="00B64AAD">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top w:val="single" w:sz="4" w:space="0" w:color="606072"/>
              <w:left w:val="nil"/>
              <w:right w:val="dotted" w:sz="4" w:space="0" w:color="auto"/>
            </w:tcBorders>
            <w:shd w:val="clear" w:color="000000" w:fill="F2F2F2"/>
            <w:noWrap/>
            <w:vAlign w:val="center"/>
          </w:tcPr>
          <w:p w14:paraId="6DDFF36C" w14:textId="40C1D553" w:rsidR="00B64AAD" w:rsidRPr="005060E0" w:rsidRDefault="00B64AAD" w:rsidP="00B64AAD">
            <w:pPr>
              <w:widowControl w:val="0"/>
              <w:spacing w:after="0" w:line="240" w:lineRule="auto"/>
              <w:jc w:val="center"/>
              <w:rPr>
                <w:rFonts w:ascii="Calibri" w:eastAsia="Times New Roman" w:hAnsi="Calibri" w:cs="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top w:val="single" w:sz="4" w:space="0" w:color="606072"/>
              <w:left w:val="dotted" w:sz="4" w:space="0" w:color="auto"/>
              <w:right w:val="dotted" w:sz="4" w:space="0" w:color="auto"/>
            </w:tcBorders>
            <w:shd w:val="clear" w:color="000000" w:fill="F2F2F2"/>
            <w:noWrap/>
            <w:vAlign w:val="center"/>
          </w:tcPr>
          <w:p w14:paraId="438A6607" w14:textId="61FE3A6F" w:rsidR="00B64AAD" w:rsidRPr="005060E0" w:rsidRDefault="00B64AAD" w:rsidP="00B64AAD">
            <w:pPr>
              <w:widowControl w:val="0"/>
              <w:spacing w:after="0" w:line="240" w:lineRule="auto"/>
              <w:jc w:val="center"/>
              <w:rPr>
                <w:rFonts w:ascii="Calibri" w:eastAsia="Times New Roman" w:hAnsi="Calibri" w:cs="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5" w:type="pct"/>
            <w:tcBorders>
              <w:top w:val="single" w:sz="4" w:space="0" w:color="606072"/>
              <w:left w:val="dotted" w:sz="4" w:space="0" w:color="auto"/>
              <w:right w:val="single" w:sz="4" w:space="0" w:color="606072"/>
            </w:tcBorders>
            <w:shd w:val="clear" w:color="000000" w:fill="F2F2F2"/>
            <w:noWrap/>
            <w:vAlign w:val="center"/>
          </w:tcPr>
          <w:p w14:paraId="2F78F4AF" w14:textId="364D1D3A" w:rsidR="00B64AAD" w:rsidRPr="005060E0" w:rsidRDefault="00B64AAD" w:rsidP="00B64AAD">
            <w:pPr>
              <w:widowControl w:val="0"/>
              <w:spacing w:after="0" w:line="240" w:lineRule="auto"/>
              <w:jc w:val="center"/>
              <w:rPr>
                <w:rFonts w:ascii="Calibri" w:eastAsia="Times New Roman" w:hAnsi="Calibri" w:cs="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r>
      <w:tr w:rsidR="00B64AAD" w:rsidRPr="005060E0" w14:paraId="326D90C9" w14:textId="77777777" w:rsidTr="00A70751">
        <w:trPr>
          <w:trHeight w:val="252"/>
        </w:trPr>
        <w:tc>
          <w:tcPr>
            <w:tcW w:w="704" w:type="pct"/>
            <w:vMerge/>
            <w:tcBorders>
              <w:top w:val="nil"/>
              <w:left w:val="single" w:sz="4" w:space="0" w:color="606072"/>
              <w:bottom w:val="single" w:sz="4" w:space="0" w:color="606072"/>
              <w:right w:val="single" w:sz="4" w:space="0" w:color="606072"/>
            </w:tcBorders>
            <w:shd w:val="clear" w:color="auto" w:fill="F2F2F2" w:themeFill="background1" w:themeFillShade="F2"/>
            <w:vAlign w:val="center"/>
            <w:hideMark/>
          </w:tcPr>
          <w:p w14:paraId="60706F61" w14:textId="77777777" w:rsidR="00B64AAD" w:rsidRPr="005060E0" w:rsidRDefault="00B64AAD" w:rsidP="00B64AAD">
            <w:pPr>
              <w:widowControl w:val="0"/>
              <w:spacing w:after="0" w:line="240" w:lineRule="auto"/>
              <w:rPr>
                <w:rFonts w:eastAsia="Times New Roman"/>
                <w:sz w:val="16"/>
                <w:szCs w:val="16"/>
                <w:lang w:eastAsia="en-AU"/>
              </w:rPr>
            </w:pPr>
          </w:p>
        </w:tc>
        <w:tc>
          <w:tcPr>
            <w:tcW w:w="472" w:type="pct"/>
            <w:vMerge/>
            <w:tcBorders>
              <w:top w:val="nil"/>
              <w:left w:val="single" w:sz="4" w:space="0" w:color="606072"/>
              <w:bottom w:val="single" w:sz="4" w:space="0" w:color="606072"/>
              <w:right w:val="single" w:sz="4" w:space="0" w:color="606072"/>
            </w:tcBorders>
            <w:vAlign w:val="center"/>
          </w:tcPr>
          <w:p w14:paraId="546DD253" w14:textId="77777777" w:rsidR="00B64AAD" w:rsidRPr="005060E0" w:rsidRDefault="00B64AAD" w:rsidP="00B64AAD">
            <w:pPr>
              <w:widowControl w:val="0"/>
              <w:spacing w:after="0" w:line="240" w:lineRule="auto"/>
              <w:rPr>
                <w:rFonts w:eastAsia="Times New Roman"/>
                <w:sz w:val="16"/>
                <w:szCs w:val="16"/>
                <w:lang w:eastAsia="en-AU"/>
              </w:rPr>
            </w:pPr>
          </w:p>
        </w:tc>
        <w:tc>
          <w:tcPr>
            <w:tcW w:w="983" w:type="pct"/>
            <w:tcBorders>
              <w:left w:val="nil"/>
              <w:bottom w:val="single" w:sz="4" w:space="0" w:color="606072"/>
              <w:right w:val="single" w:sz="4" w:space="0" w:color="606072"/>
            </w:tcBorders>
            <w:shd w:val="clear" w:color="000000" w:fill="F2F2F2"/>
            <w:tcMar>
              <w:left w:w="28" w:type="dxa"/>
              <w:right w:w="28" w:type="dxa"/>
            </w:tcMar>
            <w:vAlign w:val="center"/>
            <w:hideMark/>
          </w:tcPr>
          <w:p w14:paraId="142A9E2F" w14:textId="77777777" w:rsidR="00B64AAD" w:rsidRPr="005060E0" w:rsidRDefault="00B64AAD" w:rsidP="00B64AAD">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Abatement Package</w:t>
            </w:r>
          </w:p>
        </w:tc>
        <w:tc>
          <w:tcPr>
            <w:tcW w:w="473" w:type="pct"/>
            <w:tcBorders>
              <w:left w:val="nil"/>
              <w:bottom w:val="single" w:sz="4" w:space="0" w:color="606072"/>
              <w:right w:val="dotted" w:sz="4" w:space="0" w:color="auto"/>
            </w:tcBorders>
            <w:shd w:val="clear" w:color="auto" w:fill="auto"/>
            <w:vAlign w:val="center"/>
          </w:tcPr>
          <w:p w14:paraId="4203375B" w14:textId="06CE0AAF" w:rsidR="00B64AAD" w:rsidRPr="005060E0" w:rsidRDefault="00B64AAD" w:rsidP="00B64AAD">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left w:val="dotted" w:sz="4" w:space="0" w:color="auto"/>
              <w:bottom w:val="single" w:sz="4" w:space="0" w:color="606072"/>
              <w:right w:val="dotted" w:sz="4" w:space="0" w:color="auto"/>
            </w:tcBorders>
            <w:shd w:val="clear" w:color="auto" w:fill="auto"/>
            <w:vAlign w:val="center"/>
          </w:tcPr>
          <w:p w14:paraId="106F8670" w14:textId="062218AE" w:rsidR="00B64AAD" w:rsidRPr="005060E0" w:rsidRDefault="00B64AAD" w:rsidP="00B64AAD">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4" w:type="pct"/>
            <w:tcBorders>
              <w:left w:val="dotted" w:sz="4" w:space="0" w:color="auto"/>
              <w:bottom w:val="single" w:sz="4" w:space="0" w:color="606072"/>
              <w:right w:val="single" w:sz="4" w:space="0" w:color="606072"/>
            </w:tcBorders>
            <w:shd w:val="clear" w:color="auto" w:fill="auto"/>
            <w:vAlign w:val="center"/>
          </w:tcPr>
          <w:p w14:paraId="21852B24" w14:textId="08F638BE" w:rsidR="00B64AAD" w:rsidRPr="005060E0" w:rsidRDefault="00B64AAD" w:rsidP="00B64AAD">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left w:val="nil"/>
              <w:bottom w:val="single" w:sz="4" w:space="0" w:color="606072"/>
              <w:right w:val="dotted" w:sz="4" w:space="0" w:color="auto"/>
            </w:tcBorders>
            <w:shd w:val="clear" w:color="auto" w:fill="auto"/>
            <w:vAlign w:val="center"/>
          </w:tcPr>
          <w:p w14:paraId="0CD4BD40" w14:textId="67219F9A" w:rsidR="00B64AAD" w:rsidRPr="005060E0" w:rsidRDefault="00B64AAD" w:rsidP="00B64AAD">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left w:val="dotted" w:sz="4" w:space="0" w:color="auto"/>
              <w:bottom w:val="single" w:sz="4" w:space="0" w:color="606072"/>
              <w:right w:val="dotted" w:sz="4" w:space="0" w:color="auto"/>
            </w:tcBorders>
            <w:shd w:val="clear" w:color="auto" w:fill="auto"/>
            <w:vAlign w:val="center"/>
          </w:tcPr>
          <w:p w14:paraId="586D0A6E" w14:textId="7114AE3B" w:rsidR="00B64AAD" w:rsidRPr="005060E0" w:rsidRDefault="00B64AAD" w:rsidP="00B64AAD">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5" w:type="pct"/>
            <w:tcBorders>
              <w:left w:val="dotted" w:sz="4" w:space="0" w:color="auto"/>
              <w:bottom w:val="single" w:sz="4" w:space="0" w:color="606072"/>
              <w:right w:val="single" w:sz="4" w:space="0" w:color="606072"/>
            </w:tcBorders>
            <w:shd w:val="clear" w:color="auto" w:fill="auto"/>
            <w:vAlign w:val="center"/>
          </w:tcPr>
          <w:p w14:paraId="6A35F10E" w14:textId="476713E9" w:rsidR="00B64AAD" w:rsidRPr="005060E0" w:rsidRDefault="00B64AAD" w:rsidP="00B64AAD">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r>
      <w:tr w:rsidR="00B64AAD" w:rsidRPr="005060E0" w14:paraId="43F6085B" w14:textId="77777777" w:rsidTr="00A70751">
        <w:trPr>
          <w:trHeight w:val="340"/>
        </w:trPr>
        <w:tc>
          <w:tcPr>
            <w:tcW w:w="5000" w:type="pct"/>
            <w:gridSpan w:val="9"/>
            <w:tcBorders>
              <w:top w:val="single" w:sz="4" w:space="0" w:color="606072"/>
              <w:left w:val="single" w:sz="4" w:space="0" w:color="606072"/>
              <w:bottom w:val="single" w:sz="4" w:space="0" w:color="606072"/>
              <w:right w:val="single" w:sz="4" w:space="0" w:color="606072"/>
            </w:tcBorders>
            <w:shd w:val="clear" w:color="auto" w:fill="DEDFE3" w:themeFill="text2" w:themeFillTint="33"/>
            <w:vAlign w:val="center"/>
            <w:hideMark/>
          </w:tcPr>
          <w:p w14:paraId="30583BAC" w14:textId="77777777" w:rsidR="00B64AAD" w:rsidRPr="005060E0" w:rsidRDefault="00B64AAD" w:rsidP="00B64AAD">
            <w:pPr>
              <w:widowControl w:val="0"/>
              <w:spacing w:after="0" w:line="240" w:lineRule="auto"/>
              <w:rPr>
                <w:rFonts w:eastAsia="Times New Roman"/>
                <w:color w:val="000000"/>
                <w:sz w:val="16"/>
                <w:szCs w:val="16"/>
                <w:lang w:eastAsia="en-AU"/>
              </w:rPr>
            </w:pPr>
            <w:r w:rsidRPr="005060E0">
              <w:rPr>
                <w:rFonts w:eastAsia="Times New Roman"/>
                <w:color w:val="000000"/>
                <w:sz w:val="16"/>
                <w:szCs w:val="16"/>
                <w:lang w:eastAsia="en-AU"/>
              </w:rPr>
              <w:t>Hospital admissions for respiratory disease (65+ years)</w:t>
            </w:r>
          </w:p>
        </w:tc>
      </w:tr>
      <w:tr w:rsidR="00B64AAD" w:rsidRPr="005060E0" w14:paraId="7DBC074E" w14:textId="77777777" w:rsidTr="00A70751">
        <w:trPr>
          <w:trHeight w:val="252"/>
        </w:trPr>
        <w:tc>
          <w:tcPr>
            <w:tcW w:w="704" w:type="pct"/>
            <w:vMerge w:val="restart"/>
            <w:tcBorders>
              <w:top w:val="single" w:sz="4" w:space="0" w:color="606072"/>
              <w:left w:val="single" w:sz="4" w:space="0" w:color="606072"/>
              <w:bottom w:val="single" w:sz="4" w:space="0" w:color="606072"/>
              <w:right w:val="single" w:sz="4" w:space="0" w:color="606072"/>
            </w:tcBorders>
            <w:shd w:val="clear" w:color="auto" w:fill="F2F2F2" w:themeFill="background1" w:themeFillShade="F2"/>
            <w:vAlign w:val="center"/>
          </w:tcPr>
          <w:p w14:paraId="50AB60DA" w14:textId="7B46E506" w:rsidR="00B64AAD" w:rsidRPr="005060E0" w:rsidRDefault="00A70751" w:rsidP="00B64AAD">
            <w:pPr>
              <w:widowControl w:val="0"/>
              <w:spacing w:after="0" w:line="240" w:lineRule="auto"/>
              <w:rPr>
                <w:rFonts w:eastAsia="Times New Roman"/>
                <w:sz w:val="16"/>
                <w:szCs w:val="16"/>
                <w:lang w:eastAsia="en-AU"/>
              </w:rPr>
            </w:pPr>
            <w:r w:rsidRPr="005060E0">
              <w:rPr>
                <w:rFonts w:eastAsia="Times New Roman"/>
                <w:sz w:val="16"/>
                <w:szCs w:val="16"/>
                <w:lang w:eastAsia="en-AU"/>
              </w:rPr>
              <w:t>NSW and Victoria</w:t>
            </w:r>
          </w:p>
        </w:tc>
        <w:tc>
          <w:tcPr>
            <w:tcW w:w="472" w:type="pct"/>
            <w:vMerge w:val="restart"/>
            <w:tcBorders>
              <w:top w:val="single" w:sz="4" w:space="0" w:color="606072"/>
              <w:left w:val="nil"/>
              <w:bottom w:val="single" w:sz="4" w:space="0" w:color="606072"/>
              <w:right w:val="nil"/>
            </w:tcBorders>
            <w:shd w:val="clear" w:color="auto" w:fill="auto"/>
            <w:vAlign w:val="center"/>
          </w:tcPr>
          <w:p w14:paraId="59AF6435" w14:textId="03C8AFCC" w:rsidR="00B64AAD" w:rsidRPr="005060E0" w:rsidRDefault="00B64AAD" w:rsidP="00B64AAD">
            <w:pPr>
              <w:widowControl w:val="0"/>
              <w:spacing w:after="0" w:line="240" w:lineRule="auto"/>
              <w:jc w:val="center"/>
              <w:rPr>
                <w:rFonts w:eastAsia="Times New Roman"/>
                <w:sz w:val="16"/>
                <w:szCs w:val="16"/>
                <w:lang w:eastAsia="en-AU"/>
              </w:rPr>
            </w:pPr>
            <w:r w:rsidRPr="005060E0">
              <w:rPr>
                <w:rFonts w:eastAsia="Times New Roman"/>
                <w:sz w:val="16"/>
                <w:szCs w:val="16"/>
                <w:lang w:eastAsia="en-AU"/>
              </w:rPr>
              <w:t>1076</w:t>
            </w:r>
          </w:p>
        </w:tc>
        <w:tc>
          <w:tcPr>
            <w:tcW w:w="983" w:type="pct"/>
            <w:tcBorders>
              <w:top w:val="single" w:sz="4" w:space="0" w:color="606072"/>
              <w:left w:val="single" w:sz="4" w:space="0" w:color="606072"/>
              <w:right w:val="single" w:sz="4" w:space="0" w:color="606072"/>
            </w:tcBorders>
            <w:shd w:val="clear" w:color="000000" w:fill="F2F2F2"/>
            <w:tcMar>
              <w:left w:w="28" w:type="dxa"/>
              <w:right w:w="28" w:type="dxa"/>
            </w:tcMar>
            <w:vAlign w:val="center"/>
            <w:hideMark/>
          </w:tcPr>
          <w:p w14:paraId="38A43D5D" w14:textId="77777777" w:rsidR="00B64AAD" w:rsidRPr="005060E0" w:rsidRDefault="00B64AAD" w:rsidP="00B64AAD">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BAU</w:t>
            </w:r>
          </w:p>
        </w:tc>
        <w:tc>
          <w:tcPr>
            <w:tcW w:w="473" w:type="pct"/>
            <w:tcBorders>
              <w:top w:val="single" w:sz="4" w:space="0" w:color="606072"/>
              <w:left w:val="nil"/>
              <w:right w:val="dotted" w:sz="4" w:space="0" w:color="auto"/>
            </w:tcBorders>
            <w:shd w:val="clear" w:color="auto" w:fill="auto"/>
            <w:vAlign w:val="center"/>
          </w:tcPr>
          <w:p w14:paraId="0FD2F925" w14:textId="7C481B90" w:rsidR="00B64AAD" w:rsidRPr="005060E0" w:rsidRDefault="00B64AAD" w:rsidP="00B64AAD">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AU"/>
              </w:rPr>
              <w:t>2</w:t>
            </w:r>
            <w:r w:rsidR="002246E9" w:rsidRPr="005060E0">
              <w:rPr>
                <w:rFonts w:eastAsia="Times New Roman" w:cs="Arial"/>
                <w:color w:val="000000"/>
                <w:sz w:val="16"/>
                <w:szCs w:val="16"/>
                <w:lang w:eastAsia="en-AU"/>
              </w:rPr>
              <w:t>,</w:t>
            </w:r>
            <w:r w:rsidRPr="005060E0">
              <w:rPr>
                <w:rFonts w:eastAsia="Times New Roman" w:cs="Arial"/>
                <w:color w:val="000000"/>
                <w:sz w:val="16"/>
                <w:szCs w:val="16"/>
                <w:lang w:eastAsia="en-AU"/>
              </w:rPr>
              <w:t>355</w:t>
            </w:r>
          </w:p>
        </w:tc>
        <w:tc>
          <w:tcPr>
            <w:tcW w:w="473" w:type="pct"/>
            <w:tcBorders>
              <w:top w:val="single" w:sz="4" w:space="0" w:color="606072"/>
              <w:left w:val="dotted" w:sz="4" w:space="0" w:color="auto"/>
              <w:right w:val="dotted" w:sz="4" w:space="0" w:color="auto"/>
            </w:tcBorders>
            <w:shd w:val="clear" w:color="auto" w:fill="auto"/>
            <w:vAlign w:val="center"/>
          </w:tcPr>
          <w:p w14:paraId="2BACCA8C" w14:textId="3E5B7897" w:rsidR="00B64AAD" w:rsidRPr="005060E0" w:rsidRDefault="00B64AAD" w:rsidP="00B64AAD">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AU"/>
              </w:rPr>
              <w:t>2</w:t>
            </w:r>
            <w:r w:rsidR="002246E9" w:rsidRPr="005060E0">
              <w:rPr>
                <w:rFonts w:eastAsia="Times New Roman" w:cs="Arial"/>
                <w:color w:val="000000"/>
                <w:sz w:val="16"/>
                <w:szCs w:val="16"/>
                <w:lang w:eastAsia="en-AU"/>
              </w:rPr>
              <w:t>,</w:t>
            </w:r>
            <w:r w:rsidRPr="005060E0">
              <w:rPr>
                <w:rFonts w:eastAsia="Times New Roman" w:cs="Arial"/>
                <w:color w:val="000000"/>
                <w:sz w:val="16"/>
                <w:szCs w:val="16"/>
                <w:lang w:eastAsia="en-AU"/>
              </w:rPr>
              <w:t>803</w:t>
            </w:r>
          </w:p>
        </w:tc>
        <w:tc>
          <w:tcPr>
            <w:tcW w:w="474" w:type="pct"/>
            <w:tcBorders>
              <w:top w:val="single" w:sz="4" w:space="0" w:color="606072"/>
              <w:left w:val="dotted" w:sz="4" w:space="0" w:color="auto"/>
              <w:right w:val="single" w:sz="4" w:space="0" w:color="606072"/>
            </w:tcBorders>
            <w:shd w:val="clear" w:color="auto" w:fill="auto"/>
            <w:vAlign w:val="center"/>
          </w:tcPr>
          <w:p w14:paraId="1EE328FD" w14:textId="7B8BF7C4" w:rsidR="00B64AAD" w:rsidRPr="005060E0" w:rsidRDefault="00B64AAD" w:rsidP="00B64AAD">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AU"/>
              </w:rPr>
              <w:t>3</w:t>
            </w:r>
            <w:r w:rsidR="002246E9" w:rsidRPr="005060E0">
              <w:rPr>
                <w:rFonts w:eastAsia="Times New Roman" w:cs="Arial"/>
                <w:color w:val="000000"/>
                <w:sz w:val="16"/>
                <w:szCs w:val="16"/>
                <w:lang w:eastAsia="en-AU"/>
              </w:rPr>
              <w:t>,</w:t>
            </w:r>
            <w:r w:rsidRPr="005060E0">
              <w:rPr>
                <w:rFonts w:eastAsia="Times New Roman" w:cs="Arial"/>
                <w:color w:val="000000"/>
                <w:sz w:val="16"/>
                <w:szCs w:val="16"/>
                <w:lang w:eastAsia="en-AU"/>
              </w:rPr>
              <w:t>273</w:t>
            </w:r>
          </w:p>
        </w:tc>
        <w:tc>
          <w:tcPr>
            <w:tcW w:w="473" w:type="pct"/>
            <w:tcBorders>
              <w:top w:val="single" w:sz="4" w:space="0" w:color="606072"/>
              <w:left w:val="single" w:sz="4" w:space="0" w:color="606072"/>
              <w:right w:val="dotted" w:sz="4" w:space="0" w:color="auto"/>
            </w:tcBorders>
            <w:shd w:val="clear" w:color="auto" w:fill="DEDFE3" w:themeFill="text2" w:themeFillTint="33"/>
            <w:noWrap/>
            <w:vAlign w:val="center"/>
          </w:tcPr>
          <w:p w14:paraId="0BA83A5F" w14:textId="15207F1A" w:rsidR="00B64AAD" w:rsidRPr="005060E0" w:rsidRDefault="00B64AAD" w:rsidP="00B64AAD">
            <w:pPr>
              <w:widowControl w:val="0"/>
              <w:spacing w:after="0" w:line="240" w:lineRule="auto"/>
              <w:jc w:val="center"/>
              <w:rPr>
                <w:rFonts w:ascii="Calibri" w:eastAsia="Times New Roman" w:hAnsi="Calibri" w:cs="Times New Roman"/>
                <w:sz w:val="16"/>
                <w:szCs w:val="16"/>
                <w:lang w:eastAsia="en-AU"/>
              </w:rPr>
            </w:pPr>
          </w:p>
        </w:tc>
        <w:tc>
          <w:tcPr>
            <w:tcW w:w="473" w:type="pct"/>
            <w:tcBorders>
              <w:top w:val="single" w:sz="4" w:space="0" w:color="606072"/>
              <w:left w:val="dotted" w:sz="4" w:space="0" w:color="auto"/>
              <w:right w:val="dotted" w:sz="4" w:space="0" w:color="auto"/>
            </w:tcBorders>
            <w:shd w:val="clear" w:color="auto" w:fill="DEDFE3" w:themeFill="text2" w:themeFillTint="33"/>
            <w:noWrap/>
            <w:vAlign w:val="center"/>
          </w:tcPr>
          <w:p w14:paraId="4FD3F46D" w14:textId="1AB8D4A6" w:rsidR="00B64AAD" w:rsidRPr="005060E0" w:rsidRDefault="00B64AAD" w:rsidP="00B64AAD">
            <w:pPr>
              <w:widowControl w:val="0"/>
              <w:spacing w:after="0" w:line="240" w:lineRule="auto"/>
              <w:jc w:val="center"/>
              <w:rPr>
                <w:rFonts w:ascii="Calibri" w:eastAsia="Times New Roman" w:hAnsi="Calibri" w:cs="Times New Roman"/>
                <w:sz w:val="16"/>
                <w:szCs w:val="16"/>
                <w:lang w:eastAsia="en-AU"/>
              </w:rPr>
            </w:pPr>
          </w:p>
        </w:tc>
        <w:tc>
          <w:tcPr>
            <w:tcW w:w="475" w:type="pct"/>
            <w:tcBorders>
              <w:top w:val="single" w:sz="4" w:space="0" w:color="606072"/>
              <w:left w:val="dotted" w:sz="4" w:space="0" w:color="auto"/>
              <w:right w:val="single" w:sz="4" w:space="0" w:color="606072"/>
            </w:tcBorders>
            <w:shd w:val="clear" w:color="auto" w:fill="DEDFE3" w:themeFill="text2" w:themeFillTint="33"/>
            <w:noWrap/>
            <w:vAlign w:val="center"/>
          </w:tcPr>
          <w:p w14:paraId="1154CFFE" w14:textId="3FC2B3BB" w:rsidR="00B64AAD" w:rsidRPr="005060E0" w:rsidRDefault="00B64AAD" w:rsidP="00B64AAD">
            <w:pPr>
              <w:widowControl w:val="0"/>
              <w:spacing w:after="0" w:line="240" w:lineRule="auto"/>
              <w:jc w:val="center"/>
              <w:rPr>
                <w:rFonts w:ascii="Calibri" w:eastAsia="Times New Roman" w:hAnsi="Calibri" w:cs="Times New Roman"/>
                <w:sz w:val="16"/>
                <w:szCs w:val="16"/>
                <w:lang w:eastAsia="en-AU"/>
              </w:rPr>
            </w:pPr>
          </w:p>
        </w:tc>
      </w:tr>
      <w:tr w:rsidR="00B64AAD" w:rsidRPr="005060E0" w14:paraId="0BA47BBF" w14:textId="77777777" w:rsidTr="00A70751">
        <w:trPr>
          <w:trHeight w:val="252"/>
        </w:trPr>
        <w:tc>
          <w:tcPr>
            <w:tcW w:w="704" w:type="pct"/>
            <w:vMerge/>
            <w:tcBorders>
              <w:top w:val="single" w:sz="4" w:space="0" w:color="606072"/>
              <w:left w:val="single" w:sz="4" w:space="0" w:color="606072"/>
              <w:bottom w:val="single" w:sz="4" w:space="0" w:color="606072"/>
              <w:right w:val="single" w:sz="4" w:space="0" w:color="606072"/>
            </w:tcBorders>
            <w:shd w:val="clear" w:color="auto" w:fill="F2F2F2" w:themeFill="background1" w:themeFillShade="F2"/>
            <w:vAlign w:val="center"/>
          </w:tcPr>
          <w:p w14:paraId="317138D8" w14:textId="77777777" w:rsidR="00B64AAD" w:rsidRPr="005060E0" w:rsidRDefault="00B64AAD" w:rsidP="00B64AAD">
            <w:pPr>
              <w:widowControl w:val="0"/>
              <w:spacing w:after="0" w:line="240" w:lineRule="auto"/>
              <w:rPr>
                <w:rFonts w:eastAsia="Times New Roman"/>
                <w:sz w:val="16"/>
                <w:szCs w:val="16"/>
                <w:lang w:eastAsia="en-AU"/>
              </w:rPr>
            </w:pPr>
          </w:p>
        </w:tc>
        <w:tc>
          <w:tcPr>
            <w:tcW w:w="472" w:type="pct"/>
            <w:vMerge/>
            <w:tcBorders>
              <w:top w:val="single" w:sz="4" w:space="0" w:color="606072"/>
              <w:left w:val="nil"/>
              <w:bottom w:val="single" w:sz="4" w:space="0" w:color="606072"/>
              <w:right w:val="nil"/>
            </w:tcBorders>
            <w:vAlign w:val="center"/>
          </w:tcPr>
          <w:p w14:paraId="5F9E7389" w14:textId="77777777" w:rsidR="00B64AAD" w:rsidRPr="005060E0" w:rsidRDefault="00B64AAD" w:rsidP="00B64AAD">
            <w:pPr>
              <w:widowControl w:val="0"/>
              <w:spacing w:after="0" w:line="240" w:lineRule="auto"/>
              <w:rPr>
                <w:rFonts w:eastAsia="Times New Roman"/>
                <w:sz w:val="16"/>
                <w:szCs w:val="16"/>
                <w:lang w:eastAsia="en-AU"/>
              </w:rPr>
            </w:pPr>
          </w:p>
        </w:tc>
        <w:tc>
          <w:tcPr>
            <w:tcW w:w="983" w:type="pct"/>
            <w:tcBorders>
              <w:left w:val="single" w:sz="4" w:space="0" w:color="606072"/>
              <w:bottom w:val="single" w:sz="4" w:space="0" w:color="606072"/>
              <w:right w:val="single" w:sz="4" w:space="0" w:color="606072"/>
            </w:tcBorders>
            <w:shd w:val="clear" w:color="000000" w:fill="F2F2F2"/>
            <w:tcMar>
              <w:left w:w="28" w:type="dxa"/>
              <w:right w:w="28" w:type="dxa"/>
            </w:tcMar>
            <w:vAlign w:val="center"/>
            <w:hideMark/>
          </w:tcPr>
          <w:p w14:paraId="5CC32A08" w14:textId="77777777" w:rsidR="00B64AAD" w:rsidRPr="005060E0" w:rsidRDefault="00B64AAD" w:rsidP="00B64AAD">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Abatement Package</w:t>
            </w:r>
          </w:p>
        </w:tc>
        <w:tc>
          <w:tcPr>
            <w:tcW w:w="473" w:type="pct"/>
            <w:tcBorders>
              <w:left w:val="nil"/>
              <w:bottom w:val="single" w:sz="4" w:space="0" w:color="606072"/>
              <w:right w:val="dotted" w:sz="4" w:space="0" w:color="auto"/>
            </w:tcBorders>
            <w:shd w:val="clear" w:color="auto" w:fill="auto"/>
            <w:vAlign w:val="center"/>
          </w:tcPr>
          <w:p w14:paraId="463057E3" w14:textId="79B589C3" w:rsidR="00B64AAD" w:rsidRPr="005060E0" w:rsidRDefault="00B64AAD" w:rsidP="00B64AAD">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AU"/>
              </w:rPr>
              <w:t>1</w:t>
            </w:r>
            <w:r w:rsidR="002246E9" w:rsidRPr="005060E0">
              <w:rPr>
                <w:rFonts w:eastAsia="Times New Roman" w:cs="Arial"/>
                <w:color w:val="000000"/>
                <w:sz w:val="16"/>
                <w:szCs w:val="16"/>
                <w:lang w:eastAsia="en-AU"/>
              </w:rPr>
              <w:t>,</w:t>
            </w:r>
            <w:r w:rsidRPr="005060E0">
              <w:rPr>
                <w:rFonts w:eastAsia="Times New Roman" w:cs="Arial"/>
                <w:color w:val="000000"/>
                <w:sz w:val="16"/>
                <w:szCs w:val="16"/>
                <w:lang w:eastAsia="en-AU"/>
              </w:rPr>
              <w:t>726</w:t>
            </w:r>
          </w:p>
        </w:tc>
        <w:tc>
          <w:tcPr>
            <w:tcW w:w="473" w:type="pct"/>
            <w:tcBorders>
              <w:left w:val="dotted" w:sz="4" w:space="0" w:color="auto"/>
              <w:bottom w:val="single" w:sz="4" w:space="0" w:color="606072"/>
              <w:right w:val="dotted" w:sz="4" w:space="0" w:color="auto"/>
            </w:tcBorders>
            <w:shd w:val="clear" w:color="auto" w:fill="auto"/>
            <w:vAlign w:val="center"/>
          </w:tcPr>
          <w:p w14:paraId="47A87748" w14:textId="6BE1BAA7" w:rsidR="00B64AAD" w:rsidRPr="005060E0" w:rsidRDefault="00B64AAD" w:rsidP="00B64AAD">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AU"/>
              </w:rPr>
              <w:t>1</w:t>
            </w:r>
            <w:r w:rsidR="002246E9" w:rsidRPr="005060E0">
              <w:rPr>
                <w:rFonts w:eastAsia="Times New Roman" w:cs="Arial"/>
                <w:color w:val="000000"/>
                <w:sz w:val="16"/>
                <w:szCs w:val="16"/>
                <w:lang w:eastAsia="en-AU"/>
              </w:rPr>
              <w:t>,</w:t>
            </w:r>
            <w:r w:rsidRPr="005060E0">
              <w:rPr>
                <w:rFonts w:eastAsia="Times New Roman" w:cs="Arial"/>
                <w:color w:val="000000"/>
                <w:sz w:val="16"/>
                <w:szCs w:val="16"/>
                <w:lang w:eastAsia="en-AU"/>
              </w:rPr>
              <w:t>809</w:t>
            </w:r>
          </w:p>
        </w:tc>
        <w:tc>
          <w:tcPr>
            <w:tcW w:w="474" w:type="pct"/>
            <w:tcBorders>
              <w:left w:val="dotted" w:sz="4" w:space="0" w:color="auto"/>
              <w:bottom w:val="single" w:sz="4" w:space="0" w:color="606072"/>
              <w:right w:val="single" w:sz="4" w:space="0" w:color="606072"/>
            </w:tcBorders>
            <w:shd w:val="clear" w:color="auto" w:fill="auto"/>
            <w:vAlign w:val="center"/>
          </w:tcPr>
          <w:p w14:paraId="24F4DA80" w14:textId="3F487695" w:rsidR="00B64AAD" w:rsidRPr="005060E0" w:rsidRDefault="00B64AAD" w:rsidP="00B64AAD">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AU"/>
              </w:rPr>
              <w:t>1</w:t>
            </w:r>
            <w:r w:rsidR="002246E9" w:rsidRPr="005060E0">
              <w:rPr>
                <w:rFonts w:eastAsia="Times New Roman" w:cs="Arial"/>
                <w:color w:val="000000"/>
                <w:sz w:val="16"/>
                <w:szCs w:val="16"/>
                <w:lang w:eastAsia="en-AU"/>
              </w:rPr>
              <w:t>,</w:t>
            </w:r>
            <w:r w:rsidRPr="005060E0">
              <w:rPr>
                <w:rFonts w:eastAsia="Times New Roman" w:cs="Arial"/>
                <w:color w:val="000000"/>
                <w:sz w:val="16"/>
                <w:szCs w:val="16"/>
                <w:lang w:eastAsia="en-AU"/>
              </w:rPr>
              <w:t>355</w:t>
            </w:r>
          </w:p>
        </w:tc>
        <w:tc>
          <w:tcPr>
            <w:tcW w:w="473" w:type="pct"/>
            <w:tcBorders>
              <w:left w:val="single" w:sz="4" w:space="0" w:color="606072"/>
              <w:bottom w:val="single" w:sz="4" w:space="0" w:color="606072"/>
              <w:right w:val="dotted" w:sz="4" w:space="0" w:color="auto"/>
            </w:tcBorders>
            <w:shd w:val="clear" w:color="auto" w:fill="auto"/>
            <w:vAlign w:val="center"/>
          </w:tcPr>
          <w:p w14:paraId="606F3611" w14:textId="46B8E487" w:rsidR="00B64AAD" w:rsidRPr="005060E0" w:rsidRDefault="00B64AAD" w:rsidP="00B64AAD">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AU"/>
              </w:rPr>
              <w:t>629</w:t>
            </w:r>
          </w:p>
        </w:tc>
        <w:tc>
          <w:tcPr>
            <w:tcW w:w="473" w:type="pct"/>
            <w:tcBorders>
              <w:left w:val="dotted" w:sz="4" w:space="0" w:color="auto"/>
              <w:bottom w:val="single" w:sz="4" w:space="0" w:color="606072"/>
              <w:right w:val="dotted" w:sz="4" w:space="0" w:color="auto"/>
            </w:tcBorders>
            <w:shd w:val="clear" w:color="auto" w:fill="auto"/>
            <w:vAlign w:val="center"/>
          </w:tcPr>
          <w:p w14:paraId="257A14A7" w14:textId="3E23EBE1" w:rsidR="00B64AAD" w:rsidRPr="005060E0" w:rsidRDefault="00B64AAD" w:rsidP="00B64AAD">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AU"/>
              </w:rPr>
              <w:t>994</w:t>
            </w:r>
          </w:p>
        </w:tc>
        <w:tc>
          <w:tcPr>
            <w:tcW w:w="475" w:type="pct"/>
            <w:tcBorders>
              <w:left w:val="dotted" w:sz="4" w:space="0" w:color="auto"/>
              <w:bottom w:val="single" w:sz="4" w:space="0" w:color="606072"/>
              <w:right w:val="single" w:sz="4" w:space="0" w:color="606072"/>
            </w:tcBorders>
            <w:shd w:val="clear" w:color="auto" w:fill="auto"/>
            <w:vAlign w:val="center"/>
          </w:tcPr>
          <w:p w14:paraId="5777026A" w14:textId="50B743E5" w:rsidR="00B64AAD" w:rsidRPr="005060E0" w:rsidRDefault="00B64AAD" w:rsidP="00B64AAD">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AU"/>
              </w:rPr>
              <w:t>1</w:t>
            </w:r>
            <w:r w:rsidR="002246E9" w:rsidRPr="005060E0">
              <w:rPr>
                <w:rFonts w:eastAsia="Times New Roman" w:cs="Arial"/>
                <w:color w:val="000000"/>
                <w:sz w:val="16"/>
                <w:szCs w:val="16"/>
                <w:lang w:eastAsia="en-AU"/>
              </w:rPr>
              <w:t>,</w:t>
            </w:r>
            <w:r w:rsidRPr="005060E0">
              <w:rPr>
                <w:rFonts w:eastAsia="Times New Roman" w:cs="Arial"/>
                <w:color w:val="000000"/>
                <w:sz w:val="16"/>
                <w:szCs w:val="16"/>
                <w:lang w:eastAsia="en-AU"/>
              </w:rPr>
              <w:t>918</w:t>
            </w:r>
          </w:p>
        </w:tc>
      </w:tr>
      <w:tr w:rsidR="00B64AAD" w:rsidRPr="005060E0" w14:paraId="205EF4ED" w14:textId="77777777" w:rsidTr="00A70751">
        <w:trPr>
          <w:trHeight w:val="252"/>
        </w:trPr>
        <w:tc>
          <w:tcPr>
            <w:tcW w:w="704" w:type="pct"/>
            <w:vMerge w:val="restart"/>
            <w:tcBorders>
              <w:top w:val="nil"/>
              <w:left w:val="single" w:sz="4" w:space="0" w:color="606072"/>
              <w:bottom w:val="single" w:sz="4" w:space="0" w:color="606072"/>
              <w:right w:val="single" w:sz="4" w:space="0" w:color="606072"/>
            </w:tcBorders>
            <w:shd w:val="clear" w:color="auto" w:fill="F2F2F2" w:themeFill="background1" w:themeFillShade="F2"/>
            <w:vAlign w:val="center"/>
          </w:tcPr>
          <w:p w14:paraId="2CE1D2CC" w14:textId="11E0B470" w:rsidR="00B64AAD" w:rsidRPr="005060E0" w:rsidRDefault="00B64AAD" w:rsidP="00B64AAD">
            <w:pPr>
              <w:widowControl w:val="0"/>
              <w:spacing w:after="0" w:line="240" w:lineRule="auto"/>
              <w:rPr>
                <w:rFonts w:eastAsia="Times New Roman"/>
                <w:sz w:val="16"/>
                <w:szCs w:val="16"/>
                <w:lang w:eastAsia="en-AU"/>
              </w:rPr>
            </w:pPr>
            <w:r w:rsidRPr="005060E0">
              <w:rPr>
                <w:rFonts w:eastAsia="Times New Roman"/>
                <w:sz w:val="16"/>
                <w:szCs w:val="16"/>
                <w:lang w:eastAsia="en-AU"/>
              </w:rPr>
              <w:t>Other airsheds</w:t>
            </w:r>
          </w:p>
        </w:tc>
        <w:tc>
          <w:tcPr>
            <w:tcW w:w="472" w:type="pct"/>
            <w:vMerge w:val="restart"/>
            <w:tcBorders>
              <w:top w:val="nil"/>
              <w:left w:val="nil"/>
              <w:bottom w:val="single" w:sz="4" w:space="0" w:color="606072"/>
              <w:right w:val="nil"/>
            </w:tcBorders>
            <w:shd w:val="clear" w:color="auto" w:fill="auto"/>
            <w:vAlign w:val="center"/>
          </w:tcPr>
          <w:p w14:paraId="6E609EB8" w14:textId="12BC2AAD" w:rsidR="00B64AAD" w:rsidRPr="005060E0" w:rsidRDefault="00B64AAD" w:rsidP="00B64AAD">
            <w:pPr>
              <w:widowControl w:val="0"/>
              <w:spacing w:after="0" w:line="240" w:lineRule="auto"/>
              <w:jc w:val="center"/>
              <w:rPr>
                <w:rFonts w:eastAsia="Times New Roman"/>
                <w:sz w:val="16"/>
                <w:szCs w:val="16"/>
                <w:lang w:eastAsia="en-AU"/>
              </w:rPr>
            </w:pPr>
            <w:r w:rsidRPr="005060E0">
              <w:rPr>
                <w:rFonts w:eastAsia="Times New Roman"/>
                <w:sz w:val="16"/>
                <w:szCs w:val="16"/>
                <w:lang w:eastAsia="en-AU"/>
              </w:rPr>
              <w:t>470</w:t>
            </w:r>
          </w:p>
        </w:tc>
        <w:tc>
          <w:tcPr>
            <w:tcW w:w="983" w:type="pct"/>
            <w:tcBorders>
              <w:top w:val="nil"/>
              <w:left w:val="single" w:sz="4" w:space="0" w:color="606072"/>
              <w:right w:val="single" w:sz="4" w:space="0" w:color="606072"/>
            </w:tcBorders>
            <w:shd w:val="clear" w:color="000000" w:fill="F2F2F2"/>
            <w:tcMar>
              <w:left w:w="28" w:type="dxa"/>
              <w:right w:w="28" w:type="dxa"/>
            </w:tcMar>
            <w:vAlign w:val="center"/>
            <w:hideMark/>
          </w:tcPr>
          <w:p w14:paraId="0BB5E50B" w14:textId="77777777" w:rsidR="00B64AAD" w:rsidRPr="005060E0" w:rsidRDefault="00B64AAD" w:rsidP="00B64AAD">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BAU</w:t>
            </w:r>
          </w:p>
        </w:tc>
        <w:tc>
          <w:tcPr>
            <w:tcW w:w="473" w:type="pct"/>
            <w:tcBorders>
              <w:top w:val="nil"/>
              <w:left w:val="nil"/>
              <w:right w:val="dotted" w:sz="4" w:space="0" w:color="auto"/>
            </w:tcBorders>
            <w:shd w:val="clear" w:color="auto" w:fill="auto"/>
            <w:vAlign w:val="center"/>
          </w:tcPr>
          <w:p w14:paraId="5C20958F" w14:textId="741682ED" w:rsidR="00B64AAD" w:rsidRPr="005060E0" w:rsidRDefault="00B64AAD" w:rsidP="00B64AAD">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top w:val="nil"/>
              <w:left w:val="dotted" w:sz="4" w:space="0" w:color="auto"/>
              <w:right w:val="dotted" w:sz="4" w:space="0" w:color="auto"/>
            </w:tcBorders>
            <w:shd w:val="clear" w:color="auto" w:fill="auto"/>
            <w:vAlign w:val="center"/>
          </w:tcPr>
          <w:p w14:paraId="6916827D" w14:textId="2E42C934" w:rsidR="00B64AAD" w:rsidRPr="005060E0" w:rsidRDefault="00B64AAD" w:rsidP="00B64AAD">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4" w:type="pct"/>
            <w:tcBorders>
              <w:top w:val="nil"/>
              <w:left w:val="dotted" w:sz="4" w:space="0" w:color="auto"/>
              <w:right w:val="single" w:sz="4" w:space="0" w:color="606072"/>
            </w:tcBorders>
            <w:shd w:val="clear" w:color="auto" w:fill="auto"/>
            <w:vAlign w:val="center"/>
          </w:tcPr>
          <w:p w14:paraId="1F98D2B3" w14:textId="0B43D31A" w:rsidR="00B64AAD" w:rsidRPr="005060E0" w:rsidRDefault="00B64AAD" w:rsidP="00B64AAD">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top w:val="nil"/>
              <w:left w:val="single" w:sz="4" w:space="0" w:color="606072"/>
              <w:right w:val="dotted" w:sz="4" w:space="0" w:color="auto"/>
            </w:tcBorders>
            <w:shd w:val="clear" w:color="000000" w:fill="F2F2F2"/>
            <w:noWrap/>
            <w:vAlign w:val="center"/>
          </w:tcPr>
          <w:p w14:paraId="44D7D5F9" w14:textId="1D3EA263" w:rsidR="00B64AAD" w:rsidRPr="005060E0" w:rsidRDefault="00B64AAD" w:rsidP="00B64AAD">
            <w:pPr>
              <w:widowControl w:val="0"/>
              <w:spacing w:after="0" w:line="240" w:lineRule="auto"/>
              <w:jc w:val="center"/>
              <w:rPr>
                <w:rFonts w:ascii="Calibri" w:eastAsia="Times New Roman" w:hAnsi="Calibri" w:cs="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top w:val="nil"/>
              <w:left w:val="dotted" w:sz="4" w:space="0" w:color="auto"/>
              <w:right w:val="dotted" w:sz="4" w:space="0" w:color="auto"/>
            </w:tcBorders>
            <w:shd w:val="clear" w:color="000000" w:fill="F2F2F2"/>
            <w:noWrap/>
            <w:vAlign w:val="center"/>
          </w:tcPr>
          <w:p w14:paraId="27388D19" w14:textId="7EC8E68E" w:rsidR="00B64AAD" w:rsidRPr="005060E0" w:rsidRDefault="00B64AAD" w:rsidP="00B64AAD">
            <w:pPr>
              <w:widowControl w:val="0"/>
              <w:spacing w:after="0" w:line="240" w:lineRule="auto"/>
              <w:jc w:val="center"/>
              <w:rPr>
                <w:rFonts w:ascii="Calibri" w:eastAsia="Times New Roman" w:hAnsi="Calibri" w:cs="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5" w:type="pct"/>
            <w:tcBorders>
              <w:top w:val="nil"/>
              <w:left w:val="dotted" w:sz="4" w:space="0" w:color="auto"/>
              <w:right w:val="single" w:sz="4" w:space="0" w:color="606072"/>
            </w:tcBorders>
            <w:shd w:val="clear" w:color="000000" w:fill="F2F2F2"/>
            <w:noWrap/>
            <w:vAlign w:val="center"/>
          </w:tcPr>
          <w:p w14:paraId="3F89B12E" w14:textId="7AF1934E" w:rsidR="00B64AAD" w:rsidRPr="005060E0" w:rsidRDefault="00B64AAD" w:rsidP="00B64AAD">
            <w:pPr>
              <w:widowControl w:val="0"/>
              <w:spacing w:after="0" w:line="240" w:lineRule="auto"/>
              <w:jc w:val="center"/>
              <w:rPr>
                <w:rFonts w:ascii="Calibri" w:eastAsia="Times New Roman" w:hAnsi="Calibri" w:cs="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r>
      <w:tr w:rsidR="00B64AAD" w:rsidRPr="005060E0" w14:paraId="1F97118D" w14:textId="77777777" w:rsidTr="00A70751">
        <w:trPr>
          <w:trHeight w:val="252"/>
        </w:trPr>
        <w:tc>
          <w:tcPr>
            <w:tcW w:w="704" w:type="pct"/>
            <w:vMerge/>
            <w:tcBorders>
              <w:top w:val="nil"/>
              <w:left w:val="single" w:sz="4" w:space="0" w:color="606072"/>
              <w:bottom w:val="single" w:sz="4" w:space="0" w:color="606072"/>
              <w:right w:val="single" w:sz="4" w:space="0" w:color="606072"/>
            </w:tcBorders>
            <w:shd w:val="clear" w:color="auto" w:fill="F2F2F2" w:themeFill="background1" w:themeFillShade="F2"/>
            <w:vAlign w:val="center"/>
          </w:tcPr>
          <w:p w14:paraId="75E6D8F3" w14:textId="77777777" w:rsidR="00B64AAD" w:rsidRPr="005060E0" w:rsidRDefault="00B64AAD" w:rsidP="00B64AAD">
            <w:pPr>
              <w:widowControl w:val="0"/>
              <w:spacing w:after="0" w:line="240" w:lineRule="auto"/>
              <w:rPr>
                <w:rFonts w:eastAsia="Times New Roman"/>
                <w:sz w:val="16"/>
                <w:szCs w:val="16"/>
                <w:lang w:eastAsia="en-AU"/>
              </w:rPr>
            </w:pPr>
          </w:p>
        </w:tc>
        <w:tc>
          <w:tcPr>
            <w:tcW w:w="472" w:type="pct"/>
            <w:vMerge/>
            <w:tcBorders>
              <w:top w:val="nil"/>
              <w:left w:val="nil"/>
              <w:bottom w:val="single" w:sz="4" w:space="0" w:color="606072"/>
              <w:right w:val="nil"/>
            </w:tcBorders>
            <w:vAlign w:val="center"/>
          </w:tcPr>
          <w:p w14:paraId="341DCC9A" w14:textId="77777777" w:rsidR="00B64AAD" w:rsidRPr="005060E0" w:rsidRDefault="00B64AAD" w:rsidP="00B64AAD">
            <w:pPr>
              <w:widowControl w:val="0"/>
              <w:spacing w:after="0" w:line="240" w:lineRule="auto"/>
              <w:rPr>
                <w:rFonts w:eastAsia="Times New Roman"/>
                <w:sz w:val="16"/>
                <w:szCs w:val="16"/>
                <w:lang w:eastAsia="en-AU"/>
              </w:rPr>
            </w:pPr>
          </w:p>
        </w:tc>
        <w:tc>
          <w:tcPr>
            <w:tcW w:w="983" w:type="pct"/>
            <w:tcBorders>
              <w:left w:val="single" w:sz="4" w:space="0" w:color="606072"/>
              <w:bottom w:val="single" w:sz="4" w:space="0" w:color="606072"/>
              <w:right w:val="single" w:sz="4" w:space="0" w:color="606072"/>
            </w:tcBorders>
            <w:shd w:val="clear" w:color="000000" w:fill="F2F2F2"/>
            <w:tcMar>
              <w:left w:w="28" w:type="dxa"/>
              <w:right w:w="28" w:type="dxa"/>
            </w:tcMar>
            <w:vAlign w:val="center"/>
            <w:hideMark/>
          </w:tcPr>
          <w:p w14:paraId="763F0031" w14:textId="77777777" w:rsidR="00B64AAD" w:rsidRPr="005060E0" w:rsidRDefault="00B64AAD" w:rsidP="00B64AAD">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Abatement Package</w:t>
            </w:r>
          </w:p>
        </w:tc>
        <w:tc>
          <w:tcPr>
            <w:tcW w:w="473" w:type="pct"/>
            <w:tcBorders>
              <w:left w:val="nil"/>
              <w:bottom w:val="single" w:sz="4" w:space="0" w:color="606072"/>
              <w:right w:val="dotted" w:sz="4" w:space="0" w:color="auto"/>
            </w:tcBorders>
            <w:shd w:val="clear" w:color="auto" w:fill="auto"/>
            <w:vAlign w:val="center"/>
          </w:tcPr>
          <w:p w14:paraId="69F7463E" w14:textId="1EA9C1C0" w:rsidR="00B64AAD" w:rsidRPr="005060E0" w:rsidRDefault="00B64AAD" w:rsidP="00B64AAD">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left w:val="dotted" w:sz="4" w:space="0" w:color="auto"/>
              <w:bottom w:val="single" w:sz="4" w:space="0" w:color="606072"/>
              <w:right w:val="dotted" w:sz="4" w:space="0" w:color="auto"/>
            </w:tcBorders>
            <w:shd w:val="clear" w:color="auto" w:fill="auto"/>
            <w:vAlign w:val="center"/>
          </w:tcPr>
          <w:p w14:paraId="4E4EAED6" w14:textId="532D9EB7" w:rsidR="00B64AAD" w:rsidRPr="005060E0" w:rsidRDefault="00B64AAD" w:rsidP="00B64AAD">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4" w:type="pct"/>
            <w:tcBorders>
              <w:left w:val="dotted" w:sz="4" w:space="0" w:color="auto"/>
              <w:bottom w:val="single" w:sz="4" w:space="0" w:color="606072"/>
              <w:right w:val="single" w:sz="4" w:space="0" w:color="606072"/>
            </w:tcBorders>
            <w:shd w:val="clear" w:color="auto" w:fill="auto"/>
            <w:vAlign w:val="center"/>
          </w:tcPr>
          <w:p w14:paraId="3B961A50" w14:textId="44064DB5" w:rsidR="00B64AAD" w:rsidRPr="005060E0" w:rsidRDefault="00B64AAD" w:rsidP="00B64AAD">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left w:val="nil"/>
              <w:bottom w:val="single" w:sz="4" w:space="0" w:color="606072"/>
              <w:right w:val="dotted" w:sz="4" w:space="0" w:color="auto"/>
            </w:tcBorders>
            <w:shd w:val="clear" w:color="auto" w:fill="auto"/>
            <w:vAlign w:val="center"/>
          </w:tcPr>
          <w:p w14:paraId="087C4F59" w14:textId="06E87FC4" w:rsidR="00B64AAD" w:rsidRPr="005060E0" w:rsidRDefault="00B64AAD" w:rsidP="00B64AAD">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left w:val="dotted" w:sz="4" w:space="0" w:color="auto"/>
              <w:bottom w:val="single" w:sz="4" w:space="0" w:color="606072"/>
              <w:right w:val="dotted" w:sz="4" w:space="0" w:color="auto"/>
            </w:tcBorders>
            <w:shd w:val="clear" w:color="auto" w:fill="auto"/>
            <w:vAlign w:val="center"/>
          </w:tcPr>
          <w:p w14:paraId="23FCCC78" w14:textId="7C41C381" w:rsidR="00B64AAD" w:rsidRPr="005060E0" w:rsidRDefault="00B64AAD" w:rsidP="00B64AAD">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5" w:type="pct"/>
            <w:tcBorders>
              <w:left w:val="dotted" w:sz="4" w:space="0" w:color="auto"/>
              <w:bottom w:val="single" w:sz="4" w:space="0" w:color="606072"/>
              <w:right w:val="single" w:sz="4" w:space="0" w:color="606072"/>
            </w:tcBorders>
            <w:shd w:val="clear" w:color="auto" w:fill="auto"/>
            <w:vAlign w:val="center"/>
          </w:tcPr>
          <w:p w14:paraId="343CE7D8" w14:textId="20AD04E2" w:rsidR="00B64AAD" w:rsidRPr="005060E0" w:rsidRDefault="00B64AAD" w:rsidP="00B64AAD">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r>
      <w:tr w:rsidR="00B64AAD" w:rsidRPr="005060E0" w14:paraId="045190D1" w14:textId="77777777" w:rsidTr="00A70751">
        <w:trPr>
          <w:trHeight w:val="340"/>
        </w:trPr>
        <w:tc>
          <w:tcPr>
            <w:tcW w:w="5000" w:type="pct"/>
            <w:gridSpan w:val="9"/>
            <w:tcBorders>
              <w:top w:val="nil"/>
              <w:left w:val="single" w:sz="4" w:space="0" w:color="606072"/>
              <w:bottom w:val="single" w:sz="4" w:space="0" w:color="606072"/>
              <w:right w:val="single" w:sz="4" w:space="0" w:color="606072"/>
            </w:tcBorders>
            <w:shd w:val="clear" w:color="auto" w:fill="DEDFE3" w:themeFill="text2" w:themeFillTint="33"/>
            <w:vAlign w:val="center"/>
            <w:hideMark/>
          </w:tcPr>
          <w:p w14:paraId="01891E07" w14:textId="77777777" w:rsidR="00B64AAD" w:rsidRPr="005060E0" w:rsidRDefault="00B64AAD" w:rsidP="00B64AAD">
            <w:pPr>
              <w:widowControl w:val="0"/>
              <w:spacing w:after="0" w:line="240" w:lineRule="auto"/>
              <w:rPr>
                <w:rFonts w:eastAsia="Times New Roman"/>
                <w:color w:val="000000"/>
                <w:sz w:val="16"/>
                <w:szCs w:val="16"/>
                <w:lang w:eastAsia="en-AU"/>
              </w:rPr>
            </w:pPr>
            <w:r w:rsidRPr="005060E0">
              <w:rPr>
                <w:rFonts w:eastAsia="Times New Roman"/>
                <w:color w:val="000000"/>
                <w:sz w:val="16"/>
                <w:szCs w:val="16"/>
                <w:lang w:eastAsia="en-AU"/>
              </w:rPr>
              <w:t>Emergency department visits for asthma (&lt;15 years)</w:t>
            </w:r>
          </w:p>
        </w:tc>
      </w:tr>
      <w:tr w:rsidR="00B64AAD" w:rsidRPr="005060E0" w14:paraId="652A8DD0" w14:textId="77777777" w:rsidTr="00A70751">
        <w:trPr>
          <w:trHeight w:val="252"/>
        </w:trPr>
        <w:tc>
          <w:tcPr>
            <w:tcW w:w="704" w:type="pct"/>
            <w:vMerge w:val="restart"/>
            <w:tcBorders>
              <w:top w:val="nil"/>
              <w:left w:val="single" w:sz="4" w:space="0" w:color="606072"/>
              <w:bottom w:val="single" w:sz="4" w:space="0" w:color="606072"/>
              <w:right w:val="single" w:sz="4" w:space="0" w:color="606072"/>
            </w:tcBorders>
            <w:shd w:val="clear" w:color="auto" w:fill="F2F2F2" w:themeFill="background1" w:themeFillShade="F2"/>
            <w:vAlign w:val="center"/>
          </w:tcPr>
          <w:p w14:paraId="482D6417" w14:textId="6649B64B" w:rsidR="00B64AAD" w:rsidRPr="005060E0" w:rsidRDefault="00A70751" w:rsidP="00B64AAD">
            <w:pPr>
              <w:widowControl w:val="0"/>
              <w:spacing w:after="0" w:line="240" w:lineRule="auto"/>
              <w:rPr>
                <w:rFonts w:eastAsia="Times New Roman"/>
                <w:sz w:val="16"/>
                <w:szCs w:val="16"/>
                <w:lang w:eastAsia="en-AU"/>
              </w:rPr>
            </w:pPr>
            <w:r w:rsidRPr="005060E0">
              <w:rPr>
                <w:rFonts w:eastAsia="Times New Roman"/>
                <w:sz w:val="16"/>
                <w:szCs w:val="16"/>
                <w:lang w:eastAsia="en-AU"/>
              </w:rPr>
              <w:t>NSW and Victoria</w:t>
            </w:r>
          </w:p>
        </w:tc>
        <w:tc>
          <w:tcPr>
            <w:tcW w:w="472" w:type="pct"/>
            <w:vMerge w:val="restart"/>
            <w:tcBorders>
              <w:top w:val="nil"/>
              <w:left w:val="single" w:sz="4" w:space="0" w:color="606072"/>
              <w:bottom w:val="single" w:sz="4" w:space="0" w:color="606072"/>
              <w:right w:val="single" w:sz="4" w:space="0" w:color="606072"/>
            </w:tcBorders>
            <w:shd w:val="clear" w:color="auto" w:fill="auto"/>
            <w:vAlign w:val="center"/>
          </w:tcPr>
          <w:p w14:paraId="1065943E" w14:textId="27F2D827" w:rsidR="00B64AAD" w:rsidRPr="005060E0" w:rsidRDefault="00B64AAD" w:rsidP="00B64AAD">
            <w:pPr>
              <w:widowControl w:val="0"/>
              <w:spacing w:after="0" w:line="240" w:lineRule="auto"/>
              <w:jc w:val="center"/>
              <w:rPr>
                <w:rFonts w:eastAsia="Times New Roman"/>
                <w:sz w:val="16"/>
                <w:szCs w:val="16"/>
                <w:lang w:eastAsia="en-AU"/>
              </w:rPr>
            </w:pPr>
            <w:r w:rsidRPr="005060E0">
              <w:rPr>
                <w:rFonts w:eastAsia="Times New Roman"/>
                <w:sz w:val="16"/>
                <w:szCs w:val="16"/>
                <w:lang w:eastAsia="en-AU"/>
              </w:rPr>
              <w:t>249</w:t>
            </w:r>
          </w:p>
        </w:tc>
        <w:tc>
          <w:tcPr>
            <w:tcW w:w="983" w:type="pct"/>
            <w:tcBorders>
              <w:top w:val="nil"/>
              <w:left w:val="nil"/>
              <w:right w:val="single" w:sz="4" w:space="0" w:color="606072"/>
            </w:tcBorders>
            <w:shd w:val="clear" w:color="000000" w:fill="F2F2F2"/>
            <w:tcMar>
              <w:left w:w="28" w:type="dxa"/>
              <w:right w:w="28" w:type="dxa"/>
            </w:tcMar>
            <w:vAlign w:val="center"/>
            <w:hideMark/>
          </w:tcPr>
          <w:p w14:paraId="23F4C67F" w14:textId="77777777" w:rsidR="00B64AAD" w:rsidRPr="005060E0" w:rsidRDefault="00B64AAD" w:rsidP="00B64AAD">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BAU</w:t>
            </w:r>
          </w:p>
        </w:tc>
        <w:tc>
          <w:tcPr>
            <w:tcW w:w="473" w:type="pct"/>
            <w:tcBorders>
              <w:top w:val="nil"/>
              <w:left w:val="nil"/>
              <w:right w:val="dotted" w:sz="4" w:space="0" w:color="auto"/>
            </w:tcBorders>
            <w:shd w:val="clear" w:color="auto" w:fill="auto"/>
            <w:vAlign w:val="center"/>
          </w:tcPr>
          <w:p w14:paraId="006FC3EB" w14:textId="7368F8A6" w:rsidR="00B64AAD" w:rsidRPr="005060E0" w:rsidRDefault="00B64AAD" w:rsidP="00B64AAD">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AU"/>
              </w:rPr>
              <w:t>554</w:t>
            </w:r>
          </w:p>
        </w:tc>
        <w:tc>
          <w:tcPr>
            <w:tcW w:w="473" w:type="pct"/>
            <w:tcBorders>
              <w:top w:val="nil"/>
              <w:left w:val="dotted" w:sz="4" w:space="0" w:color="auto"/>
              <w:right w:val="dotted" w:sz="4" w:space="0" w:color="auto"/>
            </w:tcBorders>
            <w:shd w:val="clear" w:color="auto" w:fill="auto"/>
            <w:vAlign w:val="center"/>
          </w:tcPr>
          <w:p w14:paraId="5ABBB050" w14:textId="1D17F9C9" w:rsidR="00B64AAD" w:rsidRPr="005060E0" w:rsidRDefault="00B64AAD" w:rsidP="00B64AAD">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AU"/>
              </w:rPr>
              <w:t>647</w:t>
            </w:r>
          </w:p>
        </w:tc>
        <w:tc>
          <w:tcPr>
            <w:tcW w:w="474" w:type="pct"/>
            <w:tcBorders>
              <w:top w:val="nil"/>
              <w:left w:val="dotted" w:sz="4" w:space="0" w:color="auto"/>
              <w:right w:val="single" w:sz="4" w:space="0" w:color="606072"/>
            </w:tcBorders>
            <w:shd w:val="clear" w:color="auto" w:fill="auto"/>
            <w:vAlign w:val="center"/>
          </w:tcPr>
          <w:p w14:paraId="6D67D1C4" w14:textId="3BD642B3" w:rsidR="00B64AAD" w:rsidRPr="005060E0" w:rsidRDefault="00B64AAD" w:rsidP="00B64AAD">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AU"/>
              </w:rPr>
              <w:t>760</w:t>
            </w:r>
          </w:p>
        </w:tc>
        <w:tc>
          <w:tcPr>
            <w:tcW w:w="473" w:type="pct"/>
            <w:tcBorders>
              <w:top w:val="nil"/>
              <w:left w:val="nil"/>
              <w:right w:val="dotted" w:sz="4" w:space="0" w:color="auto"/>
            </w:tcBorders>
            <w:shd w:val="clear" w:color="auto" w:fill="DEDFE3" w:themeFill="text2" w:themeFillTint="33"/>
            <w:noWrap/>
            <w:vAlign w:val="center"/>
          </w:tcPr>
          <w:p w14:paraId="42E7364D" w14:textId="0736BBE7" w:rsidR="00B64AAD" w:rsidRPr="005060E0" w:rsidRDefault="00B64AAD" w:rsidP="00B64AAD">
            <w:pPr>
              <w:widowControl w:val="0"/>
              <w:spacing w:after="0" w:line="240" w:lineRule="auto"/>
              <w:jc w:val="center"/>
              <w:rPr>
                <w:rFonts w:ascii="Calibri" w:eastAsia="Times New Roman" w:hAnsi="Calibri" w:cs="Times New Roman"/>
                <w:sz w:val="16"/>
                <w:szCs w:val="16"/>
                <w:lang w:eastAsia="en-AU"/>
              </w:rPr>
            </w:pPr>
          </w:p>
        </w:tc>
        <w:tc>
          <w:tcPr>
            <w:tcW w:w="473" w:type="pct"/>
            <w:tcBorders>
              <w:top w:val="nil"/>
              <w:left w:val="dotted" w:sz="4" w:space="0" w:color="auto"/>
              <w:right w:val="dotted" w:sz="4" w:space="0" w:color="auto"/>
            </w:tcBorders>
            <w:shd w:val="clear" w:color="auto" w:fill="DEDFE3" w:themeFill="text2" w:themeFillTint="33"/>
            <w:noWrap/>
            <w:vAlign w:val="center"/>
          </w:tcPr>
          <w:p w14:paraId="3B1B099B" w14:textId="59D340EB" w:rsidR="00B64AAD" w:rsidRPr="005060E0" w:rsidRDefault="00B64AAD" w:rsidP="00B64AAD">
            <w:pPr>
              <w:widowControl w:val="0"/>
              <w:spacing w:after="0" w:line="240" w:lineRule="auto"/>
              <w:jc w:val="center"/>
              <w:rPr>
                <w:rFonts w:ascii="Calibri" w:eastAsia="Times New Roman" w:hAnsi="Calibri" w:cs="Times New Roman"/>
                <w:sz w:val="16"/>
                <w:szCs w:val="16"/>
                <w:lang w:eastAsia="en-AU"/>
              </w:rPr>
            </w:pPr>
          </w:p>
        </w:tc>
        <w:tc>
          <w:tcPr>
            <w:tcW w:w="475" w:type="pct"/>
            <w:tcBorders>
              <w:top w:val="nil"/>
              <w:left w:val="dotted" w:sz="4" w:space="0" w:color="auto"/>
              <w:right w:val="single" w:sz="4" w:space="0" w:color="606072"/>
            </w:tcBorders>
            <w:shd w:val="clear" w:color="auto" w:fill="DEDFE3" w:themeFill="text2" w:themeFillTint="33"/>
            <w:noWrap/>
            <w:vAlign w:val="center"/>
          </w:tcPr>
          <w:p w14:paraId="174C4CCA" w14:textId="186E5376" w:rsidR="00B64AAD" w:rsidRPr="005060E0" w:rsidRDefault="00B64AAD" w:rsidP="00B64AAD">
            <w:pPr>
              <w:widowControl w:val="0"/>
              <w:spacing w:after="0" w:line="240" w:lineRule="auto"/>
              <w:jc w:val="center"/>
              <w:rPr>
                <w:rFonts w:ascii="Calibri" w:eastAsia="Times New Roman" w:hAnsi="Calibri" w:cs="Times New Roman"/>
                <w:sz w:val="16"/>
                <w:szCs w:val="16"/>
                <w:lang w:eastAsia="en-AU"/>
              </w:rPr>
            </w:pPr>
          </w:p>
        </w:tc>
      </w:tr>
      <w:tr w:rsidR="00B64AAD" w:rsidRPr="005060E0" w14:paraId="082C7E7F" w14:textId="77777777" w:rsidTr="00A70751">
        <w:trPr>
          <w:trHeight w:val="252"/>
        </w:trPr>
        <w:tc>
          <w:tcPr>
            <w:tcW w:w="704" w:type="pct"/>
            <w:vMerge/>
            <w:tcBorders>
              <w:top w:val="nil"/>
              <w:left w:val="single" w:sz="4" w:space="0" w:color="606072"/>
              <w:bottom w:val="single" w:sz="4" w:space="0" w:color="606072"/>
              <w:right w:val="single" w:sz="4" w:space="0" w:color="606072"/>
            </w:tcBorders>
            <w:shd w:val="clear" w:color="auto" w:fill="F2F2F2" w:themeFill="background1" w:themeFillShade="F2"/>
            <w:vAlign w:val="center"/>
          </w:tcPr>
          <w:p w14:paraId="2C8F59C0" w14:textId="77777777" w:rsidR="00B64AAD" w:rsidRPr="005060E0" w:rsidRDefault="00B64AAD" w:rsidP="00B64AAD">
            <w:pPr>
              <w:widowControl w:val="0"/>
              <w:spacing w:after="0" w:line="240" w:lineRule="auto"/>
              <w:rPr>
                <w:rFonts w:eastAsia="Times New Roman"/>
                <w:sz w:val="16"/>
                <w:szCs w:val="16"/>
                <w:lang w:eastAsia="en-AU"/>
              </w:rPr>
            </w:pPr>
          </w:p>
        </w:tc>
        <w:tc>
          <w:tcPr>
            <w:tcW w:w="472" w:type="pct"/>
            <w:vMerge/>
            <w:tcBorders>
              <w:top w:val="nil"/>
              <w:left w:val="single" w:sz="4" w:space="0" w:color="606072"/>
              <w:bottom w:val="single" w:sz="4" w:space="0" w:color="606072"/>
              <w:right w:val="single" w:sz="4" w:space="0" w:color="606072"/>
            </w:tcBorders>
            <w:vAlign w:val="center"/>
          </w:tcPr>
          <w:p w14:paraId="1272F7E4" w14:textId="77777777" w:rsidR="00B64AAD" w:rsidRPr="005060E0" w:rsidRDefault="00B64AAD" w:rsidP="00B64AAD">
            <w:pPr>
              <w:widowControl w:val="0"/>
              <w:spacing w:after="0" w:line="240" w:lineRule="auto"/>
              <w:rPr>
                <w:rFonts w:eastAsia="Times New Roman"/>
                <w:sz w:val="16"/>
                <w:szCs w:val="16"/>
                <w:lang w:eastAsia="en-AU"/>
              </w:rPr>
            </w:pPr>
          </w:p>
        </w:tc>
        <w:tc>
          <w:tcPr>
            <w:tcW w:w="983" w:type="pct"/>
            <w:tcBorders>
              <w:left w:val="nil"/>
              <w:bottom w:val="single" w:sz="4" w:space="0" w:color="606072"/>
              <w:right w:val="single" w:sz="4" w:space="0" w:color="606072"/>
            </w:tcBorders>
            <w:shd w:val="clear" w:color="000000" w:fill="F2F2F2"/>
            <w:tcMar>
              <w:left w:w="28" w:type="dxa"/>
              <w:right w:w="28" w:type="dxa"/>
            </w:tcMar>
            <w:vAlign w:val="center"/>
            <w:hideMark/>
          </w:tcPr>
          <w:p w14:paraId="5F9C90D6" w14:textId="77777777" w:rsidR="00B64AAD" w:rsidRPr="005060E0" w:rsidRDefault="00B64AAD" w:rsidP="00B64AAD">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Abatement Package</w:t>
            </w:r>
          </w:p>
        </w:tc>
        <w:tc>
          <w:tcPr>
            <w:tcW w:w="473" w:type="pct"/>
            <w:tcBorders>
              <w:left w:val="nil"/>
              <w:bottom w:val="single" w:sz="4" w:space="0" w:color="606072"/>
              <w:right w:val="dotted" w:sz="4" w:space="0" w:color="auto"/>
            </w:tcBorders>
            <w:shd w:val="clear" w:color="auto" w:fill="auto"/>
            <w:vAlign w:val="center"/>
          </w:tcPr>
          <w:p w14:paraId="146D45A0" w14:textId="2032EEC5" w:rsidR="00B64AAD" w:rsidRPr="005060E0" w:rsidRDefault="00B64AAD" w:rsidP="00B64AAD">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AU"/>
              </w:rPr>
              <w:t>393</w:t>
            </w:r>
          </w:p>
        </w:tc>
        <w:tc>
          <w:tcPr>
            <w:tcW w:w="473" w:type="pct"/>
            <w:tcBorders>
              <w:left w:val="dotted" w:sz="4" w:space="0" w:color="auto"/>
              <w:bottom w:val="single" w:sz="4" w:space="0" w:color="606072"/>
              <w:right w:val="dotted" w:sz="4" w:space="0" w:color="auto"/>
            </w:tcBorders>
            <w:shd w:val="clear" w:color="auto" w:fill="auto"/>
            <w:vAlign w:val="center"/>
          </w:tcPr>
          <w:p w14:paraId="3F14C379" w14:textId="5CFEAFA4" w:rsidR="00B64AAD" w:rsidRPr="005060E0" w:rsidRDefault="00B64AAD" w:rsidP="00B64AAD">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AU"/>
              </w:rPr>
              <w:t>443</w:t>
            </w:r>
          </w:p>
        </w:tc>
        <w:tc>
          <w:tcPr>
            <w:tcW w:w="474" w:type="pct"/>
            <w:tcBorders>
              <w:left w:val="dotted" w:sz="4" w:space="0" w:color="auto"/>
              <w:bottom w:val="single" w:sz="4" w:space="0" w:color="606072"/>
              <w:right w:val="single" w:sz="4" w:space="0" w:color="606072"/>
            </w:tcBorders>
            <w:shd w:val="clear" w:color="auto" w:fill="auto"/>
            <w:vAlign w:val="center"/>
          </w:tcPr>
          <w:p w14:paraId="1A9BC337" w14:textId="31A509A2" w:rsidR="00B64AAD" w:rsidRPr="005060E0" w:rsidRDefault="00B64AAD" w:rsidP="00B64AAD">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AU"/>
              </w:rPr>
              <w:t>335</w:t>
            </w:r>
          </w:p>
        </w:tc>
        <w:tc>
          <w:tcPr>
            <w:tcW w:w="473" w:type="pct"/>
            <w:tcBorders>
              <w:left w:val="nil"/>
              <w:bottom w:val="single" w:sz="4" w:space="0" w:color="606072"/>
              <w:right w:val="dotted" w:sz="4" w:space="0" w:color="auto"/>
            </w:tcBorders>
            <w:shd w:val="clear" w:color="auto" w:fill="auto"/>
            <w:vAlign w:val="center"/>
          </w:tcPr>
          <w:p w14:paraId="649CC8AE" w14:textId="236F6AA3" w:rsidR="00B64AAD" w:rsidRPr="005060E0" w:rsidRDefault="00B64AAD" w:rsidP="00B64AAD">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AU"/>
              </w:rPr>
              <w:t>161</w:t>
            </w:r>
          </w:p>
        </w:tc>
        <w:tc>
          <w:tcPr>
            <w:tcW w:w="473" w:type="pct"/>
            <w:tcBorders>
              <w:left w:val="dotted" w:sz="4" w:space="0" w:color="auto"/>
              <w:bottom w:val="single" w:sz="4" w:space="0" w:color="606072"/>
              <w:right w:val="dotted" w:sz="4" w:space="0" w:color="auto"/>
            </w:tcBorders>
            <w:shd w:val="clear" w:color="auto" w:fill="auto"/>
            <w:vAlign w:val="center"/>
          </w:tcPr>
          <w:p w14:paraId="6DCBA1C9" w14:textId="045AC071" w:rsidR="00B64AAD" w:rsidRPr="005060E0" w:rsidRDefault="00B64AAD" w:rsidP="00B64AAD">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AU"/>
              </w:rPr>
              <w:t>204</w:t>
            </w:r>
          </w:p>
        </w:tc>
        <w:tc>
          <w:tcPr>
            <w:tcW w:w="475" w:type="pct"/>
            <w:tcBorders>
              <w:left w:val="dotted" w:sz="4" w:space="0" w:color="auto"/>
              <w:bottom w:val="single" w:sz="4" w:space="0" w:color="606072"/>
              <w:right w:val="single" w:sz="4" w:space="0" w:color="606072"/>
            </w:tcBorders>
            <w:shd w:val="clear" w:color="auto" w:fill="auto"/>
            <w:vAlign w:val="center"/>
          </w:tcPr>
          <w:p w14:paraId="380A8F69" w14:textId="28955EA2" w:rsidR="00B64AAD" w:rsidRPr="005060E0" w:rsidRDefault="00B64AAD" w:rsidP="00B64AAD">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AU"/>
              </w:rPr>
              <w:t>425</w:t>
            </w:r>
          </w:p>
        </w:tc>
      </w:tr>
      <w:tr w:rsidR="00B64AAD" w:rsidRPr="005060E0" w14:paraId="349197F2" w14:textId="77777777" w:rsidTr="00A70751">
        <w:trPr>
          <w:trHeight w:val="252"/>
        </w:trPr>
        <w:tc>
          <w:tcPr>
            <w:tcW w:w="704" w:type="pct"/>
            <w:vMerge w:val="restart"/>
            <w:tcBorders>
              <w:top w:val="nil"/>
              <w:left w:val="single" w:sz="4" w:space="0" w:color="606072"/>
              <w:bottom w:val="single" w:sz="4" w:space="0" w:color="606072"/>
              <w:right w:val="single" w:sz="4" w:space="0" w:color="606072"/>
            </w:tcBorders>
            <w:shd w:val="clear" w:color="auto" w:fill="F2F2F2" w:themeFill="background1" w:themeFillShade="F2"/>
            <w:vAlign w:val="center"/>
          </w:tcPr>
          <w:p w14:paraId="680FE34D" w14:textId="042D386E" w:rsidR="00B64AAD" w:rsidRPr="005060E0" w:rsidRDefault="00B64AAD" w:rsidP="00B64AAD">
            <w:pPr>
              <w:widowControl w:val="0"/>
              <w:spacing w:after="0" w:line="240" w:lineRule="auto"/>
              <w:rPr>
                <w:rFonts w:eastAsia="Times New Roman"/>
                <w:sz w:val="16"/>
                <w:szCs w:val="16"/>
                <w:lang w:eastAsia="en-AU"/>
              </w:rPr>
            </w:pPr>
            <w:r w:rsidRPr="005060E0">
              <w:rPr>
                <w:rFonts w:eastAsia="Times New Roman"/>
                <w:sz w:val="16"/>
                <w:szCs w:val="16"/>
                <w:lang w:eastAsia="en-AU"/>
              </w:rPr>
              <w:t>Other airsheds</w:t>
            </w:r>
          </w:p>
        </w:tc>
        <w:tc>
          <w:tcPr>
            <w:tcW w:w="472" w:type="pct"/>
            <w:vMerge w:val="restart"/>
            <w:tcBorders>
              <w:top w:val="nil"/>
              <w:left w:val="single" w:sz="4" w:space="0" w:color="606072"/>
              <w:bottom w:val="single" w:sz="4" w:space="0" w:color="606072"/>
              <w:right w:val="single" w:sz="4" w:space="0" w:color="606072"/>
            </w:tcBorders>
            <w:shd w:val="clear" w:color="auto" w:fill="auto"/>
            <w:vAlign w:val="center"/>
          </w:tcPr>
          <w:p w14:paraId="448FE12E" w14:textId="5B3CA54C" w:rsidR="00B64AAD" w:rsidRPr="005060E0" w:rsidRDefault="00B64AAD" w:rsidP="00B64AAD">
            <w:pPr>
              <w:widowControl w:val="0"/>
              <w:spacing w:after="0" w:line="240" w:lineRule="auto"/>
              <w:jc w:val="center"/>
              <w:rPr>
                <w:rFonts w:eastAsia="Times New Roman"/>
                <w:sz w:val="16"/>
                <w:szCs w:val="16"/>
                <w:lang w:eastAsia="en-AU"/>
              </w:rPr>
            </w:pPr>
            <w:r w:rsidRPr="005060E0">
              <w:rPr>
                <w:rFonts w:eastAsia="Times New Roman"/>
                <w:sz w:val="16"/>
                <w:szCs w:val="16"/>
                <w:lang w:eastAsia="en-AU"/>
              </w:rPr>
              <w:t>98</w:t>
            </w:r>
          </w:p>
        </w:tc>
        <w:tc>
          <w:tcPr>
            <w:tcW w:w="983" w:type="pct"/>
            <w:tcBorders>
              <w:top w:val="nil"/>
              <w:left w:val="nil"/>
              <w:right w:val="single" w:sz="4" w:space="0" w:color="606072"/>
            </w:tcBorders>
            <w:shd w:val="clear" w:color="000000" w:fill="F2F2F2"/>
            <w:tcMar>
              <w:left w:w="28" w:type="dxa"/>
              <w:right w:w="28" w:type="dxa"/>
            </w:tcMar>
            <w:vAlign w:val="center"/>
            <w:hideMark/>
          </w:tcPr>
          <w:p w14:paraId="5EBE843D" w14:textId="77777777" w:rsidR="00B64AAD" w:rsidRPr="005060E0" w:rsidRDefault="00B64AAD" w:rsidP="00B64AAD">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BAU</w:t>
            </w:r>
          </w:p>
        </w:tc>
        <w:tc>
          <w:tcPr>
            <w:tcW w:w="473" w:type="pct"/>
            <w:tcBorders>
              <w:top w:val="nil"/>
              <w:left w:val="nil"/>
              <w:right w:val="dotted" w:sz="4" w:space="0" w:color="auto"/>
            </w:tcBorders>
            <w:shd w:val="clear" w:color="auto" w:fill="auto"/>
            <w:vAlign w:val="center"/>
          </w:tcPr>
          <w:p w14:paraId="4DE412E4" w14:textId="2264A086" w:rsidR="00B64AAD" w:rsidRPr="005060E0" w:rsidRDefault="00B64AAD" w:rsidP="00B64AAD">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top w:val="nil"/>
              <w:left w:val="dotted" w:sz="4" w:space="0" w:color="auto"/>
              <w:right w:val="dotted" w:sz="4" w:space="0" w:color="auto"/>
            </w:tcBorders>
            <w:shd w:val="clear" w:color="auto" w:fill="auto"/>
            <w:vAlign w:val="center"/>
          </w:tcPr>
          <w:p w14:paraId="41B5A2E6" w14:textId="5062F405" w:rsidR="00B64AAD" w:rsidRPr="005060E0" w:rsidRDefault="00B64AAD" w:rsidP="00B64AAD">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4" w:type="pct"/>
            <w:tcBorders>
              <w:top w:val="nil"/>
              <w:left w:val="dotted" w:sz="4" w:space="0" w:color="auto"/>
              <w:right w:val="single" w:sz="4" w:space="0" w:color="606072"/>
            </w:tcBorders>
            <w:shd w:val="clear" w:color="auto" w:fill="auto"/>
            <w:vAlign w:val="center"/>
          </w:tcPr>
          <w:p w14:paraId="703724DF" w14:textId="1AB88B97" w:rsidR="00B64AAD" w:rsidRPr="005060E0" w:rsidRDefault="00B64AAD" w:rsidP="00B64AAD">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top w:val="nil"/>
              <w:left w:val="nil"/>
              <w:right w:val="dotted" w:sz="4" w:space="0" w:color="auto"/>
            </w:tcBorders>
            <w:shd w:val="clear" w:color="000000" w:fill="F2F2F2"/>
            <w:noWrap/>
            <w:vAlign w:val="center"/>
          </w:tcPr>
          <w:p w14:paraId="0E8E7E9E" w14:textId="5E79FD2E" w:rsidR="00B64AAD" w:rsidRPr="005060E0" w:rsidRDefault="00B64AAD" w:rsidP="00B64AAD">
            <w:pPr>
              <w:widowControl w:val="0"/>
              <w:spacing w:after="0" w:line="240" w:lineRule="auto"/>
              <w:jc w:val="center"/>
              <w:rPr>
                <w:rFonts w:ascii="Calibri" w:eastAsia="Times New Roman" w:hAnsi="Calibri" w:cs="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top w:val="nil"/>
              <w:left w:val="dotted" w:sz="4" w:space="0" w:color="auto"/>
              <w:right w:val="dotted" w:sz="4" w:space="0" w:color="auto"/>
            </w:tcBorders>
            <w:shd w:val="clear" w:color="000000" w:fill="F2F2F2"/>
            <w:noWrap/>
            <w:vAlign w:val="center"/>
          </w:tcPr>
          <w:p w14:paraId="0B9C33C4" w14:textId="299C757A" w:rsidR="00B64AAD" w:rsidRPr="005060E0" w:rsidRDefault="00B64AAD" w:rsidP="00B64AAD">
            <w:pPr>
              <w:widowControl w:val="0"/>
              <w:spacing w:after="0" w:line="240" w:lineRule="auto"/>
              <w:jc w:val="center"/>
              <w:rPr>
                <w:rFonts w:ascii="Calibri" w:eastAsia="Times New Roman" w:hAnsi="Calibri" w:cs="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5" w:type="pct"/>
            <w:tcBorders>
              <w:top w:val="nil"/>
              <w:left w:val="dotted" w:sz="4" w:space="0" w:color="auto"/>
              <w:right w:val="single" w:sz="4" w:space="0" w:color="606072"/>
            </w:tcBorders>
            <w:shd w:val="clear" w:color="000000" w:fill="F2F2F2"/>
            <w:noWrap/>
            <w:vAlign w:val="center"/>
          </w:tcPr>
          <w:p w14:paraId="027A9ACF" w14:textId="4384EA4A" w:rsidR="00B64AAD" w:rsidRPr="005060E0" w:rsidRDefault="00B64AAD" w:rsidP="00B64AAD">
            <w:pPr>
              <w:widowControl w:val="0"/>
              <w:spacing w:after="0" w:line="240" w:lineRule="auto"/>
              <w:jc w:val="center"/>
              <w:rPr>
                <w:rFonts w:ascii="Calibri" w:eastAsia="Times New Roman" w:hAnsi="Calibri" w:cs="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r>
      <w:tr w:rsidR="00B64AAD" w:rsidRPr="005060E0" w14:paraId="10A59516" w14:textId="77777777" w:rsidTr="00A70751">
        <w:trPr>
          <w:trHeight w:val="252"/>
        </w:trPr>
        <w:tc>
          <w:tcPr>
            <w:tcW w:w="704" w:type="pct"/>
            <w:vMerge/>
            <w:tcBorders>
              <w:top w:val="nil"/>
              <w:left w:val="single" w:sz="4" w:space="0" w:color="606072"/>
              <w:bottom w:val="single" w:sz="4" w:space="0" w:color="606072"/>
              <w:right w:val="single" w:sz="4" w:space="0" w:color="606072"/>
            </w:tcBorders>
            <w:shd w:val="clear" w:color="auto" w:fill="F2F2F2" w:themeFill="background1" w:themeFillShade="F2"/>
            <w:vAlign w:val="center"/>
          </w:tcPr>
          <w:p w14:paraId="507EE0DA" w14:textId="77777777" w:rsidR="00B64AAD" w:rsidRPr="005060E0" w:rsidRDefault="00B64AAD" w:rsidP="00B64AAD">
            <w:pPr>
              <w:widowControl w:val="0"/>
              <w:spacing w:after="0" w:line="240" w:lineRule="auto"/>
              <w:rPr>
                <w:rFonts w:eastAsia="Times New Roman"/>
                <w:sz w:val="16"/>
                <w:szCs w:val="16"/>
                <w:lang w:eastAsia="en-AU"/>
              </w:rPr>
            </w:pPr>
          </w:p>
        </w:tc>
        <w:tc>
          <w:tcPr>
            <w:tcW w:w="472" w:type="pct"/>
            <w:vMerge/>
            <w:tcBorders>
              <w:top w:val="nil"/>
              <w:left w:val="single" w:sz="4" w:space="0" w:color="606072"/>
              <w:bottom w:val="single" w:sz="4" w:space="0" w:color="606072"/>
              <w:right w:val="single" w:sz="4" w:space="0" w:color="606072"/>
            </w:tcBorders>
            <w:vAlign w:val="center"/>
          </w:tcPr>
          <w:p w14:paraId="2E84F60B" w14:textId="77777777" w:rsidR="00B64AAD" w:rsidRPr="005060E0" w:rsidRDefault="00B64AAD" w:rsidP="00B64AAD">
            <w:pPr>
              <w:widowControl w:val="0"/>
              <w:spacing w:after="0" w:line="240" w:lineRule="auto"/>
              <w:rPr>
                <w:rFonts w:eastAsia="Times New Roman"/>
                <w:sz w:val="16"/>
                <w:szCs w:val="16"/>
                <w:lang w:eastAsia="en-AU"/>
              </w:rPr>
            </w:pPr>
          </w:p>
        </w:tc>
        <w:tc>
          <w:tcPr>
            <w:tcW w:w="983" w:type="pct"/>
            <w:tcBorders>
              <w:left w:val="nil"/>
              <w:bottom w:val="single" w:sz="4" w:space="0" w:color="606072"/>
              <w:right w:val="single" w:sz="4" w:space="0" w:color="606072"/>
            </w:tcBorders>
            <w:shd w:val="clear" w:color="000000" w:fill="F2F2F2"/>
            <w:tcMar>
              <w:left w:w="28" w:type="dxa"/>
              <w:right w:w="28" w:type="dxa"/>
            </w:tcMar>
            <w:vAlign w:val="center"/>
            <w:hideMark/>
          </w:tcPr>
          <w:p w14:paraId="3DDFDE96" w14:textId="77777777" w:rsidR="00B64AAD" w:rsidRPr="005060E0" w:rsidRDefault="00B64AAD" w:rsidP="00B64AAD">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Abatement Package</w:t>
            </w:r>
          </w:p>
        </w:tc>
        <w:tc>
          <w:tcPr>
            <w:tcW w:w="473" w:type="pct"/>
            <w:tcBorders>
              <w:left w:val="nil"/>
              <w:bottom w:val="single" w:sz="4" w:space="0" w:color="606072"/>
              <w:right w:val="dotted" w:sz="4" w:space="0" w:color="auto"/>
            </w:tcBorders>
            <w:shd w:val="clear" w:color="auto" w:fill="auto"/>
            <w:vAlign w:val="center"/>
          </w:tcPr>
          <w:p w14:paraId="506AEB1F" w14:textId="096EF45F" w:rsidR="00B64AAD" w:rsidRPr="005060E0" w:rsidRDefault="00B64AAD" w:rsidP="00B64AAD">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left w:val="dotted" w:sz="4" w:space="0" w:color="auto"/>
              <w:bottom w:val="single" w:sz="4" w:space="0" w:color="606072"/>
              <w:right w:val="dotted" w:sz="4" w:space="0" w:color="auto"/>
            </w:tcBorders>
            <w:shd w:val="clear" w:color="auto" w:fill="auto"/>
            <w:vAlign w:val="center"/>
          </w:tcPr>
          <w:p w14:paraId="30CADACE" w14:textId="7F38315D" w:rsidR="00B64AAD" w:rsidRPr="005060E0" w:rsidRDefault="00B64AAD" w:rsidP="00B64AAD">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4" w:type="pct"/>
            <w:tcBorders>
              <w:left w:val="dotted" w:sz="4" w:space="0" w:color="auto"/>
              <w:bottom w:val="single" w:sz="4" w:space="0" w:color="606072"/>
              <w:right w:val="single" w:sz="4" w:space="0" w:color="606072"/>
            </w:tcBorders>
            <w:shd w:val="clear" w:color="auto" w:fill="auto"/>
            <w:vAlign w:val="center"/>
          </w:tcPr>
          <w:p w14:paraId="7138E2CE" w14:textId="34CFD355" w:rsidR="00B64AAD" w:rsidRPr="005060E0" w:rsidRDefault="00B64AAD" w:rsidP="00B64AAD">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left w:val="single" w:sz="4" w:space="0" w:color="606072"/>
              <w:bottom w:val="single" w:sz="4" w:space="0" w:color="606072"/>
              <w:right w:val="dotted" w:sz="4" w:space="0" w:color="auto"/>
            </w:tcBorders>
            <w:shd w:val="clear" w:color="auto" w:fill="auto"/>
            <w:vAlign w:val="center"/>
          </w:tcPr>
          <w:p w14:paraId="2E61EE1A" w14:textId="08F2A7B4" w:rsidR="00B64AAD" w:rsidRPr="005060E0" w:rsidRDefault="00B64AAD" w:rsidP="00B64AAD">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left w:val="dotted" w:sz="4" w:space="0" w:color="auto"/>
              <w:bottom w:val="single" w:sz="4" w:space="0" w:color="606072"/>
              <w:right w:val="dotted" w:sz="4" w:space="0" w:color="auto"/>
            </w:tcBorders>
            <w:shd w:val="clear" w:color="auto" w:fill="auto"/>
            <w:vAlign w:val="center"/>
          </w:tcPr>
          <w:p w14:paraId="7DF81942" w14:textId="72538CAE" w:rsidR="00B64AAD" w:rsidRPr="005060E0" w:rsidRDefault="00B64AAD" w:rsidP="00B64AAD">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5" w:type="pct"/>
            <w:tcBorders>
              <w:left w:val="dotted" w:sz="4" w:space="0" w:color="auto"/>
              <w:bottom w:val="single" w:sz="4" w:space="0" w:color="606072"/>
              <w:right w:val="single" w:sz="4" w:space="0" w:color="606072"/>
            </w:tcBorders>
            <w:shd w:val="clear" w:color="auto" w:fill="auto"/>
            <w:vAlign w:val="center"/>
          </w:tcPr>
          <w:p w14:paraId="31EDF38F" w14:textId="5D1CE250" w:rsidR="00B64AAD" w:rsidRPr="005060E0" w:rsidRDefault="00B64AAD" w:rsidP="00B64AAD">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r>
    </w:tbl>
    <w:p w14:paraId="6400E714" w14:textId="3C57663C" w:rsidR="00627461" w:rsidRPr="005060E0" w:rsidRDefault="00627461" w:rsidP="00CD08E7">
      <w:pPr>
        <w:pStyle w:val="ListParagraph"/>
        <w:numPr>
          <w:ilvl w:val="0"/>
          <w:numId w:val="61"/>
        </w:numPr>
        <w:spacing w:after="0"/>
        <w:ind w:left="402" w:hanging="357"/>
        <w:rPr>
          <w:rFonts w:cs="Times New Roman"/>
          <w:sz w:val="18"/>
          <w:szCs w:val="18"/>
        </w:rPr>
      </w:pPr>
      <w:r w:rsidRPr="005060E0">
        <w:rPr>
          <w:sz w:val="16"/>
          <w:szCs w:val="16"/>
        </w:rPr>
        <w:t xml:space="preserve">‘All-cause mortality’ refers to acute mortality events that are estimated to shorten life by </w:t>
      </w:r>
      <w:r w:rsidR="006B10AC" w:rsidRPr="005060E0">
        <w:rPr>
          <w:sz w:val="16"/>
          <w:szCs w:val="16"/>
        </w:rPr>
        <w:t>six</w:t>
      </w:r>
      <w:r w:rsidRPr="005060E0">
        <w:rPr>
          <w:sz w:val="16"/>
          <w:szCs w:val="16"/>
        </w:rPr>
        <w:t xml:space="preserve"> months.</w:t>
      </w:r>
    </w:p>
    <w:p w14:paraId="31B3D406" w14:textId="43831908" w:rsidR="00910703" w:rsidRPr="005060E0" w:rsidRDefault="00910703" w:rsidP="00CD08E7">
      <w:pPr>
        <w:pStyle w:val="ListParagraph"/>
        <w:numPr>
          <w:ilvl w:val="0"/>
          <w:numId w:val="61"/>
        </w:numPr>
        <w:spacing w:before="40" w:after="0" w:line="240" w:lineRule="auto"/>
        <w:ind w:left="402" w:hanging="357"/>
        <w:contextualSpacing w:val="0"/>
        <w:rPr>
          <w:rStyle w:val="PBTablecaptionChar"/>
          <w:rFonts w:eastAsiaTheme="minorHAnsi"/>
          <w:bCs w:val="0"/>
          <w:sz w:val="16"/>
        </w:rPr>
      </w:pPr>
      <w:bookmarkStart w:id="132" w:name="_Hlk518392784"/>
      <w:r w:rsidRPr="005060E0">
        <w:rPr>
          <w:rStyle w:val="PBTablecaptionChar"/>
          <w:rFonts w:eastAsiaTheme="minorHAnsi"/>
          <w:bCs w:val="0"/>
          <w:sz w:val="16"/>
        </w:rPr>
        <w:t>The method for calculating the health outcomes is based on averaging concentrations across an airshed</w:t>
      </w:r>
      <w:r w:rsidR="00B00321" w:rsidRPr="005060E0">
        <w:rPr>
          <w:rStyle w:val="PBTablecaptionChar"/>
          <w:rFonts w:eastAsiaTheme="minorHAnsi"/>
          <w:bCs w:val="0"/>
          <w:sz w:val="16"/>
        </w:rPr>
        <w:t xml:space="preserve">. </w:t>
      </w:r>
      <w:r w:rsidRPr="005060E0">
        <w:rPr>
          <w:rStyle w:val="PBTablecaptionChar"/>
          <w:rFonts w:eastAsiaTheme="minorHAnsi"/>
          <w:bCs w:val="0"/>
          <w:sz w:val="16"/>
        </w:rPr>
        <w:t>As some of the SO</w:t>
      </w:r>
      <w:r w:rsidRPr="005060E0">
        <w:rPr>
          <w:rStyle w:val="PBTablecaptionChar"/>
          <w:rFonts w:eastAsiaTheme="minorHAnsi"/>
          <w:bCs w:val="0"/>
          <w:sz w:val="16"/>
          <w:vertAlign w:val="subscript"/>
        </w:rPr>
        <w:t>2</w:t>
      </w:r>
      <w:r w:rsidRPr="005060E0">
        <w:rPr>
          <w:rStyle w:val="PBTablecaptionChar"/>
          <w:rFonts w:eastAsiaTheme="minorHAnsi"/>
          <w:bCs w:val="0"/>
          <w:sz w:val="16"/>
        </w:rPr>
        <w:t xml:space="preserve"> monitoring stations are in locations that are influenced by emissions from industrial sources, this may lead to an overestimate of the risk to the population in the corresponding airshed.</w:t>
      </w:r>
      <w:r w:rsidR="00CC1A25" w:rsidRPr="005060E0">
        <w:t xml:space="preserve"> </w:t>
      </w:r>
      <w:r w:rsidR="00CC1A25" w:rsidRPr="005060E0">
        <w:rPr>
          <w:rStyle w:val="PBTablecaptionChar"/>
          <w:rFonts w:eastAsiaTheme="minorHAnsi"/>
          <w:bCs w:val="0"/>
          <w:sz w:val="16"/>
        </w:rPr>
        <w:t xml:space="preserve">For example, this is particularly the case in the Melbourne </w:t>
      </w:r>
      <w:r w:rsidR="001E58FB" w:rsidRPr="005060E0">
        <w:rPr>
          <w:rStyle w:val="PBTablecaptionChar"/>
          <w:rFonts w:eastAsiaTheme="minorHAnsi"/>
          <w:bCs w:val="0"/>
          <w:sz w:val="16"/>
        </w:rPr>
        <w:t>airshed</w:t>
      </w:r>
      <w:r w:rsidR="00CC1A25" w:rsidRPr="005060E0">
        <w:rPr>
          <w:rStyle w:val="PBTablecaptionChar"/>
          <w:rFonts w:eastAsiaTheme="minorHAnsi"/>
          <w:bCs w:val="0"/>
          <w:sz w:val="16"/>
        </w:rPr>
        <w:t xml:space="preserve"> where estimated health outcomes are significantly above those of other pollutants and this is not considered to be reflective of current SO</w:t>
      </w:r>
      <w:r w:rsidR="00CC1A25" w:rsidRPr="005060E0">
        <w:rPr>
          <w:rStyle w:val="PBTablecaptionChar"/>
          <w:rFonts w:eastAsiaTheme="minorHAnsi"/>
          <w:bCs w:val="0"/>
          <w:sz w:val="16"/>
          <w:vertAlign w:val="subscript"/>
        </w:rPr>
        <w:t>2</w:t>
      </w:r>
      <w:r w:rsidR="00CC1A25" w:rsidRPr="005060E0">
        <w:rPr>
          <w:rStyle w:val="PBTablecaptionChar"/>
          <w:rFonts w:eastAsiaTheme="minorHAnsi"/>
          <w:bCs w:val="0"/>
          <w:sz w:val="16"/>
        </w:rPr>
        <w:t xml:space="preserve"> levels in this </w:t>
      </w:r>
      <w:r w:rsidR="001E58FB" w:rsidRPr="005060E0">
        <w:rPr>
          <w:rStyle w:val="PBTablecaptionChar"/>
          <w:rFonts w:eastAsiaTheme="minorHAnsi"/>
          <w:bCs w:val="0"/>
          <w:sz w:val="16"/>
        </w:rPr>
        <w:t>airshed</w:t>
      </w:r>
      <w:r w:rsidR="00A31DAE" w:rsidRPr="005060E0">
        <w:rPr>
          <w:rStyle w:val="PBTablecaptionChar"/>
          <w:rFonts w:eastAsiaTheme="minorHAnsi"/>
          <w:bCs w:val="0"/>
          <w:sz w:val="16"/>
        </w:rPr>
        <w:t>,</w:t>
      </w:r>
      <w:r w:rsidR="00CC1A25" w:rsidRPr="005060E0">
        <w:rPr>
          <w:rStyle w:val="PBTablecaptionChar"/>
          <w:rFonts w:eastAsiaTheme="minorHAnsi"/>
          <w:bCs w:val="0"/>
          <w:sz w:val="16"/>
        </w:rPr>
        <w:t xml:space="preserve"> which are well below AAQ NEPM standards.</w:t>
      </w:r>
    </w:p>
    <w:p w14:paraId="4F7E4D29" w14:textId="0BA43046" w:rsidR="00BF7BF2" w:rsidRPr="005060E0" w:rsidRDefault="00BF7BF2" w:rsidP="006B10AC">
      <w:pPr>
        <w:spacing w:before="480"/>
        <w:rPr>
          <w:lang w:eastAsia="en-AU"/>
        </w:rPr>
      </w:pPr>
      <w:bookmarkStart w:id="133" w:name="_Toc508261182"/>
      <w:bookmarkEnd w:id="132"/>
      <w:r w:rsidRPr="005060E0">
        <w:rPr>
          <w:lang w:eastAsia="en-AU"/>
        </w:rPr>
        <w:t>The results show that there is a notable health burden associated with exposure to recent historical levels of SO</w:t>
      </w:r>
      <w:r w:rsidRPr="005060E0">
        <w:rPr>
          <w:vertAlign w:val="subscript"/>
          <w:lang w:eastAsia="en-AU"/>
        </w:rPr>
        <w:t>2</w:t>
      </w:r>
      <w:r w:rsidRPr="005060E0">
        <w:rPr>
          <w:lang w:eastAsia="en-AU"/>
        </w:rPr>
        <w:t xml:space="preserve">. In Sydney and Melbourne, the health burden is projected to increase substantially in the future under the BAU scenario. It was noted in </w:t>
      </w:r>
      <w:r w:rsidR="0011733C" w:rsidRPr="005060E0">
        <w:rPr>
          <w:lang w:eastAsia="en-AU"/>
        </w:rPr>
        <w:t>S</w:t>
      </w:r>
      <w:r w:rsidRPr="005060E0">
        <w:rPr>
          <w:lang w:eastAsia="en-AU"/>
        </w:rPr>
        <w:t>ection 4.6.2.1 that future emissions and concentrations of SO</w:t>
      </w:r>
      <w:r w:rsidRPr="005060E0">
        <w:rPr>
          <w:vertAlign w:val="subscript"/>
          <w:lang w:eastAsia="en-AU"/>
        </w:rPr>
        <w:t>2</w:t>
      </w:r>
      <w:r w:rsidRPr="005060E0">
        <w:rPr>
          <w:lang w:eastAsia="en-AU"/>
        </w:rPr>
        <w:t xml:space="preserve"> from industry (and hence the attributable and avoided health outcomes) are likely to be overestimated in the BAU scenario. </w:t>
      </w:r>
    </w:p>
    <w:p w14:paraId="3B62F509" w14:textId="7A15CF89" w:rsidR="00BF7BF2" w:rsidRPr="005060E0" w:rsidRDefault="00A31DAE" w:rsidP="00BF7BF2">
      <w:pPr>
        <w:spacing w:after="360"/>
      </w:pPr>
      <w:r w:rsidRPr="005060E0">
        <w:rPr>
          <w:lang w:eastAsia="en-AU"/>
        </w:rPr>
        <w:t>I</w:t>
      </w:r>
      <w:r w:rsidR="00BF7BF2" w:rsidRPr="005060E0">
        <w:rPr>
          <w:lang w:eastAsia="en-AU"/>
        </w:rPr>
        <w:t>n the Abatement Package scenario there are marked reductions in the incidence of the health outcomes, such that by 2040 all-cause mortality and respiratory illness due to SO</w:t>
      </w:r>
      <w:r w:rsidR="00BF7BF2" w:rsidRPr="005060E0">
        <w:rPr>
          <w:vertAlign w:val="subscript"/>
          <w:lang w:eastAsia="en-AU"/>
        </w:rPr>
        <w:t>2</w:t>
      </w:r>
      <w:r w:rsidR="00BF7BF2" w:rsidRPr="005060E0">
        <w:rPr>
          <w:lang w:eastAsia="en-AU"/>
        </w:rPr>
        <w:t xml:space="preserve"> are generally approaching the 2010</w:t>
      </w:r>
      <w:r w:rsidR="00DF4D3A" w:rsidRPr="005060E0">
        <w:rPr>
          <w:lang w:eastAsia="en-AU"/>
        </w:rPr>
        <w:t>–20</w:t>
      </w:r>
      <w:r w:rsidR="00BF7BF2" w:rsidRPr="005060E0">
        <w:rPr>
          <w:lang w:eastAsia="en-AU"/>
        </w:rPr>
        <w:t xml:space="preserve">14 average, </w:t>
      </w:r>
      <w:bookmarkStart w:id="134" w:name="_Hlk1635766"/>
      <w:r w:rsidR="00BF7BF2" w:rsidRPr="005060E0">
        <w:rPr>
          <w:lang w:eastAsia="en-AU"/>
        </w:rPr>
        <w:t>with the exception of Melbourne (see Appendix B)</w:t>
      </w:r>
      <w:r w:rsidRPr="005060E0">
        <w:rPr>
          <w:lang w:eastAsia="en-AU"/>
        </w:rPr>
        <w:t>,</w:t>
      </w:r>
      <w:r w:rsidR="00BF7BF2" w:rsidRPr="005060E0">
        <w:rPr>
          <w:lang w:eastAsia="en-AU"/>
        </w:rPr>
        <w:t xml:space="preserve"> where they are predicted to still be higher</w:t>
      </w:r>
      <w:bookmarkEnd w:id="134"/>
      <w:r w:rsidR="00BF7BF2" w:rsidRPr="005060E0">
        <w:rPr>
          <w:lang w:eastAsia="en-AU"/>
        </w:rPr>
        <w:t xml:space="preserve">. </w:t>
      </w:r>
      <w:r w:rsidR="00BF7BF2" w:rsidRPr="005060E0">
        <w:t>For Melbourne the results indicate that the Abatement Package would not lead to sufficient reductions in SO</w:t>
      </w:r>
      <w:r w:rsidR="00BF7BF2" w:rsidRPr="005060E0">
        <w:rPr>
          <w:vertAlign w:val="subscript"/>
        </w:rPr>
        <w:t>2</w:t>
      </w:r>
      <w:r w:rsidR="00BF7BF2" w:rsidRPr="005060E0">
        <w:t xml:space="preserve"> levels to offset the predicted increase in emissions in future years.</w:t>
      </w:r>
    </w:p>
    <w:p w14:paraId="0F76EBAA" w14:textId="1D1D851B" w:rsidR="00DC152E" w:rsidRPr="005060E0" w:rsidRDefault="005128BC" w:rsidP="000B3B3D">
      <w:pPr>
        <w:pStyle w:val="Heading3"/>
      </w:pPr>
      <w:r w:rsidRPr="005060E0">
        <w:t>Health outcomes for</w:t>
      </w:r>
      <w:r w:rsidR="00DC152E" w:rsidRPr="005060E0">
        <w:t xml:space="preserve"> compliance with standards</w:t>
      </w:r>
      <w:bookmarkEnd w:id="133"/>
    </w:p>
    <w:p w14:paraId="603B9C91" w14:textId="77777777" w:rsidR="00DC152E" w:rsidRPr="005060E0" w:rsidRDefault="00DC152E" w:rsidP="00BF7BF2">
      <w:pPr>
        <w:pStyle w:val="Heading4"/>
        <w:spacing w:after="180"/>
      </w:pPr>
      <w:bookmarkStart w:id="135" w:name="_Toc508261183"/>
      <w:r w:rsidRPr="005060E0">
        <w:t>1-hour standards</w:t>
      </w:r>
      <w:bookmarkEnd w:id="135"/>
    </w:p>
    <w:p w14:paraId="69F24F46" w14:textId="5E04F4B4" w:rsidR="00DC152E" w:rsidRPr="005060E0" w:rsidRDefault="00DC152E" w:rsidP="00DC152E">
      <w:r w:rsidRPr="005060E0">
        <w:t>The proposed 1-hour standard of 75 ppb has only been exceeded in Perth</w:t>
      </w:r>
      <w:r w:rsidR="001F7E89">
        <w:t>, Gladstone</w:t>
      </w:r>
      <w:r w:rsidRPr="005060E0">
        <w:t xml:space="preserve"> and the Latrobe Valley </w:t>
      </w:r>
      <w:r w:rsidRPr="005060E0">
        <w:rPr>
          <w:lang w:eastAsia="en-AU"/>
        </w:rPr>
        <w:t xml:space="preserve">(see Appendix A). </w:t>
      </w:r>
      <w:r w:rsidRPr="005060E0">
        <w:t xml:space="preserve">These locations are dominated by large industrial sources, and the exceedances have been infrequent. The </w:t>
      </w:r>
      <w:r w:rsidRPr="005060E0">
        <w:rPr>
          <w:lang w:eastAsia="en-AU"/>
        </w:rPr>
        <w:t>health outcomes associated with 1-hour SO</w:t>
      </w:r>
      <w:r w:rsidRPr="005060E0">
        <w:rPr>
          <w:vertAlign w:val="subscript"/>
          <w:lang w:eastAsia="en-AU"/>
        </w:rPr>
        <w:t>2</w:t>
      </w:r>
      <w:r w:rsidRPr="005060E0">
        <w:rPr>
          <w:lang w:eastAsia="en-AU"/>
        </w:rPr>
        <w:t xml:space="preserve"> concentrations are therefore low, and for the majority of the Australian population meeting the proposed standards</w:t>
      </w:r>
      <w:r w:rsidR="00704BAC" w:rsidRPr="005060E0">
        <w:rPr>
          <w:lang w:eastAsia="en-AU"/>
        </w:rPr>
        <w:t xml:space="preserve"> would not lead to a material</w:t>
      </w:r>
      <w:r w:rsidRPr="005060E0">
        <w:rPr>
          <w:lang w:eastAsia="en-AU"/>
        </w:rPr>
        <w:t xml:space="preserve"> health benefit. The health outcomes for compliance with the proposed 1-hour standards have therefore not been presented here.</w:t>
      </w:r>
    </w:p>
    <w:p w14:paraId="0FD82027" w14:textId="77777777" w:rsidR="00DC152E" w:rsidRPr="005060E0" w:rsidRDefault="00DC152E" w:rsidP="00BF7BF2">
      <w:pPr>
        <w:pStyle w:val="Heading4"/>
        <w:spacing w:after="180"/>
      </w:pPr>
      <w:bookmarkStart w:id="136" w:name="_Toc508261184"/>
      <w:r w:rsidRPr="005060E0">
        <w:t>24-hour standards</w:t>
      </w:r>
      <w:bookmarkEnd w:id="136"/>
    </w:p>
    <w:p w14:paraId="10D55620" w14:textId="436A6B7D" w:rsidR="00DC152E" w:rsidRPr="005060E0" w:rsidRDefault="00DC152E" w:rsidP="00C042F0">
      <w:pPr>
        <w:spacing w:after="360"/>
        <w:rPr>
          <w:lang w:eastAsia="en-AU"/>
        </w:rPr>
      </w:pPr>
      <w:r w:rsidRPr="005060E0">
        <w:rPr>
          <w:lang w:eastAsia="en-AU"/>
        </w:rPr>
        <w:t>The numbers of health outcomes associated with meeting the SO</w:t>
      </w:r>
      <w:r w:rsidRPr="005060E0">
        <w:rPr>
          <w:vertAlign w:val="subscript"/>
          <w:lang w:eastAsia="en-AU"/>
        </w:rPr>
        <w:t>2</w:t>
      </w:r>
      <w:r w:rsidRPr="005060E0">
        <w:rPr>
          <w:lang w:eastAsia="en-AU"/>
        </w:rPr>
        <w:t xml:space="preserve"> 24-hour standards of 7 ppb and 20 ppb are given in</w:t>
      </w:r>
      <w:r w:rsidR="00176E54" w:rsidRPr="005060E0">
        <w:rPr>
          <w:lang w:eastAsia="en-AU"/>
        </w:rPr>
        <w:t xml:space="preserve"> </w:t>
      </w:r>
      <w:r w:rsidR="000E3B95" w:rsidRPr="005060E0">
        <w:rPr>
          <w:lang w:eastAsia="en-AU"/>
        </w:rPr>
        <w:t xml:space="preserve">Appendix B, </w:t>
      </w:r>
      <w:r w:rsidR="00176E54" w:rsidRPr="005060E0">
        <w:rPr>
          <w:lang w:eastAsia="en-AU"/>
        </w:rPr>
        <w:t xml:space="preserve">Annexure A, Section A.2. </w:t>
      </w:r>
      <w:r w:rsidRPr="005060E0">
        <w:rPr>
          <w:lang w:eastAsia="en-AU"/>
        </w:rPr>
        <w:t xml:space="preserve">Table </w:t>
      </w:r>
      <w:r w:rsidR="00721639">
        <w:rPr>
          <w:lang w:eastAsia="en-AU"/>
        </w:rPr>
        <w:t>3-5</w:t>
      </w:r>
      <w:r w:rsidR="00C403D4">
        <w:rPr>
          <w:lang w:eastAsia="en-AU"/>
        </w:rPr>
        <w:t xml:space="preserve"> in Appendix B</w:t>
      </w:r>
      <w:r w:rsidRPr="005060E0">
        <w:rPr>
          <w:lang w:eastAsia="en-AU"/>
        </w:rPr>
        <w:t xml:space="preserve"> presents the numbers of health outcomes avoided in the NSW and Victoria airsheds by compliance with the proposed 24-hour standards for SO</w:t>
      </w:r>
      <w:r w:rsidRPr="005060E0">
        <w:rPr>
          <w:vertAlign w:val="subscript"/>
          <w:lang w:eastAsia="en-AU"/>
        </w:rPr>
        <w:t>2</w:t>
      </w:r>
      <w:r w:rsidR="000E3B95" w:rsidRPr="005060E0">
        <w:rPr>
          <w:lang w:eastAsia="en-AU"/>
        </w:rPr>
        <w:t xml:space="preserve"> of 7 </w:t>
      </w:r>
      <w:r w:rsidRPr="005060E0">
        <w:rPr>
          <w:lang w:eastAsia="en-AU"/>
        </w:rPr>
        <w:t>ppb and 20 ppb</w:t>
      </w:r>
      <w:r w:rsidR="00F70230" w:rsidRPr="005060E0">
        <w:rPr>
          <w:lang w:eastAsia="en-AU"/>
        </w:rPr>
        <w:t xml:space="preserve"> (again these are probably overestimated)</w:t>
      </w:r>
      <w:r w:rsidRPr="005060E0">
        <w:rPr>
          <w:lang w:eastAsia="en-AU"/>
        </w:rPr>
        <w:t xml:space="preserve">. The </w:t>
      </w:r>
      <w:r w:rsidR="00DC6511">
        <w:rPr>
          <w:lang w:eastAsia="en-AU"/>
        </w:rPr>
        <w:t xml:space="preserve">overall figures for the NSW and Victoria airsheds and the </w:t>
      </w:r>
      <w:r w:rsidRPr="005060E0">
        <w:rPr>
          <w:lang w:eastAsia="en-AU"/>
        </w:rPr>
        <w:t>corresponding resu</w:t>
      </w:r>
      <w:r w:rsidR="00E55B79" w:rsidRPr="005060E0">
        <w:rPr>
          <w:lang w:eastAsia="en-AU"/>
        </w:rPr>
        <w:t>lts for the other airsheds (201</w:t>
      </w:r>
      <w:r w:rsidRPr="005060E0">
        <w:rPr>
          <w:lang w:eastAsia="en-AU"/>
        </w:rPr>
        <w:t>0</w:t>
      </w:r>
      <w:r w:rsidR="00DF4D3A" w:rsidRPr="005060E0">
        <w:rPr>
          <w:lang w:eastAsia="en-AU"/>
        </w:rPr>
        <w:t>–20</w:t>
      </w:r>
      <w:r w:rsidRPr="005060E0">
        <w:rPr>
          <w:lang w:eastAsia="en-AU"/>
        </w:rPr>
        <w:t>14 aver</w:t>
      </w:r>
      <w:r w:rsidR="000A2A88" w:rsidRPr="005060E0">
        <w:rPr>
          <w:lang w:eastAsia="en-AU"/>
        </w:rPr>
        <w:t xml:space="preserve">age only) are given in </w:t>
      </w:r>
      <w:r w:rsidR="000A2A88" w:rsidRPr="005060E0">
        <w:rPr>
          <w:lang w:eastAsia="en-AU"/>
        </w:rPr>
        <w:fldChar w:fldCharType="begin"/>
      </w:r>
      <w:r w:rsidR="000A2A88" w:rsidRPr="005060E0">
        <w:rPr>
          <w:lang w:eastAsia="en-AU"/>
        </w:rPr>
        <w:instrText xml:space="preserve"> REF _Ref508447129 \h </w:instrText>
      </w:r>
      <w:r w:rsidR="000A2A88" w:rsidRPr="005060E0">
        <w:rPr>
          <w:lang w:eastAsia="en-AU"/>
        </w:rPr>
      </w:r>
      <w:r w:rsidR="000A2A88" w:rsidRPr="005060E0">
        <w:rPr>
          <w:lang w:eastAsia="en-AU"/>
        </w:rPr>
        <w:fldChar w:fldCharType="separate"/>
      </w:r>
      <w:r w:rsidR="00F2067C" w:rsidRPr="005060E0">
        <w:rPr>
          <w:rFonts w:cs="Arial"/>
        </w:rPr>
        <w:t xml:space="preserve">Table </w:t>
      </w:r>
      <w:r w:rsidR="00F2067C">
        <w:rPr>
          <w:rFonts w:cs="Arial"/>
          <w:noProof/>
        </w:rPr>
        <w:t>6</w:t>
      </w:r>
      <w:r w:rsidR="00F2067C" w:rsidRPr="005060E0">
        <w:rPr>
          <w:rFonts w:cs="Arial"/>
        </w:rPr>
        <w:noBreakHyphen/>
      </w:r>
      <w:r w:rsidR="00F2067C">
        <w:rPr>
          <w:rFonts w:cs="Arial"/>
          <w:noProof/>
        </w:rPr>
        <w:t>12</w:t>
      </w:r>
      <w:r w:rsidR="000A2A88" w:rsidRPr="005060E0">
        <w:rPr>
          <w:lang w:eastAsia="en-AU"/>
        </w:rPr>
        <w:fldChar w:fldCharType="end"/>
      </w:r>
      <w:r w:rsidRPr="005060E0">
        <w:rPr>
          <w:lang w:eastAsia="en-AU"/>
        </w:rPr>
        <w:t>. The proposed 24-hour standard of 7 ppb has historically been exceeded in most Australian cities in some years (see Appendix A</w:t>
      </w:r>
      <w:r w:rsidR="001E58FB" w:rsidRPr="005060E0">
        <w:rPr>
          <w:lang w:eastAsia="en-AU"/>
        </w:rPr>
        <w:t>,</w:t>
      </w:r>
      <w:r w:rsidRPr="005060E0">
        <w:rPr>
          <w:lang w:eastAsia="en-AU"/>
        </w:rPr>
        <w:t xml:space="preserve"> air quality study, Section 2.2). </w:t>
      </w:r>
      <w:r w:rsidRPr="005060E0">
        <w:t>It is clear that meeting the</w:t>
      </w:r>
      <w:r w:rsidR="00C042F0" w:rsidRPr="005060E0">
        <w:t xml:space="preserve"> proposed 24-hour standard of 7 </w:t>
      </w:r>
      <w:r w:rsidR="00704BAC" w:rsidRPr="005060E0">
        <w:t>ppb would have a</w:t>
      </w:r>
      <w:r w:rsidRPr="005060E0">
        <w:t xml:space="preserve"> health benefit, especially in Melbourne. </w:t>
      </w:r>
      <w:r w:rsidRPr="005060E0">
        <w:rPr>
          <w:lang w:eastAsia="en-AU"/>
        </w:rPr>
        <w:t xml:space="preserve">The 20 ppb standard is met in most airsheds, </w:t>
      </w:r>
      <w:r w:rsidR="008D48F6" w:rsidRPr="005060E0">
        <w:rPr>
          <w:lang w:eastAsia="en-AU"/>
        </w:rPr>
        <w:t xml:space="preserve">and </w:t>
      </w:r>
      <w:r w:rsidRPr="005060E0">
        <w:rPr>
          <w:lang w:eastAsia="en-AU"/>
        </w:rPr>
        <w:t>therefore the health benefits that would be achieved by meeting the proposed standard are smaller.</w:t>
      </w:r>
    </w:p>
    <w:p w14:paraId="6E6EFBA5" w14:textId="523C22AB" w:rsidR="00DC152E" w:rsidRPr="005060E0" w:rsidRDefault="000A2A88" w:rsidP="00DC152E">
      <w:pPr>
        <w:pStyle w:val="PBTablecaption"/>
        <w:ind w:left="567" w:right="804"/>
      </w:pPr>
      <w:bookmarkStart w:id="137" w:name="_Ref508447129"/>
      <w:r w:rsidRPr="005060E0">
        <w:rPr>
          <w:rFonts w:cs="Arial"/>
        </w:rPr>
        <w:t xml:space="preserve">Table </w:t>
      </w:r>
      <w:r w:rsidRPr="005060E0">
        <w:rPr>
          <w:rFonts w:cs="Arial"/>
        </w:rPr>
        <w:fldChar w:fldCharType="begin"/>
      </w:r>
      <w:r w:rsidRPr="005060E0">
        <w:rPr>
          <w:rFonts w:cs="Arial"/>
        </w:rPr>
        <w:instrText xml:space="preserve"> STYLEREF 1 \s </w:instrText>
      </w:r>
      <w:r w:rsidRPr="005060E0">
        <w:rPr>
          <w:rFonts w:cs="Arial"/>
        </w:rPr>
        <w:fldChar w:fldCharType="separate"/>
      </w:r>
      <w:r w:rsidR="00F2067C">
        <w:rPr>
          <w:rFonts w:cs="Arial"/>
          <w:noProof/>
        </w:rPr>
        <w:t>6</w:t>
      </w:r>
      <w:r w:rsidRPr="005060E0">
        <w:rPr>
          <w:rFonts w:cs="Arial"/>
          <w:noProof/>
        </w:rPr>
        <w:fldChar w:fldCharType="end"/>
      </w:r>
      <w:r w:rsidRPr="005060E0">
        <w:rPr>
          <w:rFonts w:cs="Arial"/>
        </w:rPr>
        <w:noBreakHyphen/>
      </w:r>
      <w:r w:rsidRPr="005060E0">
        <w:rPr>
          <w:rFonts w:cs="Arial"/>
        </w:rPr>
        <w:fldChar w:fldCharType="begin"/>
      </w:r>
      <w:r w:rsidRPr="005060E0">
        <w:rPr>
          <w:rFonts w:cs="Arial"/>
        </w:rPr>
        <w:instrText xml:space="preserve"> SEQ Table \* ARABIC \s 1 </w:instrText>
      </w:r>
      <w:r w:rsidRPr="005060E0">
        <w:rPr>
          <w:rFonts w:cs="Arial"/>
        </w:rPr>
        <w:fldChar w:fldCharType="separate"/>
      </w:r>
      <w:r w:rsidR="00F2067C">
        <w:rPr>
          <w:rFonts w:cs="Arial"/>
          <w:noProof/>
        </w:rPr>
        <w:t>12</w:t>
      </w:r>
      <w:r w:rsidRPr="005060E0">
        <w:rPr>
          <w:rFonts w:cs="Arial"/>
          <w:noProof/>
        </w:rPr>
        <w:fldChar w:fldCharType="end"/>
      </w:r>
      <w:bookmarkEnd w:id="137"/>
      <w:r w:rsidR="00DC152E" w:rsidRPr="005060E0">
        <w:t>: Health outcomes avoided if proposed 24-hour SO</w:t>
      </w:r>
      <w:r w:rsidR="00DC152E" w:rsidRPr="005060E0">
        <w:rPr>
          <w:vertAlign w:val="subscript"/>
        </w:rPr>
        <w:t>2</w:t>
      </w:r>
      <w:r w:rsidR="00DC152E" w:rsidRPr="005060E0">
        <w:t xml:space="preserve"> standards of 7 ppb and 2</w:t>
      </w:r>
      <w:r w:rsidR="00D66523" w:rsidRPr="005060E0">
        <w:t>0 ppb are met in Australian airsheds</w:t>
      </w:r>
    </w:p>
    <w:tbl>
      <w:tblPr>
        <w:tblW w:w="4871" w:type="pct"/>
        <w:tblLayout w:type="fixed"/>
        <w:tblLook w:val="04A0" w:firstRow="1" w:lastRow="0" w:firstColumn="1" w:lastColumn="0" w:noHBand="0" w:noVBand="1"/>
      </w:tblPr>
      <w:tblGrid>
        <w:gridCol w:w="1624"/>
        <w:gridCol w:w="274"/>
        <w:gridCol w:w="1073"/>
        <w:gridCol w:w="634"/>
        <w:gridCol w:w="854"/>
        <w:gridCol w:w="872"/>
        <w:gridCol w:w="424"/>
        <w:gridCol w:w="306"/>
        <w:gridCol w:w="1021"/>
        <w:gridCol w:w="642"/>
        <w:gridCol w:w="831"/>
        <w:gridCol w:w="826"/>
      </w:tblGrid>
      <w:tr w:rsidR="00DC152E" w:rsidRPr="005060E0" w14:paraId="47E2A813" w14:textId="77777777" w:rsidTr="00D35C2D">
        <w:trPr>
          <w:trHeight w:hRule="exact" w:val="284"/>
          <w:tblHeader/>
        </w:trPr>
        <w:tc>
          <w:tcPr>
            <w:tcW w:w="866" w:type="pct"/>
            <w:tcBorders>
              <w:top w:val="nil"/>
              <w:left w:val="single" w:sz="4" w:space="0" w:color="606072"/>
              <w:bottom w:val="single" w:sz="4" w:space="0" w:color="606072"/>
              <w:right w:val="single" w:sz="4" w:space="0" w:color="606072"/>
            </w:tcBorders>
            <w:shd w:val="clear" w:color="000000" w:fill="606072"/>
            <w:vAlign w:val="center"/>
            <w:hideMark/>
          </w:tcPr>
          <w:p w14:paraId="32B8DD75" w14:textId="77777777" w:rsidR="00DC152E" w:rsidRPr="005060E0" w:rsidRDefault="00DC152E" w:rsidP="00DC152E">
            <w:pPr>
              <w:widowControl w:val="0"/>
              <w:spacing w:after="0" w:line="240" w:lineRule="auto"/>
              <w:jc w:val="center"/>
              <w:rPr>
                <w:rFonts w:eastAsia="Times New Roman"/>
                <w:color w:val="FFFFFF"/>
                <w:sz w:val="15"/>
                <w:szCs w:val="15"/>
                <w:lang w:eastAsia="en-AU"/>
              </w:rPr>
            </w:pPr>
            <w:r w:rsidRPr="005060E0">
              <w:rPr>
                <w:rFonts w:eastAsia="Times New Roman"/>
                <w:color w:val="FFFFFF"/>
                <w:sz w:val="15"/>
                <w:szCs w:val="15"/>
                <w:lang w:eastAsia="en-AU"/>
              </w:rPr>
              <w:t> </w:t>
            </w:r>
          </w:p>
        </w:tc>
        <w:tc>
          <w:tcPr>
            <w:tcW w:w="146" w:type="pct"/>
            <w:tcBorders>
              <w:top w:val="nil"/>
              <w:left w:val="nil"/>
              <w:bottom w:val="single" w:sz="4" w:space="0" w:color="606072"/>
              <w:right w:val="nil"/>
            </w:tcBorders>
            <w:shd w:val="clear" w:color="000000" w:fill="606072"/>
            <w:vAlign w:val="center"/>
            <w:hideMark/>
          </w:tcPr>
          <w:p w14:paraId="7914965C" w14:textId="77777777" w:rsidR="00DC152E" w:rsidRPr="005060E0" w:rsidRDefault="00DC152E" w:rsidP="00DC152E">
            <w:pPr>
              <w:widowControl w:val="0"/>
              <w:spacing w:after="0" w:line="240" w:lineRule="auto"/>
              <w:jc w:val="center"/>
              <w:rPr>
                <w:rFonts w:eastAsia="Times New Roman"/>
                <w:color w:val="FFFFFF"/>
                <w:sz w:val="15"/>
                <w:szCs w:val="15"/>
                <w:lang w:eastAsia="en-AU"/>
              </w:rPr>
            </w:pPr>
            <w:r w:rsidRPr="005060E0">
              <w:rPr>
                <w:rFonts w:eastAsia="Times New Roman"/>
                <w:color w:val="FFFFFF"/>
                <w:sz w:val="15"/>
                <w:szCs w:val="15"/>
                <w:lang w:eastAsia="en-AU"/>
              </w:rPr>
              <w:t> </w:t>
            </w:r>
          </w:p>
        </w:tc>
        <w:tc>
          <w:tcPr>
            <w:tcW w:w="1830" w:type="pct"/>
            <w:gridSpan w:val="4"/>
            <w:tcBorders>
              <w:top w:val="nil"/>
              <w:left w:val="single" w:sz="4" w:space="0" w:color="606072"/>
              <w:bottom w:val="single" w:sz="4" w:space="0" w:color="606072"/>
              <w:right w:val="single" w:sz="4" w:space="0" w:color="606072"/>
            </w:tcBorders>
            <w:shd w:val="clear" w:color="000000" w:fill="606072"/>
            <w:vAlign w:val="center"/>
            <w:hideMark/>
          </w:tcPr>
          <w:p w14:paraId="25D944DB" w14:textId="77777777" w:rsidR="00DC152E" w:rsidRPr="005060E0" w:rsidRDefault="00DC152E" w:rsidP="00DC152E">
            <w:pPr>
              <w:widowControl w:val="0"/>
              <w:spacing w:after="0" w:line="240" w:lineRule="auto"/>
              <w:jc w:val="center"/>
              <w:rPr>
                <w:rFonts w:eastAsia="Times New Roman"/>
                <w:b/>
                <w:bCs/>
                <w:color w:val="FFFFFF"/>
                <w:sz w:val="15"/>
                <w:szCs w:val="15"/>
                <w:lang w:eastAsia="en-AU"/>
              </w:rPr>
            </w:pPr>
            <w:r w:rsidRPr="005060E0">
              <w:rPr>
                <w:rFonts w:eastAsia="Times New Roman"/>
                <w:b/>
                <w:bCs/>
                <w:color w:val="FFFFFF"/>
                <w:sz w:val="15"/>
                <w:szCs w:val="15"/>
                <w:lang w:eastAsia="en-AU"/>
              </w:rPr>
              <w:t>24-hour SO</w:t>
            </w:r>
            <w:r w:rsidRPr="005060E0">
              <w:rPr>
                <w:rFonts w:eastAsia="Times New Roman"/>
                <w:b/>
                <w:bCs/>
                <w:color w:val="FFFFFF"/>
                <w:sz w:val="15"/>
                <w:szCs w:val="15"/>
                <w:vertAlign w:val="subscript"/>
                <w:lang w:eastAsia="en-AU"/>
              </w:rPr>
              <w:t>2</w:t>
            </w:r>
            <w:r w:rsidRPr="005060E0">
              <w:rPr>
                <w:rFonts w:eastAsia="Times New Roman"/>
                <w:b/>
                <w:bCs/>
                <w:color w:val="FFFFFF"/>
                <w:sz w:val="15"/>
                <w:szCs w:val="15"/>
                <w:lang w:eastAsia="en-AU"/>
              </w:rPr>
              <w:t xml:space="preserve"> standard of 7 ppb</w:t>
            </w:r>
          </w:p>
        </w:tc>
        <w:tc>
          <w:tcPr>
            <w:tcW w:w="226" w:type="pct"/>
            <w:tcBorders>
              <w:top w:val="nil"/>
              <w:left w:val="nil"/>
              <w:bottom w:val="single" w:sz="4" w:space="0" w:color="606072"/>
              <w:right w:val="single" w:sz="4" w:space="0" w:color="606072"/>
            </w:tcBorders>
            <w:shd w:val="clear" w:color="000000" w:fill="606072"/>
            <w:vAlign w:val="center"/>
            <w:hideMark/>
          </w:tcPr>
          <w:p w14:paraId="1B333BBC" w14:textId="77777777" w:rsidR="00DC152E" w:rsidRPr="005060E0" w:rsidRDefault="00DC152E" w:rsidP="00DC152E">
            <w:pPr>
              <w:widowControl w:val="0"/>
              <w:spacing w:after="0" w:line="240" w:lineRule="auto"/>
              <w:jc w:val="center"/>
              <w:rPr>
                <w:rFonts w:eastAsia="Times New Roman"/>
                <w:color w:val="FFFFFF"/>
                <w:sz w:val="15"/>
                <w:szCs w:val="15"/>
                <w:lang w:eastAsia="en-AU"/>
              </w:rPr>
            </w:pPr>
            <w:r w:rsidRPr="005060E0">
              <w:rPr>
                <w:rFonts w:eastAsia="Times New Roman"/>
                <w:color w:val="FFFFFF"/>
                <w:sz w:val="15"/>
                <w:szCs w:val="15"/>
                <w:lang w:eastAsia="en-AU"/>
              </w:rPr>
              <w:t> </w:t>
            </w:r>
          </w:p>
        </w:tc>
        <w:tc>
          <w:tcPr>
            <w:tcW w:w="163" w:type="pct"/>
            <w:tcBorders>
              <w:top w:val="nil"/>
              <w:left w:val="nil"/>
              <w:bottom w:val="single" w:sz="4" w:space="0" w:color="606072"/>
              <w:right w:val="nil"/>
            </w:tcBorders>
            <w:shd w:val="clear" w:color="000000" w:fill="606072"/>
            <w:vAlign w:val="center"/>
            <w:hideMark/>
          </w:tcPr>
          <w:p w14:paraId="17875B4A" w14:textId="77777777" w:rsidR="00DC152E" w:rsidRPr="005060E0" w:rsidRDefault="00DC152E" w:rsidP="00DC152E">
            <w:pPr>
              <w:widowControl w:val="0"/>
              <w:spacing w:after="0" w:line="240" w:lineRule="auto"/>
              <w:jc w:val="center"/>
              <w:rPr>
                <w:rFonts w:eastAsia="Times New Roman"/>
                <w:color w:val="FFFFFF"/>
                <w:sz w:val="15"/>
                <w:szCs w:val="15"/>
                <w:lang w:eastAsia="en-AU"/>
              </w:rPr>
            </w:pPr>
            <w:r w:rsidRPr="005060E0">
              <w:rPr>
                <w:rFonts w:eastAsia="Times New Roman"/>
                <w:color w:val="FFFFFF"/>
                <w:sz w:val="15"/>
                <w:szCs w:val="15"/>
                <w:lang w:eastAsia="en-AU"/>
              </w:rPr>
              <w:t> </w:t>
            </w:r>
          </w:p>
        </w:tc>
        <w:tc>
          <w:tcPr>
            <w:tcW w:w="1769" w:type="pct"/>
            <w:gridSpan w:val="4"/>
            <w:tcBorders>
              <w:top w:val="nil"/>
              <w:left w:val="single" w:sz="4" w:space="0" w:color="606072"/>
              <w:bottom w:val="single" w:sz="4" w:space="0" w:color="606072"/>
              <w:right w:val="single" w:sz="4" w:space="0" w:color="606072"/>
            </w:tcBorders>
            <w:shd w:val="clear" w:color="000000" w:fill="606072"/>
            <w:vAlign w:val="center"/>
            <w:hideMark/>
          </w:tcPr>
          <w:p w14:paraId="3EC5DE01" w14:textId="77777777" w:rsidR="00DC152E" w:rsidRPr="005060E0" w:rsidRDefault="00DC152E" w:rsidP="00DC152E">
            <w:pPr>
              <w:widowControl w:val="0"/>
              <w:spacing w:after="0" w:line="240" w:lineRule="auto"/>
              <w:jc w:val="center"/>
              <w:rPr>
                <w:rFonts w:eastAsia="Times New Roman"/>
                <w:b/>
                <w:bCs/>
                <w:color w:val="FFFFFF"/>
                <w:sz w:val="15"/>
                <w:szCs w:val="15"/>
                <w:lang w:eastAsia="en-AU"/>
              </w:rPr>
            </w:pPr>
            <w:r w:rsidRPr="005060E0">
              <w:rPr>
                <w:rFonts w:eastAsia="Times New Roman"/>
                <w:b/>
                <w:bCs/>
                <w:color w:val="FFFFFF"/>
                <w:sz w:val="15"/>
                <w:szCs w:val="15"/>
                <w:lang w:eastAsia="en-AU"/>
              </w:rPr>
              <w:t>24-hour SO</w:t>
            </w:r>
            <w:r w:rsidRPr="005060E0">
              <w:rPr>
                <w:rFonts w:eastAsia="Times New Roman"/>
                <w:b/>
                <w:bCs/>
                <w:color w:val="FFFFFF"/>
                <w:sz w:val="15"/>
                <w:szCs w:val="15"/>
                <w:vertAlign w:val="subscript"/>
                <w:lang w:eastAsia="en-AU"/>
              </w:rPr>
              <w:t>2</w:t>
            </w:r>
            <w:r w:rsidRPr="005060E0">
              <w:rPr>
                <w:rFonts w:eastAsia="Times New Roman"/>
                <w:b/>
                <w:bCs/>
                <w:color w:val="FFFFFF"/>
                <w:sz w:val="15"/>
                <w:szCs w:val="15"/>
                <w:lang w:eastAsia="en-AU"/>
              </w:rPr>
              <w:t xml:space="preserve"> standard of 20 ppb</w:t>
            </w:r>
          </w:p>
        </w:tc>
      </w:tr>
      <w:tr w:rsidR="00DC152E" w:rsidRPr="005060E0" w14:paraId="7359BEBF" w14:textId="77777777" w:rsidTr="00D35C2D">
        <w:trPr>
          <w:trHeight w:hRule="exact" w:val="227"/>
          <w:tblHeader/>
        </w:trPr>
        <w:tc>
          <w:tcPr>
            <w:tcW w:w="866" w:type="pct"/>
            <w:vMerge w:val="restart"/>
            <w:tcBorders>
              <w:top w:val="nil"/>
              <w:left w:val="single" w:sz="4" w:space="0" w:color="606072"/>
              <w:bottom w:val="single" w:sz="4" w:space="0" w:color="606072"/>
              <w:right w:val="single" w:sz="4" w:space="0" w:color="606072"/>
            </w:tcBorders>
            <w:shd w:val="clear" w:color="000000" w:fill="606072"/>
            <w:vAlign w:val="center"/>
            <w:hideMark/>
          </w:tcPr>
          <w:p w14:paraId="5D56C754" w14:textId="77777777" w:rsidR="00DC152E" w:rsidRPr="005060E0" w:rsidRDefault="00DC152E" w:rsidP="00DC152E">
            <w:pPr>
              <w:widowControl w:val="0"/>
              <w:spacing w:after="0" w:line="240" w:lineRule="auto"/>
              <w:jc w:val="center"/>
              <w:rPr>
                <w:rFonts w:eastAsia="Times New Roman"/>
                <w:color w:val="FFFFFF"/>
                <w:sz w:val="15"/>
                <w:szCs w:val="15"/>
                <w:lang w:eastAsia="en-AU"/>
              </w:rPr>
            </w:pPr>
            <w:r w:rsidRPr="005060E0">
              <w:rPr>
                <w:rFonts w:eastAsia="Times New Roman"/>
                <w:color w:val="FFFFFF"/>
                <w:sz w:val="15"/>
                <w:szCs w:val="15"/>
                <w:lang w:eastAsia="en-AU"/>
              </w:rPr>
              <w:t>Airshed</w:t>
            </w:r>
          </w:p>
        </w:tc>
        <w:tc>
          <w:tcPr>
            <w:tcW w:w="146" w:type="pct"/>
            <w:tcBorders>
              <w:top w:val="nil"/>
              <w:left w:val="nil"/>
              <w:bottom w:val="nil"/>
              <w:right w:val="nil"/>
            </w:tcBorders>
            <w:shd w:val="clear" w:color="000000" w:fill="606072"/>
            <w:vAlign w:val="center"/>
            <w:hideMark/>
          </w:tcPr>
          <w:p w14:paraId="6529C6F7" w14:textId="77777777" w:rsidR="00DC152E" w:rsidRPr="005060E0" w:rsidRDefault="00DC152E" w:rsidP="00DC152E">
            <w:pPr>
              <w:widowControl w:val="0"/>
              <w:spacing w:after="0" w:line="240" w:lineRule="auto"/>
              <w:jc w:val="center"/>
              <w:rPr>
                <w:rFonts w:eastAsia="Times New Roman"/>
                <w:color w:val="FFFFFF"/>
                <w:sz w:val="15"/>
                <w:szCs w:val="15"/>
                <w:lang w:eastAsia="en-AU"/>
              </w:rPr>
            </w:pPr>
            <w:r w:rsidRPr="005060E0">
              <w:rPr>
                <w:rFonts w:eastAsia="Times New Roman"/>
                <w:color w:val="FFFFFF"/>
                <w:sz w:val="15"/>
                <w:szCs w:val="15"/>
                <w:lang w:eastAsia="en-AU"/>
              </w:rPr>
              <w:t> </w:t>
            </w:r>
          </w:p>
        </w:tc>
        <w:tc>
          <w:tcPr>
            <w:tcW w:w="1830" w:type="pct"/>
            <w:gridSpan w:val="4"/>
            <w:tcBorders>
              <w:top w:val="single" w:sz="4" w:space="0" w:color="606072"/>
              <w:left w:val="single" w:sz="4" w:space="0" w:color="606072"/>
              <w:bottom w:val="nil"/>
              <w:right w:val="single" w:sz="4" w:space="0" w:color="606072"/>
            </w:tcBorders>
            <w:shd w:val="clear" w:color="000000" w:fill="606072"/>
            <w:vAlign w:val="center"/>
            <w:hideMark/>
          </w:tcPr>
          <w:p w14:paraId="0EC2EFB0" w14:textId="3A4FE00B" w:rsidR="00DC152E" w:rsidRPr="005060E0" w:rsidRDefault="00DC152E" w:rsidP="00DC152E">
            <w:pPr>
              <w:widowControl w:val="0"/>
              <w:spacing w:after="0" w:line="240" w:lineRule="auto"/>
              <w:jc w:val="center"/>
              <w:rPr>
                <w:rFonts w:eastAsia="Times New Roman"/>
                <w:color w:val="FFFFFF"/>
                <w:sz w:val="15"/>
                <w:szCs w:val="15"/>
                <w:lang w:eastAsia="en-AU"/>
              </w:rPr>
            </w:pPr>
            <w:r w:rsidRPr="005060E0">
              <w:rPr>
                <w:rFonts w:eastAsia="Times New Roman"/>
                <w:color w:val="FFFFFF"/>
                <w:sz w:val="15"/>
                <w:szCs w:val="15"/>
                <w:lang w:eastAsia="en-AU"/>
              </w:rPr>
              <w:t>Health outcomes avoided</w:t>
            </w:r>
            <w:r w:rsidR="006B10AC" w:rsidRPr="005060E0">
              <w:rPr>
                <w:rFonts w:eastAsia="Times New Roman"/>
                <w:color w:val="FFFFFF"/>
                <w:sz w:val="16"/>
                <w:szCs w:val="16"/>
                <w:vertAlign w:val="superscript"/>
                <w:lang w:eastAsia="en-AU"/>
              </w:rPr>
              <w:t>(b)</w:t>
            </w:r>
          </w:p>
        </w:tc>
        <w:tc>
          <w:tcPr>
            <w:tcW w:w="226" w:type="pct"/>
            <w:tcBorders>
              <w:top w:val="nil"/>
              <w:left w:val="nil"/>
              <w:bottom w:val="single" w:sz="4" w:space="0" w:color="606072"/>
              <w:right w:val="single" w:sz="4" w:space="0" w:color="606072"/>
            </w:tcBorders>
            <w:shd w:val="clear" w:color="000000" w:fill="606072"/>
            <w:vAlign w:val="center"/>
            <w:hideMark/>
          </w:tcPr>
          <w:p w14:paraId="6771F360" w14:textId="77777777" w:rsidR="00DC152E" w:rsidRPr="005060E0" w:rsidRDefault="00DC152E" w:rsidP="00DC152E">
            <w:pPr>
              <w:widowControl w:val="0"/>
              <w:spacing w:after="0" w:line="240" w:lineRule="auto"/>
              <w:jc w:val="center"/>
              <w:rPr>
                <w:rFonts w:eastAsia="Times New Roman"/>
                <w:color w:val="FFFFFF"/>
                <w:sz w:val="15"/>
                <w:szCs w:val="15"/>
                <w:lang w:eastAsia="en-AU"/>
              </w:rPr>
            </w:pPr>
            <w:r w:rsidRPr="005060E0">
              <w:rPr>
                <w:rFonts w:eastAsia="Times New Roman"/>
                <w:color w:val="FFFFFF"/>
                <w:sz w:val="15"/>
                <w:szCs w:val="15"/>
                <w:lang w:eastAsia="en-AU"/>
              </w:rPr>
              <w:t> </w:t>
            </w:r>
          </w:p>
        </w:tc>
        <w:tc>
          <w:tcPr>
            <w:tcW w:w="163" w:type="pct"/>
            <w:tcBorders>
              <w:top w:val="nil"/>
              <w:left w:val="nil"/>
              <w:bottom w:val="single" w:sz="4" w:space="0" w:color="606072"/>
              <w:right w:val="nil"/>
            </w:tcBorders>
            <w:shd w:val="clear" w:color="000000" w:fill="606072"/>
            <w:vAlign w:val="center"/>
            <w:hideMark/>
          </w:tcPr>
          <w:p w14:paraId="19928BCF" w14:textId="77777777" w:rsidR="00DC152E" w:rsidRPr="005060E0" w:rsidRDefault="00DC152E" w:rsidP="00DC152E">
            <w:pPr>
              <w:widowControl w:val="0"/>
              <w:spacing w:after="0" w:line="240" w:lineRule="auto"/>
              <w:jc w:val="center"/>
              <w:rPr>
                <w:rFonts w:eastAsia="Times New Roman"/>
                <w:color w:val="FFFFFF"/>
                <w:sz w:val="15"/>
                <w:szCs w:val="15"/>
                <w:lang w:eastAsia="en-AU"/>
              </w:rPr>
            </w:pPr>
            <w:r w:rsidRPr="005060E0">
              <w:rPr>
                <w:rFonts w:eastAsia="Times New Roman"/>
                <w:color w:val="FFFFFF"/>
                <w:sz w:val="15"/>
                <w:szCs w:val="15"/>
                <w:lang w:eastAsia="en-AU"/>
              </w:rPr>
              <w:t> </w:t>
            </w:r>
          </w:p>
        </w:tc>
        <w:tc>
          <w:tcPr>
            <w:tcW w:w="1769" w:type="pct"/>
            <w:gridSpan w:val="4"/>
            <w:tcBorders>
              <w:top w:val="single" w:sz="4" w:space="0" w:color="606072"/>
              <w:left w:val="single" w:sz="4" w:space="0" w:color="606072"/>
              <w:bottom w:val="single" w:sz="4" w:space="0" w:color="606072"/>
              <w:right w:val="single" w:sz="4" w:space="0" w:color="606072"/>
            </w:tcBorders>
            <w:shd w:val="clear" w:color="000000" w:fill="606072"/>
            <w:vAlign w:val="center"/>
            <w:hideMark/>
          </w:tcPr>
          <w:p w14:paraId="260A4730" w14:textId="1E583E04" w:rsidR="00DC152E" w:rsidRPr="005060E0" w:rsidRDefault="00DC152E" w:rsidP="00DC152E">
            <w:pPr>
              <w:widowControl w:val="0"/>
              <w:spacing w:after="0" w:line="240" w:lineRule="auto"/>
              <w:jc w:val="center"/>
              <w:rPr>
                <w:rFonts w:eastAsia="Times New Roman"/>
                <w:color w:val="FFFFFF"/>
                <w:sz w:val="15"/>
                <w:szCs w:val="15"/>
                <w:lang w:eastAsia="en-AU"/>
              </w:rPr>
            </w:pPr>
            <w:r w:rsidRPr="005060E0">
              <w:rPr>
                <w:rFonts w:eastAsia="Times New Roman"/>
                <w:color w:val="FFFFFF"/>
                <w:sz w:val="15"/>
                <w:szCs w:val="15"/>
                <w:lang w:eastAsia="en-AU"/>
              </w:rPr>
              <w:t>Health outcomes avoided</w:t>
            </w:r>
            <w:r w:rsidR="006B10AC" w:rsidRPr="005060E0">
              <w:rPr>
                <w:rFonts w:eastAsia="Times New Roman"/>
                <w:color w:val="FFFFFF"/>
                <w:sz w:val="16"/>
                <w:szCs w:val="16"/>
                <w:vertAlign w:val="superscript"/>
                <w:lang w:eastAsia="en-AU"/>
              </w:rPr>
              <w:t>(b)</w:t>
            </w:r>
          </w:p>
        </w:tc>
      </w:tr>
      <w:tr w:rsidR="00DC152E" w:rsidRPr="005060E0" w14:paraId="5E70F452" w14:textId="77777777" w:rsidTr="00D35C2D">
        <w:trPr>
          <w:trHeight w:val="227"/>
          <w:tblHeader/>
        </w:trPr>
        <w:tc>
          <w:tcPr>
            <w:tcW w:w="866" w:type="pct"/>
            <w:vMerge/>
            <w:tcBorders>
              <w:top w:val="nil"/>
              <w:left w:val="single" w:sz="4" w:space="0" w:color="606072"/>
              <w:bottom w:val="single" w:sz="4" w:space="0" w:color="606072"/>
              <w:right w:val="single" w:sz="4" w:space="0" w:color="606072"/>
            </w:tcBorders>
            <w:vAlign w:val="center"/>
            <w:hideMark/>
          </w:tcPr>
          <w:p w14:paraId="54F79C12" w14:textId="77777777" w:rsidR="00DC152E" w:rsidRPr="005060E0" w:rsidRDefault="00DC152E" w:rsidP="00DC152E">
            <w:pPr>
              <w:widowControl w:val="0"/>
              <w:spacing w:after="0" w:line="240" w:lineRule="auto"/>
              <w:rPr>
                <w:rFonts w:eastAsia="Times New Roman"/>
                <w:color w:val="FFFFFF"/>
                <w:sz w:val="15"/>
                <w:szCs w:val="15"/>
                <w:lang w:eastAsia="en-AU"/>
              </w:rPr>
            </w:pPr>
          </w:p>
        </w:tc>
        <w:tc>
          <w:tcPr>
            <w:tcW w:w="146" w:type="pct"/>
            <w:tcBorders>
              <w:top w:val="nil"/>
              <w:left w:val="nil"/>
              <w:bottom w:val="single" w:sz="4" w:space="0" w:color="606072"/>
              <w:right w:val="single" w:sz="4" w:space="0" w:color="606072"/>
            </w:tcBorders>
            <w:shd w:val="clear" w:color="000000" w:fill="606072"/>
            <w:vAlign w:val="center"/>
            <w:hideMark/>
          </w:tcPr>
          <w:p w14:paraId="3A2B53F4" w14:textId="77777777" w:rsidR="00DC152E" w:rsidRPr="005060E0" w:rsidRDefault="00DC152E" w:rsidP="00DC152E">
            <w:pPr>
              <w:widowControl w:val="0"/>
              <w:spacing w:after="0" w:line="240" w:lineRule="auto"/>
              <w:jc w:val="center"/>
              <w:rPr>
                <w:rFonts w:eastAsia="Times New Roman"/>
                <w:color w:val="FFFFFF"/>
                <w:sz w:val="15"/>
                <w:szCs w:val="15"/>
                <w:lang w:eastAsia="en-AU"/>
              </w:rPr>
            </w:pPr>
            <w:r w:rsidRPr="005060E0">
              <w:rPr>
                <w:rFonts w:eastAsia="Times New Roman"/>
                <w:color w:val="FFFFFF"/>
                <w:sz w:val="15"/>
                <w:szCs w:val="15"/>
                <w:lang w:eastAsia="en-AU"/>
              </w:rPr>
              <w:t> </w:t>
            </w:r>
          </w:p>
        </w:tc>
        <w:tc>
          <w:tcPr>
            <w:tcW w:w="572" w:type="pct"/>
            <w:tcBorders>
              <w:top w:val="nil"/>
              <w:left w:val="nil"/>
              <w:bottom w:val="single" w:sz="4" w:space="0" w:color="606072"/>
              <w:right w:val="single" w:sz="4" w:space="0" w:color="606072"/>
            </w:tcBorders>
            <w:shd w:val="clear" w:color="000000" w:fill="606072"/>
            <w:vAlign w:val="center"/>
            <w:hideMark/>
          </w:tcPr>
          <w:p w14:paraId="2B408352" w14:textId="780642B4" w:rsidR="00DC152E" w:rsidRPr="005060E0" w:rsidRDefault="00DC152E" w:rsidP="00DC152E">
            <w:pPr>
              <w:widowControl w:val="0"/>
              <w:spacing w:after="0" w:line="240" w:lineRule="auto"/>
              <w:jc w:val="center"/>
              <w:rPr>
                <w:rFonts w:eastAsia="Times New Roman"/>
                <w:color w:val="FFFFFF"/>
                <w:sz w:val="15"/>
                <w:szCs w:val="15"/>
                <w:lang w:eastAsia="en-AU"/>
              </w:rPr>
            </w:pPr>
            <w:r w:rsidRPr="005060E0">
              <w:rPr>
                <w:rFonts w:eastAsia="Times New Roman"/>
                <w:color w:val="FFFFFF"/>
                <w:sz w:val="15"/>
                <w:szCs w:val="15"/>
                <w:lang w:eastAsia="en-AU"/>
              </w:rPr>
              <w:t>A</w:t>
            </w:r>
            <w:r w:rsidR="00E55B79" w:rsidRPr="005060E0">
              <w:rPr>
                <w:rFonts w:eastAsia="Times New Roman"/>
                <w:color w:val="FFFFFF"/>
                <w:sz w:val="15"/>
                <w:szCs w:val="15"/>
                <w:lang w:eastAsia="en-AU"/>
              </w:rPr>
              <w:t>nnual a</w:t>
            </w:r>
            <w:r w:rsidRPr="005060E0">
              <w:rPr>
                <w:rFonts w:eastAsia="Times New Roman"/>
                <w:color w:val="FFFFFF"/>
                <w:sz w:val="15"/>
                <w:szCs w:val="15"/>
                <w:lang w:eastAsia="en-AU"/>
              </w:rPr>
              <w:t>verage</w:t>
            </w:r>
          </w:p>
          <w:p w14:paraId="64FAA5CC" w14:textId="0878301D" w:rsidR="00DC152E" w:rsidRPr="005060E0" w:rsidRDefault="00DC152E" w:rsidP="00DC152E">
            <w:pPr>
              <w:widowControl w:val="0"/>
              <w:spacing w:after="0" w:line="240" w:lineRule="auto"/>
              <w:jc w:val="center"/>
              <w:rPr>
                <w:rFonts w:eastAsia="Times New Roman"/>
                <w:color w:val="FFFFFF"/>
                <w:sz w:val="15"/>
                <w:szCs w:val="15"/>
                <w:lang w:eastAsia="en-AU"/>
              </w:rPr>
            </w:pPr>
            <w:r w:rsidRPr="005060E0">
              <w:rPr>
                <w:rFonts w:eastAsia="Times New Roman"/>
                <w:color w:val="FFFFFF"/>
                <w:sz w:val="15"/>
                <w:szCs w:val="15"/>
                <w:lang w:eastAsia="en-AU"/>
              </w:rPr>
              <w:t>2010</w:t>
            </w:r>
            <w:r w:rsidR="00DF4D3A" w:rsidRPr="005060E0">
              <w:rPr>
                <w:rFonts w:eastAsia="Times New Roman"/>
                <w:color w:val="FFFFFF"/>
                <w:sz w:val="15"/>
                <w:szCs w:val="15"/>
                <w:lang w:eastAsia="en-AU"/>
              </w:rPr>
              <w:t>–20</w:t>
            </w:r>
            <w:r w:rsidRPr="005060E0">
              <w:rPr>
                <w:rFonts w:eastAsia="Times New Roman"/>
                <w:color w:val="FFFFFF"/>
                <w:sz w:val="15"/>
                <w:szCs w:val="15"/>
                <w:lang w:eastAsia="en-AU"/>
              </w:rPr>
              <w:t>14</w:t>
            </w:r>
          </w:p>
        </w:tc>
        <w:tc>
          <w:tcPr>
            <w:tcW w:w="338" w:type="pct"/>
            <w:tcBorders>
              <w:top w:val="single" w:sz="4" w:space="0" w:color="606072"/>
              <w:left w:val="nil"/>
              <w:bottom w:val="single" w:sz="4" w:space="0" w:color="606072"/>
              <w:right w:val="single" w:sz="4" w:space="0" w:color="606072"/>
            </w:tcBorders>
            <w:shd w:val="clear" w:color="000000" w:fill="606072"/>
            <w:vAlign w:val="center"/>
            <w:hideMark/>
          </w:tcPr>
          <w:p w14:paraId="7EB7681C" w14:textId="77777777" w:rsidR="00DC152E" w:rsidRPr="005060E0" w:rsidRDefault="00DC152E" w:rsidP="00DC152E">
            <w:pPr>
              <w:widowControl w:val="0"/>
              <w:spacing w:after="0" w:line="240" w:lineRule="auto"/>
              <w:jc w:val="center"/>
              <w:rPr>
                <w:rFonts w:eastAsia="Times New Roman"/>
                <w:color w:val="FFFFFF"/>
                <w:sz w:val="15"/>
                <w:szCs w:val="15"/>
                <w:lang w:eastAsia="en-AU"/>
              </w:rPr>
            </w:pPr>
            <w:r w:rsidRPr="005060E0">
              <w:rPr>
                <w:rFonts w:eastAsia="Times New Roman"/>
                <w:color w:val="FFFFFF"/>
                <w:sz w:val="15"/>
                <w:szCs w:val="15"/>
                <w:lang w:eastAsia="en-AU"/>
              </w:rPr>
              <w:t>2021</w:t>
            </w:r>
          </w:p>
        </w:tc>
        <w:tc>
          <w:tcPr>
            <w:tcW w:w="455" w:type="pct"/>
            <w:tcBorders>
              <w:top w:val="single" w:sz="4" w:space="0" w:color="606072"/>
              <w:left w:val="nil"/>
              <w:bottom w:val="single" w:sz="4" w:space="0" w:color="606072"/>
              <w:right w:val="single" w:sz="4" w:space="0" w:color="606072"/>
            </w:tcBorders>
            <w:shd w:val="clear" w:color="000000" w:fill="606072"/>
            <w:vAlign w:val="center"/>
            <w:hideMark/>
          </w:tcPr>
          <w:p w14:paraId="5D21F4AE" w14:textId="77777777" w:rsidR="00DC152E" w:rsidRPr="005060E0" w:rsidRDefault="00DC152E" w:rsidP="00DC152E">
            <w:pPr>
              <w:widowControl w:val="0"/>
              <w:spacing w:after="0" w:line="240" w:lineRule="auto"/>
              <w:jc w:val="center"/>
              <w:rPr>
                <w:rFonts w:eastAsia="Times New Roman"/>
                <w:color w:val="FFFFFF"/>
                <w:sz w:val="15"/>
                <w:szCs w:val="15"/>
                <w:lang w:eastAsia="en-AU"/>
              </w:rPr>
            </w:pPr>
            <w:r w:rsidRPr="005060E0">
              <w:rPr>
                <w:rFonts w:eastAsia="Times New Roman"/>
                <w:color w:val="FFFFFF"/>
                <w:sz w:val="15"/>
                <w:szCs w:val="15"/>
                <w:lang w:eastAsia="en-AU"/>
              </w:rPr>
              <w:t>2031</w:t>
            </w:r>
          </w:p>
        </w:tc>
        <w:tc>
          <w:tcPr>
            <w:tcW w:w="465" w:type="pct"/>
            <w:tcBorders>
              <w:top w:val="single" w:sz="4" w:space="0" w:color="606072"/>
              <w:left w:val="nil"/>
              <w:bottom w:val="single" w:sz="4" w:space="0" w:color="606072"/>
              <w:right w:val="single" w:sz="4" w:space="0" w:color="606072"/>
            </w:tcBorders>
            <w:shd w:val="clear" w:color="000000" w:fill="606072"/>
            <w:vAlign w:val="center"/>
            <w:hideMark/>
          </w:tcPr>
          <w:p w14:paraId="7AB49073" w14:textId="77777777" w:rsidR="00DC152E" w:rsidRPr="005060E0" w:rsidRDefault="00DC152E" w:rsidP="00DC152E">
            <w:pPr>
              <w:widowControl w:val="0"/>
              <w:spacing w:after="0" w:line="240" w:lineRule="auto"/>
              <w:jc w:val="center"/>
              <w:rPr>
                <w:rFonts w:eastAsia="Times New Roman"/>
                <w:color w:val="FFFFFF"/>
                <w:sz w:val="15"/>
                <w:szCs w:val="15"/>
                <w:lang w:eastAsia="en-AU"/>
              </w:rPr>
            </w:pPr>
            <w:r w:rsidRPr="005060E0">
              <w:rPr>
                <w:rFonts w:eastAsia="Times New Roman"/>
                <w:color w:val="FFFFFF"/>
                <w:sz w:val="15"/>
                <w:szCs w:val="15"/>
                <w:lang w:eastAsia="en-AU"/>
              </w:rPr>
              <w:t>2040</w:t>
            </w:r>
          </w:p>
        </w:tc>
        <w:tc>
          <w:tcPr>
            <w:tcW w:w="226" w:type="pct"/>
            <w:tcBorders>
              <w:top w:val="nil"/>
              <w:left w:val="nil"/>
              <w:bottom w:val="single" w:sz="4" w:space="0" w:color="606072"/>
              <w:right w:val="single" w:sz="4" w:space="0" w:color="606072"/>
            </w:tcBorders>
            <w:shd w:val="clear" w:color="000000" w:fill="606072"/>
            <w:vAlign w:val="center"/>
            <w:hideMark/>
          </w:tcPr>
          <w:p w14:paraId="7C16726D" w14:textId="77777777" w:rsidR="00DC152E" w:rsidRPr="005060E0" w:rsidRDefault="00DC152E" w:rsidP="00DC152E">
            <w:pPr>
              <w:widowControl w:val="0"/>
              <w:spacing w:after="0" w:line="240" w:lineRule="auto"/>
              <w:jc w:val="center"/>
              <w:rPr>
                <w:rFonts w:eastAsia="Times New Roman"/>
                <w:color w:val="FFFFFF"/>
                <w:sz w:val="15"/>
                <w:szCs w:val="15"/>
                <w:lang w:eastAsia="en-AU"/>
              </w:rPr>
            </w:pPr>
            <w:r w:rsidRPr="005060E0">
              <w:rPr>
                <w:rFonts w:eastAsia="Times New Roman"/>
                <w:color w:val="FFFFFF"/>
                <w:sz w:val="15"/>
                <w:szCs w:val="15"/>
                <w:lang w:eastAsia="en-AU"/>
              </w:rPr>
              <w:t> </w:t>
            </w:r>
          </w:p>
        </w:tc>
        <w:tc>
          <w:tcPr>
            <w:tcW w:w="163" w:type="pct"/>
            <w:tcBorders>
              <w:top w:val="nil"/>
              <w:left w:val="nil"/>
              <w:bottom w:val="single" w:sz="4" w:space="0" w:color="606072"/>
              <w:right w:val="single" w:sz="4" w:space="0" w:color="606072"/>
            </w:tcBorders>
            <w:shd w:val="clear" w:color="000000" w:fill="606072"/>
            <w:vAlign w:val="center"/>
            <w:hideMark/>
          </w:tcPr>
          <w:p w14:paraId="0430BA1C" w14:textId="77777777" w:rsidR="00DC152E" w:rsidRPr="005060E0" w:rsidRDefault="00DC152E" w:rsidP="00DC152E">
            <w:pPr>
              <w:widowControl w:val="0"/>
              <w:spacing w:after="0" w:line="240" w:lineRule="auto"/>
              <w:jc w:val="center"/>
              <w:rPr>
                <w:rFonts w:eastAsia="Times New Roman"/>
                <w:color w:val="FFFFFF"/>
                <w:sz w:val="15"/>
                <w:szCs w:val="15"/>
                <w:lang w:eastAsia="en-AU"/>
              </w:rPr>
            </w:pPr>
            <w:r w:rsidRPr="005060E0">
              <w:rPr>
                <w:rFonts w:eastAsia="Times New Roman"/>
                <w:color w:val="FFFFFF"/>
                <w:sz w:val="15"/>
                <w:szCs w:val="15"/>
                <w:lang w:eastAsia="en-AU"/>
              </w:rPr>
              <w:t> </w:t>
            </w:r>
          </w:p>
        </w:tc>
        <w:tc>
          <w:tcPr>
            <w:tcW w:w="544" w:type="pct"/>
            <w:tcBorders>
              <w:top w:val="nil"/>
              <w:left w:val="nil"/>
              <w:bottom w:val="single" w:sz="4" w:space="0" w:color="606072"/>
              <w:right w:val="single" w:sz="4" w:space="0" w:color="606072"/>
            </w:tcBorders>
            <w:shd w:val="clear" w:color="000000" w:fill="606072"/>
            <w:vAlign w:val="center"/>
            <w:hideMark/>
          </w:tcPr>
          <w:p w14:paraId="5C60770C" w14:textId="7DF89B13" w:rsidR="00DC152E" w:rsidRPr="005060E0" w:rsidRDefault="00DC152E" w:rsidP="00DC152E">
            <w:pPr>
              <w:widowControl w:val="0"/>
              <w:spacing w:after="0" w:line="240" w:lineRule="auto"/>
              <w:jc w:val="center"/>
              <w:rPr>
                <w:rFonts w:eastAsia="Times New Roman"/>
                <w:color w:val="FFFFFF"/>
                <w:sz w:val="15"/>
                <w:szCs w:val="15"/>
                <w:lang w:eastAsia="en-AU"/>
              </w:rPr>
            </w:pPr>
            <w:r w:rsidRPr="005060E0">
              <w:rPr>
                <w:rFonts w:eastAsia="Times New Roman"/>
                <w:color w:val="FFFFFF"/>
                <w:sz w:val="15"/>
                <w:szCs w:val="15"/>
                <w:lang w:eastAsia="en-AU"/>
              </w:rPr>
              <w:t>A</w:t>
            </w:r>
            <w:r w:rsidR="00E55B79" w:rsidRPr="005060E0">
              <w:rPr>
                <w:rFonts w:eastAsia="Times New Roman"/>
                <w:color w:val="FFFFFF"/>
                <w:sz w:val="15"/>
                <w:szCs w:val="15"/>
                <w:lang w:eastAsia="en-AU"/>
              </w:rPr>
              <w:t>nnual a</w:t>
            </w:r>
            <w:r w:rsidRPr="005060E0">
              <w:rPr>
                <w:rFonts w:eastAsia="Times New Roman"/>
                <w:color w:val="FFFFFF"/>
                <w:sz w:val="15"/>
                <w:szCs w:val="15"/>
                <w:lang w:eastAsia="en-AU"/>
              </w:rPr>
              <w:t>verage</w:t>
            </w:r>
          </w:p>
          <w:p w14:paraId="7BC3EE02" w14:textId="298F53DE" w:rsidR="00DC152E" w:rsidRPr="005060E0" w:rsidRDefault="00DC152E" w:rsidP="00DC152E">
            <w:pPr>
              <w:widowControl w:val="0"/>
              <w:spacing w:after="0" w:line="240" w:lineRule="auto"/>
              <w:jc w:val="center"/>
              <w:rPr>
                <w:rFonts w:eastAsia="Times New Roman"/>
                <w:color w:val="FFFFFF"/>
                <w:sz w:val="15"/>
                <w:szCs w:val="15"/>
                <w:lang w:eastAsia="en-AU"/>
              </w:rPr>
            </w:pPr>
            <w:r w:rsidRPr="005060E0">
              <w:rPr>
                <w:rFonts w:eastAsia="Times New Roman"/>
                <w:color w:val="FFFFFF"/>
                <w:sz w:val="15"/>
                <w:szCs w:val="15"/>
                <w:lang w:eastAsia="en-AU"/>
              </w:rPr>
              <w:t>2010</w:t>
            </w:r>
            <w:r w:rsidR="00DF4D3A" w:rsidRPr="005060E0">
              <w:rPr>
                <w:rFonts w:eastAsia="Times New Roman"/>
                <w:color w:val="FFFFFF"/>
                <w:sz w:val="15"/>
                <w:szCs w:val="15"/>
                <w:lang w:eastAsia="en-AU"/>
              </w:rPr>
              <w:t>–20</w:t>
            </w:r>
            <w:r w:rsidRPr="005060E0">
              <w:rPr>
                <w:rFonts w:eastAsia="Times New Roman"/>
                <w:color w:val="FFFFFF"/>
                <w:sz w:val="15"/>
                <w:szCs w:val="15"/>
                <w:lang w:eastAsia="en-AU"/>
              </w:rPr>
              <w:t>14</w:t>
            </w:r>
          </w:p>
        </w:tc>
        <w:tc>
          <w:tcPr>
            <w:tcW w:w="342" w:type="pct"/>
            <w:tcBorders>
              <w:top w:val="nil"/>
              <w:left w:val="nil"/>
              <w:bottom w:val="single" w:sz="4" w:space="0" w:color="606072"/>
              <w:right w:val="single" w:sz="4" w:space="0" w:color="606072"/>
            </w:tcBorders>
            <w:shd w:val="clear" w:color="000000" w:fill="606072"/>
            <w:vAlign w:val="center"/>
            <w:hideMark/>
          </w:tcPr>
          <w:p w14:paraId="268EBD16" w14:textId="77777777" w:rsidR="00DC152E" w:rsidRPr="005060E0" w:rsidRDefault="00DC152E" w:rsidP="00DC152E">
            <w:pPr>
              <w:widowControl w:val="0"/>
              <w:spacing w:after="0" w:line="240" w:lineRule="auto"/>
              <w:jc w:val="center"/>
              <w:rPr>
                <w:rFonts w:eastAsia="Times New Roman"/>
                <w:color w:val="FFFFFF"/>
                <w:sz w:val="15"/>
                <w:szCs w:val="15"/>
                <w:lang w:eastAsia="en-AU"/>
              </w:rPr>
            </w:pPr>
            <w:r w:rsidRPr="005060E0">
              <w:rPr>
                <w:rFonts w:eastAsia="Times New Roman"/>
                <w:color w:val="FFFFFF"/>
                <w:sz w:val="15"/>
                <w:szCs w:val="15"/>
                <w:lang w:eastAsia="en-AU"/>
              </w:rPr>
              <w:t>2021</w:t>
            </w:r>
          </w:p>
        </w:tc>
        <w:tc>
          <w:tcPr>
            <w:tcW w:w="443" w:type="pct"/>
            <w:tcBorders>
              <w:top w:val="nil"/>
              <w:left w:val="nil"/>
              <w:bottom w:val="single" w:sz="4" w:space="0" w:color="606072"/>
              <w:right w:val="single" w:sz="4" w:space="0" w:color="606072"/>
            </w:tcBorders>
            <w:shd w:val="clear" w:color="000000" w:fill="606072"/>
            <w:vAlign w:val="center"/>
            <w:hideMark/>
          </w:tcPr>
          <w:p w14:paraId="4CF8C04B" w14:textId="77777777" w:rsidR="00DC152E" w:rsidRPr="005060E0" w:rsidRDefault="00DC152E" w:rsidP="00DC152E">
            <w:pPr>
              <w:widowControl w:val="0"/>
              <w:spacing w:after="0" w:line="240" w:lineRule="auto"/>
              <w:jc w:val="center"/>
              <w:rPr>
                <w:rFonts w:eastAsia="Times New Roman"/>
                <w:color w:val="FFFFFF"/>
                <w:sz w:val="15"/>
                <w:szCs w:val="15"/>
                <w:lang w:eastAsia="en-AU"/>
              </w:rPr>
            </w:pPr>
            <w:r w:rsidRPr="005060E0">
              <w:rPr>
                <w:rFonts w:eastAsia="Times New Roman"/>
                <w:color w:val="FFFFFF"/>
                <w:sz w:val="15"/>
                <w:szCs w:val="15"/>
                <w:lang w:eastAsia="en-AU"/>
              </w:rPr>
              <w:t>2031</w:t>
            </w:r>
          </w:p>
        </w:tc>
        <w:tc>
          <w:tcPr>
            <w:tcW w:w="440" w:type="pct"/>
            <w:tcBorders>
              <w:top w:val="nil"/>
              <w:left w:val="nil"/>
              <w:bottom w:val="single" w:sz="4" w:space="0" w:color="606072"/>
              <w:right w:val="single" w:sz="4" w:space="0" w:color="606072"/>
            </w:tcBorders>
            <w:shd w:val="clear" w:color="000000" w:fill="606072"/>
            <w:vAlign w:val="center"/>
            <w:hideMark/>
          </w:tcPr>
          <w:p w14:paraId="7DF5EC23" w14:textId="77777777" w:rsidR="00DC152E" w:rsidRPr="005060E0" w:rsidRDefault="00DC152E" w:rsidP="00DC152E">
            <w:pPr>
              <w:widowControl w:val="0"/>
              <w:spacing w:after="0" w:line="240" w:lineRule="auto"/>
              <w:jc w:val="center"/>
              <w:rPr>
                <w:rFonts w:eastAsia="Times New Roman"/>
                <w:color w:val="FFFFFF"/>
                <w:sz w:val="15"/>
                <w:szCs w:val="15"/>
                <w:lang w:eastAsia="en-AU"/>
              </w:rPr>
            </w:pPr>
            <w:r w:rsidRPr="005060E0">
              <w:rPr>
                <w:rFonts w:eastAsia="Times New Roman"/>
                <w:color w:val="FFFFFF"/>
                <w:sz w:val="15"/>
                <w:szCs w:val="15"/>
                <w:lang w:eastAsia="en-AU"/>
              </w:rPr>
              <w:t>2040</w:t>
            </w:r>
          </w:p>
        </w:tc>
      </w:tr>
      <w:tr w:rsidR="00DC152E" w:rsidRPr="005060E0" w14:paraId="49EC87E1" w14:textId="77777777" w:rsidTr="003D2D76">
        <w:trPr>
          <w:trHeight w:val="353"/>
        </w:trPr>
        <w:tc>
          <w:tcPr>
            <w:tcW w:w="5000" w:type="pct"/>
            <w:gridSpan w:val="12"/>
            <w:tcBorders>
              <w:top w:val="single" w:sz="4" w:space="0" w:color="606072"/>
              <w:left w:val="single" w:sz="4" w:space="0" w:color="606072"/>
              <w:bottom w:val="nil"/>
              <w:right w:val="single" w:sz="4" w:space="0" w:color="606072"/>
            </w:tcBorders>
            <w:shd w:val="clear" w:color="auto" w:fill="DEDFE3" w:themeFill="text2" w:themeFillTint="33"/>
            <w:noWrap/>
            <w:vAlign w:val="center"/>
            <w:hideMark/>
          </w:tcPr>
          <w:p w14:paraId="2E59E680" w14:textId="31C21C98" w:rsidR="00DC152E" w:rsidRPr="005060E0" w:rsidRDefault="00DC152E" w:rsidP="00DC152E">
            <w:pPr>
              <w:widowControl w:val="0"/>
              <w:spacing w:after="0" w:line="240" w:lineRule="auto"/>
              <w:rPr>
                <w:rFonts w:eastAsia="Times New Roman"/>
                <w:color w:val="000000"/>
                <w:sz w:val="15"/>
                <w:szCs w:val="15"/>
                <w:lang w:eastAsia="en-AU"/>
              </w:rPr>
            </w:pPr>
            <w:r w:rsidRPr="005060E0">
              <w:rPr>
                <w:rFonts w:eastAsia="Times New Roman"/>
                <w:color w:val="000000"/>
                <w:sz w:val="15"/>
                <w:szCs w:val="15"/>
                <w:lang w:eastAsia="en-AU"/>
              </w:rPr>
              <w:t>Daily mortalit</w:t>
            </w:r>
            <w:r w:rsidR="00627461" w:rsidRPr="005060E0">
              <w:rPr>
                <w:rFonts w:eastAsia="Times New Roman"/>
                <w:color w:val="000000"/>
                <w:sz w:val="15"/>
                <w:szCs w:val="15"/>
                <w:lang w:eastAsia="en-AU"/>
              </w:rPr>
              <w:t>y, all-cause</w:t>
            </w:r>
            <w:r w:rsidR="00627461" w:rsidRPr="005060E0">
              <w:rPr>
                <w:rFonts w:eastAsia="Times New Roman"/>
                <w:color w:val="000000"/>
                <w:sz w:val="15"/>
                <w:szCs w:val="15"/>
                <w:vertAlign w:val="superscript"/>
                <w:lang w:eastAsia="en-AU"/>
              </w:rPr>
              <w:t>(a)</w:t>
            </w:r>
          </w:p>
        </w:tc>
      </w:tr>
      <w:tr w:rsidR="006811BD" w:rsidRPr="005060E0" w14:paraId="2565CDED" w14:textId="77777777" w:rsidTr="00BF7BF2">
        <w:trPr>
          <w:trHeight w:hRule="exact" w:val="454"/>
        </w:trPr>
        <w:tc>
          <w:tcPr>
            <w:tcW w:w="866" w:type="pct"/>
            <w:tcBorders>
              <w:top w:val="single" w:sz="4" w:space="0" w:color="606072"/>
              <w:left w:val="single" w:sz="4" w:space="0" w:color="606072"/>
              <w:bottom w:val="dotted" w:sz="4" w:space="0" w:color="606072"/>
              <w:right w:val="single" w:sz="4" w:space="0" w:color="606072"/>
            </w:tcBorders>
            <w:shd w:val="clear" w:color="000000" w:fill="F2F2F2"/>
            <w:tcMar>
              <w:left w:w="57" w:type="dxa"/>
              <w:right w:w="28" w:type="dxa"/>
            </w:tcMar>
            <w:vAlign w:val="center"/>
          </w:tcPr>
          <w:p w14:paraId="1225923E" w14:textId="75896065" w:rsidR="006811BD" w:rsidRPr="005060E0" w:rsidRDefault="003D2D76" w:rsidP="006811BD">
            <w:pPr>
              <w:widowControl w:val="0"/>
              <w:spacing w:after="0" w:line="240" w:lineRule="auto"/>
              <w:rPr>
                <w:rFonts w:eastAsia="Times New Roman"/>
                <w:sz w:val="15"/>
                <w:szCs w:val="15"/>
                <w:lang w:eastAsia="en-AU"/>
              </w:rPr>
            </w:pPr>
            <w:r w:rsidRPr="005060E0">
              <w:rPr>
                <w:rFonts w:eastAsia="Times New Roman"/>
                <w:sz w:val="15"/>
                <w:szCs w:val="15"/>
                <w:lang w:eastAsia="en-AU"/>
              </w:rPr>
              <w:t>NSW and Victoria</w:t>
            </w:r>
          </w:p>
        </w:tc>
        <w:tc>
          <w:tcPr>
            <w:tcW w:w="146" w:type="pct"/>
            <w:tcBorders>
              <w:top w:val="single" w:sz="4" w:space="0" w:color="606072"/>
              <w:left w:val="nil"/>
              <w:bottom w:val="dotted" w:sz="4" w:space="0" w:color="606072"/>
              <w:right w:val="nil"/>
            </w:tcBorders>
            <w:shd w:val="clear" w:color="000000" w:fill="FFFFFF"/>
            <w:vAlign w:val="center"/>
            <w:hideMark/>
          </w:tcPr>
          <w:p w14:paraId="4667FD49" w14:textId="77777777" w:rsidR="006811BD" w:rsidRPr="005060E0" w:rsidRDefault="006811BD" w:rsidP="006811BD">
            <w:pPr>
              <w:widowControl w:val="0"/>
              <w:spacing w:after="0" w:line="240" w:lineRule="auto"/>
              <w:rPr>
                <w:rFonts w:eastAsia="Times New Roman"/>
                <w:sz w:val="15"/>
                <w:szCs w:val="15"/>
                <w:lang w:eastAsia="en-AU"/>
              </w:rPr>
            </w:pPr>
            <w:r w:rsidRPr="005060E0">
              <w:rPr>
                <w:rFonts w:eastAsia="Times New Roman"/>
                <w:sz w:val="15"/>
                <w:szCs w:val="15"/>
                <w:lang w:eastAsia="en-AU"/>
              </w:rPr>
              <w:t> </w:t>
            </w:r>
          </w:p>
        </w:tc>
        <w:tc>
          <w:tcPr>
            <w:tcW w:w="572" w:type="pct"/>
            <w:tcBorders>
              <w:top w:val="single" w:sz="4" w:space="0" w:color="606072"/>
              <w:left w:val="nil"/>
              <w:bottom w:val="dotted" w:sz="4" w:space="0" w:color="606072"/>
              <w:right w:val="nil"/>
            </w:tcBorders>
            <w:shd w:val="clear" w:color="000000" w:fill="FFFFFF"/>
            <w:vAlign w:val="center"/>
          </w:tcPr>
          <w:p w14:paraId="1E6CAC2B" w14:textId="089B312F" w:rsidR="006811BD" w:rsidRPr="005060E0" w:rsidRDefault="006811BD"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AU"/>
              </w:rPr>
              <w:t>23</w:t>
            </w:r>
          </w:p>
        </w:tc>
        <w:tc>
          <w:tcPr>
            <w:tcW w:w="338" w:type="pct"/>
            <w:tcBorders>
              <w:top w:val="single" w:sz="4" w:space="0" w:color="606072"/>
              <w:left w:val="nil"/>
              <w:bottom w:val="dotted" w:sz="4" w:space="0" w:color="606072"/>
              <w:right w:val="nil"/>
            </w:tcBorders>
            <w:shd w:val="clear" w:color="000000" w:fill="FFFFFF"/>
            <w:vAlign w:val="center"/>
          </w:tcPr>
          <w:p w14:paraId="4A15AE82" w14:textId="44BA9092" w:rsidR="006811BD" w:rsidRPr="005060E0" w:rsidRDefault="006811BD"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AU"/>
              </w:rPr>
              <w:t>51</w:t>
            </w:r>
          </w:p>
        </w:tc>
        <w:tc>
          <w:tcPr>
            <w:tcW w:w="455" w:type="pct"/>
            <w:tcBorders>
              <w:top w:val="single" w:sz="4" w:space="0" w:color="606072"/>
              <w:left w:val="nil"/>
              <w:bottom w:val="dotted" w:sz="4" w:space="0" w:color="606072"/>
              <w:right w:val="nil"/>
            </w:tcBorders>
            <w:shd w:val="clear" w:color="000000" w:fill="FFFFFF"/>
            <w:vAlign w:val="center"/>
          </w:tcPr>
          <w:p w14:paraId="3CD4969B" w14:textId="4449093B" w:rsidR="006811BD" w:rsidRPr="005060E0" w:rsidRDefault="006811BD"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AU"/>
              </w:rPr>
              <w:t>57</w:t>
            </w:r>
          </w:p>
        </w:tc>
        <w:tc>
          <w:tcPr>
            <w:tcW w:w="465" w:type="pct"/>
            <w:tcBorders>
              <w:top w:val="single" w:sz="4" w:space="0" w:color="606072"/>
              <w:left w:val="nil"/>
              <w:bottom w:val="dotted" w:sz="4" w:space="0" w:color="606072"/>
              <w:right w:val="nil"/>
            </w:tcBorders>
            <w:shd w:val="clear" w:color="000000" w:fill="FFFFFF"/>
            <w:vAlign w:val="center"/>
          </w:tcPr>
          <w:p w14:paraId="42A288EE" w14:textId="40F3EE41" w:rsidR="006811BD" w:rsidRPr="005060E0" w:rsidRDefault="006811BD"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AU"/>
              </w:rPr>
              <w:t>70</w:t>
            </w:r>
          </w:p>
        </w:tc>
        <w:tc>
          <w:tcPr>
            <w:tcW w:w="226" w:type="pct"/>
            <w:tcBorders>
              <w:top w:val="single" w:sz="4" w:space="0" w:color="606072"/>
              <w:left w:val="nil"/>
              <w:bottom w:val="dotted" w:sz="4" w:space="0" w:color="606072"/>
              <w:right w:val="single" w:sz="4" w:space="0" w:color="606072"/>
            </w:tcBorders>
            <w:shd w:val="clear" w:color="000000" w:fill="FFFFFF"/>
            <w:noWrap/>
            <w:vAlign w:val="center"/>
          </w:tcPr>
          <w:p w14:paraId="706BFD62" w14:textId="0799125D" w:rsidR="006811BD" w:rsidRPr="005060E0" w:rsidRDefault="006811BD" w:rsidP="006811BD">
            <w:pPr>
              <w:widowControl w:val="0"/>
              <w:spacing w:after="0" w:line="240" w:lineRule="auto"/>
              <w:jc w:val="center"/>
              <w:rPr>
                <w:rFonts w:eastAsia="Times New Roman" w:cs="Arial"/>
                <w:sz w:val="16"/>
                <w:szCs w:val="16"/>
                <w:lang w:eastAsia="en-AU"/>
              </w:rPr>
            </w:pPr>
          </w:p>
        </w:tc>
        <w:tc>
          <w:tcPr>
            <w:tcW w:w="163" w:type="pct"/>
            <w:tcBorders>
              <w:top w:val="single" w:sz="4" w:space="0" w:color="606072"/>
              <w:left w:val="nil"/>
              <w:bottom w:val="dotted" w:sz="4" w:space="0" w:color="606072"/>
              <w:right w:val="nil"/>
            </w:tcBorders>
            <w:shd w:val="clear" w:color="000000" w:fill="FFFFFF"/>
            <w:noWrap/>
            <w:vAlign w:val="center"/>
          </w:tcPr>
          <w:p w14:paraId="79E47A28" w14:textId="0546C8FC" w:rsidR="006811BD" w:rsidRPr="005060E0" w:rsidRDefault="006811BD" w:rsidP="006811BD">
            <w:pPr>
              <w:widowControl w:val="0"/>
              <w:spacing w:after="0" w:line="240" w:lineRule="auto"/>
              <w:jc w:val="center"/>
              <w:rPr>
                <w:rFonts w:eastAsia="Times New Roman" w:cs="Arial"/>
                <w:sz w:val="16"/>
                <w:szCs w:val="16"/>
                <w:lang w:eastAsia="en-AU"/>
              </w:rPr>
            </w:pPr>
          </w:p>
        </w:tc>
        <w:tc>
          <w:tcPr>
            <w:tcW w:w="544" w:type="pct"/>
            <w:tcBorders>
              <w:top w:val="single" w:sz="4" w:space="0" w:color="606072"/>
              <w:left w:val="nil"/>
              <w:bottom w:val="dotted" w:sz="4" w:space="0" w:color="606072"/>
              <w:right w:val="nil"/>
            </w:tcBorders>
            <w:shd w:val="clear" w:color="000000" w:fill="FFFFFF"/>
            <w:vAlign w:val="center"/>
          </w:tcPr>
          <w:p w14:paraId="4D2F3D8D" w14:textId="73D579F2" w:rsidR="006811BD" w:rsidRPr="005060E0" w:rsidRDefault="006811BD"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AU"/>
              </w:rPr>
              <w:t>2</w:t>
            </w:r>
          </w:p>
        </w:tc>
        <w:tc>
          <w:tcPr>
            <w:tcW w:w="342" w:type="pct"/>
            <w:tcBorders>
              <w:top w:val="single" w:sz="4" w:space="0" w:color="606072"/>
              <w:left w:val="nil"/>
              <w:bottom w:val="dotted" w:sz="4" w:space="0" w:color="606072"/>
              <w:right w:val="nil"/>
            </w:tcBorders>
            <w:shd w:val="clear" w:color="000000" w:fill="FFFFFF"/>
            <w:vAlign w:val="center"/>
          </w:tcPr>
          <w:p w14:paraId="28592F27" w14:textId="5A870701" w:rsidR="006811BD" w:rsidRPr="005060E0" w:rsidRDefault="00102878"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808080" w:themeColor="background1" w:themeShade="80"/>
                <w:sz w:val="16"/>
                <w:szCs w:val="16"/>
                <w:lang w:eastAsia="en-AU"/>
              </w:rPr>
              <w:t>-</w:t>
            </w:r>
          </w:p>
        </w:tc>
        <w:tc>
          <w:tcPr>
            <w:tcW w:w="443" w:type="pct"/>
            <w:tcBorders>
              <w:top w:val="single" w:sz="4" w:space="0" w:color="606072"/>
              <w:left w:val="nil"/>
              <w:bottom w:val="dotted" w:sz="4" w:space="0" w:color="606072"/>
              <w:right w:val="nil"/>
            </w:tcBorders>
            <w:shd w:val="clear" w:color="000000" w:fill="FFFFFF"/>
            <w:vAlign w:val="center"/>
          </w:tcPr>
          <w:p w14:paraId="0072B859" w14:textId="52584C72" w:rsidR="006811BD" w:rsidRPr="005060E0" w:rsidRDefault="00102878"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808080" w:themeColor="background1" w:themeShade="80"/>
                <w:sz w:val="16"/>
                <w:szCs w:val="16"/>
                <w:lang w:eastAsia="en-AU"/>
              </w:rPr>
              <w:t>-</w:t>
            </w:r>
          </w:p>
        </w:tc>
        <w:tc>
          <w:tcPr>
            <w:tcW w:w="440" w:type="pct"/>
            <w:tcBorders>
              <w:top w:val="single" w:sz="4" w:space="0" w:color="606072"/>
              <w:left w:val="nil"/>
              <w:bottom w:val="dotted" w:sz="4" w:space="0" w:color="606072"/>
              <w:right w:val="single" w:sz="4" w:space="0" w:color="606072"/>
            </w:tcBorders>
            <w:shd w:val="clear" w:color="000000" w:fill="FFFFFF"/>
            <w:vAlign w:val="center"/>
          </w:tcPr>
          <w:p w14:paraId="4C16E541" w14:textId="24580BE5" w:rsidR="006811BD" w:rsidRPr="005060E0" w:rsidRDefault="006811BD"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AU"/>
              </w:rPr>
              <w:t>3</w:t>
            </w:r>
          </w:p>
        </w:tc>
      </w:tr>
      <w:tr w:rsidR="006811BD" w:rsidRPr="005060E0" w14:paraId="2DF88193" w14:textId="77777777" w:rsidTr="00BF7BF2">
        <w:trPr>
          <w:trHeight w:hRule="exact" w:val="454"/>
        </w:trPr>
        <w:tc>
          <w:tcPr>
            <w:tcW w:w="866" w:type="pct"/>
            <w:tcBorders>
              <w:top w:val="dotted" w:sz="4" w:space="0" w:color="606072"/>
              <w:left w:val="single" w:sz="4" w:space="0" w:color="606072"/>
              <w:bottom w:val="single" w:sz="4" w:space="0" w:color="606072"/>
              <w:right w:val="single" w:sz="4" w:space="0" w:color="606072"/>
            </w:tcBorders>
            <w:shd w:val="clear" w:color="000000" w:fill="F2F2F2"/>
            <w:tcMar>
              <w:left w:w="57" w:type="dxa"/>
              <w:right w:w="28" w:type="dxa"/>
            </w:tcMar>
            <w:vAlign w:val="center"/>
          </w:tcPr>
          <w:p w14:paraId="17F38C92" w14:textId="14BA391A" w:rsidR="006811BD" w:rsidRPr="005060E0" w:rsidRDefault="006811BD" w:rsidP="006811BD">
            <w:pPr>
              <w:widowControl w:val="0"/>
              <w:spacing w:after="0" w:line="240" w:lineRule="auto"/>
              <w:rPr>
                <w:rFonts w:eastAsia="Times New Roman"/>
                <w:sz w:val="15"/>
                <w:szCs w:val="15"/>
                <w:lang w:eastAsia="en-AU"/>
              </w:rPr>
            </w:pPr>
            <w:r w:rsidRPr="005060E0">
              <w:rPr>
                <w:rFonts w:eastAsia="Times New Roman"/>
                <w:sz w:val="15"/>
                <w:szCs w:val="15"/>
                <w:lang w:eastAsia="en-AU"/>
              </w:rPr>
              <w:t>Other airsheds</w:t>
            </w:r>
          </w:p>
        </w:tc>
        <w:tc>
          <w:tcPr>
            <w:tcW w:w="146" w:type="pct"/>
            <w:tcBorders>
              <w:top w:val="dotted" w:sz="4" w:space="0" w:color="606072"/>
              <w:left w:val="nil"/>
              <w:bottom w:val="single" w:sz="4" w:space="0" w:color="606072"/>
              <w:right w:val="nil"/>
            </w:tcBorders>
            <w:shd w:val="clear" w:color="000000" w:fill="FFFFFF"/>
            <w:vAlign w:val="center"/>
            <w:hideMark/>
          </w:tcPr>
          <w:p w14:paraId="75647ADB" w14:textId="77777777" w:rsidR="006811BD" w:rsidRPr="005060E0" w:rsidRDefault="006811BD" w:rsidP="006811BD">
            <w:pPr>
              <w:widowControl w:val="0"/>
              <w:spacing w:after="0" w:line="240" w:lineRule="auto"/>
              <w:rPr>
                <w:rFonts w:eastAsia="Times New Roman"/>
                <w:sz w:val="15"/>
                <w:szCs w:val="15"/>
                <w:lang w:eastAsia="en-AU"/>
              </w:rPr>
            </w:pPr>
            <w:r w:rsidRPr="005060E0">
              <w:rPr>
                <w:rFonts w:eastAsia="Times New Roman"/>
                <w:sz w:val="15"/>
                <w:szCs w:val="15"/>
                <w:lang w:eastAsia="en-AU"/>
              </w:rPr>
              <w:t> </w:t>
            </w:r>
          </w:p>
        </w:tc>
        <w:tc>
          <w:tcPr>
            <w:tcW w:w="572" w:type="pct"/>
            <w:tcBorders>
              <w:top w:val="dotted" w:sz="4" w:space="0" w:color="606072"/>
              <w:left w:val="nil"/>
              <w:bottom w:val="single" w:sz="4" w:space="0" w:color="606072"/>
              <w:right w:val="nil"/>
            </w:tcBorders>
            <w:shd w:val="clear" w:color="000000" w:fill="FFFFFF"/>
            <w:vAlign w:val="center"/>
          </w:tcPr>
          <w:p w14:paraId="2ACA0EC8" w14:textId="69081AF0" w:rsidR="006811BD" w:rsidRPr="005060E0" w:rsidRDefault="006811BD" w:rsidP="006811BD">
            <w:pPr>
              <w:widowControl w:val="0"/>
              <w:spacing w:after="0" w:line="240" w:lineRule="auto"/>
              <w:jc w:val="center"/>
              <w:rPr>
                <w:rFonts w:eastAsia="Times New Roman" w:cs="Arial"/>
                <w:sz w:val="16"/>
                <w:szCs w:val="16"/>
                <w:lang w:eastAsia="en-AU"/>
              </w:rPr>
            </w:pPr>
            <w:r w:rsidRPr="005060E0">
              <w:rPr>
                <w:rFonts w:eastAsia="Times New Roman" w:cs="Arial"/>
                <w:color w:val="000000"/>
                <w:sz w:val="16"/>
                <w:szCs w:val="16"/>
                <w:lang w:eastAsia="en-AU"/>
              </w:rPr>
              <w:t>3</w:t>
            </w:r>
          </w:p>
        </w:tc>
        <w:tc>
          <w:tcPr>
            <w:tcW w:w="338" w:type="pct"/>
            <w:tcBorders>
              <w:top w:val="dotted" w:sz="4" w:space="0" w:color="606072"/>
              <w:left w:val="nil"/>
              <w:bottom w:val="single" w:sz="4" w:space="0" w:color="606072"/>
              <w:right w:val="nil"/>
            </w:tcBorders>
            <w:shd w:val="clear" w:color="000000" w:fill="FFFFFF"/>
            <w:vAlign w:val="center"/>
          </w:tcPr>
          <w:p w14:paraId="24A5E5CD" w14:textId="319DDB77" w:rsidR="006811BD" w:rsidRPr="005060E0" w:rsidRDefault="00102878" w:rsidP="006811BD">
            <w:pPr>
              <w:widowControl w:val="0"/>
              <w:spacing w:after="0" w:line="240" w:lineRule="auto"/>
              <w:jc w:val="center"/>
              <w:rPr>
                <w:rFonts w:eastAsia="Times New Roman" w:cs="Arial"/>
                <w:sz w:val="16"/>
                <w:szCs w:val="16"/>
                <w:lang w:eastAsia="en-AU"/>
              </w:rPr>
            </w:pPr>
            <w:r w:rsidRPr="005060E0">
              <w:rPr>
                <w:rFonts w:eastAsia="Times New Roman" w:cs="Arial"/>
                <w:sz w:val="16"/>
                <w:szCs w:val="16"/>
                <w:lang w:eastAsia="en-AU"/>
              </w:rPr>
              <w:t>-</w:t>
            </w:r>
          </w:p>
        </w:tc>
        <w:tc>
          <w:tcPr>
            <w:tcW w:w="455" w:type="pct"/>
            <w:tcBorders>
              <w:top w:val="dotted" w:sz="4" w:space="0" w:color="606072"/>
              <w:left w:val="nil"/>
              <w:bottom w:val="single" w:sz="4" w:space="0" w:color="606072"/>
              <w:right w:val="nil"/>
            </w:tcBorders>
            <w:shd w:val="clear" w:color="000000" w:fill="FFFFFF"/>
            <w:vAlign w:val="center"/>
          </w:tcPr>
          <w:p w14:paraId="0B6DA678" w14:textId="6BC55429" w:rsidR="006811BD" w:rsidRPr="005060E0" w:rsidRDefault="00102878" w:rsidP="006811BD">
            <w:pPr>
              <w:widowControl w:val="0"/>
              <w:spacing w:after="0" w:line="240" w:lineRule="auto"/>
              <w:jc w:val="center"/>
              <w:rPr>
                <w:rFonts w:eastAsia="Times New Roman" w:cs="Arial"/>
                <w:sz w:val="16"/>
                <w:szCs w:val="16"/>
                <w:lang w:eastAsia="en-AU"/>
              </w:rPr>
            </w:pPr>
            <w:r w:rsidRPr="005060E0">
              <w:rPr>
                <w:rFonts w:eastAsia="Times New Roman" w:cs="Arial"/>
                <w:sz w:val="16"/>
                <w:szCs w:val="16"/>
                <w:lang w:eastAsia="en-AU"/>
              </w:rPr>
              <w:t>-</w:t>
            </w:r>
          </w:p>
        </w:tc>
        <w:tc>
          <w:tcPr>
            <w:tcW w:w="465" w:type="pct"/>
            <w:tcBorders>
              <w:top w:val="dotted" w:sz="4" w:space="0" w:color="606072"/>
              <w:left w:val="nil"/>
              <w:bottom w:val="single" w:sz="4" w:space="0" w:color="606072"/>
              <w:right w:val="nil"/>
            </w:tcBorders>
            <w:shd w:val="clear" w:color="000000" w:fill="FFFFFF"/>
            <w:vAlign w:val="center"/>
          </w:tcPr>
          <w:p w14:paraId="0897F787" w14:textId="2801F9E3" w:rsidR="006811BD" w:rsidRPr="005060E0" w:rsidRDefault="00102878" w:rsidP="006811BD">
            <w:pPr>
              <w:widowControl w:val="0"/>
              <w:spacing w:after="0" w:line="240" w:lineRule="auto"/>
              <w:jc w:val="center"/>
              <w:rPr>
                <w:rFonts w:eastAsia="Times New Roman" w:cs="Arial"/>
                <w:sz w:val="16"/>
                <w:szCs w:val="16"/>
                <w:lang w:eastAsia="en-AU"/>
              </w:rPr>
            </w:pPr>
            <w:r w:rsidRPr="005060E0">
              <w:rPr>
                <w:rFonts w:eastAsia="Times New Roman" w:cs="Arial"/>
                <w:sz w:val="16"/>
                <w:szCs w:val="16"/>
                <w:lang w:eastAsia="en-AU"/>
              </w:rPr>
              <w:t>-</w:t>
            </w:r>
          </w:p>
        </w:tc>
        <w:tc>
          <w:tcPr>
            <w:tcW w:w="226" w:type="pct"/>
            <w:tcBorders>
              <w:top w:val="dotted" w:sz="4" w:space="0" w:color="606072"/>
              <w:left w:val="nil"/>
              <w:bottom w:val="single" w:sz="4" w:space="0" w:color="606072"/>
              <w:right w:val="single" w:sz="4" w:space="0" w:color="606072"/>
            </w:tcBorders>
            <w:shd w:val="clear" w:color="000000" w:fill="FFFFFF"/>
            <w:noWrap/>
            <w:vAlign w:val="center"/>
          </w:tcPr>
          <w:p w14:paraId="48FFB6C8" w14:textId="15D45E27" w:rsidR="006811BD" w:rsidRPr="005060E0" w:rsidRDefault="006811BD" w:rsidP="006811BD">
            <w:pPr>
              <w:widowControl w:val="0"/>
              <w:spacing w:after="0" w:line="240" w:lineRule="auto"/>
              <w:jc w:val="center"/>
              <w:rPr>
                <w:rFonts w:eastAsia="Times New Roman" w:cs="Arial"/>
                <w:color w:val="FF0000"/>
                <w:sz w:val="16"/>
                <w:szCs w:val="16"/>
                <w:lang w:eastAsia="en-AU"/>
              </w:rPr>
            </w:pPr>
          </w:p>
        </w:tc>
        <w:tc>
          <w:tcPr>
            <w:tcW w:w="163" w:type="pct"/>
            <w:tcBorders>
              <w:top w:val="dotted" w:sz="4" w:space="0" w:color="606072"/>
              <w:left w:val="nil"/>
              <w:bottom w:val="single" w:sz="4" w:space="0" w:color="606072"/>
              <w:right w:val="nil"/>
            </w:tcBorders>
            <w:shd w:val="clear" w:color="000000" w:fill="FFFFFF"/>
            <w:noWrap/>
            <w:vAlign w:val="center"/>
          </w:tcPr>
          <w:p w14:paraId="1513EE1A" w14:textId="11F8EE23" w:rsidR="006811BD" w:rsidRPr="005060E0" w:rsidRDefault="006811BD" w:rsidP="006811BD">
            <w:pPr>
              <w:widowControl w:val="0"/>
              <w:spacing w:after="0" w:line="240" w:lineRule="auto"/>
              <w:jc w:val="center"/>
              <w:rPr>
                <w:rFonts w:eastAsia="Times New Roman" w:cs="Arial"/>
                <w:color w:val="FF0000"/>
                <w:sz w:val="16"/>
                <w:szCs w:val="16"/>
                <w:lang w:eastAsia="en-AU"/>
              </w:rPr>
            </w:pPr>
          </w:p>
        </w:tc>
        <w:tc>
          <w:tcPr>
            <w:tcW w:w="544" w:type="pct"/>
            <w:tcBorders>
              <w:top w:val="dotted" w:sz="4" w:space="0" w:color="606072"/>
              <w:left w:val="nil"/>
              <w:bottom w:val="single" w:sz="4" w:space="0" w:color="606072"/>
              <w:right w:val="nil"/>
            </w:tcBorders>
            <w:shd w:val="clear" w:color="000000" w:fill="FFFFFF"/>
            <w:vAlign w:val="center"/>
          </w:tcPr>
          <w:p w14:paraId="38A20DF3" w14:textId="48B94CB9" w:rsidR="006811BD" w:rsidRPr="005060E0" w:rsidRDefault="00102878" w:rsidP="006811BD">
            <w:pPr>
              <w:widowControl w:val="0"/>
              <w:spacing w:after="0" w:line="240" w:lineRule="auto"/>
              <w:jc w:val="center"/>
              <w:rPr>
                <w:rFonts w:eastAsia="Times New Roman" w:cs="Arial"/>
                <w:sz w:val="16"/>
                <w:szCs w:val="16"/>
                <w:lang w:eastAsia="en-AU"/>
              </w:rPr>
            </w:pPr>
            <w:r w:rsidRPr="005060E0">
              <w:rPr>
                <w:rFonts w:eastAsia="Times New Roman" w:cs="Arial"/>
                <w:sz w:val="16"/>
                <w:szCs w:val="16"/>
                <w:lang w:eastAsia="en-AU"/>
              </w:rPr>
              <w:t>-</w:t>
            </w:r>
          </w:p>
        </w:tc>
        <w:tc>
          <w:tcPr>
            <w:tcW w:w="342" w:type="pct"/>
            <w:tcBorders>
              <w:top w:val="dotted" w:sz="4" w:space="0" w:color="606072"/>
              <w:left w:val="nil"/>
              <w:bottom w:val="single" w:sz="4" w:space="0" w:color="606072"/>
              <w:right w:val="nil"/>
            </w:tcBorders>
            <w:shd w:val="clear" w:color="000000" w:fill="FFFFFF"/>
            <w:vAlign w:val="center"/>
          </w:tcPr>
          <w:p w14:paraId="3BFDE717" w14:textId="680AE56E" w:rsidR="006811BD" w:rsidRPr="005060E0" w:rsidRDefault="00102878"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808080" w:themeColor="background1" w:themeShade="80"/>
                <w:sz w:val="16"/>
                <w:szCs w:val="16"/>
                <w:lang w:eastAsia="en-AU"/>
              </w:rPr>
              <w:t>-</w:t>
            </w:r>
          </w:p>
        </w:tc>
        <w:tc>
          <w:tcPr>
            <w:tcW w:w="443" w:type="pct"/>
            <w:tcBorders>
              <w:top w:val="dotted" w:sz="4" w:space="0" w:color="606072"/>
              <w:left w:val="nil"/>
              <w:bottom w:val="single" w:sz="4" w:space="0" w:color="606072"/>
              <w:right w:val="nil"/>
            </w:tcBorders>
            <w:shd w:val="clear" w:color="000000" w:fill="FFFFFF"/>
            <w:vAlign w:val="center"/>
          </w:tcPr>
          <w:p w14:paraId="16971F98" w14:textId="2C9F4177" w:rsidR="006811BD" w:rsidRPr="005060E0" w:rsidRDefault="00102878"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808080" w:themeColor="background1" w:themeShade="80"/>
                <w:sz w:val="16"/>
                <w:szCs w:val="16"/>
                <w:lang w:eastAsia="en-AU"/>
              </w:rPr>
              <w:t>-</w:t>
            </w:r>
          </w:p>
        </w:tc>
        <w:tc>
          <w:tcPr>
            <w:tcW w:w="440" w:type="pct"/>
            <w:tcBorders>
              <w:top w:val="dotted" w:sz="4" w:space="0" w:color="606072"/>
              <w:left w:val="nil"/>
              <w:bottom w:val="single" w:sz="4" w:space="0" w:color="606072"/>
              <w:right w:val="single" w:sz="4" w:space="0" w:color="606072"/>
            </w:tcBorders>
            <w:shd w:val="clear" w:color="000000" w:fill="FFFFFF"/>
            <w:vAlign w:val="center"/>
          </w:tcPr>
          <w:p w14:paraId="3EA3D393" w14:textId="50710595" w:rsidR="006811BD" w:rsidRPr="005060E0" w:rsidRDefault="00102878"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808080" w:themeColor="background1" w:themeShade="80"/>
                <w:sz w:val="16"/>
                <w:szCs w:val="16"/>
                <w:lang w:eastAsia="en-AU"/>
              </w:rPr>
              <w:t>-</w:t>
            </w:r>
          </w:p>
        </w:tc>
      </w:tr>
      <w:tr w:rsidR="006811BD" w:rsidRPr="005060E0" w14:paraId="70547B48" w14:textId="77777777" w:rsidTr="003D2D76">
        <w:trPr>
          <w:trHeight w:val="340"/>
        </w:trPr>
        <w:tc>
          <w:tcPr>
            <w:tcW w:w="5000" w:type="pct"/>
            <w:gridSpan w:val="12"/>
            <w:tcBorders>
              <w:top w:val="nil"/>
              <w:left w:val="single" w:sz="4" w:space="0" w:color="606072"/>
              <w:bottom w:val="nil"/>
              <w:right w:val="single" w:sz="4" w:space="0" w:color="606072"/>
            </w:tcBorders>
            <w:shd w:val="clear" w:color="auto" w:fill="DEDFE3" w:themeFill="text2" w:themeFillTint="33"/>
            <w:noWrap/>
            <w:tcMar>
              <w:left w:w="57" w:type="dxa"/>
              <w:right w:w="28" w:type="dxa"/>
            </w:tcMar>
            <w:vAlign w:val="center"/>
            <w:hideMark/>
          </w:tcPr>
          <w:p w14:paraId="318FAFB5" w14:textId="77777777" w:rsidR="006811BD" w:rsidRPr="005060E0" w:rsidRDefault="006811BD" w:rsidP="006811BD">
            <w:pPr>
              <w:widowControl w:val="0"/>
              <w:spacing w:after="0" w:line="240" w:lineRule="auto"/>
              <w:rPr>
                <w:rFonts w:eastAsia="Times New Roman"/>
                <w:sz w:val="15"/>
                <w:szCs w:val="15"/>
                <w:lang w:eastAsia="en-AU"/>
              </w:rPr>
            </w:pPr>
            <w:r w:rsidRPr="005060E0">
              <w:rPr>
                <w:rFonts w:eastAsia="Times New Roman"/>
                <w:sz w:val="15"/>
                <w:szCs w:val="15"/>
                <w:lang w:eastAsia="en-AU"/>
              </w:rPr>
              <w:t>Hospital admissions for respiratory disease (65+ years)</w:t>
            </w:r>
          </w:p>
        </w:tc>
      </w:tr>
      <w:tr w:rsidR="006811BD" w:rsidRPr="005060E0" w14:paraId="09A3310A" w14:textId="77777777" w:rsidTr="00BF7BF2">
        <w:trPr>
          <w:trHeight w:hRule="exact" w:val="454"/>
        </w:trPr>
        <w:tc>
          <w:tcPr>
            <w:tcW w:w="866" w:type="pct"/>
            <w:tcBorders>
              <w:top w:val="single" w:sz="4" w:space="0" w:color="606072"/>
              <w:left w:val="single" w:sz="4" w:space="0" w:color="606072"/>
              <w:bottom w:val="dotted" w:sz="4" w:space="0" w:color="606072"/>
              <w:right w:val="single" w:sz="4" w:space="0" w:color="606072"/>
            </w:tcBorders>
            <w:shd w:val="clear" w:color="000000" w:fill="F2F2F2"/>
            <w:tcMar>
              <w:left w:w="57" w:type="dxa"/>
              <w:right w:w="28" w:type="dxa"/>
            </w:tcMar>
            <w:vAlign w:val="center"/>
          </w:tcPr>
          <w:p w14:paraId="740A72C3" w14:textId="5D623FED" w:rsidR="006811BD" w:rsidRPr="005060E0" w:rsidRDefault="003D2D76" w:rsidP="006811BD">
            <w:pPr>
              <w:widowControl w:val="0"/>
              <w:spacing w:after="0" w:line="240" w:lineRule="auto"/>
              <w:rPr>
                <w:rFonts w:eastAsia="Times New Roman"/>
                <w:sz w:val="15"/>
                <w:szCs w:val="15"/>
                <w:lang w:eastAsia="en-AU"/>
              </w:rPr>
            </w:pPr>
            <w:r w:rsidRPr="005060E0">
              <w:rPr>
                <w:rFonts w:eastAsia="Times New Roman"/>
                <w:sz w:val="15"/>
                <w:szCs w:val="15"/>
                <w:lang w:eastAsia="en-AU"/>
              </w:rPr>
              <w:t>NSW and Victoria</w:t>
            </w:r>
          </w:p>
        </w:tc>
        <w:tc>
          <w:tcPr>
            <w:tcW w:w="146" w:type="pct"/>
            <w:tcBorders>
              <w:top w:val="single" w:sz="4" w:space="0" w:color="606072"/>
              <w:left w:val="nil"/>
              <w:bottom w:val="dotted" w:sz="4" w:space="0" w:color="606072"/>
              <w:right w:val="nil"/>
            </w:tcBorders>
            <w:shd w:val="clear" w:color="000000" w:fill="FFFFFF"/>
            <w:vAlign w:val="center"/>
            <w:hideMark/>
          </w:tcPr>
          <w:p w14:paraId="4FE19B8C" w14:textId="77777777" w:rsidR="006811BD" w:rsidRPr="005060E0" w:rsidRDefault="006811BD" w:rsidP="006811BD">
            <w:pPr>
              <w:widowControl w:val="0"/>
              <w:spacing w:after="0" w:line="240" w:lineRule="auto"/>
              <w:rPr>
                <w:rFonts w:eastAsia="Times New Roman"/>
                <w:sz w:val="15"/>
                <w:szCs w:val="15"/>
                <w:lang w:eastAsia="en-AU"/>
              </w:rPr>
            </w:pPr>
            <w:r w:rsidRPr="005060E0">
              <w:rPr>
                <w:rFonts w:eastAsia="Times New Roman"/>
                <w:sz w:val="15"/>
                <w:szCs w:val="15"/>
                <w:lang w:eastAsia="en-AU"/>
              </w:rPr>
              <w:t> </w:t>
            </w:r>
          </w:p>
        </w:tc>
        <w:tc>
          <w:tcPr>
            <w:tcW w:w="572" w:type="pct"/>
            <w:tcBorders>
              <w:top w:val="single" w:sz="4" w:space="0" w:color="606072"/>
              <w:left w:val="nil"/>
              <w:bottom w:val="dotted" w:sz="4" w:space="0" w:color="606072"/>
              <w:right w:val="nil"/>
            </w:tcBorders>
            <w:shd w:val="clear" w:color="000000" w:fill="FFFFFF"/>
            <w:vAlign w:val="center"/>
          </w:tcPr>
          <w:p w14:paraId="1D193BAE" w14:textId="018358FD" w:rsidR="006811BD" w:rsidRPr="005060E0" w:rsidRDefault="006811BD"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AU"/>
              </w:rPr>
              <w:t>352</w:t>
            </w:r>
          </w:p>
        </w:tc>
        <w:tc>
          <w:tcPr>
            <w:tcW w:w="338" w:type="pct"/>
            <w:tcBorders>
              <w:top w:val="single" w:sz="4" w:space="0" w:color="606072"/>
              <w:left w:val="nil"/>
              <w:bottom w:val="dotted" w:sz="4" w:space="0" w:color="606072"/>
              <w:right w:val="nil"/>
            </w:tcBorders>
            <w:shd w:val="clear" w:color="000000" w:fill="FFFFFF"/>
            <w:vAlign w:val="center"/>
          </w:tcPr>
          <w:p w14:paraId="6C133250" w14:textId="26F9A546" w:rsidR="006811BD" w:rsidRPr="005060E0" w:rsidRDefault="006811BD"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AU"/>
              </w:rPr>
              <w:t>596</w:t>
            </w:r>
          </w:p>
        </w:tc>
        <w:tc>
          <w:tcPr>
            <w:tcW w:w="455" w:type="pct"/>
            <w:tcBorders>
              <w:top w:val="single" w:sz="4" w:space="0" w:color="606072"/>
              <w:left w:val="nil"/>
              <w:bottom w:val="dotted" w:sz="4" w:space="0" w:color="606072"/>
              <w:right w:val="nil"/>
            </w:tcBorders>
            <w:shd w:val="clear" w:color="000000" w:fill="FFFFFF"/>
            <w:vAlign w:val="center"/>
          </w:tcPr>
          <w:p w14:paraId="377E186E" w14:textId="52462D38" w:rsidR="006811BD" w:rsidRPr="005060E0" w:rsidRDefault="006811BD"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AU"/>
              </w:rPr>
              <w:t>634</w:t>
            </w:r>
          </w:p>
        </w:tc>
        <w:tc>
          <w:tcPr>
            <w:tcW w:w="465" w:type="pct"/>
            <w:tcBorders>
              <w:top w:val="single" w:sz="4" w:space="0" w:color="606072"/>
              <w:left w:val="nil"/>
              <w:bottom w:val="dotted" w:sz="4" w:space="0" w:color="606072"/>
              <w:right w:val="nil"/>
            </w:tcBorders>
            <w:shd w:val="clear" w:color="000000" w:fill="FFFFFF"/>
            <w:vAlign w:val="center"/>
          </w:tcPr>
          <w:p w14:paraId="7B7C070E" w14:textId="6941AAED" w:rsidR="006811BD" w:rsidRPr="005060E0" w:rsidRDefault="006811BD"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AU"/>
              </w:rPr>
              <w:t>729</w:t>
            </w:r>
          </w:p>
        </w:tc>
        <w:tc>
          <w:tcPr>
            <w:tcW w:w="226" w:type="pct"/>
            <w:tcBorders>
              <w:top w:val="single" w:sz="4" w:space="0" w:color="606072"/>
              <w:left w:val="nil"/>
              <w:bottom w:val="dotted" w:sz="4" w:space="0" w:color="606072"/>
              <w:right w:val="single" w:sz="4" w:space="0" w:color="606072"/>
            </w:tcBorders>
            <w:shd w:val="clear" w:color="000000" w:fill="FFFFFF"/>
            <w:noWrap/>
            <w:vAlign w:val="center"/>
          </w:tcPr>
          <w:p w14:paraId="60278EC8" w14:textId="601309D9" w:rsidR="006811BD" w:rsidRPr="005060E0" w:rsidRDefault="006811BD" w:rsidP="006811BD">
            <w:pPr>
              <w:widowControl w:val="0"/>
              <w:spacing w:after="0" w:line="240" w:lineRule="auto"/>
              <w:jc w:val="center"/>
              <w:rPr>
                <w:rFonts w:eastAsia="Times New Roman" w:cs="Arial"/>
                <w:color w:val="808080" w:themeColor="background1" w:themeShade="80"/>
                <w:sz w:val="16"/>
                <w:szCs w:val="16"/>
                <w:lang w:eastAsia="en-AU"/>
              </w:rPr>
            </w:pPr>
          </w:p>
        </w:tc>
        <w:tc>
          <w:tcPr>
            <w:tcW w:w="163" w:type="pct"/>
            <w:tcBorders>
              <w:top w:val="single" w:sz="4" w:space="0" w:color="606072"/>
              <w:left w:val="nil"/>
              <w:bottom w:val="dotted" w:sz="4" w:space="0" w:color="606072"/>
              <w:right w:val="nil"/>
            </w:tcBorders>
            <w:shd w:val="clear" w:color="000000" w:fill="FFFFFF"/>
            <w:noWrap/>
            <w:vAlign w:val="center"/>
          </w:tcPr>
          <w:p w14:paraId="689D81AB" w14:textId="5DF02046" w:rsidR="006811BD" w:rsidRPr="005060E0" w:rsidRDefault="006811BD" w:rsidP="006811BD">
            <w:pPr>
              <w:widowControl w:val="0"/>
              <w:spacing w:after="0" w:line="240" w:lineRule="auto"/>
              <w:jc w:val="center"/>
              <w:rPr>
                <w:rFonts w:eastAsia="Times New Roman" w:cs="Arial"/>
                <w:color w:val="808080" w:themeColor="background1" w:themeShade="80"/>
                <w:sz w:val="16"/>
                <w:szCs w:val="16"/>
                <w:lang w:eastAsia="en-AU"/>
              </w:rPr>
            </w:pPr>
          </w:p>
        </w:tc>
        <w:tc>
          <w:tcPr>
            <w:tcW w:w="544" w:type="pct"/>
            <w:tcBorders>
              <w:top w:val="single" w:sz="4" w:space="0" w:color="606072"/>
              <w:left w:val="nil"/>
              <w:bottom w:val="dotted" w:sz="4" w:space="0" w:color="606072"/>
              <w:right w:val="nil"/>
            </w:tcBorders>
            <w:shd w:val="clear" w:color="000000" w:fill="FFFFFF"/>
            <w:vAlign w:val="center"/>
          </w:tcPr>
          <w:p w14:paraId="7D84765A" w14:textId="296EB88A" w:rsidR="006811BD" w:rsidRPr="005060E0" w:rsidRDefault="006811BD"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AU"/>
              </w:rPr>
              <w:t>238</w:t>
            </w:r>
          </w:p>
        </w:tc>
        <w:tc>
          <w:tcPr>
            <w:tcW w:w="342" w:type="pct"/>
            <w:tcBorders>
              <w:top w:val="single" w:sz="4" w:space="0" w:color="606072"/>
              <w:left w:val="nil"/>
              <w:bottom w:val="dotted" w:sz="4" w:space="0" w:color="606072"/>
              <w:right w:val="nil"/>
            </w:tcBorders>
            <w:shd w:val="clear" w:color="000000" w:fill="FFFFFF"/>
            <w:vAlign w:val="center"/>
          </w:tcPr>
          <w:p w14:paraId="5DBD56DA" w14:textId="47714A7E" w:rsidR="006811BD" w:rsidRPr="005060E0" w:rsidRDefault="00102878"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808080" w:themeColor="background1" w:themeShade="80"/>
                <w:sz w:val="16"/>
                <w:szCs w:val="16"/>
                <w:lang w:eastAsia="en-AU"/>
              </w:rPr>
              <w:t>-</w:t>
            </w:r>
          </w:p>
        </w:tc>
        <w:tc>
          <w:tcPr>
            <w:tcW w:w="443" w:type="pct"/>
            <w:tcBorders>
              <w:top w:val="single" w:sz="4" w:space="0" w:color="606072"/>
              <w:left w:val="nil"/>
              <w:bottom w:val="dotted" w:sz="4" w:space="0" w:color="606072"/>
              <w:right w:val="nil"/>
            </w:tcBorders>
            <w:shd w:val="clear" w:color="000000" w:fill="FFFFFF"/>
            <w:vAlign w:val="center"/>
          </w:tcPr>
          <w:p w14:paraId="43B9C249" w14:textId="7BCFBAD7" w:rsidR="006811BD" w:rsidRPr="005060E0" w:rsidRDefault="00102878"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808080" w:themeColor="background1" w:themeShade="80"/>
                <w:sz w:val="16"/>
                <w:szCs w:val="16"/>
                <w:lang w:eastAsia="en-AU"/>
              </w:rPr>
              <w:t>-</w:t>
            </w:r>
          </w:p>
        </w:tc>
        <w:tc>
          <w:tcPr>
            <w:tcW w:w="440" w:type="pct"/>
            <w:tcBorders>
              <w:top w:val="single" w:sz="4" w:space="0" w:color="606072"/>
              <w:left w:val="nil"/>
              <w:bottom w:val="dotted" w:sz="4" w:space="0" w:color="606072"/>
              <w:right w:val="single" w:sz="4" w:space="0" w:color="606072"/>
            </w:tcBorders>
            <w:shd w:val="clear" w:color="000000" w:fill="FFFFFF"/>
            <w:vAlign w:val="center"/>
          </w:tcPr>
          <w:p w14:paraId="485F433C" w14:textId="23AC2D84" w:rsidR="006811BD" w:rsidRPr="005060E0" w:rsidRDefault="00102878"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808080" w:themeColor="background1" w:themeShade="80"/>
                <w:sz w:val="16"/>
                <w:szCs w:val="16"/>
                <w:lang w:eastAsia="en-AU"/>
              </w:rPr>
              <w:t>-</w:t>
            </w:r>
          </w:p>
        </w:tc>
      </w:tr>
      <w:tr w:rsidR="006811BD" w:rsidRPr="005060E0" w14:paraId="774E3519" w14:textId="77777777" w:rsidTr="00BF7BF2">
        <w:trPr>
          <w:trHeight w:hRule="exact" w:val="454"/>
        </w:trPr>
        <w:tc>
          <w:tcPr>
            <w:tcW w:w="866" w:type="pct"/>
            <w:tcBorders>
              <w:top w:val="dotted" w:sz="4" w:space="0" w:color="606072"/>
              <w:left w:val="single" w:sz="4" w:space="0" w:color="606072"/>
              <w:bottom w:val="single" w:sz="4" w:space="0" w:color="606072"/>
              <w:right w:val="single" w:sz="4" w:space="0" w:color="606072"/>
            </w:tcBorders>
            <w:shd w:val="clear" w:color="000000" w:fill="F2F2F2"/>
            <w:tcMar>
              <w:left w:w="57" w:type="dxa"/>
              <w:right w:w="28" w:type="dxa"/>
            </w:tcMar>
            <w:vAlign w:val="center"/>
          </w:tcPr>
          <w:p w14:paraId="313F1058" w14:textId="7655169C" w:rsidR="006811BD" w:rsidRPr="005060E0" w:rsidRDefault="006811BD" w:rsidP="006811BD">
            <w:pPr>
              <w:widowControl w:val="0"/>
              <w:spacing w:after="0" w:line="240" w:lineRule="auto"/>
              <w:rPr>
                <w:rFonts w:eastAsia="Times New Roman"/>
                <w:sz w:val="15"/>
                <w:szCs w:val="15"/>
                <w:lang w:eastAsia="en-AU"/>
              </w:rPr>
            </w:pPr>
            <w:r w:rsidRPr="005060E0">
              <w:rPr>
                <w:rFonts w:eastAsia="Times New Roman"/>
                <w:sz w:val="15"/>
                <w:szCs w:val="15"/>
                <w:lang w:eastAsia="en-AU"/>
              </w:rPr>
              <w:t>Other airsheds</w:t>
            </w:r>
          </w:p>
        </w:tc>
        <w:tc>
          <w:tcPr>
            <w:tcW w:w="146" w:type="pct"/>
            <w:tcBorders>
              <w:top w:val="dotted" w:sz="4" w:space="0" w:color="606072"/>
              <w:left w:val="nil"/>
              <w:bottom w:val="single" w:sz="4" w:space="0" w:color="606072"/>
              <w:right w:val="nil"/>
            </w:tcBorders>
            <w:shd w:val="clear" w:color="000000" w:fill="FFFFFF"/>
            <w:vAlign w:val="center"/>
            <w:hideMark/>
          </w:tcPr>
          <w:p w14:paraId="5B62BBFC" w14:textId="77777777" w:rsidR="006811BD" w:rsidRPr="005060E0" w:rsidRDefault="006811BD" w:rsidP="006811BD">
            <w:pPr>
              <w:widowControl w:val="0"/>
              <w:spacing w:after="0" w:line="240" w:lineRule="auto"/>
              <w:rPr>
                <w:rFonts w:eastAsia="Times New Roman"/>
                <w:sz w:val="15"/>
                <w:szCs w:val="15"/>
                <w:lang w:eastAsia="en-AU"/>
              </w:rPr>
            </w:pPr>
            <w:r w:rsidRPr="005060E0">
              <w:rPr>
                <w:rFonts w:eastAsia="Times New Roman"/>
                <w:sz w:val="15"/>
                <w:szCs w:val="15"/>
                <w:lang w:eastAsia="en-AU"/>
              </w:rPr>
              <w:t> </w:t>
            </w:r>
          </w:p>
        </w:tc>
        <w:tc>
          <w:tcPr>
            <w:tcW w:w="572" w:type="pct"/>
            <w:tcBorders>
              <w:top w:val="dotted" w:sz="4" w:space="0" w:color="606072"/>
              <w:left w:val="nil"/>
              <w:bottom w:val="single" w:sz="4" w:space="0" w:color="606072"/>
              <w:right w:val="nil"/>
            </w:tcBorders>
            <w:shd w:val="clear" w:color="000000" w:fill="FFFFFF"/>
            <w:vAlign w:val="center"/>
          </w:tcPr>
          <w:p w14:paraId="75D29F57" w14:textId="174725B5" w:rsidR="006811BD" w:rsidRPr="005060E0" w:rsidRDefault="006811BD" w:rsidP="006811BD">
            <w:pPr>
              <w:widowControl w:val="0"/>
              <w:spacing w:after="0" w:line="240" w:lineRule="auto"/>
              <w:jc w:val="center"/>
              <w:rPr>
                <w:rFonts w:eastAsia="Times New Roman" w:cs="Arial"/>
                <w:sz w:val="16"/>
                <w:szCs w:val="16"/>
                <w:lang w:eastAsia="en-AU"/>
              </w:rPr>
            </w:pPr>
            <w:r w:rsidRPr="005060E0">
              <w:rPr>
                <w:rFonts w:eastAsia="Times New Roman" w:cs="Arial"/>
                <w:color w:val="000000"/>
                <w:sz w:val="16"/>
                <w:szCs w:val="16"/>
                <w:lang w:eastAsia="en-AU"/>
              </w:rPr>
              <w:t>1</w:t>
            </w:r>
          </w:p>
        </w:tc>
        <w:tc>
          <w:tcPr>
            <w:tcW w:w="338" w:type="pct"/>
            <w:tcBorders>
              <w:top w:val="dotted" w:sz="4" w:space="0" w:color="606072"/>
              <w:left w:val="nil"/>
              <w:bottom w:val="single" w:sz="4" w:space="0" w:color="606072"/>
              <w:right w:val="nil"/>
            </w:tcBorders>
            <w:shd w:val="clear" w:color="000000" w:fill="FFFFFF"/>
            <w:vAlign w:val="center"/>
          </w:tcPr>
          <w:p w14:paraId="2C37C2EB" w14:textId="61120016" w:rsidR="006811BD" w:rsidRPr="005060E0" w:rsidRDefault="00102878" w:rsidP="006811BD">
            <w:pPr>
              <w:widowControl w:val="0"/>
              <w:spacing w:after="0" w:line="240" w:lineRule="auto"/>
              <w:jc w:val="center"/>
              <w:rPr>
                <w:rFonts w:eastAsia="Times New Roman" w:cs="Arial"/>
                <w:sz w:val="16"/>
                <w:szCs w:val="16"/>
                <w:lang w:eastAsia="en-AU"/>
              </w:rPr>
            </w:pPr>
            <w:r w:rsidRPr="005060E0">
              <w:rPr>
                <w:rFonts w:eastAsia="Times New Roman" w:cs="Arial"/>
                <w:sz w:val="16"/>
                <w:szCs w:val="16"/>
                <w:lang w:eastAsia="en-AU"/>
              </w:rPr>
              <w:t>-</w:t>
            </w:r>
          </w:p>
        </w:tc>
        <w:tc>
          <w:tcPr>
            <w:tcW w:w="455" w:type="pct"/>
            <w:tcBorders>
              <w:top w:val="dotted" w:sz="4" w:space="0" w:color="606072"/>
              <w:left w:val="nil"/>
              <w:bottom w:val="single" w:sz="4" w:space="0" w:color="606072"/>
              <w:right w:val="nil"/>
            </w:tcBorders>
            <w:shd w:val="clear" w:color="000000" w:fill="FFFFFF"/>
            <w:vAlign w:val="center"/>
          </w:tcPr>
          <w:p w14:paraId="723D8404" w14:textId="2833B90D" w:rsidR="006811BD" w:rsidRPr="005060E0" w:rsidRDefault="00102878" w:rsidP="006811BD">
            <w:pPr>
              <w:widowControl w:val="0"/>
              <w:spacing w:after="0" w:line="240" w:lineRule="auto"/>
              <w:jc w:val="center"/>
              <w:rPr>
                <w:rFonts w:eastAsia="Times New Roman" w:cs="Arial"/>
                <w:sz w:val="16"/>
                <w:szCs w:val="16"/>
                <w:lang w:eastAsia="en-AU"/>
              </w:rPr>
            </w:pPr>
            <w:r w:rsidRPr="005060E0">
              <w:rPr>
                <w:rFonts w:eastAsia="Times New Roman" w:cs="Arial"/>
                <w:sz w:val="16"/>
                <w:szCs w:val="16"/>
                <w:lang w:eastAsia="en-AU"/>
              </w:rPr>
              <w:t>-</w:t>
            </w:r>
          </w:p>
        </w:tc>
        <w:tc>
          <w:tcPr>
            <w:tcW w:w="465" w:type="pct"/>
            <w:tcBorders>
              <w:top w:val="dotted" w:sz="4" w:space="0" w:color="606072"/>
              <w:left w:val="nil"/>
              <w:bottom w:val="single" w:sz="4" w:space="0" w:color="606072"/>
              <w:right w:val="nil"/>
            </w:tcBorders>
            <w:shd w:val="clear" w:color="000000" w:fill="FFFFFF"/>
            <w:vAlign w:val="center"/>
          </w:tcPr>
          <w:p w14:paraId="3CFE74B4" w14:textId="45607B91" w:rsidR="006811BD" w:rsidRPr="005060E0" w:rsidRDefault="00102878" w:rsidP="006811BD">
            <w:pPr>
              <w:widowControl w:val="0"/>
              <w:spacing w:after="0" w:line="240" w:lineRule="auto"/>
              <w:jc w:val="center"/>
              <w:rPr>
                <w:rFonts w:eastAsia="Times New Roman" w:cs="Arial"/>
                <w:sz w:val="16"/>
                <w:szCs w:val="16"/>
                <w:lang w:eastAsia="en-AU"/>
              </w:rPr>
            </w:pPr>
            <w:r w:rsidRPr="005060E0">
              <w:rPr>
                <w:rFonts w:eastAsia="Times New Roman" w:cs="Arial"/>
                <w:sz w:val="16"/>
                <w:szCs w:val="16"/>
                <w:lang w:eastAsia="en-AU"/>
              </w:rPr>
              <w:t>-</w:t>
            </w:r>
          </w:p>
        </w:tc>
        <w:tc>
          <w:tcPr>
            <w:tcW w:w="226" w:type="pct"/>
            <w:tcBorders>
              <w:top w:val="dotted" w:sz="4" w:space="0" w:color="606072"/>
              <w:left w:val="nil"/>
              <w:bottom w:val="single" w:sz="4" w:space="0" w:color="606072"/>
              <w:right w:val="single" w:sz="4" w:space="0" w:color="606072"/>
            </w:tcBorders>
            <w:shd w:val="clear" w:color="000000" w:fill="FFFFFF"/>
            <w:noWrap/>
            <w:vAlign w:val="center"/>
          </w:tcPr>
          <w:p w14:paraId="08D002EC" w14:textId="6623BEDC" w:rsidR="006811BD" w:rsidRPr="005060E0" w:rsidRDefault="006811BD" w:rsidP="006811BD">
            <w:pPr>
              <w:widowControl w:val="0"/>
              <w:spacing w:after="0" w:line="240" w:lineRule="auto"/>
              <w:jc w:val="center"/>
              <w:rPr>
                <w:rFonts w:eastAsia="Times New Roman" w:cs="Arial"/>
                <w:color w:val="FF0000"/>
                <w:sz w:val="16"/>
                <w:szCs w:val="16"/>
                <w:lang w:eastAsia="en-AU"/>
              </w:rPr>
            </w:pPr>
          </w:p>
        </w:tc>
        <w:tc>
          <w:tcPr>
            <w:tcW w:w="163" w:type="pct"/>
            <w:tcBorders>
              <w:top w:val="dotted" w:sz="4" w:space="0" w:color="606072"/>
              <w:left w:val="nil"/>
              <w:bottom w:val="single" w:sz="4" w:space="0" w:color="606072"/>
              <w:right w:val="nil"/>
            </w:tcBorders>
            <w:shd w:val="clear" w:color="000000" w:fill="FFFFFF"/>
            <w:noWrap/>
            <w:vAlign w:val="center"/>
          </w:tcPr>
          <w:p w14:paraId="2F0CCFEF" w14:textId="761D8928" w:rsidR="006811BD" w:rsidRPr="005060E0" w:rsidRDefault="006811BD" w:rsidP="006811BD">
            <w:pPr>
              <w:widowControl w:val="0"/>
              <w:spacing w:after="0" w:line="240" w:lineRule="auto"/>
              <w:jc w:val="center"/>
              <w:rPr>
                <w:rFonts w:eastAsia="Times New Roman" w:cs="Arial"/>
                <w:color w:val="FF0000"/>
                <w:sz w:val="16"/>
                <w:szCs w:val="16"/>
                <w:lang w:eastAsia="en-AU"/>
              </w:rPr>
            </w:pPr>
          </w:p>
        </w:tc>
        <w:tc>
          <w:tcPr>
            <w:tcW w:w="544" w:type="pct"/>
            <w:tcBorders>
              <w:top w:val="dotted" w:sz="4" w:space="0" w:color="606072"/>
              <w:left w:val="nil"/>
              <w:bottom w:val="single" w:sz="4" w:space="0" w:color="606072"/>
              <w:right w:val="nil"/>
            </w:tcBorders>
            <w:shd w:val="clear" w:color="000000" w:fill="FFFFFF"/>
            <w:vAlign w:val="center"/>
          </w:tcPr>
          <w:p w14:paraId="1991C025" w14:textId="0BC55862" w:rsidR="006811BD" w:rsidRPr="005060E0" w:rsidRDefault="00102878"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AU"/>
              </w:rPr>
              <w:t>-</w:t>
            </w:r>
          </w:p>
        </w:tc>
        <w:tc>
          <w:tcPr>
            <w:tcW w:w="342" w:type="pct"/>
            <w:tcBorders>
              <w:top w:val="dotted" w:sz="4" w:space="0" w:color="606072"/>
              <w:left w:val="nil"/>
              <w:bottom w:val="single" w:sz="4" w:space="0" w:color="606072"/>
              <w:right w:val="nil"/>
            </w:tcBorders>
            <w:shd w:val="clear" w:color="000000" w:fill="FFFFFF"/>
            <w:vAlign w:val="center"/>
          </w:tcPr>
          <w:p w14:paraId="07850763" w14:textId="63D55B66" w:rsidR="006811BD" w:rsidRPr="005060E0" w:rsidRDefault="00102878"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808080" w:themeColor="background1" w:themeShade="80"/>
                <w:sz w:val="16"/>
                <w:szCs w:val="16"/>
                <w:lang w:eastAsia="en-AU"/>
              </w:rPr>
              <w:t>-</w:t>
            </w:r>
          </w:p>
        </w:tc>
        <w:tc>
          <w:tcPr>
            <w:tcW w:w="443" w:type="pct"/>
            <w:tcBorders>
              <w:top w:val="dotted" w:sz="4" w:space="0" w:color="606072"/>
              <w:left w:val="nil"/>
              <w:bottom w:val="single" w:sz="4" w:space="0" w:color="606072"/>
              <w:right w:val="nil"/>
            </w:tcBorders>
            <w:shd w:val="clear" w:color="000000" w:fill="FFFFFF"/>
            <w:vAlign w:val="center"/>
          </w:tcPr>
          <w:p w14:paraId="1579206F" w14:textId="1F12ABC8" w:rsidR="006811BD" w:rsidRPr="005060E0" w:rsidRDefault="00102878"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808080" w:themeColor="background1" w:themeShade="80"/>
                <w:sz w:val="16"/>
                <w:szCs w:val="16"/>
                <w:lang w:eastAsia="en-AU"/>
              </w:rPr>
              <w:t>-</w:t>
            </w:r>
          </w:p>
        </w:tc>
        <w:tc>
          <w:tcPr>
            <w:tcW w:w="440" w:type="pct"/>
            <w:tcBorders>
              <w:top w:val="dotted" w:sz="4" w:space="0" w:color="606072"/>
              <w:left w:val="nil"/>
              <w:bottom w:val="single" w:sz="4" w:space="0" w:color="606072"/>
              <w:right w:val="single" w:sz="4" w:space="0" w:color="606072"/>
            </w:tcBorders>
            <w:shd w:val="clear" w:color="000000" w:fill="FFFFFF"/>
            <w:vAlign w:val="center"/>
          </w:tcPr>
          <w:p w14:paraId="62DDF007" w14:textId="372BAA05" w:rsidR="006811BD" w:rsidRPr="005060E0" w:rsidRDefault="00102878"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808080" w:themeColor="background1" w:themeShade="80"/>
                <w:sz w:val="16"/>
                <w:szCs w:val="16"/>
                <w:lang w:eastAsia="en-AU"/>
              </w:rPr>
              <w:t>-</w:t>
            </w:r>
          </w:p>
        </w:tc>
      </w:tr>
      <w:tr w:rsidR="006811BD" w:rsidRPr="005060E0" w14:paraId="628E10FD" w14:textId="77777777" w:rsidTr="003D2D76">
        <w:trPr>
          <w:trHeight w:val="340"/>
        </w:trPr>
        <w:tc>
          <w:tcPr>
            <w:tcW w:w="5000" w:type="pct"/>
            <w:gridSpan w:val="12"/>
            <w:tcBorders>
              <w:top w:val="nil"/>
              <w:left w:val="single" w:sz="4" w:space="0" w:color="606072"/>
              <w:bottom w:val="nil"/>
              <w:right w:val="single" w:sz="4" w:space="0" w:color="606072"/>
            </w:tcBorders>
            <w:shd w:val="clear" w:color="auto" w:fill="DEDFE3" w:themeFill="text2" w:themeFillTint="33"/>
            <w:noWrap/>
            <w:tcMar>
              <w:left w:w="57" w:type="dxa"/>
              <w:right w:w="28" w:type="dxa"/>
            </w:tcMar>
            <w:vAlign w:val="center"/>
            <w:hideMark/>
          </w:tcPr>
          <w:p w14:paraId="0E580A41" w14:textId="77777777" w:rsidR="006811BD" w:rsidRPr="005060E0" w:rsidRDefault="006811BD" w:rsidP="006811BD">
            <w:pPr>
              <w:widowControl w:val="0"/>
              <w:spacing w:after="0" w:line="240" w:lineRule="auto"/>
              <w:rPr>
                <w:rFonts w:eastAsia="Times New Roman"/>
                <w:color w:val="000000"/>
                <w:sz w:val="15"/>
                <w:szCs w:val="15"/>
                <w:lang w:eastAsia="en-AU"/>
              </w:rPr>
            </w:pPr>
            <w:r w:rsidRPr="005060E0">
              <w:rPr>
                <w:rFonts w:eastAsia="Times New Roman"/>
                <w:color w:val="000000"/>
                <w:sz w:val="15"/>
                <w:szCs w:val="15"/>
                <w:lang w:eastAsia="en-AU"/>
              </w:rPr>
              <w:t>Emergency department visits for asthma (&lt;15 years)</w:t>
            </w:r>
          </w:p>
        </w:tc>
      </w:tr>
      <w:tr w:rsidR="006811BD" w:rsidRPr="005060E0" w14:paraId="1C95E1B9" w14:textId="77777777" w:rsidTr="00BF7BF2">
        <w:trPr>
          <w:trHeight w:hRule="exact" w:val="454"/>
        </w:trPr>
        <w:tc>
          <w:tcPr>
            <w:tcW w:w="866" w:type="pct"/>
            <w:tcBorders>
              <w:top w:val="single" w:sz="4" w:space="0" w:color="606072"/>
              <w:left w:val="single" w:sz="4" w:space="0" w:color="606072"/>
              <w:bottom w:val="dotted" w:sz="4" w:space="0" w:color="606072"/>
              <w:right w:val="single" w:sz="4" w:space="0" w:color="606072"/>
            </w:tcBorders>
            <w:shd w:val="clear" w:color="000000" w:fill="F2F2F2"/>
            <w:tcMar>
              <w:left w:w="57" w:type="dxa"/>
              <w:right w:w="28" w:type="dxa"/>
            </w:tcMar>
            <w:vAlign w:val="center"/>
          </w:tcPr>
          <w:p w14:paraId="7F2EAEA5" w14:textId="14A61271" w:rsidR="006811BD" w:rsidRPr="005060E0" w:rsidRDefault="003D2D76" w:rsidP="006811BD">
            <w:pPr>
              <w:widowControl w:val="0"/>
              <w:spacing w:after="0" w:line="240" w:lineRule="auto"/>
              <w:rPr>
                <w:rFonts w:eastAsia="Times New Roman"/>
                <w:sz w:val="15"/>
                <w:szCs w:val="15"/>
                <w:lang w:eastAsia="en-AU"/>
              </w:rPr>
            </w:pPr>
            <w:r w:rsidRPr="005060E0">
              <w:rPr>
                <w:rFonts w:eastAsia="Times New Roman"/>
                <w:sz w:val="15"/>
                <w:szCs w:val="15"/>
                <w:lang w:eastAsia="en-AU"/>
              </w:rPr>
              <w:t>NSW and Victoria</w:t>
            </w:r>
          </w:p>
        </w:tc>
        <w:tc>
          <w:tcPr>
            <w:tcW w:w="146" w:type="pct"/>
            <w:tcBorders>
              <w:top w:val="single" w:sz="4" w:space="0" w:color="606072"/>
              <w:left w:val="nil"/>
              <w:bottom w:val="dotted" w:sz="4" w:space="0" w:color="606072"/>
              <w:right w:val="nil"/>
            </w:tcBorders>
            <w:shd w:val="clear" w:color="000000" w:fill="FFFFFF"/>
            <w:vAlign w:val="center"/>
            <w:hideMark/>
          </w:tcPr>
          <w:p w14:paraId="3CEEEFFF" w14:textId="77777777" w:rsidR="006811BD" w:rsidRPr="005060E0" w:rsidRDefault="006811BD" w:rsidP="006811BD">
            <w:pPr>
              <w:widowControl w:val="0"/>
              <w:spacing w:after="0" w:line="240" w:lineRule="auto"/>
              <w:rPr>
                <w:rFonts w:eastAsia="Times New Roman"/>
                <w:sz w:val="15"/>
                <w:szCs w:val="15"/>
                <w:lang w:eastAsia="en-AU"/>
              </w:rPr>
            </w:pPr>
            <w:r w:rsidRPr="005060E0">
              <w:rPr>
                <w:rFonts w:eastAsia="Times New Roman"/>
                <w:sz w:val="15"/>
                <w:szCs w:val="15"/>
                <w:lang w:eastAsia="en-AU"/>
              </w:rPr>
              <w:t> </w:t>
            </w:r>
          </w:p>
        </w:tc>
        <w:tc>
          <w:tcPr>
            <w:tcW w:w="572" w:type="pct"/>
            <w:tcBorders>
              <w:top w:val="single" w:sz="4" w:space="0" w:color="606072"/>
              <w:left w:val="nil"/>
              <w:bottom w:val="dotted" w:sz="4" w:space="0" w:color="606072"/>
              <w:right w:val="nil"/>
            </w:tcBorders>
            <w:shd w:val="clear" w:color="000000" w:fill="FFFFFF"/>
            <w:vAlign w:val="center"/>
          </w:tcPr>
          <w:p w14:paraId="3579CD73" w14:textId="67F92859" w:rsidR="006811BD" w:rsidRPr="005060E0" w:rsidRDefault="006811BD"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AU"/>
              </w:rPr>
              <w:t>101</w:t>
            </w:r>
          </w:p>
        </w:tc>
        <w:tc>
          <w:tcPr>
            <w:tcW w:w="338" w:type="pct"/>
            <w:tcBorders>
              <w:top w:val="single" w:sz="4" w:space="0" w:color="606072"/>
              <w:left w:val="nil"/>
              <w:bottom w:val="dotted" w:sz="4" w:space="0" w:color="606072"/>
              <w:right w:val="nil"/>
            </w:tcBorders>
            <w:shd w:val="clear" w:color="000000" w:fill="FFFFFF"/>
            <w:vAlign w:val="center"/>
          </w:tcPr>
          <w:p w14:paraId="1CCB7704" w14:textId="5C8DCB93" w:rsidR="006811BD" w:rsidRPr="005060E0" w:rsidRDefault="006811BD"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AU"/>
              </w:rPr>
              <w:t>199</w:t>
            </w:r>
          </w:p>
        </w:tc>
        <w:tc>
          <w:tcPr>
            <w:tcW w:w="455" w:type="pct"/>
            <w:tcBorders>
              <w:top w:val="single" w:sz="4" w:space="0" w:color="606072"/>
              <w:left w:val="nil"/>
              <w:bottom w:val="dotted" w:sz="4" w:space="0" w:color="606072"/>
              <w:right w:val="nil"/>
            </w:tcBorders>
            <w:shd w:val="clear" w:color="000000" w:fill="FFFFFF"/>
            <w:vAlign w:val="center"/>
          </w:tcPr>
          <w:p w14:paraId="44A19DCF" w14:textId="46C7C029" w:rsidR="006811BD" w:rsidRPr="005060E0" w:rsidRDefault="006811BD"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AU"/>
              </w:rPr>
              <w:t>215</w:t>
            </w:r>
          </w:p>
        </w:tc>
        <w:tc>
          <w:tcPr>
            <w:tcW w:w="465" w:type="pct"/>
            <w:tcBorders>
              <w:top w:val="single" w:sz="4" w:space="0" w:color="606072"/>
              <w:left w:val="nil"/>
              <w:bottom w:val="dotted" w:sz="4" w:space="0" w:color="606072"/>
              <w:right w:val="nil"/>
            </w:tcBorders>
            <w:shd w:val="clear" w:color="000000" w:fill="FFFFFF"/>
            <w:vAlign w:val="center"/>
          </w:tcPr>
          <w:p w14:paraId="072FE160" w14:textId="7823C519" w:rsidR="006811BD" w:rsidRPr="005060E0" w:rsidRDefault="006811BD"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AU"/>
              </w:rPr>
              <w:t>251</w:t>
            </w:r>
          </w:p>
        </w:tc>
        <w:tc>
          <w:tcPr>
            <w:tcW w:w="226" w:type="pct"/>
            <w:tcBorders>
              <w:top w:val="single" w:sz="4" w:space="0" w:color="606072"/>
              <w:left w:val="nil"/>
              <w:bottom w:val="dotted" w:sz="4" w:space="0" w:color="606072"/>
              <w:right w:val="single" w:sz="4" w:space="0" w:color="606072"/>
            </w:tcBorders>
            <w:shd w:val="clear" w:color="000000" w:fill="FFFFFF"/>
            <w:noWrap/>
            <w:vAlign w:val="center"/>
          </w:tcPr>
          <w:p w14:paraId="52E5C4D0" w14:textId="57C64BCF" w:rsidR="006811BD" w:rsidRPr="005060E0" w:rsidRDefault="006811BD" w:rsidP="006811BD">
            <w:pPr>
              <w:widowControl w:val="0"/>
              <w:spacing w:after="0" w:line="240" w:lineRule="auto"/>
              <w:jc w:val="center"/>
              <w:rPr>
                <w:rFonts w:eastAsia="Times New Roman" w:cs="Arial"/>
                <w:color w:val="808080" w:themeColor="background1" w:themeShade="80"/>
                <w:sz w:val="16"/>
                <w:szCs w:val="16"/>
                <w:lang w:eastAsia="en-AU"/>
              </w:rPr>
            </w:pPr>
          </w:p>
        </w:tc>
        <w:tc>
          <w:tcPr>
            <w:tcW w:w="163" w:type="pct"/>
            <w:tcBorders>
              <w:top w:val="single" w:sz="4" w:space="0" w:color="606072"/>
              <w:left w:val="nil"/>
              <w:bottom w:val="dotted" w:sz="4" w:space="0" w:color="606072"/>
              <w:right w:val="nil"/>
            </w:tcBorders>
            <w:shd w:val="clear" w:color="000000" w:fill="FFFFFF"/>
            <w:noWrap/>
            <w:vAlign w:val="center"/>
          </w:tcPr>
          <w:p w14:paraId="53BC4E75" w14:textId="5DE2904A" w:rsidR="006811BD" w:rsidRPr="005060E0" w:rsidRDefault="006811BD" w:rsidP="006811BD">
            <w:pPr>
              <w:widowControl w:val="0"/>
              <w:spacing w:after="0" w:line="240" w:lineRule="auto"/>
              <w:jc w:val="center"/>
              <w:rPr>
                <w:rFonts w:eastAsia="Times New Roman" w:cs="Arial"/>
                <w:color w:val="808080" w:themeColor="background1" w:themeShade="80"/>
                <w:sz w:val="16"/>
                <w:szCs w:val="16"/>
                <w:lang w:eastAsia="en-AU"/>
              </w:rPr>
            </w:pPr>
          </w:p>
        </w:tc>
        <w:tc>
          <w:tcPr>
            <w:tcW w:w="544" w:type="pct"/>
            <w:tcBorders>
              <w:top w:val="single" w:sz="4" w:space="0" w:color="606072"/>
              <w:left w:val="nil"/>
              <w:bottom w:val="dotted" w:sz="4" w:space="0" w:color="606072"/>
              <w:right w:val="nil"/>
            </w:tcBorders>
            <w:shd w:val="clear" w:color="000000" w:fill="FFFFFF"/>
            <w:vAlign w:val="center"/>
          </w:tcPr>
          <w:p w14:paraId="7A1AB1BF" w14:textId="3C16A1DC" w:rsidR="006811BD" w:rsidRPr="005060E0" w:rsidRDefault="006811BD"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AU"/>
              </w:rPr>
              <w:t>7</w:t>
            </w:r>
          </w:p>
        </w:tc>
        <w:tc>
          <w:tcPr>
            <w:tcW w:w="342" w:type="pct"/>
            <w:tcBorders>
              <w:top w:val="single" w:sz="4" w:space="0" w:color="606072"/>
              <w:left w:val="nil"/>
              <w:bottom w:val="dotted" w:sz="4" w:space="0" w:color="606072"/>
              <w:right w:val="nil"/>
            </w:tcBorders>
            <w:shd w:val="clear" w:color="000000" w:fill="FFFFFF"/>
            <w:vAlign w:val="center"/>
          </w:tcPr>
          <w:p w14:paraId="6D21E505" w14:textId="6A9536CB" w:rsidR="006811BD" w:rsidRPr="005060E0" w:rsidRDefault="00102878"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808080" w:themeColor="background1" w:themeShade="80"/>
                <w:sz w:val="16"/>
                <w:szCs w:val="16"/>
                <w:lang w:eastAsia="en-AU"/>
              </w:rPr>
              <w:t>-</w:t>
            </w:r>
          </w:p>
        </w:tc>
        <w:tc>
          <w:tcPr>
            <w:tcW w:w="443" w:type="pct"/>
            <w:tcBorders>
              <w:top w:val="single" w:sz="4" w:space="0" w:color="606072"/>
              <w:left w:val="nil"/>
              <w:bottom w:val="dotted" w:sz="4" w:space="0" w:color="606072"/>
              <w:right w:val="nil"/>
            </w:tcBorders>
            <w:shd w:val="clear" w:color="000000" w:fill="FFFFFF"/>
            <w:vAlign w:val="center"/>
          </w:tcPr>
          <w:p w14:paraId="485BDBBD" w14:textId="3F30DADB" w:rsidR="006811BD" w:rsidRPr="005060E0" w:rsidRDefault="00102878"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808080" w:themeColor="background1" w:themeShade="80"/>
                <w:sz w:val="16"/>
                <w:szCs w:val="16"/>
                <w:lang w:eastAsia="en-AU"/>
              </w:rPr>
              <w:t>-</w:t>
            </w:r>
          </w:p>
        </w:tc>
        <w:tc>
          <w:tcPr>
            <w:tcW w:w="440" w:type="pct"/>
            <w:tcBorders>
              <w:top w:val="single" w:sz="4" w:space="0" w:color="606072"/>
              <w:left w:val="nil"/>
              <w:bottom w:val="dotted" w:sz="4" w:space="0" w:color="606072"/>
              <w:right w:val="single" w:sz="4" w:space="0" w:color="606072"/>
            </w:tcBorders>
            <w:shd w:val="clear" w:color="000000" w:fill="FFFFFF"/>
            <w:vAlign w:val="center"/>
          </w:tcPr>
          <w:p w14:paraId="0709C34C" w14:textId="1C4ECBD8" w:rsidR="006811BD" w:rsidRPr="005060E0" w:rsidRDefault="006811BD"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AU"/>
              </w:rPr>
              <w:t>4</w:t>
            </w:r>
          </w:p>
        </w:tc>
      </w:tr>
      <w:tr w:rsidR="006811BD" w:rsidRPr="005060E0" w14:paraId="330AC7A3" w14:textId="77777777" w:rsidTr="00BF7BF2">
        <w:trPr>
          <w:trHeight w:hRule="exact" w:val="454"/>
        </w:trPr>
        <w:tc>
          <w:tcPr>
            <w:tcW w:w="866" w:type="pct"/>
            <w:tcBorders>
              <w:top w:val="dotted" w:sz="4" w:space="0" w:color="606072"/>
              <w:left w:val="single" w:sz="4" w:space="0" w:color="606072"/>
              <w:bottom w:val="single" w:sz="4" w:space="0" w:color="606072"/>
              <w:right w:val="single" w:sz="4" w:space="0" w:color="606072"/>
            </w:tcBorders>
            <w:shd w:val="clear" w:color="000000" w:fill="F2F2F2"/>
            <w:tcMar>
              <w:left w:w="57" w:type="dxa"/>
              <w:right w:w="28" w:type="dxa"/>
            </w:tcMar>
            <w:vAlign w:val="center"/>
          </w:tcPr>
          <w:p w14:paraId="61B7B6F3" w14:textId="3C45D304" w:rsidR="006811BD" w:rsidRPr="005060E0" w:rsidRDefault="006811BD" w:rsidP="006811BD">
            <w:pPr>
              <w:widowControl w:val="0"/>
              <w:spacing w:after="0" w:line="240" w:lineRule="auto"/>
              <w:rPr>
                <w:rFonts w:eastAsia="Times New Roman"/>
                <w:sz w:val="15"/>
                <w:szCs w:val="15"/>
                <w:lang w:eastAsia="en-AU"/>
              </w:rPr>
            </w:pPr>
            <w:r w:rsidRPr="005060E0">
              <w:rPr>
                <w:rFonts w:eastAsia="Times New Roman"/>
                <w:sz w:val="15"/>
                <w:szCs w:val="15"/>
                <w:lang w:eastAsia="en-AU"/>
              </w:rPr>
              <w:t>Other airsheds</w:t>
            </w:r>
          </w:p>
        </w:tc>
        <w:tc>
          <w:tcPr>
            <w:tcW w:w="146" w:type="pct"/>
            <w:tcBorders>
              <w:top w:val="dotted" w:sz="4" w:space="0" w:color="606072"/>
              <w:left w:val="nil"/>
              <w:bottom w:val="single" w:sz="4" w:space="0" w:color="606072"/>
              <w:right w:val="nil"/>
            </w:tcBorders>
            <w:shd w:val="clear" w:color="000000" w:fill="FFFFFF"/>
            <w:vAlign w:val="center"/>
            <w:hideMark/>
          </w:tcPr>
          <w:p w14:paraId="5FF266AF" w14:textId="77777777" w:rsidR="006811BD" w:rsidRPr="005060E0" w:rsidRDefault="006811BD" w:rsidP="006811BD">
            <w:pPr>
              <w:widowControl w:val="0"/>
              <w:spacing w:after="0" w:line="240" w:lineRule="auto"/>
              <w:rPr>
                <w:rFonts w:eastAsia="Times New Roman"/>
                <w:sz w:val="15"/>
                <w:szCs w:val="15"/>
                <w:lang w:eastAsia="en-AU"/>
              </w:rPr>
            </w:pPr>
            <w:r w:rsidRPr="005060E0">
              <w:rPr>
                <w:rFonts w:eastAsia="Times New Roman"/>
                <w:sz w:val="15"/>
                <w:szCs w:val="15"/>
                <w:lang w:eastAsia="en-AU"/>
              </w:rPr>
              <w:t> </w:t>
            </w:r>
          </w:p>
        </w:tc>
        <w:tc>
          <w:tcPr>
            <w:tcW w:w="572" w:type="pct"/>
            <w:tcBorders>
              <w:top w:val="dotted" w:sz="4" w:space="0" w:color="606072"/>
              <w:left w:val="nil"/>
              <w:bottom w:val="single" w:sz="4" w:space="0" w:color="606072"/>
              <w:right w:val="nil"/>
            </w:tcBorders>
            <w:shd w:val="clear" w:color="000000" w:fill="FFFFFF"/>
            <w:vAlign w:val="center"/>
          </w:tcPr>
          <w:p w14:paraId="715A42AE" w14:textId="0F4D58FB" w:rsidR="006811BD" w:rsidRPr="005060E0" w:rsidRDefault="006811BD" w:rsidP="006811BD">
            <w:pPr>
              <w:widowControl w:val="0"/>
              <w:spacing w:after="0" w:line="240" w:lineRule="auto"/>
              <w:jc w:val="center"/>
              <w:rPr>
                <w:rFonts w:eastAsia="Times New Roman" w:cs="Arial"/>
                <w:sz w:val="16"/>
                <w:szCs w:val="16"/>
                <w:lang w:eastAsia="en-AU"/>
              </w:rPr>
            </w:pPr>
            <w:r w:rsidRPr="005060E0">
              <w:rPr>
                <w:rFonts w:eastAsia="Times New Roman" w:cs="Arial"/>
                <w:color w:val="000000"/>
                <w:sz w:val="16"/>
                <w:szCs w:val="16"/>
                <w:lang w:eastAsia="en-AU"/>
              </w:rPr>
              <w:t>9</w:t>
            </w:r>
          </w:p>
        </w:tc>
        <w:tc>
          <w:tcPr>
            <w:tcW w:w="338" w:type="pct"/>
            <w:tcBorders>
              <w:top w:val="dotted" w:sz="4" w:space="0" w:color="606072"/>
              <w:left w:val="nil"/>
              <w:bottom w:val="single" w:sz="4" w:space="0" w:color="606072"/>
              <w:right w:val="nil"/>
            </w:tcBorders>
            <w:shd w:val="clear" w:color="000000" w:fill="FFFFFF"/>
            <w:vAlign w:val="center"/>
          </w:tcPr>
          <w:p w14:paraId="2EBCF7C3" w14:textId="4A0E96D5" w:rsidR="006811BD" w:rsidRPr="005060E0" w:rsidRDefault="00102878" w:rsidP="006811BD">
            <w:pPr>
              <w:widowControl w:val="0"/>
              <w:spacing w:after="0" w:line="240" w:lineRule="auto"/>
              <w:jc w:val="center"/>
              <w:rPr>
                <w:rFonts w:eastAsia="Times New Roman" w:cs="Arial"/>
                <w:sz w:val="16"/>
                <w:szCs w:val="16"/>
                <w:lang w:eastAsia="en-AU"/>
              </w:rPr>
            </w:pPr>
            <w:r w:rsidRPr="005060E0">
              <w:rPr>
                <w:rFonts w:eastAsia="Times New Roman" w:cs="Arial"/>
                <w:sz w:val="16"/>
                <w:szCs w:val="16"/>
                <w:lang w:eastAsia="en-AU"/>
              </w:rPr>
              <w:t>-</w:t>
            </w:r>
          </w:p>
        </w:tc>
        <w:tc>
          <w:tcPr>
            <w:tcW w:w="455" w:type="pct"/>
            <w:tcBorders>
              <w:top w:val="dotted" w:sz="4" w:space="0" w:color="606072"/>
              <w:left w:val="nil"/>
              <w:bottom w:val="single" w:sz="4" w:space="0" w:color="606072"/>
              <w:right w:val="nil"/>
            </w:tcBorders>
            <w:shd w:val="clear" w:color="000000" w:fill="FFFFFF"/>
            <w:vAlign w:val="center"/>
          </w:tcPr>
          <w:p w14:paraId="2279B2B5" w14:textId="479280CC" w:rsidR="006811BD" w:rsidRPr="005060E0" w:rsidRDefault="00102878" w:rsidP="006811BD">
            <w:pPr>
              <w:widowControl w:val="0"/>
              <w:spacing w:after="0" w:line="240" w:lineRule="auto"/>
              <w:jc w:val="center"/>
              <w:rPr>
                <w:rFonts w:eastAsia="Times New Roman" w:cs="Arial"/>
                <w:sz w:val="16"/>
                <w:szCs w:val="16"/>
                <w:lang w:eastAsia="en-AU"/>
              </w:rPr>
            </w:pPr>
            <w:r w:rsidRPr="005060E0">
              <w:rPr>
                <w:rFonts w:eastAsia="Times New Roman" w:cs="Arial"/>
                <w:sz w:val="16"/>
                <w:szCs w:val="16"/>
                <w:lang w:eastAsia="en-AU"/>
              </w:rPr>
              <w:t>-</w:t>
            </w:r>
          </w:p>
        </w:tc>
        <w:tc>
          <w:tcPr>
            <w:tcW w:w="465" w:type="pct"/>
            <w:tcBorders>
              <w:top w:val="dotted" w:sz="4" w:space="0" w:color="606072"/>
              <w:left w:val="nil"/>
              <w:bottom w:val="single" w:sz="4" w:space="0" w:color="606072"/>
              <w:right w:val="nil"/>
            </w:tcBorders>
            <w:shd w:val="clear" w:color="000000" w:fill="FFFFFF"/>
            <w:vAlign w:val="center"/>
          </w:tcPr>
          <w:p w14:paraId="31C98C71" w14:textId="65B6446D" w:rsidR="006811BD" w:rsidRPr="005060E0" w:rsidRDefault="00102878"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808080" w:themeColor="background1" w:themeShade="80"/>
                <w:sz w:val="16"/>
                <w:szCs w:val="16"/>
                <w:lang w:eastAsia="en-AU"/>
              </w:rPr>
              <w:t>-</w:t>
            </w:r>
          </w:p>
        </w:tc>
        <w:tc>
          <w:tcPr>
            <w:tcW w:w="226" w:type="pct"/>
            <w:tcBorders>
              <w:top w:val="dotted" w:sz="4" w:space="0" w:color="606072"/>
              <w:left w:val="nil"/>
              <w:bottom w:val="single" w:sz="4" w:space="0" w:color="606072"/>
              <w:right w:val="single" w:sz="4" w:space="0" w:color="606072"/>
            </w:tcBorders>
            <w:shd w:val="clear" w:color="000000" w:fill="FFFFFF"/>
            <w:noWrap/>
            <w:vAlign w:val="center"/>
          </w:tcPr>
          <w:p w14:paraId="1C1D97DB" w14:textId="4C17CF49" w:rsidR="006811BD" w:rsidRPr="005060E0" w:rsidRDefault="006811BD" w:rsidP="006811BD">
            <w:pPr>
              <w:widowControl w:val="0"/>
              <w:spacing w:after="0" w:line="240" w:lineRule="auto"/>
              <w:jc w:val="center"/>
              <w:rPr>
                <w:rFonts w:eastAsia="Times New Roman" w:cs="Arial"/>
                <w:color w:val="808080" w:themeColor="background1" w:themeShade="80"/>
                <w:sz w:val="16"/>
                <w:szCs w:val="16"/>
                <w:lang w:eastAsia="en-AU"/>
              </w:rPr>
            </w:pPr>
          </w:p>
        </w:tc>
        <w:tc>
          <w:tcPr>
            <w:tcW w:w="163" w:type="pct"/>
            <w:tcBorders>
              <w:top w:val="dotted" w:sz="4" w:space="0" w:color="606072"/>
              <w:left w:val="nil"/>
              <w:bottom w:val="single" w:sz="4" w:space="0" w:color="606072"/>
              <w:right w:val="nil"/>
            </w:tcBorders>
            <w:shd w:val="clear" w:color="000000" w:fill="FFFFFF"/>
            <w:noWrap/>
            <w:vAlign w:val="center"/>
          </w:tcPr>
          <w:p w14:paraId="36576701" w14:textId="28472309" w:rsidR="006811BD" w:rsidRPr="005060E0" w:rsidRDefault="006811BD" w:rsidP="006811BD">
            <w:pPr>
              <w:widowControl w:val="0"/>
              <w:spacing w:after="0" w:line="240" w:lineRule="auto"/>
              <w:jc w:val="center"/>
              <w:rPr>
                <w:rFonts w:eastAsia="Times New Roman" w:cs="Arial"/>
                <w:color w:val="808080" w:themeColor="background1" w:themeShade="80"/>
                <w:sz w:val="16"/>
                <w:szCs w:val="16"/>
                <w:lang w:eastAsia="en-AU"/>
              </w:rPr>
            </w:pPr>
          </w:p>
        </w:tc>
        <w:tc>
          <w:tcPr>
            <w:tcW w:w="544" w:type="pct"/>
            <w:tcBorders>
              <w:top w:val="dotted" w:sz="4" w:space="0" w:color="606072"/>
              <w:left w:val="nil"/>
              <w:bottom w:val="single" w:sz="4" w:space="0" w:color="606072"/>
              <w:right w:val="nil"/>
            </w:tcBorders>
            <w:shd w:val="clear" w:color="000000" w:fill="FFFFFF"/>
            <w:vAlign w:val="center"/>
          </w:tcPr>
          <w:p w14:paraId="52175EEA" w14:textId="4ADC15CE" w:rsidR="006811BD" w:rsidRPr="005060E0" w:rsidRDefault="00102878"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808080" w:themeColor="background1" w:themeShade="80"/>
                <w:sz w:val="16"/>
                <w:szCs w:val="16"/>
                <w:lang w:eastAsia="en-AU"/>
              </w:rPr>
              <w:t>-</w:t>
            </w:r>
          </w:p>
        </w:tc>
        <w:tc>
          <w:tcPr>
            <w:tcW w:w="342" w:type="pct"/>
            <w:tcBorders>
              <w:top w:val="dotted" w:sz="4" w:space="0" w:color="606072"/>
              <w:left w:val="nil"/>
              <w:bottom w:val="single" w:sz="4" w:space="0" w:color="606072"/>
              <w:right w:val="nil"/>
            </w:tcBorders>
            <w:shd w:val="clear" w:color="000000" w:fill="FFFFFF"/>
            <w:vAlign w:val="center"/>
          </w:tcPr>
          <w:p w14:paraId="65A110C5" w14:textId="096ECF21" w:rsidR="006811BD" w:rsidRPr="005060E0" w:rsidRDefault="00102878"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808080" w:themeColor="background1" w:themeShade="80"/>
                <w:sz w:val="16"/>
                <w:szCs w:val="16"/>
                <w:lang w:eastAsia="en-AU"/>
              </w:rPr>
              <w:t>-</w:t>
            </w:r>
          </w:p>
        </w:tc>
        <w:tc>
          <w:tcPr>
            <w:tcW w:w="443" w:type="pct"/>
            <w:tcBorders>
              <w:top w:val="dotted" w:sz="4" w:space="0" w:color="606072"/>
              <w:left w:val="nil"/>
              <w:bottom w:val="single" w:sz="4" w:space="0" w:color="606072"/>
              <w:right w:val="nil"/>
            </w:tcBorders>
            <w:shd w:val="clear" w:color="000000" w:fill="FFFFFF"/>
            <w:vAlign w:val="center"/>
          </w:tcPr>
          <w:p w14:paraId="6F0D46A1" w14:textId="480F8223" w:rsidR="006811BD" w:rsidRPr="005060E0" w:rsidRDefault="00102878"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808080" w:themeColor="background1" w:themeShade="80"/>
                <w:sz w:val="16"/>
                <w:szCs w:val="16"/>
                <w:lang w:eastAsia="en-AU"/>
              </w:rPr>
              <w:t>-</w:t>
            </w:r>
          </w:p>
        </w:tc>
        <w:tc>
          <w:tcPr>
            <w:tcW w:w="440" w:type="pct"/>
            <w:tcBorders>
              <w:top w:val="dotted" w:sz="4" w:space="0" w:color="606072"/>
              <w:left w:val="nil"/>
              <w:bottom w:val="single" w:sz="4" w:space="0" w:color="606072"/>
              <w:right w:val="single" w:sz="4" w:space="0" w:color="606072"/>
            </w:tcBorders>
            <w:shd w:val="clear" w:color="000000" w:fill="FFFFFF"/>
            <w:vAlign w:val="center"/>
          </w:tcPr>
          <w:p w14:paraId="6B5B925C" w14:textId="3E766029" w:rsidR="006811BD" w:rsidRPr="005060E0" w:rsidRDefault="00102878" w:rsidP="006811BD">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808080" w:themeColor="background1" w:themeShade="80"/>
                <w:sz w:val="16"/>
                <w:szCs w:val="16"/>
                <w:lang w:eastAsia="en-AU"/>
              </w:rPr>
              <w:t>-</w:t>
            </w:r>
          </w:p>
        </w:tc>
      </w:tr>
    </w:tbl>
    <w:p w14:paraId="2A18EC6E" w14:textId="1E511F96" w:rsidR="00627461" w:rsidRPr="005060E0" w:rsidRDefault="00627461" w:rsidP="00CD08E7">
      <w:pPr>
        <w:pStyle w:val="ListParagraph"/>
        <w:numPr>
          <w:ilvl w:val="0"/>
          <w:numId w:val="62"/>
        </w:numPr>
        <w:rPr>
          <w:rFonts w:cs="Times New Roman"/>
          <w:sz w:val="18"/>
          <w:szCs w:val="18"/>
        </w:rPr>
      </w:pPr>
      <w:r w:rsidRPr="005060E0">
        <w:rPr>
          <w:sz w:val="16"/>
          <w:szCs w:val="16"/>
        </w:rPr>
        <w:t xml:space="preserve">‘All-cause mortality’ refers to acute mortality events that are estimated to shorten life by </w:t>
      </w:r>
      <w:r w:rsidR="001E58FB" w:rsidRPr="005060E0">
        <w:rPr>
          <w:sz w:val="16"/>
          <w:szCs w:val="16"/>
        </w:rPr>
        <w:t>six</w:t>
      </w:r>
      <w:r w:rsidRPr="005060E0">
        <w:rPr>
          <w:sz w:val="16"/>
          <w:szCs w:val="16"/>
        </w:rPr>
        <w:t xml:space="preserve"> months.</w:t>
      </w:r>
    </w:p>
    <w:p w14:paraId="1862D385" w14:textId="018B298E" w:rsidR="00910703" w:rsidRPr="005060E0" w:rsidRDefault="00910703" w:rsidP="00196834">
      <w:pPr>
        <w:pStyle w:val="ListParagraph"/>
        <w:numPr>
          <w:ilvl w:val="0"/>
          <w:numId w:val="62"/>
        </w:numPr>
        <w:spacing w:before="40" w:after="240" w:line="240" w:lineRule="auto"/>
        <w:ind w:left="402" w:hanging="357"/>
        <w:contextualSpacing w:val="0"/>
        <w:rPr>
          <w:rStyle w:val="PBTablecaptionChar"/>
          <w:rFonts w:eastAsiaTheme="minorHAnsi"/>
          <w:bCs w:val="0"/>
          <w:sz w:val="16"/>
        </w:rPr>
      </w:pPr>
      <w:r w:rsidRPr="005060E0">
        <w:rPr>
          <w:rStyle w:val="PBTablecaptionChar"/>
          <w:rFonts w:eastAsiaTheme="minorHAnsi"/>
          <w:bCs w:val="0"/>
          <w:sz w:val="16"/>
        </w:rPr>
        <w:t>The method for calculating the health outcomes is based on averaging concentrations across an airshed</w:t>
      </w:r>
      <w:r w:rsidR="00B00321" w:rsidRPr="005060E0">
        <w:rPr>
          <w:rStyle w:val="PBTablecaptionChar"/>
          <w:rFonts w:eastAsiaTheme="minorHAnsi"/>
          <w:bCs w:val="0"/>
          <w:sz w:val="16"/>
        </w:rPr>
        <w:t xml:space="preserve">. </w:t>
      </w:r>
      <w:r w:rsidRPr="005060E0">
        <w:rPr>
          <w:rStyle w:val="PBTablecaptionChar"/>
          <w:rFonts w:eastAsiaTheme="minorHAnsi"/>
          <w:bCs w:val="0"/>
          <w:sz w:val="16"/>
        </w:rPr>
        <w:t>As some of the SO</w:t>
      </w:r>
      <w:r w:rsidRPr="005060E0">
        <w:rPr>
          <w:rStyle w:val="PBTablecaptionChar"/>
          <w:rFonts w:eastAsiaTheme="minorHAnsi"/>
          <w:bCs w:val="0"/>
          <w:sz w:val="16"/>
          <w:vertAlign w:val="subscript"/>
        </w:rPr>
        <w:t>2</w:t>
      </w:r>
      <w:r w:rsidRPr="005060E0">
        <w:rPr>
          <w:rStyle w:val="PBTablecaptionChar"/>
          <w:rFonts w:eastAsiaTheme="minorHAnsi"/>
          <w:bCs w:val="0"/>
          <w:sz w:val="16"/>
        </w:rPr>
        <w:t xml:space="preserve"> monitoring stations are in locations that are influenced by emissions from industrial sources, this may lead to an overestimate of the risk to the population in the corresponding airshed.</w:t>
      </w:r>
      <w:r w:rsidR="00CC1A25" w:rsidRPr="005060E0">
        <w:t xml:space="preserve"> </w:t>
      </w:r>
      <w:r w:rsidR="00CC1A25" w:rsidRPr="005060E0">
        <w:rPr>
          <w:rStyle w:val="PBTablecaptionChar"/>
          <w:rFonts w:eastAsiaTheme="minorHAnsi"/>
          <w:bCs w:val="0"/>
          <w:sz w:val="16"/>
        </w:rPr>
        <w:t xml:space="preserve">For example, this is particularly the case in the Melbourne </w:t>
      </w:r>
      <w:r w:rsidR="001E58FB" w:rsidRPr="005060E0">
        <w:rPr>
          <w:rStyle w:val="PBTablecaptionChar"/>
          <w:rFonts w:eastAsiaTheme="minorHAnsi"/>
          <w:bCs w:val="0"/>
          <w:sz w:val="16"/>
        </w:rPr>
        <w:t>airshed</w:t>
      </w:r>
      <w:r w:rsidR="00CC1A25" w:rsidRPr="005060E0">
        <w:rPr>
          <w:rStyle w:val="PBTablecaptionChar"/>
          <w:rFonts w:eastAsiaTheme="minorHAnsi"/>
          <w:bCs w:val="0"/>
          <w:sz w:val="16"/>
        </w:rPr>
        <w:t xml:space="preserve"> where estimated health outcomes are significantly above those of other pollutants and this is not considered to be reflective of current SO</w:t>
      </w:r>
      <w:r w:rsidR="00CC1A25" w:rsidRPr="005060E0">
        <w:rPr>
          <w:rStyle w:val="PBTablecaptionChar"/>
          <w:rFonts w:eastAsiaTheme="minorHAnsi"/>
          <w:bCs w:val="0"/>
          <w:sz w:val="16"/>
          <w:vertAlign w:val="subscript"/>
        </w:rPr>
        <w:t>2</w:t>
      </w:r>
      <w:r w:rsidR="00CC1A25" w:rsidRPr="005060E0">
        <w:rPr>
          <w:rStyle w:val="PBTablecaptionChar"/>
          <w:rFonts w:eastAsiaTheme="minorHAnsi"/>
          <w:bCs w:val="0"/>
          <w:sz w:val="16"/>
        </w:rPr>
        <w:t xml:space="preserve"> levels in this</w:t>
      </w:r>
      <w:r w:rsidR="001E58FB" w:rsidRPr="005060E0">
        <w:rPr>
          <w:rStyle w:val="PBTablecaptionChar"/>
          <w:rFonts w:eastAsiaTheme="minorHAnsi"/>
          <w:bCs w:val="0"/>
          <w:sz w:val="16"/>
        </w:rPr>
        <w:t xml:space="preserve"> airshed,</w:t>
      </w:r>
      <w:r w:rsidR="00CC1A25" w:rsidRPr="005060E0">
        <w:rPr>
          <w:rStyle w:val="PBTablecaptionChar"/>
          <w:rFonts w:eastAsiaTheme="minorHAnsi"/>
          <w:bCs w:val="0"/>
          <w:sz w:val="16"/>
        </w:rPr>
        <w:t xml:space="preserve"> which are well below AAQ NEPM standards.</w:t>
      </w:r>
    </w:p>
    <w:p w14:paraId="0949F598" w14:textId="73DE9E6F" w:rsidR="00E14BA2" w:rsidRPr="005060E0" w:rsidRDefault="00E14BA2" w:rsidP="00E14BA2">
      <w:pPr>
        <w:rPr>
          <w:szCs w:val="20"/>
        </w:rPr>
      </w:pPr>
      <w:r w:rsidRPr="005060E0">
        <w:rPr>
          <w:szCs w:val="20"/>
        </w:rPr>
        <w:t>The under-prediction of SO</w:t>
      </w:r>
      <w:r w:rsidRPr="005060E0">
        <w:rPr>
          <w:szCs w:val="20"/>
          <w:vertAlign w:val="subscript"/>
        </w:rPr>
        <w:t>2</w:t>
      </w:r>
      <w:r w:rsidRPr="005060E0">
        <w:rPr>
          <w:szCs w:val="20"/>
        </w:rPr>
        <w:t xml:space="preserve"> in Wollongong and the Latrobe Valley in the air dispersion modelling (see </w:t>
      </w:r>
      <w:r w:rsidR="00DC6511">
        <w:rPr>
          <w:szCs w:val="20"/>
        </w:rPr>
        <w:t xml:space="preserve">Annexure E, </w:t>
      </w:r>
      <w:r w:rsidRPr="005060E0">
        <w:rPr>
          <w:szCs w:val="20"/>
        </w:rPr>
        <w:t>Section E.2 of Appendix A) will not greatly impact these results as:</w:t>
      </w:r>
    </w:p>
    <w:p w14:paraId="6D2455CC" w14:textId="096E774E" w:rsidR="00E14BA2" w:rsidRPr="005060E0" w:rsidRDefault="001E58FB" w:rsidP="00E14BA2">
      <w:pPr>
        <w:pStyle w:val="ListBullet"/>
      </w:pPr>
      <w:r w:rsidRPr="005060E0">
        <w:t>t</w:t>
      </w:r>
      <w:r w:rsidR="00E14BA2" w:rsidRPr="005060E0">
        <w:t>here is predicted to be compliance with all but the most stringent 24-hour standard of 7 ppb (and the level of error is not expected to change this)</w:t>
      </w:r>
    </w:p>
    <w:p w14:paraId="52D3836B" w14:textId="6DE393CB" w:rsidR="00E14BA2" w:rsidRPr="005060E0" w:rsidRDefault="001E58FB" w:rsidP="00E14BA2">
      <w:pPr>
        <w:pStyle w:val="ListBullet"/>
      </w:pPr>
      <w:r w:rsidRPr="005060E0">
        <w:t>t</w:t>
      </w:r>
      <w:r w:rsidR="00E14BA2" w:rsidRPr="005060E0">
        <w:t>he attributable health effects in these areas will have been under-predicted.</w:t>
      </w:r>
    </w:p>
    <w:p w14:paraId="1CB33161" w14:textId="4EA9D63F" w:rsidR="00D56B82" w:rsidRPr="005060E0" w:rsidRDefault="00D56B82" w:rsidP="0043533F">
      <w:pPr>
        <w:pStyle w:val="Heading2"/>
      </w:pPr>
      <w:bookmarkStart w:id="138" w:name="_Toc479858903"/>
      <w:bookmarkStart w:id="139" w:name="_Toc3278959"/>
      <w:r w:rsidRPr="005060E0">
        <w:t>C</w:t>
      </w:r>
      <w:r w:rsidR="00D41B03" w:rsidRPr="005060E0">
        <w:t>ost</w:t>
      </w:r>
      <w:r w:rsidR="00875B93" w:rsidRPr="005060E0">
        <w:t>–</w:t>
      </w:r>
      <w:r w:rsidR="00D41B03" w:rsidRPr="005060E0">
        <w:t>benefit a</w:t>
      </w:r>
      <w:r w:rsidRPr="005060E0">
        <w:t>nalysis</w:t>
      </w:r>
      <w:bookmarkEnd w:id="138"/>
      <w:bookmarkEnd w:id="139"/>
    </w:p>
    <w:p w14:paraId="709EA1BD" w14:textId="273BF619" w:rsidR="00A2582D" w:rsidRPr="005060E0" w:rsidRDefault="00DA7E86" w:rsidP="00DA7E86">
      <w:pPr>
        <w:rPr>
          <w:szCs w:val="20"/>
        </w:rPr>
      </w:pPr>
      <w:r w:rsidRPr="005060E0">
        <w:rPr>
          <w:szCs w:val="20"/>
        </w:rPr>
        <w:t>The ful</w:t>
      </w:r>
      <w:r w:rsidR="00533FC5" w:rsidRPr="005060E0">
        <w:rPr>
          <w:szCs w:val="20"/>
        </w:rPr>
        <w:t>l CBA</w:t>
      </w:r>
      <w:r w:rsidR="005E4128" w:rsidRPr="005060E0">
        <w:rPr>
          <w:szCs w:val="20"/>
        </w:rPr>
        <w:t xml:space="preserve"> can</w:t>
      </w:r>
      <w:r w:rsidRPr="005060E0">
        <w:rPr>
          <w:szCs w:val="20"/>
        </w:rPr>
        <w:t xml:space="preserve"> </w:t>
      </w:r>
      <w:r w:rsidR="00533FC5" w:rsidRPr="005060E0">
        <w:rPr>
          <w:szCs w:val="20"/>
        </w:rPr>
        <w:t>be found in</w:t>
      </w:r>
      <w:r w:rsidR="005E4128" w:rsidRPr="005060E0">
        <w:rPr>
          <w:szCs w:val="20"/>
        </w:rPr>
        <w:t xml:space="preserve"> Appendix C, and </w:t>
      </w:r>
      <w:r w:rsidRPr="005060E0">
        <w:rPr>
          <w:szCs w:val="20"/>
        </w:rPr>
        <w:t>t</w:t>
      </w:r>
      <w:r w:rsidR="005E4128" w:rsidRPr="005060E0">
        <w:rPr>
          <w:szCs w:val="20"/>
        </w:rPr>
        <w:t>he findings for</w:t>
      </w:r>
      <w:r w:rsidRPr="005060E0">
        <w:rPr>
          <w:szCs w:val="20"/>
        </w:rPr>
        <w:t xml:space="preserve"> SO</w:t>
      </w:r>
      <w:r w:rsidRPr="005060E0">
        <w:rPr>
          <w:szCs w:val="20"/>
          <w:vertAlign w:val="subscript"/>
        </w:rPr>
        <w:t>2</w:t>
      </w:r>
      <w:r w:rsidR="005E4128" w:rsidRPr="005060E0">
        <w:rPr>
          <w:szCs w:val="20"/>
        </w:rPr>
        <w:t xml:space="preserve"> are presented in Chapter </w:t>
      </w:r>
      <w:r w:rsidR="005E4128" w:rsidRPr="005060E0">
        <w:rPr>
          <w:szCs w:val="20"/>
        </w:rPr>
        <w:fldChar w:fldCharType="begin"/>
      </w:r>
      <w:r w:rsidR="005E4128" w:rsidRPr="005060E0">
        <w:rPr>
          <w:szCs w:val="20"/>
        </w:rPr>
        <w:instrText xml:space="preserve"> REF _Ref508614107 \n \h  \* MERGEFORMAT </w:instrText>
      </w:r>
      <w:r w:rsidR="005E4128" w:rsidRPr="005060E0">
        <w:rPr>
          <w:szCs w:val="20"/>
        </w:rPr>
      </w:r>
      <w:r w:rsidR="005E4128" w:rsidRPr="005060E0">
        <w:rPr>
          <w:szCs w:val="20"/>
        </w:rPr>
        <w:fldChar w:fldCharType="separate"/>
      </w:r>
      <w:r w:rsidR="00F2067C">
        <w:rPr>
          <w:szCs w:val="20"/>
        </w:rPr>
        <w:t>9</w:t>
      </w:r>
      <w:r w:rsidR="005E4128" w:rsidRPr="005060E0">
        <w:rPr>
          <w:szCs w:val="20"/>
        </w:rPr>
        <w:fldChar w:fldCharType="end"/>
      </w:r>
      <w:r w:rsidR="005E4128" w:rsidRPr="005060E0">
        <w:rPr>
          <w:szCs w:val="20"/>
        </w:rPr>
        <w:t>.</w:t>
      </w:r>
      <w:r w:rsidR="00A2582D" w:rsidRPr="005060E0">
        <w:rPr>
          <w:szCs w:val="20"/>
        </w:rPr>
        <w:t xml:space="preserve"> T</w:t>
      </w:r>
      <w:r w:rsidR="008D48F6" w:rsidRPr="005060E0">
        <w:rPr>
          <w:szCs w:val="20"/>
        </w:rPr>
        <w:t xml:space="preserve">he </w:t>
      </w:r>
      <w:r w:rsidR="000704F3" w:rsidRPr="005060E0">
        <w:rPr>
          <w:szCs w:val="20"/>
        </w:rPr>
        <w:t>aggregate</w:t>
      </w:r>
      <w:r w:rsidR="00665C9E" w:rsidRPr="005060E0">
        <w:rPr>
          <w:szCs w:val="20"/>
        </w:rPr>
        <w:t>d</w:t>
      </w:r>
      <w:r w:rsidR="000704F3" w:rsidRPr="005060E0">
        <w:rPr>
          <w:szCs w:val="20"/>
        </w:rPr>
        <w:t xml:space="preserve"> </w:t>
      </w:r>
      <w:r w:rsidR="00A2582D" w:rsidRPr="005060E0">
        <w:rPr>
          <w:szCs w:val="20"/>
        </w:rPr>
        <w:t xml:space="preserve">historical </w:t>
      </w:r>
      <w:r w:rsidR="000704F3" w:rsidRPr="005060E0">
        <w:rPr>
          <w:szCs w:val="20"/>
        </w:rPr>
        <w:t>health cost</w:t>
      </w:r>
      <w:r w:rsidR="008D48F6" w:rsidRPr="005060E0">
        <w:rPr>
          <w:szCs w:val="20"/>
        </w:rPr>
        <w:t xml:space="preserve"> due to SO</w:t>
      </w:r>
      <w:r w:rsidR="008D48F6" w:rsidRPr="005060E0">
        <w:rPr>
          <w:szCs w:val="20"/>
          <w:vertAlign w:val="subscript"/>
        </w:rPr>
        <w:t>2</w:t>
      </w:r>
      <w:r w:rsidR="008D48F6" w:rsidRPr="005060E0">
        <w:rPr>
          <w:szCs w:val="20"/>
        </w:rPr>
        <w:t xml:space="preserve"> for all jurisdictions over t</w:t>
      </w:r>
      <w:r w:rsidR="00A2582D" w:rsidRPr="005060E0">
        <w:rPr>
          <w:szCs w:val="20"/>
        </w:rPr>
        <w:t>he period 2010</w:t>
      </w:r>
      <w:r w:rsidR="00DF4D3A" w:rsidRPr="005060E0">
        <w:rPr>
          <w:szCs w:val="20"/>
        </w:rPr>
        <w:t>–20</w:t>
      </w:r>
      <w:r w:rsidR="00A2582D" w:rsidRPr="005060E0">
        <w:rPr>
          <w:szCs w:val="20"/>
        </w:rPr>
        <w:t>14 wa</w:t>
      </w:r>
      <w:r w:rsidR="008D48F6" w:rsidRPr="005060E0">
        <w:rPr>
          <w:szCs w:val="20"/>
        </w:rPr>
        <w:t>s $72 million</w:t>
      </w:r>
      <w:r w:rsidR="008969F1" w:rsidRPr="005060E0">
        <w:rPr>
          <w:szCs w:val="20"/>
        </w:rPr>
        <w:t xml:space="preserve"> (under all </w:t>
      </w:r>
      <w:r w:rsidR="00D50EBA" w:rsidRPr="005060E0">
        <w:rPr>
          <w:szCs w:val="20"/>
        </w:rPr>
        <w:t xml:space="preserve">three CRF </w:t>
      </w:r>
      <w:r w:rsidR="008969F1" w:rsidRPr="005060E0">
        <w:rPr>
          <w:szCs w:val="20"/>
        </w:rPr>
        <w:t>group</w:t>
      </w:r>
      <w:r w:rsidR="00D50EBA" w:rsidRPr="005060E0">
        <w:rPr>
          <w:szCs w:val="20"/>
        </w:rPr>
        <w:t>s</w:t>
      </w:r>
      <w:r w:rsidR="00665C9E" w:rsidRPr="005060E0">
        <w:rPr>
          <w:szCs w:val="20"/>
        </w:rPr>
        <w:t xml:space="preserve"> from the sensitivity tests</w:t>
      </w:r>
      <w:r w:rsidR="00D50EBA" w:rsidRPr="005060E0">
        <w:rPr>
          <w:szCs w:val="20"/>
        </w:rPr>
        <w:t>)</w:t>
      </w:r>
      <w:r w:rsidR="008D48F6" w:rsidRPr="005060E0">
        <w:rPr>
          <w:szCs w:val="20"/>
        </w:rPr>
        <w:t>. This is somewhat lower than the corresponding values for NO</w:t>
      </w:r>
      <w:r w:rsidR="008D48F6" w:rsidRPr="005060E0">
        <w:rPr>
          <w:szCs w:val="20"/>
          <w:vertAlign w:val="subscript"/>
        </w:rPr>
        <w:t>2</w:t>
      </w:r>
      <w:r w:rsidR="008D48F6" w:rsidRPr="005060E0">
        <w:rPr>
          <w:szCs w:val="20"/>
        </w:rPr>
        <w:t xml:space="preserve"> and O</w:t>
      </w:r>
      <w:r w:rsidR="008D48F6" w:rsidRPr="005060E0">
        <w:rPr>
          <w:szCs w:val="20"/>
          <w:vertAlign w:val="subscript"/>
        </w:rPr>
        <w:t>3</w:t>
      </w:r>
      <w:r w:rsidR="008D48F6" w:rsidRPr="005060E0">
        <w:rPr>
          <w:szCs w:val="20"/>
        </w:rPr>
        <w:t>.</w:t>
      </w:r>
    </w:p>
    <w:p w14:paraId="5F39DF33" w14:textId="648D0055" w:rsidR="00DA7E86" w:rsidRPr="005060E0" w:rsidRDefault="00A2582D" w:rsidP="00DA7E86">
      <w:pPr>
        <w:rPr>
          <w:szCs w:val="20"/>
        </w:rPr>
      </w:pPr>
      <w:r w:rsidRPr="005060E0">
        <w:rPr>
          <w:szCs w:val="20"/>
        </w:rPr>
        <w:t>T</w:t>
      </w:r>
      <w:r w:rsidR="008D48F6" w:rsidRPr="005060E0">
        <w:rPr>
          <w:szCs w:val="20"/>
        </w:rPr>
        <w:t>he abatement me</w:t>
      </w:r>
      <w:r w:rsidRPr="005060E0">
        <w:rPr>
          <w:szCs w:val="20"/>
        </w:rPr>
        <w:t>asures modelled (over the period 2021</w:t>
      </w:r>
      <w:r w:rsidR="00DF4D3A" w:rsidRPr="005060E0">
        <w:rPr>
          <w:szCs w:val="20"/>
        </w:rPr>
        <w:t>–20</w:t>
      </w:r>
      <w:r w:rsidRPr="005060E0">
        <w:rPr>
          <w:szCs w:val="20"/>
        </w:rPr>
        <w:t>40) we</w:t>
      </w:r>
      <w:r w:rsidR="008D48F6" w:rsidRPr="005060E0">
        <w:rPr>
          <w:szCs w:val="20"/>
        </w:rPr>
        <w:t xml:space="preserve">re clearly not </w:t>
      </w:r>
      <w:r w:rsidR="00DC4829" w:rsidRPr="005060E0">
        <w:rPr>
          <w:szCs w:val="20"/>
        </w:rPr>
        <w:t xml:space="preserve">economically efficient </w:t>
      </w:r>
      <w:r w:rsidR="008D48F6" w:rsidRPr="005060E0">
        <w:rPr>
          <w:szCs w:val="20"/>
        </w:rPr>
        <w:t>at the national level for SO</w:t>
      </w:r>
      <w:r w:rsidR="008D48F6" w:rsidRPr="005060E0">
        <w:rPr>
          <w:szCs w:val="20"/>
          <w:vertAlign w:val="subscript"/>
        </w:rPr>
        <w:t>2</w:t>
      </w:r>
      <w:r w:rsidR="008D48F6" w:rsidRPr="005060E0">
        <w:rPr>
          <w:szCs w:val="20"/>
        </w:rPr>
        <w:t xml:space="preserve">, with </w:t>
      </w:r>
      <w:r w:rsidR="000704F3" w:rsidRPr="005060E0">
        <w:rPr>
          <w:szCs w:val="20"/>
        </w:rPr>
        <w:t>a cost of around $24.4</w:t>
      </w:r>
      <w:r w:rsidR="008D48F6" w:rsidRPr="005060E0">
        <w:rPr>
          <w:szCs w:val="20"/>
        </w:rPr>
        <w:t xml:space="preserve"> billion and a benefit of $</w:t>
      </w:r>
      <w:r w:rsidR="000704F3" w:rsidRPr="005060E0">
        <w:rPr>
          <w:szCs w:val="20"/>
        </w:rPr>
        <w:t>1</w:t>
      </w:r>
      <w:r w:rsidR="008D48F6" w:rsidRPr="005060E0">
        <w:rPr>
          <w:szCs w:val="20"/>
        </w:rPr>
        <w:t>96 million.</w:t>
      </w:r>
      <w:r w:rsidR="00C65FA8" w:rsidRPr="005060E0">
        <w:rPr>
          <w:szCs w:val="20"/>
        </w:rPr>
        <w:t xml:space="preserve"> T</w:t>
      </w:r>
      <w:r w:rsidR="008D48F6" w:rsidRPr="005060E0">
        <w:rPr>
          <w:szCs w:val="20"/>
        </w:rPr>
        <w:t xml:space="preserve">he measures were </w:t>
      </w:r>
      <w:r w:rsidR="00C65FA8" w:rsidRPr="005060E0">
        <w:rPr>
          <w:szCs w:val="20"/>
        </w:rPr>
        <w:t xml:space="preserve">only </w:t>
      </w:r>
      <w:r w:rsidR="008D48F6" w:rsidRPr="005060E0">
        <w:rPr>
          <w:szCs w:val="20"/>
        </w:rPr>
        <w:t xml:space="preserve">found to be economically efficient in Queensland and </w:t>
      </w:r>
      <w:r w:rsidR="00C65FA8" w:rsidRPr="005060E0">
        <w:rPr>
          <w:szCs w:val="20"/>
        </w:rPr>
        <w:t>Western Australia.</w:t>
      </w:r>
    </w:p>
    <w:p w14:paraId="74991746" w14:textId="3C73B037" w:rsidR="00D56B82" w:rsidRPr="005060E0" w:rsidRDefault="00EB11D5" w:rsidP="0043533F">
      <w:pPr>
        <w:pStyle w:val="DLAHeading2"/>
      </w:pPr>
      <w:bookmarkStart w:id="140" w:name="_Toc479858904"/>
      <w:bookmarkStart w:id="141" w:name="_Toc3278960"/>
      <w:r w:rsidRPr="005060E0">
        <w:t>N</w:t>
      </w:r>
      <w:r w:rsidR="00D56B82" w:rsidRPr="005060E0">
        <w:t>on-qua</w:t>
      </w:r>
      <w:r w:rsidRPr="005060E0">
        <w:t>ntified</w:t>
      </w:r>
      <w:r w:rsidR="00D56B82" w:rsidRPr="005060E0">
        <w:t xml:space="preserve"> benefits and disbenefits</w:t>
      </w:r>
      <w:bookmarkEnd w:id="140"/>
      <w:bookmarkEnd w:id="141"/>
      <w:r w:rsidR="00D56B82" w:rsidRPr="005060E0">
        <w:t xml:space="preserve"> </w:t>
      </w:r>
    </w:p>
    <w:p w14:paraId="204349F7" w14:textId="1052A7BB" w:rsidR="0079331C" w:rsidRPr="005060E0" w:rsidRDefault="0079331C" w:rsidP="0079331C">
      <w:pPr>
        <w:autoSpaceDE w:val="0"/>
        <w:autoSpaceDN w:val="0"/>
        <w:adjustRightInd w:val="0"/>
        <w:spacing w:after="120"/>
      </w:pPr>
      <w:r w:rsidRPr="005060E0">
        <w:t>SO</w:t>
      </w:r>
      <w:r w:rsidRPr="005060E0">
        <w:rPr>
          <w:vertAlign w:val="subscript"/>
        </w:rPr>
        <w:t>2</w:t>
      </w:r>
      <w:r w:rsidR="00D56B82" w:rsidRPr="005060E0">
        <w:t xml:space="preserve"> can cause effects on ecosystems in a number of ways. Acute and chronic exposures to SO</w:t>
      </w:r>
      <w:r w:rsidR="00D56B82" w:rsidRPr="005060E0">
        <w:rPr>
          <w:vertAlign w:val="subscript"/>
        </w:rPr>
        <w:t>2</w:t>
      </w:r>
      <w:r w:rsidR="00D56B82" w:rsidRPr="005060E0">
        <w:t xml:space="preserve"> have phytotoxic effects on vegetation </w:t>
      </w:r>
      <w:r w:rsidR="006D54D0" w:rsidRPr="005060E0">
        <w:t xml:space="preserve">that </w:t>
      </w:r>
      <w:r w:rsidR="00D56B82" w:rsidRPr="005060E0">
        <w:t>include foliar injury, decreased photos</w:t>
      </w:r>
      <w:r w:rsidRPr="005060E0">
        <w:t xml:space="preserve">ynthesis, and decreased growth. </w:t>
      </w:r>
      <w:r w:rsidR="00D56B82" w:rsidRPr="005060E0">
        <w:t>Emissions of SO</w:t>
      </w:r>
      <w:r w:rsidR="00D56B82" w:rsidRPr="005060E0">
        <w:rPr>
          <w:vertAlign w:val="subscript"/>
        </w:rPr>
        <w:t>2</w:t>
      </w:r>
      <w:r w:rsidR="00D56B82" w:rsidRPr="005060E0">
        <w:t xml:space="preserve"> can lead to the deposition of acid rain over large </w:t>
      </w:r>
      <w:r w:rsidR="00DB3202" w:rsidRPr="005060E0">
        <w:t>distances and</w:t>
      </w:r>
      <w:r w:rsidR="00D56B82" w:rsidRPr="005060E0">
        <w:t xml:space="preserve"> can therefore damage ecosystems on a regional scale. This may include forests experiencing defoliation and dieback, and lakes and watercourses losing the ability to support aquatic life due to the changing acidity and mobilisation of certain minerals. To date, acid rain is not a problem in Australia; however, SO</w:t>
      </w:r>
      <w:r w:rsidR="00D56B82" w:rsidRPr="005060E0">
        <w:rPr>
          <w:vertAlign w:val="subscript"/>
        </w:rPr>
        <w:t>2</w:t>
      </w:r>
      <w:r w:rsidR="00D56B82" w:rsidRPr="005060E0">
        <w:t xml:space="preserve"> deposition can affect vegetation around large industrial point sources unless appropriate ambient concentrations are achieved thro</w:t>
      </w:r>
      <w:r w:rsidRPr="005060E0">
        <w:t>ugh emission source management.</w:t>
      </w:r>
    </w:p>
    <w:p w14:paraId="25740B65" w14:textId="02045BC2" w:rsidR="0003741E" w:rsidRPr="005060E0" w:rsidRDefault="00D56B82" w:rsidP="0079331C">
      <w:pPr>
        <w:autoSpaceDE w:val="0"/>
        <w:autoSpaceDN w:val="0"/>
        <w:adjustRightInd w:val="0"/>
        <w:spacing w:after="120"/>
      </w:pPr>
      <w:r w:rsidRPr="005060E0">
        <w:t>SO</w:t>
      </w:r>
      <w:r w:rsidRPr="005060E0">
        <w:rPr>
          <w:vertAlign w:val="subscript"/>
        </w:rPr>
        <w:t>2</w:t>
      </w:r>
      <w:r w:rsidRPr="005060E0">
        <w:t xml:space="preserve"> can </w:t>
      </w:r>
      <w:r w:rsidR="0079331C" w:rsidRPr="005060E0">
        <w:t xml:space="preserve">also </w:t>
      </w:r>
      <w:r w:rsidRPr="005060E0">
        <w:t>form secondary particles (sulfate</w:t>
      </w:r>
      <w:r w:rsidR="0079331C" w:rsidRPr="005060E0">
        <w:t>s</w:t>
      </w:r>
      <w:r w:rsidRPr="005060E0">
        <w:t xml:space="preserve">) that cause haze and reduce visibility. This is brought about by their high light-scattering ability. These sulfate particles have a modifying effect on enhanced greenhouse warming as they reflect incoming heat from the sun. Haze can detract from the </w:t>
      </w:r>
      <w:r w:rsidR="006D54D0" w:rsidRPr="005060E0">
        <w:t>‘</w:t>
      </w:r>
      <w:r w:rsidRPr="005060E0">
        <w:t>natural appeal</w:t>
      </w:r>
      <w:r w:rsidR="006D54D0" w:rsidRPr="005060E0">
        <w:t>’</w:t>
      </w:r>
      <w:r w:rsidRPr="005060E0">
        <w:t xml:space="preserve"> of a location, thereby influencing tourism and associated activities.</w:t>
      </w:r>
      <w:r w:rsidR="0079331C" w:rsidRPr="005060E0">
        <w:t xml:space="preserve"> </w:t>
      </w:r>
      <w:r w:rsidR="0003741E" w:rsidRPr="005060E0">
        <w:t xml:space="preserve">Some authors have estimated the marginal social costs of precursor emissions that lead to the </w:t>
      </w:r>
      <w:r w:rsidR="0079331C" w:rsidRPr="005060E0">
        <w:t xml:space="preserve">formation of secondary PM. For example, </w:t>
      </w:r>
      <w:r w:rsidR="0003741E" w:rsidRPr="005060E0">
        <w:t>Heo et al</w:t>
      </w:r>
      <w:r w:rsidR="0079331C" w:rsidRPr="005060E0">
        <w:t>.</w:t>
      </w:r>
      <w:r w:rsidR="0003741E" w:rsidRPr="005060E0">
        <w:t xml:space="preserve"> (2016) estimate a range of marginal social costs of US$14,000−24,000 per tonne of SO</w:t>
      </w:r>
      <w:r w:rsidR="0003741E" w:rsidRPr="005060E0">
        <w:rPr>
          <w:vertAlign w:val="subscript"/>
        </w:rPr>
        <w:t>X</w:t>
      </w:r>
      <w:r w:rsidR="0079331C" w:rsidRPr="005060E0">
        <w:t>. Such values</w:t>
      </w:r>
      <w:r w:rsidR="0003741E" w:rsidRPr="005060E0">
        <w:t xml:space="preserve"> </w:t>
      </w:r>
      <w:r w:rsidR="0079331C" w:rsidRPr="005060E0">
        <w:t xml:space="preserve">would result in </w:t>
      </w:r>
      <w:r w:rsidR="0003741E" w:rsidRPr="005060E0">
        <w:t>very large potential benefit</w:t>
      </w:r>
      <w:r w:rsidR="0079331C" w:rsidRPr="005060E0">
        <w:t>s</w:t>
      </w:r>
      <w:r w:rsidR="006D54D0" w:rsidRPr="005060E0">
        <w:t>;</w:t>
      </w:r>
      <w:r w:rsidR="0079331C" w:rsidRPr="005060E0">
        <w:t xml:space="preserve"> </w:t>
      </w:r>
      <w:r w:rsidR="006D54D0" w:rsidRPr="005060E0">
        <w:t>h</w:t>
      </w:r>
      <w:r w:rsidR="0079331C" w:rsidRPr="005060E0">
        <w:t>owever, for the reasons noted in Appendix C, it would not be appropriate to include these benefits in the CBA.</w:t>
      </w:r>
    </w:p>
    <w:p w14:paraId="6E27E61F" w14:textId="4816715F" w:rsidR="00D56B82" w:rsidRPr="005060E0" w:rsidRDefault="0078293A" w:rsidP="0043533F">
      <w:pPr>
        <w:pStyle w:val="Heading2"/>
      </w:pPr>
      <w:bookmarkStart w:id="142" w:name="_Toc479858905"/>
      <w:bookmarkStart w:id="143" w:name="_Toc3278961"/>
      <w:r w:rsidRPr="005060E0">
        <w:t>E</w:t>
      </w:r>
      <w:r w:rsidR="009B7316" w:rsidRPr="005060E0">
        <w:t>xposure-</w:t>
      </w:r>
      <w:r w:rsidR="00382CF4" w:rsidRPr="005060E0">
        <w:t>reduction</w:t>
      </w:r>
      <w:bookmarkEnd w:id="142"/>
      <w:r w:rsidR="009B7316" w:rsidRPr="005060E0">
        <w:t xml:space="preserve"> framework</w:t>
      </w:r>
      <w:bookmarkEnd w:id="143"/>
    </w:p>
    <w:p w14:paraId="53CED482" w14:textId="339C0633" w:rsidR="00D0324D" w:rsidRPr="005060E0" w:rsidRDefault="00D56B82" w:rsidP="00D56B82">
      <w:r w:rsidRPr="005060E0">
        <w:t>SO</w:t>
      </w:r>
      <w:r w:rsidRPr="005060E0">
        <w:rPr>
          <w:vertAlign w:val="subscript"/>
        </w:rPr>
        <w:t>2</w:t>
      </w:r>
      <w:r w:rsidRPr="005060E0">
        <w:t xml:space="preserve"> is considered to</w:t>
      </w:r>
      <w:r w:rsidR="0078293A" w:rsidRPr="005060E0">
        <w:t xml:space="preserve"> be a non-threshold pollutant</w:t>
      </w:r>
      <w:r w:rsidR="00074608" w:rsidRPr="005060E0">
        <w:t>, for which an exposure-reduction</w:t>
      </w:r>
      <w:r w:rsidR="00D0324D" w:rsidRPr="005060E0">
        <w:t xml:space="preserve"> </w:t>
      </w:r>
      <w:r w:rsidR="009B7316" w:rsidRPr="005060E0">
        <w:t>framework</w:t>
      </w:r>
      <w:r w:rsidR="00074608" w:rsidRPr="005060E0">
        <w:t xml:space="preserve"> would, in theory, be appropriate. However, a</w:t>
      </w:r>
      <w:r w:rsidR="00D0324D" w:rsidRPr="005060E0">
        <w:t>lthough communities close to large industrial facilities can</w:t>
      </w:r>
      <w:r w:rsidR="00E55B79" w:rsidRPr="005060E0">
        <w:t xml:space="preserve"> be</w:t>
      </w:r>
      <w:r w:rsidR="00E07FE4" w:rsidRPr="005060E0">
        <w:t xml:space="preserve"> exposed to </w:t>
      </w:r>
      <w:r w:rsidR="00D0324D" w:rsidRPr="005060E0">
        <w:t>relatively high ambient concentrations</w:t>
      </w:r>
      <w:r w:rsidR="00E07FE4" w:rsidRPr="005060E0">
        <w:t xml:space="preserve"> of SO</w:t>
      </w:r>
      <w:r w:rsidR="00E07FE4" w:rsidRPr="005060E0">
        <w:rPr>
          <w:vertAlign w:val="subscript"/>
        </w:rPr>
        <w:t>2</w:t>
      </w:r>
      <w:r w:rsidR="00E07FE4" w:rsidRPr="005060E0">
        <w:t xml:space="preserve">, </w:t>
      </w:r>
      <w:r w:rsidR="00D0324D" w:rsidRPr="005060E0">
        <w:t>at locations further away from these sources the SO</w:t>
      </w:r>
      <w:r w:rsidR="00D0324D" w:rsidRPr="005060E0">
        <w:rPr>
          <w:vertAlign w:val="subscript"/>
        </w:rPr>
        <w:t>2</w:t>
      </w:r>
      <w:r w:rsidR="00D0324D" w:rsidRPr="005060E0">
        <w:t xml:space="preserve"> levels are generally l</w:t>
      </w:r>
      <w:r w:rsidR="006C390D" w:rsidRPr="005060E0">
        <w:t xml:space="preserve">ow. As noted earlier, </w:t>
      </w:r>
      <w:r w:rsidR="00D0324D" w:rsidRPr="005060E0">
        <w:t xml:space="preserve">the sulfur content of </w:t>
      </w:r>
      <w:r w:rsidR="006C390D" w:rsidRPr="005060E0">
        <w:t xml:space="preserve">automotive </w:t>
      </w:r>
      <w:r w:rsidR="00D0324D" w:rsidRPr="005060E0">
        <w:t>fuels</w:t>
      </w:r>
      <w:r w:rsidR="006C390D" w:rsidRPr="005060E0">
        <w:t xml:space="preserve"> in Australia is relatively low compared with other sectors</w:t>
      </w:r>
      <w:r w:rsidR="00D0324D" w:rsidRPr="005060E0">
        <w:t>, which means that the c</w:t>
      </w:r>
      <w:r w:rsidR="006C390D" w:rsidRPr="005060E0">
        <w:t>ontribution of road traffic</w:t>
      </w:r>
      <w:r w:rsidR="00D0324D" w:rsidRPr="005060E0">
        <w:t xml:space="preserve"> to ambient SO</w:t>
      </w:r>
      <w:r w:rsidR="00D0324D" w:rsidRPr="005060E0">
        <w:rPr>
          <w:vertAlign w:val="subscript"/>
        </w:rPr>
        <w:t>2</w:t>
      </w:r>
      <w:r w:rsidR="00D0324D" w:rsidRPr="005060E0">
        <w:t xml:space="preserve"> concentrations is </w:t>
      </w:r>
      <w:r w:rsidR="006C390D" w:rsidRPr="005060E0">
        <w:t xml:space="preserve">also </w:t>
      </w:r>
      <w:r w:rsidR="00D0324D" w:rsidRPr="005060E0">
        <w:t xml:space="preserve">low. Consequently, </w:t>
      </w:r>
      <w:r w:rsidR="00E07FE4" w:rsidRPr="005060E0">
        <w:t>the impacts of SO</w:t>
      </w:r>
      <w:r w:rsidR="00E07FE4" w:rsidRPr="005060E0">
        <w:rPr>
          <w:vertAlign w:val="subscript"/>
        </w:rPr>
        <w:t>2</w:t>
      </w:r>
      <w:r w:rsidR="00E07FE4" w:rsidRPr="005060E0">
        <w:t xml:space="preserve"> </w:t>
      </w:r>
      <w:r w:rsidR="00D0324D" w:rsidRPr="005060E0">
        <w:t xml:space="preserve">on health </w:t>
      </w:r>
      <w:r w:rsidR="00E07FE4" w:rsidRPr="005060E0">
        <w:t>are not widely spread across the population</w:t>
      </w:r>
      <w:r w:rsidR="00D0324D" w:rsidRPr="005060E0">
        <w:t>,</w:t>
      </w:r>
      <w:r w:rsidR="00E07FE4" w:rsidRPr="005060E0">
        <w:t xml:space="preserve"> but are </w:t>
      </w:r>
      <w:r w:rsidR="00D0324D" w:rsidRPr="005060E0">
        <w:t xml:space="preserve">highly </w:t>
      </w:r>
      <w:r w:rsidR="00E07FE4" w:rsidRPr="005060E0">
        <w:t>localised</w:t>
      </w:r>
      <w:r w:rsidR="004962E3" w:rsidRPr="005060E0">
        <w:t>, and usually where there is a low population</w:t>
      </w:r>
      <w:r w:rsidR="00D0324D" w:rsidRPr="005060E0">
        <w:t>.</w:t>
      </w:r>
    </w:p>
    <w:p w14:paraId="689DF565" w14:textId="7C40D10D" w:rsidR="004962E3" w:rsidRPr="005060E0" w:rsidRDefault="00D56B82" w:rsidP="00E62E8F">
      <w:pPr>
        <w:spacing w:after="150" w:line="276" w:lineRule="atLeast"/>
      </w:pPr>
      <w:r w:rsidRPr="005060E0">
        <w:t>Given that exposure across whole populations is low for SO</w:t>
      </w:r>
      <w:r w:rsidRPr="005060E0">
        <w:rPr>
          <w:vertAlign w:val="subscript"/>
        </w:rPr>
        <w:t>2</w:t>
      </w:r>
      <w:r w:rsidRPr="005060E0">
        <w:t xml:space="preserve"> it is considered th</w:t>
      </w:r>
      <w:r w:rsidR="00890723" w:rsidRPr="005060E0">
        <w:t>at an exposure-reduction framework</w:t>
      </w:r>
      <w:r w:rsidRPr="005060E0">
        <w:t xml:space="preserve"> is not the most effective mechanism </w:t>
      </w:r>
      <w:r w:rsidR="006D54D0" w:rsidRPr="005060E0">
        <w:t>for</w:t>
      </w:r>
      <w:r w:rsidRPr="005060E0">
        <w:t xml:space="preserve"> reducing the potential health ris</w:t>
      </w:r>
      <w:r w:rsidR="004962E3" w:rsidRPr="005060E0">
        <w:t xml:space="preserve">k in the affected communities. </w:t>
      </w:r>
      <w:r w:rsidR="004962E3" w:rsidRPr="005060E0">
        <w:rPr>
          <w:szCs w:val="20"/>
        </w:rPr>
        <w:t xml:space="preserve">The control of industrial sources is outside the </w:t>
      </w:r>
      <w:r w:rsidR="00FE23DB" w:rsidRPr="005060E0">
        <w:rPr>
          <w:szCs w:val="20"/>
        </w:rPr>
        <w:t>AAQ NEPM</w:t>
      </w:r>
      <w:r w:rsidR="004962E3" w:rsidRPr="005060E0">
        <w:rPr>
          <w:szCs w:val="20"/>
        </w:rPr>
        <w:t xml:space="preserve"> framework. </w:t>
      </w:r>
      <w:r w:rsidR="00D0324D" w:rsidRPr="005060E0">
        <w:t>A</w:t>
      </w:r>
      <w:r w:rsidRPr="005060E0">
        <w:t>ctions taken by individual jurisdictions through the man</w:t>
      </w:r>
      <w:r w:rsidR="00D0324D" w:rsidRPr="005060E0">
        <w:t>agement of industrial sources will be</w:t>
      </w:r>
      <w:r w:rsidRPr="005060E0">
        <w:t xml:space="preserve"> more likely to achieve reductions in SO</w:t>
      </w:r>
      <w:r w:rsidRPr="005060E0">
        <w:rPr>
          <w:vertAlign w:val="subscript"/>
        </w:rPr>
        <w:t>2</w:t>
      </w:r>
      <w:r w:rsidRPr="005060E0">
        <w:t xml:space="preserve"> </w:t>
      </w:r>
      <w:r w:rsidR="00D0324D" w:rsidRPr="005060E0">
        <w:t xml:space="preserve">concentrations </w:t>
      </w:r>
      <w:r w:rsidRPr="005060E0">
        <w:t xml:space="preserve">and </w:t>
      </w:r>
      <w:r w:rsidR="00D0324D" w:rsidRPr="005060E0">
        <w:t>the associated health risk</w:t>
      </w:r>
      <w:r w:rsidR="004962E3" w:rsidRPr="005060E0">
        <w:t xml:space="preserve"> in the affected communities.</w:t>
      </w:r>
    </w:p>
    <w:p w14:paraId="445D0301" w14:textId="22B3D49A" w:rsidR="00D56B82" w:rsidRPr="005060E0" w:rsidRDefault="00592351" w:rsidP="00E62E8F">
      <w:pPr>
        <w:pStyle w:val="Heading2"/>
        <w:spacing w:before="320" w:after="200"/>
      </w:pPr>
      <w:bookmarkStart w:id="144" w:name="_Toc3278962"/>
      <w:r w:rsidRPr="005060E0">
        <w:t>Summary</w:t>
      </w:r>
      <w:r w:rsidR="005128BC" w:rsidRPr="005060E0">
        <w:t xml:space="preserve"> of sulfur dioxide</w:t>
      </w:r>
      <w:r w:rsidR="00D32672" w:rsidRPr="005060E0">
        <w:t xml:space="preserve"> assessment</w:t>
      </w:r>
      <w:bookmarkEnd w:id="144"/>
    </w:p>
    <w:p w14:paraId="7704478C" w14:textId="1B77EEDA" w:rsidR="00592351" w:rsidRPr="005060E0" w:rsidRDefault="00592351" w:rsidP="00E62E8F">
      <w:pPr>
        <w:pStyle w:val="Heading3"/>
        <w:spacing w:before="320" w:after="200"/>
      </w:pPr>
      <w:r w:rsidRPr="005060E0">
        <w:t xml:space="preserve">What does the </w:t>
      </w:r>
      <w:r w:rsidR="00866C2D" w:rsidRPr="005060E0">
        <w:t xml:space="preserve">recent </w:t>
      </w:r>
      <w:r w:rsidR="00844B36" w:rsidRPr="005060E0">
        <w:t>health evidence tell us</w:t>
      </w:r>
      <w:r w:rsidRPr="005060E0">
        <w:t>?</w:t>
      </w:r>
    </w:p>
    <w:p w14:paraId="740246A0" w14:textId="5DB7607B" w:rsidR="00E512FE" w:rsidRPr="005060E0" w:rsidRDefault="00E512FE" w:rsidP="00E62E8F">
      <w:pPr>
        <w:spacing w:after="150" w:line="276" w:lineRule="atLeast"/>
      </w:pPr>
      <w:r w:rsidRPr="005060E0">
        <w:t>Since the adoption of the AAQ NEPM in 1998, there has been a large amount of research on short-term exposure to SO</w:t>
      </w:r>
      <w:r w:rsidRPr="005060E0">
        <w:rPr>
          <w:vertAlign w:val="subscript"/>
        </w:rPr>
        <w:t xml:space="preserve">2 </w:t>
      </w:r>
      <w:r w:rsidRPr="005060E0">
        <w:t xml:space="preserve">in ambient air, although relatively few studies since the 2011 </w:t>
      </w:r>
      <w:r w:rsidR="00FE23DB" w:rsidRPr="005060E0">
        <w:t>AAQ NEPM</w:t>
      </w:r>
      <w:r w:rsidRPr="005060E0">
        <w:t xml:space="preserve"> review. The findings of recent studies have strengthened the evidence that the main health effects associated with SO</w:t>
      </w:r>
      <w:r w:rsidRPr="005060E0">
        <w:rPr>
          <w:vertAlign w:val="subscript"/>
        </w:rPr>
        <w:t>2</w:t>
      </w:r>
      <w:r w:rsidRPr="005060E0">
        <w:t xml:space="preserve"> are short-term effects on the respiratory </w:t>
      </w:r>
      <w:r w:rsidR="00DB3202" w:rsidRPr="005060E0">
        <w:t>system and</w:t>
      </w:r>
      <w:r w:rsidRPr="005060E0">
        <w:t xml:space="preserve"> have concluded that the associations previously reported remain valid.</w:t>
      </w:r>
    </w:p>
    <w:p w14:paraId="184672D8" w14:textId="03D741C1" w:rsidR="00E512FE" w:rsidRPr="005060E0" w:rsidRDefault="00E512FE" w:rsidP="00E62E8F">
      <w:pPr>
        <w:spacing w:after="150" w:line="276" w:lineRule="atLeast"/>
      </w:pPr>
      <w:r w:rsidRPr="005060E0">
        <w:t>Since 1998 there have also been a number of Australian studies of the link between exposure to SO</w:t>
      </w:r>
      <w:r w:rsidRPr="005060E0">
        <w:rPr>
          <w:vertAlign w:val="subscript"/>
        </w:rPr>
        <w:t>2</w:t>
      </w:r>
      <w:r w:rsidRPr="005060E0">
        <w:t xml:space="preserve"> and mortality and morbidity. The results of these studies have shown that the associations found in overseas studies are also found in Australian cities, even though the SO</w:t>
      </w:r>
      <w:r w:rsidRPr="005060E0">
        <w:rPr>
          <w:vertAlign w:val="subscript"/>
        </w:rPr>
        <w:t>2</w:t>
      </w:r>
      <w:r w:rsidRPr="005060E0">
        <w:t xml:space="preserve"> levels monitored in Australia are generally lower than those in North America and Europe.</w:t>
      </w:r>
    </w:p>
    <w:p w14:paraId="61B07A25" w14:textId="36E03189" w:rsidR="00E512FE" w:rsidRPr="005060E0" w:rsidRDefault="00E512FE" w:rsidP="00E62E8F">
      <w:pPr>
        <w:spacing w:after="150" w:line="276" w:lineRule="atLeast"/>
        <w:rPr>
          <w:rFonts w:asciiTheme="minorHAnsi" w:hAnsiTheme="minorHAnsi" w:cstheme="minorHAnsi"/>
          <w:szCs w:val="20"/>
        </w:rPr>
      </w:pPr>
      <w:r w:rsidRPr="005060E0">
        <w:rPr>
          <w:rFonts w:asciiTheme="minorHAnsi" w:hAnsiTheme="minorHAnsi" w:cstheme="minorHAnsi"/>
          <w:szCs w:val="20"/>
        </w:rPr>
        <w:t>The evidence for long-term health effects associated with SO</w:t>
      </w:r>
      <w:r w:rsidRPr="005060E0">
        <w:rPr>
          <w:rFonts w:asciiTheme="minorHAnsi" w:hAnsiTheme="minorHAnsi" w:cstheme="minorHAnsi"/>
          <w:szCs w:val="20"/>
          <w:vertAlign w:val="subscript"/>
        </w:rPr>
        <w:t>2</w:t>
      </w:r>
      <w:r w:rsidRPr="005060E0">
        <w:rPr>
          <w:rFonts w:asciiTheme="minorHAnsi" w:hAnsiTheme="minorHAnsi" w:cstheme="minorHAnsi"/>
          <w:szCs w:val="20"/>
        </w:rPr>
        <w:t xml:space="preserve"> is weak, although the data are limited. A major consideration in evaluating SO</w:t>
      </w:r>
      <w:r w:rsidRPr="005060E0">
        <w:rPr>
          <w:rFonts w:asciiTheme="minorHAnsi" w:hAnsiTheme="minorHAnsi" w:cstheme="minorHAnsi"/>
          <w:szCs w:val="20"/>
          <w:vertAlign w:val="subscript"/>
        </w:rPr>
        <w:t>2</w:t>
      </w:r>
      <w:r w:rsidRPr="005060E0">
        <w:rPr>
          <w:rFonts w:asciiTheme="minorHAnsi" w:hAnsiTheme="minorHAnsi" w:cstheme="minorHAnsi"/>
          <w:szCs w:val="20"/>
        </w:rPr>
        <w:t>-related health effects and long-term exposure is the high correlation, and potential confounding, among the co-pollutant levels observed, particularly between long-term average particle concentrations and SO</w:t>
      </w:r>
      <w:r w:rsidRPr="005060E0">
        <w:rPr>
          <w:rFonts w:asciiTheme="minorHAnsi" w:hAnsiTheme="minorHAnsi" w:cstheme="minorHAnsi"/>
          <w:szCs w:val="20"/>
          <w:vertAlign w:val="subscript"/>
        </w:rPr>
        <w:t>2</w:t>
      </w:r>
      <w:r w:rsidRPr="005060E0">
        <w:rPr>
          <w:rFonts w:asciiTheme="minorHAnsi" w:hAnsiTheme="minorHAnsi" w:cstheme="minorHAnsi"/>
          <w:szCs w:val="20"/>
        </w:rPr>
        <w:t>.</w:t>
      </w:r>
    </w:p>
    <w:p w14:paraId="35E90E73" w14:textId="6C6E71B3" w:rsidR="00592351" w:rsidRPr="005060E0" w:rsidRDefault="00592351" w:rsidP="00E62E8F">
      <w:pPr>
        <w:pStyle w:val="Heading3"/>
        <w:spacing w:before="320" w:after="200"/>
      </w:pPr>
      <w:r w:rsidRPr="005060E0">
        <w:t xml:space="preserve">What do the </w:t>
      </w:r>
      <w:r w:rsidR="00176E54" w:rsidRPr="005060E0">
        <w:t>WHO</w:t>
      </w:r>
      <w:r w:rsidR="00866C2D" w:rsidRPr="005060E0">
        <w:t xml:space="preserve"> guidelines and </w:t>
      </w:r>
      <w:r w:rsidRPr="005060E0">
        <w:t>international standards tell us?</w:t>
      </w:r>
    </w:p>
    <w:p w14:paraId="09EF38AA" w14:textId="01B27938" w:rsidR="0029044E" w:rsidRPr="005060E0" w:rsidRDefault="0029044E" w:rsidP="00E62E8F">
      <w:pPr>
        <w:spacing w:after="120" w:line="276" w:lineRule="atLeast"/>
      </w:pPr>
      <w:r w:rsidRPr="005060E0">
        <w:t>The AAQ NEPM standards were made in 1998 based on the understanding of the health effects of SO</w:t>
      </w:r>
      <w:r w:rsidRPr="005060E0">
        <w:rPr>
          <w:vertAlign w:val="subscript"/>
        </w:rPr>
        <w:t>2</w:t>
      </w:r>
      <w:r w:rsidRPr="005060E0">
        <w:t xml:space="preserve"> at that time. Since that time</w:t>
      </w:r>
      <w:r w:rsidR="001F6D84" w:rsidRPr="005060E0">
        <w:t xml:space="preserve"> </w:t>
      </w:r>
      <w:r w:rsidR="00090DAC" w:rsidRPr="005060E0">
        <w:t xml:space="preserve">the </w:t>
      </w:r>
      <w:r w:rsidR="001F6D84" w:rsidRPr="005060E0">
        <w:t>WHO and</w:t>
      </w:r>
      <w:r w:rsidRPr="005060E0">
        <w:t xml:space="preserve"> international agencies have reviewed their </w:t>
      </w:r>
      <w:r w:rsidR="001F6D84" w:rsidRPr="005060E0">
        <w:t xml:space="preserve">guidelines and </w:t>
      </w:r>
      <w:r w:rsidRPr="005060E0">
        <w:t>standards for SO</w:t>
      </w:r>
      <w:r w:rsidRPr="005060E0">
        <w:rPr>
          <w:vertAlign w:val="subscript"/>
        </w:rPr>
        <w:t>2</w:t>
      </w:r>
      <w:r w:rsidRPr="005060E0">
        <w:t xml:space="preserve"> and have </w:t>
      </w:r>
      <w:r w:rsidR="001F6D84" w:rsidRPr="005060E0">
        <w:t>adopted more stringent ones</w:t>
      </w:r>
      <w:r w:rsidRPr="005060E0">
        <w:t xml:space="preserve"> to reflect the current understanding of the health effects of </w:t>
      </w:r>
      <w:r w:rsidR="004D62A1" w:rsidRPr="005060E0">
        <w:t>this pollutant</w:t>
      </w:r>
      <w:r w:rsidRPr="005060E0">
        <w:t xml:space="preserve">. </w:t>
      </w:r>
      <w:r w:rsidR="00F3292D" w:rsidRPr="005060E0">
        <w:t>The situation for each averaging period is summarised below:</w:t>
      </w:r>
    </w:p>
    <w:p w14:paraId="7CBB5806" w14:textId="7D250F3A" w:rsidR="0029044E" w:rsidRPr="005060E0" w:rsidRDefault="00F3292D" w:rsidP="00E62E8F">
      <w:pPr>
        <w:pStyle w:val="ListBullet"/>
        <w:tabs>
          <w:tab w:val="left" w:pos="709"/>
        </w:tabs>
        <w:spacing w:after="140"/>
        <w:ind w:left="709" w:hanging="352"/>
      </w:pPr>
      <w:r w:rsidRPr="005060E0">
        <w:rPr>
          <w:rFonts w:asciiTheme="minorHAnsi" w:hAnsiTheme="minorHAnsi" w:cstheme="minorHAnsi"/>
          <w:i/>
          <w:szCs w:val="20"/>
        </w:rPr>
        <w:t>10-minute</w:t>
      </w:r>
      <w:r w:rsidRPr="005060E0">
        <w:rPr>
          <w:rFonts w:asciiTheme="minorHAnsi" w:hAnsiTheme="minorHAnsi" w:cstheme="minorHAnsi"/>
          <w:szCs w:val="20"/>
        </w:rPr>
        <w:t>: A</w:t>
      </w:r>
      <w:r w:rsidR="001F6D84" w:rsidRPr="005060E0">
        <w:t>lthough there</w:t>
      </w:r>
      <w:r w:rsidR="0029044E" w:rsidRPr="005060E0">
        <w:t xml:space="preserve"> </w:t>
      </w:r>
      <w:r w:rsidR="001F6D84" w:rsidRPr="005060E0">
        <w:t xml:space="preserve">is </w:t>
      </w:r>
      <w:r w:rsidR="0029044E" w:rsidRPr="005060E0">
        <w:t xml:space="preserve">a </w:t>
      </w:r>
      <w:r w:rsidR="001F6D84" w:rsidRPr="005060E0">
        <w:t xml:space="preserve">WHO </w:t>
      </w:r>
      <w:r w:rsidR="0029044E" w:rsidRPr="005060E0">
        <w:t>guideline for 10-minute average SO</w:t>
      </w:r>
      <w:r w:rsidR="0029044E" w:rsidRPr="005060E0">
        <w:rPr>
          <w:vertAlign w:val="subscript"/>
        </w:rPr>
        <w:t>2</w:t>
      </w:r>
      <w:r w:rsidR="001F6D84" w:rsidRPr="005060E0">
        <w:t xml:space="preserve">, this </w:t>
      </w:r>
      <w:r w:rsidR="0029044E" w:rsidRPr="005060E0">
        <w:t>period is not currently included in the AAQ NEPM. Air quality data in Australia indicate that, in general, SO</w:t>
      </w:r>
      <w:r w:rsidR="0029044E" w:rsidRPr="005060E0">
        <w:rPr>
          <w:vertAlign w:val="subscript"/>
        </w:rPr>
        <w:t>2</w:t>
      </w:r>
      <w:r w:rsidR="0029044E" w:rsidRPr="005060E0">
        <w:t xml:space="preserve"> levels are low, with short-term peaks only experienced at locations close to major sources of SO</w:t>
      </w:r>
      <w:r w:rsidR="0029044E" w:rsidRPr="005060E0">
        <w:rPr>
          <w:vertAlign w:val="subscript"/>
        </w:rPr>
        <w:t>2</w:t>
      </w:r>
      <w:r w:rsidR="001F6D84" w:rsidRPr="005060E0">
        <w:t xml:space="preserve"> that</w:t>
      </w:r>
      <w:r w:rsidR="0029044E" w:rsidRPr="005060E0">
        <w:t xml:space="preserve"> are not covered by the AAQ NEPM. A similar situation exists in oth</w:t>
      </w:r>
      <w:r w:rsidR="001F6D84" w:rsidRPr="005060E0">
        <w:t>er leading countries, and the relevant agencies have</w:t>
      </w:r>
      <w:r w:rsidR="0029044E" w:rsidRPr="005060E0">
        <w:t xml:space="preserve"> </w:t>
      </w:r>
      <w:r w:rsidR="001F6D84" w:rsidRPr="005060E0">
        <w:t xml:space="preserve">therefore </w:t>
      </w:r>
      <w:r w:rsidR="0029044E" w:rsidRPr="005060E0">
        <w:t>not set a 10-minute SO</w:t>
      </w:r>
      <w:r w:rsidR="0029044E" w:rsidRPr="005060E0">
        <w:rPr>
          <w:vertAlign w:val="subscript"/>
        </w:rPr>
        <w:t>2</w:t>
      </w:r>
      <w:r w:rsidR="0029044E" w:rsidRPr="005060E0">
        <w:t xml:space="preserve"> standard.</w:t>
      </w:r>
    </w:p>
    <w:p w14:paraId="6C33E4FF" w14:textId="7CB95FAD" w:rsidR="00173D35" w:rsidRPr="005060E0" w:rsidRDefault="00F3292D" w:rsidP="00E62E8F">
      <w:pPr>
        <w:pStyle w:val="ListBullet"/>
        <w:tabs>
          <w:tab w:val="left" w:pos="709"/>
        </w:tabs>
        <w:spacing w:after="140"/>
        <w:ind w:left="709" w:hanging="352"/>
      </w:pPr>
      <w:r w:rsidRPr="005060E0">
        <w:rPr>
          <w:i/>
        </w:rPr>
        <w:t>1-hour</w:t>
      </w:r>
      <w:r w:rsidRPr="005060E0">
        <w:t>: V</w:t>
      </w:r>
      <w:r w:rsidR="00173D35" w:rsidRPr="005060E0">
        <w:t>arious 1-hour standards for SO</w:t>
      </w:r>
      <w:r w:rsidR="00173D35" w:rsidRPr="005060E0">
        <w:rPr>
          <w:vertAlign w:val="subscript"/>
        </w:rPr>
        <w:t>2</w:t>
      </w:r>
      <w:r w:rsidR="00173D35" w:rsidRPr="005060E0">
        <w:t xml:space="preserve"> are in force internationally</w:t>
      </w:r>
      <w:r w:rsidR="001F6D84" w:rsidRPr="005060E0">
        <w:t>, and s</w:t>
      </w:r>
      <w:r w:rsidR="00173D35" w:rsidRPr="005060E0">
        <w:t>ome of these values are considerably lower than the current AAQ NEPM standard of 200 ppb.</w:t>
      </w:r>
    </w:p>
    <w:p w14:paraId="63114FB8" w14:textId="1A08A2CD" w:rsidR="00F3292D" w:rsidRPr="005060E0" w:rsidRDefault="00F3292D" w:rsidP="00E62E8F">
      <w:pPr>
        <w:pStyle w:val="ListBullet"/>
        <w:tabs>
          <w:tab w:val="left" w:pos="709"/>
        </w:tabs>
        <w:spacing w:after="140"/>
        <w:ind w:left="709" w:hanging="352"/>
      </w:pPr>
      <w:r w:rsidRPr="005060E0">
        <w:rPr>
          <w:rFonts w:asciiTheme="minorHAnsi" w:hAnsiTheme="minorHAnsi" w:cstheme="minorHAnsi"/>
          <w:i/>
          <w:szCs w:val="20"/>
        </w:rPr>
        <w:t>24-hour</w:t>
      </w:r>
      <w:r w:rsidRPr="005060E0">
        <w:rPr>
          <w:rFonts w:asciiTheme="minorHAnsi" w:hAnsiTheme="minorHAnsi" w:cstheme="minorHAnsi"/>
          <w:szCs w:val="20"/>
        </w:rPr>
        <w:t xml:space="preserve">: </w:t>
      </w:r>
      <w:r w:rsidR="00173D35" w:rsidRPr="005060E0">
        <w:rPr>
          <w:rFonts w:asciiTheme="minorHAnsi" w:hAnsiTheme="minorHAnsi" w:cstheme="minorHAnsi"/>
          <w:szCs w:val="20"/>
        </w:rPr>
        <w:t>The WHO 2005 global update reduced t</w:t>
      </w:r>
      <w:r w:rsidR="001F6D84" w:rsidRPr="005060E0">
        <w:rPr>
          <w:rFonts w:asciiTheme="minorHAnsi" w:hAnsiTheme="minorHAnsi" w:cstheme="minorHAnsi"/>
          <w:szCs w:val="20"/>
        </w:rPr>
        <w:t xml:space="preserve">he 24-hour guideline </w:t>
      </w:r>
      <w:r w:rsidR="00173D35" w:rsidRPr="005060E0">
        <w:rPr>
          <w:rFonts w:asciiTheme="minorHAnsi" w:hAnsiTheme="minorHAnsi" w:cstheme="minorHAnsi"/>
          <w:szCs w:val="20"/>
        </w:rPr>
        <w:t>to</w:t>
      </w:r>
      <w:r w:rsidR="001F6D84" w:rsidRPr="005060E0">
        <w:rPr>
          <w:rFonts w:asciiTheme="minorHAnsi" w:hAnsiTheme="minorHAnsi" w:cstheme="minorHAnsi"/>
          <w:szCs w:val="20"/>
        </w:rPr>
        <w:t xml:space="preserve"> 7 ppb to</w:t>
      </w:r>
      <w:r w:rsidR="00173D35" w:rsidRPr="005060E0">
        <w:rPr>
          <w:rFonts w:asciiTheme="minorHAnsi" w:hAnsiTheme="minorHAnsi" w:cstheme="minorHAnsi"/>
          <w:szCs w:val="20"/>
        </w:rPr>
        <w:t xml:space="preserve"> reflect evidence showing that health effects were associated with much lower levels of SO</w:t>
      </w:r>
      <w:r w:rsidR="00173D35" w:rsidRPr="005060E0">
        <w:rPr>
          <w:rFonts w:asciiTheme="minorHAnsi" w:hAnsiTheme="minorHAnsi" w:cstheme="minorHAnsi"/>
          <w:szCs w:val="20"/>
          <w:vertAlign w:val="subscript"/>
        </w:rPr>
        <w:t>2</w:t>
      </w:r>
      <w:r w:rsidR="00173D35" w:rsidRPr="005060E0">
        <w:rPr>
          <w:rFonts w:asciiTheme="minorHAnsi" w:hAnsiTheme="minorHAnsi" w:cstheme="minorHAnsi"/>
          <w:szCs w:val="20"/>
        </w:rPr>
        <w:t xml:space="preserve"> than previously found.</w:t>
      </w:r>
      <w:r w:rsidRPr="005060E0">
        <w:rPr>
          <w:rFonts w:asciiTheme="minorHAnsi" w:hAnsiTheme="minorHAnsi" w:cstheme="minorHAnsi"/>
          <w:szCs w:val="20"/>
        </w:rPr>
        <w:t xml:space="preserve"> This is much lower than the AAQ NEPM standard of 80 ppb.</w:t>
      </w:r>
      <w:r w:rsidR="00173D35" w:rsidRPr="005060E0">
        <w:t xml:space="preserve"> The international standards are </w:t>
      </w:r>
      <w:r w:rsidRPr="005060E0">
        <w:t xml:space="preserve">also </w:t>
      </w:r>
      <w:r w:rsidR="00173D35" w:rsidRPr="005060E0">
        <w:t>more stringent tha</w:t>
      </w:r>
      <w:r w:rsidRPr="005060E0">
        <w:t>n the current AAQ NEPM standard.</w:t>
      </w:r>
    </w:p>
    <w:p w14:paraId="67CE716F" w14:textId="36E111FE" w:rsidR="002B7393" w:rsidRPr="005060E0" w:rsidRDefault="00F3292D" w:rsidP="00E62E8F">
      <w:pPr>
        <w:pStyle w:val="ListBullet"/>
        <w:tabs>
          <w:tab w:val="left" w:pos="709"/>
        </w:tabs>
        <w:spacing w:after="140"/>
        <w:ind w:left="709" w:hanging="352"/>
      </w:pPr>
      <w:r w:rsidRPr="005060E0">
        <w:rPr>
          <w:rFonts w:asciiTheme="minorHAnsi" w:hAnsiTheme="minorHAnsi" w:cstheme="minorHAnsi"/>
          <w:i/>
          <w:szCs w:val="20"/>
        </w:rPr>
        <w:t>Annual</w:t>
      </w:r>
      <w:r w:rsidRPr="005060E0">
        <w:rPr>
          <w:rFonts w:asciiTheme="minorHAnsi" w:hAnsiTheme="minorHAnsi" w:cstheme="minorHAnsi"/>
          <w:szCs w:val="20"/>
        </w:rPr>
        <w:t xml:space="preserve">: </w:t>
      </w:r>
      <w:r w:rsidR="002B7393" w:rsidRPr="005060E0">
        <w:t>The main health effects associated with SO</w:t>
      </w:r>
      <w:r w:rsidR="002B7393" w:rsidRPr="005060E0">
        <w:rPr>
          <w:vertAlign w:val="subscript"/>
        </w:rPr>
        <w:t>2</w:t>
      </w:r>
      <w:r w:rsidR="002B7393" w:rsidRPr="005060E0">
        <w:t xml:space="preserve"> are short-term effects on the respiratory system. </w:t>
      </w:r>
      <w:r w:rsidR="004D62A1" w:rsidRPr="005060E0">
        <w:t xml:space="preserve">The </w:t>
      </w:r>
      <w:r w:rsidR="00CD0823" w:rsidRPr="005060E0">
        <w:rPr>
          <w:rFonts w:asciiTheme="minorHAnsi" w:hAnsiTheme="minorHAnsi" w:cstheme="minorHAnsi"/>
          <w:szCs w:val="20"/>
        </w:rPr>
        <w:t xml:space="preserve">WHO has noted </w:t>
      </w:r>
      <w:r w:rsidR="004D62A1" w:rsidRPr="005060E0">
        <w:rPr>
          <w:rFonts w:asciiTheme="minorHAnsi" w:hAnsiTheme="minorHAnsi" w:cstheme="minorHAnsi"/>
          <w:szCs w:val="20"/>
        </w:rPr>
        <w:t xml:space="preserve">that </w:t>
      </w:r>
      <w:r w:rsidR="00CD0823" w:rsidRPr="005060E0">
        <w:rPr>
          <w:rFonts w:asciiTheme="minorHAnsi" w:hAnsiTheme="minorHAnsi" w:cstheme="minorHAnsi"/>
          <w:szCs w:val="20"/>
        </w:rPr>
        <w:t>an annual guideline is not needed, since compliance with the 24-hour level will assure low annual average levels.</w:t>
      </w:r>
      <w:r w:rsidR="00CD0823" w:rsidRPr="005060E0">
        <w:t xml:space="preserve"> </w:t>
      </w:r>
      <w:r w:rsidR="002B7393" w:rsidRPr="005060E0">
        <w:t>The review of the recent health evidence (Appendix B) concludes that the lack of strong evidence for long-term health effects from exposure to SO</w:t>
      </w:r>
      <w:r w:rsidR="002B7393" w:rsidRPr="005060E0">
        <w:rPr>
          <w:vertAlign w:val="subscript"/>
        </w:rPr>
        <w:t>2</w:t>
      </w:r>
      <w:r w:rsidR="002B7393" w:rsidRPr="005060E0">
        <w:t xml:space="preserve"> has led international agencies to revoke annual average standards and focus on implementing short-term standards</w:t>
      </w:r>
      <w:r w:rsidR="00CD0823" w:rsidRPr="005060E0">
        <w:t>.</w:t>
      </w:r>
    </w:p>
    <w:p w14:paraId="4E3AB03F" w14:textId="26641034" w:rsidR="00592351" w:rsidRPr="005060E0" w:rsidRDefault="00592351" w:rsidP="001D5E69">
      <w:pPr>
        <w:pStyle w:val="Heading3"/>
      </w:pPr>
      <w:r w:rsidRPr="005060E0">
        <w:t>What do the air quality measurements and modelling tell us?</w:t>
      </w:r>
    </w:p>
    <w:p w14:paraId="09D405C7" w14:textId="6343CA94" w:rsidR="00EA39AB" w:rsidRPr="005060E0" w:rsidRDefault="00EA39AB" w:rsidP="00EA39AB">
      <w:pPr>
        <w:rPr>
          <w:szCs w:val="20"/>
        </w:rPr>
      </w:pPr>
      <w:r w:rsidRPr="005060E0">
        <w:t xml:space="preserve">The </w:t>
      </w:r>
      <w:r w:rsidR="00130210" w:rsidRPr="005060E0">
        <w:t xml:space="preserve">historical </w:t>
      </w:r>
      <w:r w:rsidRPr="005060E0">
        <w:t>air quality assessment and future modelling has shown that most of the proposed SO</w:t>
      </w:r>
      <w:r w:rsidRPr="005060E0">
        <w:rPr>
          <w:vertAlign w:val="subscript"/>
        </w:rPr>
        <w:t>2</w:t>
      </w:r>
      <w:r w:rsidRPr="005060E0">
        <w:t xml:space="preserve"> standards can be met now and into the future without the need for additional abatement measures.</w:t>
      </w:r>
      <w:r w:rsidRPr="005060E0">
        <w:rPr>
          <w:szCs w:val="20"/>
        </w:rPr>
        <w:t xml:space="preserve"> This would suggest that the SO</w:t>
      </w:r>
      <w:r w:rsidRPr="005060E0">
        <w:rPr>
          <w:szCs w:val="20"/>
          <w:vertAlign w:val="subscript"/>
        </w:rPr>
        <w:t>2</w:t>
      </w:r>
      <w:r w:rsidRPr="005060E0">
        <w:rPr>
          <w:szCs w:val="20"/>
        </w:rPr>
        <w:t xml:space="preserve"> standards could be lowered without cost </w:t>
      </w:r>
      <w:r w:rsidR="00822562" w:rsidRPr="005060E0">
        <w:rPr>
          <w:szCs w:val="20"/>
        </w:rPr>
        <w:t>(</w:t>
      </w:r>
      <w:r w:rsidRPr="005060E0">
        <w:rPr>
          <w:szCs w:val="20"/>
        </w:rPr>
        <w:t xml:space="preserve">or </w:t>
      </w:r>
      <w:r w:rsidR="00822562" w:rsidRPr="005060E0">
        <w:rPr>
          <w:szCs w:val="20"/>
        </w:rPr>
        <w:t xml:space="preserve">indeed, </w:t>
      </w:r>
      <w:r w:rsidRPr="005060E0">
        <w:rPr>
          <w:szCs w:val="20"/>
        </w:rPr>
        <w:t>benefit</w:t>
      </w:r>
      <w:r w:rsidR="00822562" w:rsidRPr="005060E0">
        <w:rPr>
          <w:szCs w:val="20"/>
        </w:rPr>
        <w:t>)</w:t>
      </w:r>
      <w:r w:rsidRPr="005060E0">
        <w:rPr>
          <w:szCs w:val="20"/>
        </w:rPr>
        <w:t>.</w:t>
      </w:r>
      <w:r w:rsidRPr="005060E0">
        <w:t xml:space="preserve"> The exception to this is the most stringent 24-hour standard of 7 ppb, which </w:t>
      </w:r>
      <w:r w:rsidRPr="005060E0">
        <w:rPr>
          <w:szCs w:val="20"/>
        </w:rPr>
        <w:t xml:space="preserve">could </w:t>
      </w:r>
      <w:r w:rsidR="00130210" w:rsidRPr="005060E0">
        <w:rPr>
          <w:szCs w:val="20"/>
        </w:rPr>
        <w:t xml:space="preserve">nevertheless </w:t>
      </w:r>
      <w:r w:rsidRPr="005060E0">
        <w:rPr>
          <w:szCs w:val="20"/>
        </w:rPr>
        <w:t xml:space="preserve">be met at all locations with the Abatement Package. </w:t>
      </w:r>
    </w:p>
    <w:p w14:paraId="4FB52EDA" w14:textId="3D2F2DC4" w:rsidR="00C1553D" w:rsidRPr="005060E0" w:rsidRDefault="00130210" w:rsidP="00EA39AB">
      <w:pPr>
        <w:rPr>
          <w:szCs w:val="20"/>
        </w:rPr>
      </w:pPr>
      <w:r w:rsidRPr="005060E0">
        <w:rPr>
          <w:szCs w:val="20"/>
        </w:rPr>
        <w:t>It should be noted that there was some uncertainty in the future modelling for SO</w:t>
      </w:r>
      <w:r w:rsidRPr="005060E0">
        <w:rPr>
          <w:szCs w:val="20"/>
          <w:vertAlign w:val="subscript"/>
        </w:rPr>
        <w:t>2</w:t>
      </w:r>
      <w:r w:rsidRPr="005060E0">
        <w:rPr>
          <w:szCs w:val="20"/>
        </w:rPr>
        <w:t>. For example, it appears that the numbers of exceedances of the proposed SO</w:t>
      </w:r>
      <w:r w:rsidRPr="005060E0">
        <w:rPr>
          <w:szCs w:val="20"/>
          <w:vertAlign w:val="subscript"/>
        </w:rPr>
        <w:t>2</w:t>
      </w:r>
      <w:r w:rsidRPr="005060E0">
        <w:rPr>
          <w:szCs w:val="20"/>
        </w:rPr>
        <w:t xml:space="preserve"> standards were overestimated for NSW and Victoria, and it is possible that fewer exceedances of the 7 ppb standard could occur in practice without </w:t>
      </w:r>
      <w:r w:rsidR="00475B35" w:rsidRPr="005060E0">
        <w:rPr>
          <w:szCs w:val="20"/>
        </w:rPr>
        <w:t xml:space="preserve">the </w:t>
      </w:r>
      <w:r w:rsidRPr="005060E0">
        <w:rPr>
          <w:szCs w:val="20"/>
        </w:rPr>
        <w:t xml:space="preserve">Abatement Package. </w:t>
      </w:r>
      <w:r w:rsidR="00F70230" w:rsidRPr="005060E0">
        <w:rPr>
          <w:szCs w:val="20"/>
        </w:rPr>
        <w:t>This overestimation would be exacerbated by the overestimation of future emissions from industr</w:t>
      </w:r>
      <w:r w:rsidR="00C543C5" w:rsidRPr="005060E0">
        <w:rPr>
          <w:szCs w:val="20"/>
        </w:rPr>
        <w:t>ial sources</w:t>
      </w:r>
      <w:r w:rsidR="00F70230" w:rsidRPr="005060E0">
        <w:rPr>
          <w:szCs w:val="20"/>
        </w:rPr>
        <w:t>.</w:t>
      </w:r>
    </w:p>
    <w:p w14:paraId="13188F5C" w14:textId="35567334" w:rsidR="00592351" w:rsidRPr="005060E0" w:rsidRDefault="00592351" w:rsidP="001D5E69">
      <w:pPr>
        <w:pStyle w:val="Heading3"/>
      </w:pPr>
      <w:r w:rsidRPr="005060E0">
        <w:t>What does the HRA tell us?</w:t>
      </w:r>
    </w:p>
    <w:p w14:paraId="1DAC1E4E" w14:textId="342ED051" w:rsidR="00E512FE" w:rsidRPr="005060E0" w:rsidRDefault="00E512FE" w:rsidP="00E512FE">
      <w:pPr>
        <w:rPr>
          <w:lang w:eastAsia="en-AU"/>
        </w:rPr>
      </w:pPr>
      <w:r w:rsidRPr="005060E0">
        <w:rPr>
          <w:lang w:eastAsia="en-AU"/>
        </w:rPr>
        <w:t>Exposure to recent historical levels of SO</w:t>
      </w:r>
      <w:r w:rsidRPr="005060E0">
        <w:rPr>
          <w:vertAlign w:val="subscript"/>
          <w:lang w:eastAsia="en-AU"/>
        </w:rPr>
        <w:t xml:space="preserve">2 </w:t>
      </w:r>
      <w:r w:rsidRPr="005060E0">
        <w:rPr>
          <w:lang w:eastAsia="en-AU"/>
        </w:rPr>
        <w:t>in some Australian airsheds</w:t>
      </w:r>
      <w:r w:rsidR="00704BAC" w:rsidRPr="005060E0">
        <w:rPr>
          <w:lang w:eastAsia="en-AU"/>
        </w:rPr>
        <w:t xml:space="preserve"> is associated with </w:t>
      </w:r>
      <w:r w:rsidRPr="005060E0">
        <w:rPr>
          <w:lang w:eastAsia="en-AU"/>
        </w:rPr>
        <w:t>adverse health outcomes, and the health burden is projected to increase substantially in the future under the BAU scenario.</w:t>
      </w:r>
      <w:bookmarkStart w:id="145" w:name="_Toc465899750"/>
      <w:bookmarkEnd w:id="145"/>
      <w:r w:rsidRPr="005060E0">
        <w:rPr>
          <w:lang w:eastAsia="en-AU"/>
        </w:rPr>
        <w:t xml:space="preserve"> In the Abatement Package scenario there are marked reductions in the incidence of the health outcomes, such that by 2040 all-cause mortality and respiratory illness due to SO</w:t>
      </w:r>
      <w:r w:rsidRPr="005060E0">
        <w:rPr>
          <w:vertAlign w:val="subscript"/>
          <w:lang w:eastAsia="en-AU"/>
        </w:rPr>
        <w:t>2</w:t>
      </w:r>
      <w:r w:rsidRPr="005060E0">
        <w:rPr>
          <w:lang w:eastAsia="en-AU"/>
        </w:rPr>
        <w:t xml:space="preserve"> are generally approaching the 2010</w:t>
      </w:r>
      <w:r w:rsidR="00DF4D3A" w:rsidRPr="005060E0">
        <w:rPr>
          <w:lang w:eastAsia="en-AU"/>
        </w:rPr>
        <w:t>–20</w:t>
      </w:r>
      <w:r w:rsidRPr="005060E0">
        <w:rPr>
          <w:lang w:eastAsia="en-AU"/>
        </w:rPr>
        <w:t>14 average, with the exception of Melbourne.</w:t>
      </w:r>
    </w:p>
    <w:p w14:paraId="6F13471D" w14:textId="14D8691A" w:rsidR="00E512FE" w:rsidRPr="005060E0" w:rsidRDefault="00E512FE" w:rsidP="00E512FE">
      <w:r w:rsidRPr="005060E0">
        <w:t xml:space="preserve">The proposed 1-hour standard of 75 ppb has only been exceeded in locations that are dominated by large industrial sources, and the exceedances have been infrequent. The </w:t>
      </w:r>
      <w:r w:rsidRPr="005060E0">
        <w:rPr>
          <w:lang w:eastAsia="en-AU"/>
        </w:rPr>
        <w:t>health outcomes associated with 1-hour SO</w:t>
      </w:r>
      <w:r w:rsidRPr="005060E0">
        <w:rPr>
          <w:vertAlign w:val="subscript"/>
          <w:lang w:eastAsia="en-AU"/>
        </w:rPr>
        <w:t>2</w:t>
      </w:r>
      <w:r w:rsidRPr="005060E0">
        <w:rPr>
          <w:lang w:eastAsia="en-AU"/>
        </w:rPr>
        <w:t xml:space="preserve"> concentrations are therefore low, and for the majority of the Australian population meeting the proposed standards</w:t>
      </w:r>
      <w:r w:rsidR="00704BAC" w:rsidRPr="005060E0">
        <w:rPr>
          <w:lang w:eastAsia="en-AU"/>
        </w:rPr>
        <w:t xml:space="preserve"> would not lead to a material</w:t>
      </w:r>
      <w:r w:rsidRPr="005060E0">
        <w:rPr>
          <w:lang w:eastAsia="en-AU"/>
        </w:rPr>
        <w:t xml:space="preserve"> health benefit.</w:t>
      </w:r>
    </w:p>
    <w:p w14:paraId="519C06E4" w14:textId="12F30940" w:rsidR="00E512FE" w:rsidRPr="005060E0" w:rsidRDefault="00E512FE" w:rsidP="00E512FE">
      <w:pPr>
        <w:rPr>
          <w:lang w:eastAsia="en-AU"/>
        </w:rPr>
      </w:pPr>
      <w:r w:rsidRPr="005060E0">
        <w:rPr>
          <w:lang w:eastAsia="en-AU"/>
        </w:rPr>
        <w:t xml:space="preserve">The proposed 24-hour standard of 7 ppb has historically been exceeded in most airsheds, and compliance with </w:t>
      </w:r>
      <w:r w:rsidRPr="005060E0">
        <w:t>the proposed 24-hour standard of</w:t>
      </w:r>
      <w:r w:rsidR="00704BAC" w:rsidRPr="005060E0">
        <w:t xml:space="preserve"> 7 ppb would have a </w:t>
      </w:r>
      <w:r w:rsidRPr="005060E0">
        <w:t xml:space="preserve">health benefit. </w:t>
      </w:r>
      <w:r w:rsidRPr="005060E0">
        <w:rPr>
          <w:lang w:eastAsia="en-AU"/>
        </w:rPr>
        <w:t>The 20 ppb standard is met in most airsheds, therefore the health benefits that would be achieved by meeting the proposed standard are smaller.</w:t>
      </w:r>
    </w:p>
    <w:p w14:paraId="615ABD34" w14:textId="2A4F7373" w:rsidR="00C65FA8" w:rsidRPr="005060E0" w:rsidRDefault="00C65FA8" w:rsidP="001D5E69">
      <w:pPr>
        <w:pStyle w:val="Heading3"/>
        <w:rPr>
          <w:lang w:eastAsia="en-AU"/>
        </w:rPr>
      </w:pPr>
      <w:r w:rsidRPr="005060E0">
        <w:rPr>
          <w:lang w:eastAsia="en-AU"/>
        </w:rPr>
        <w:t>What does the CBA tell us?</w:t>
      </w:r>
    </w:p>
    <w:p w14:paraId="1356E400" w14:textId="737BFD09" w:rsidR="00BA2AE2" w:rsidRPr="005060E0" w:rsidRDefault="00C65FA8" w:rsidP="00080B5B">
      <w:pPr>
        <w:rPr>
          <w:szCs w:val="20"/>
        </w:rPr>
      </w:pPr>
      <w:r w:rsidRPr="005060E0">
        <w:rPr>
          <w:szCs w:val="20"/>
        </w:rPr>
        <w:t>The abatement me</w:t>
      </w:r>
      <w:r w:rsidR="00BA2AE2" w:rsidRPr="005060E0">
        <w:rPr>
          <w:szCs w:val="20"/>
        </w:rPr>
        <w:t>asures modelled we</w:t>
      </w:r>
      <w:r w:rsidRPr="005060E0">
        <w:rPr>
          <w:szCs w:val="20"/>
        </w:rPr>
        <w:t xml:space="preserve">re clearly not </w:t>
      </w:r>
      <w:r w:rsidR="00DC4829" w:rsidRPr="005060E0">
        <w:rPr>
          <w:szCs w:val="20"/>
        </w:rPr>
        <w:t xml:space="preserve">economically efficient </w:t>
      </w:r>
      <w:r w:rsidRPr="005060E0">
        <w:rPr>
          <w:szCs w:val="20"/>
        </w:rPr>
        <w:t>at the national level for SO</w:t>
      </w:r>
      <w:r w:rsidRPr="005060E0">
        <w:rPr>
          <w:szCs w:val="20"/>
          <w:vertAlign w:val="subscript"/>
        </w:rPr>
        <w:t>2</w:t>
      </w:r>
      <w:r w:rsidRPr="005060E0">
        <w:rPr>
          <w:szCs w:val="20"/>
        </w:rPr>
        <w:t>, with a</w:t>
      </w:r>
      <w:r w:rsidR="000704F3" w:rsidRPr="005060E0">
        <w:rPr>
          <w:szCs w:val="20"/>
        </w:rPr>
        <w:t xml:space="preserve"> cost of around $24.4</w:t>
      </w:r>
      <w:r w:rsidRPr="005060E0">
        <w:rPr>
          <w:szCs w:val="20"/>
        </w:rPr>
        <w:t xml:space="preserve"> billion and a benefit of $</w:t>
      </w:r>
      <w:r w:rsidR="000704F3" w:rsidRPr="005060E0">
        <w:rPr>
          <w:szCs w:val="20"/>
        </w:rPr>
        <w:t>1</w:t>
      </w:r>
      <w:r w:rsidRPr="005060E0">
        <w:rPr>
          <w:szCs w:val="20"/>
        </w:rPr>
        <w:t>96 million.</w:t>
      </w:r>
      <w:r w:rsidR="00BA2AE2" w:rsidRPr="005060E0">
        <w:rPr>
          <w:szCs w:val="20"/>
        </w:rPr>
        <w:t xml:space="preserve"> T</w:t>
      </w:r>
      <w:r w:rsidR="00BA2AE2" w:rsidRPr="005060E0">
        <w:t xml:space="preserve">he benefits were relatively low because of the low population where the reductions </w:t>
      </w:r>
      <w:r w:rsidR="005B3113" w:rsidRPr="005060E0">
        <w:t>in concentration</w:t>
      </w:r>
      <w:r w:rsidR="00BA2AE2" w:rsidRPr="005060E0">
        <w:t xml:space="preserve"> would occur. Abatement measures would more suitably be implemented at a jurisdiction level.</w:t>
      </w:r>
    </w:p>
    <w:p w14:paraId="01581F97" w14:textId="3D7BE8B3" w:rsidR="00D56B82" w:rsidRPr="005060E0" w:rsidRDefault="00D56B82" w:rsidP="0043533F">
      <w:pPr>
        <w:pStyle w:val="Heading2"/>
      </w:pPr>
      <w:bookmarkStart w:id="146" w:name="_Toc3278963"/>
      <w:r w:rsidRPr="005060E0">
        <w:t>Recommendations</w:t>
      </w:r>
      <w:bookmarkEnd w:id="146"/>
    </w:p>
    <w:p w14:paraId="034A6B01" w14:textId="15EBFFD4" w:rsidR="00866C2D" w:rsidRPr="005060E0" w:rsidRDefault="00B73831" w:rsidP="00CA1CE3">
      <w:pPr>
        <w:pStyle w:val="Heading3"/>
      </w:pPr>
      <w:r w:rsidRPr="005060E0">
        <w:t xml:space="preserve">What </w:t>
      </w:r>
      <w:r w:rsidR="00866C2D" w:rsidRPr="005060E0">
        <w:t>SO</w:t>
      </w:r>
      <w:r w:rsidR="00866C2D" w:rsidRPr="005060E0">
        <w:rPr>
          <w:vertAlign w:val="subscript"/>
        </w:rPr>
        <w:t>2</w:t>
      </w:r>
      <w:r w:rsidRPr="005060E0">
        <w:t xml:space="preserve"> standards should be adopted</w:t>
      </w:r>
      <w:r w:rsidR="00866C2D" w:rsidRPr="005060E0">
        <w:t xml:space="preserve"> to protect health?</w:t>
      </w:r>
    </w:p>
    <w:p w14:paraId="57CD100A" w14:textId="3A3A26AB" w:rsidR="00173D35" w:rsidRPr="005060E0" w:rsidRDefault="00CA1CE3" w:rsidP="00173D35">
      <w:r w:rsidRPr="005060E0">
        <w:t>The following sections provide the recommendations for the</w:t>
      </w:r>
      <w:r w:rsidR="00A80123" w:rsidRPr="005060E0">
        <w:t xml:space="preserve"> variation of the</w:t>
      </w:r>
      <w:r w:rsidRPr="005060E0">
        <w:t xml:space="preserve"> SO</w:t>
      </w:r>
      <w:r w:rsidRPr="005060E0">
        <w:rPr>
          <w:vertAlign w:val="subscript"/>
        </w:rPr>
        <w:t>2</w:t>
      </w:r>
      <w:r w:rsidRPr="005060E0">
        <w:t xml:space="preserve"> standards in the AAQ NEPM, and the supporting rationale.</w:t>
      </w:r>
      <w:r w:rsidR="00173D35" w:rsidRPr="005060E0">
        <w:t xml:space="preserve"> Where long-term future goals have been recommended, these have been considered to be achievable in the Australian jurisdictions, based on the available evidence.</w:t>
      </w:r>
    </w:p>
    <w:p w14:paraId="2A2587BF" w14:textId="1356328F" w:rsidR="005C1DF9" w:rsidRPr="005060E0" w:rsidRDefault="005C1DF9" w:rsidP="00C65826">
      <w:pPr>
        <w:pStyle w:val="Heading4"/>
      </w:pPr>
      <w:r w:rsidRPr="005060E0">
        <w:t>10-minute standard</w:t>
      </w:r>
    </w:p>
    <w:p w14:paraId="5BFAF0DC" w14:textId="76A74936" w:rsidR="0029044E" w:rsidRPr="005060E0" w:rsidRDefault="00AE616A" w:rsidP="0029044E">
      <w:pPr>
        <w:spacing w:after="360"/>
      </w:pPr>
      <w:r w:rsidRPr="005060E0">
        <w:t>Although the WHO has a guideline for 10-minute average SO</w:t>
      </w:r>
      <w:r w:rsidRPr="005060E0">
        <w:rPr>
          <w:vertAlign w:val="subscript"/>
        </w:rPr>
        <w:t>2</w:t>
      </w:r>
      <w:r w:rsidR="00F32E33" w:rsidRPr="005060E0">
        <w:t xml:space="preserve">, </w:t>
      </w:r>
      <w:r w:rsidR="00173D35" w:rsidRPr="005060E0">
        <w:t xml:space="preserve">short-term peaks </w:t>
      </w:r>
      <w:r w:rsidR="002C5105" w:rsidRPr="005060E0">
        <w:t xml:space="preserve">are </w:t>
      </w:r>
      <w:r w:rsidR="00173D35" w:rsidRPr="005060E0">
        <w:t>only experienced at locations close to major sources of SO</w:t>
      </w:r>
      <w:r w:rsidR="00173D35" w:rsidRPr="005060E0">
        <w:rPr>
          <w:vertAlign w:val="subscript"/>
        </w:rPr>
        <w:t>2</w:t>
      </w:r>
      <w:r w:rsidR="002C5105" w:rsidRPr="005060E0">
        <w:t xml:space="preserve"> and </w:t>
      </w:r>
      <w:r w:rsidR="00173D35" w:rsidRPr="005060E0">
        <w:t>are not covered by the AAQ NEPM. A similar situation exists in other lead</w:t>
      </w:r>
      <w:r w:rsidR="002C5105" w:rsidRPr="005060E0">
        <w:t xml:space="preserve">ing countries, and </w:t>
      </w:r>
      <w:r w:rsidR="00173D35" w:rsidRPr="005060E0">
        <w:t>a num</w:t>
      </w:r>
      <w:r w:rsidR="002C5105" w:rsidRPr="005060E0">
        <w:t xml:space="preserve">ber of international agencies have not set a 10-minute </w:t>
      </w:r>
      <w:r w:rsidR="00173D35" w:rsidRPr="005060E0">
        <w:t>standard. Based on the weight-of-evidence approach, i</w:t>
      </w:r>
      <w:r w:rsidR="0029044E" w:rsidRPr="005060E0">
        <w:t>t is therefore considered appropriate to retain the status quo, with the 10-minute SO</w:t>
      </w:r>
      <w:r w:rsidR="0029044E" w:rsidRPr="005060E0">
        <w:rPr>
          <w:vertAlign w:val="subscript"/>
        </w:rPr>
        <w:t>2</w:t>
      </w:r>
      <w:r w:rsidR="0029044E" w:rsidRPr="005060E0">
        <w:t xml:space="preserve"> standard being excluded from the AAQ NEPM, and with concentrations being managed through </w:t>
      </w:r>
      <w:r w:rsidR="002475C8" w:rsidRPr="005060E0">
        <w:t>s</w:t>
      </w:r>
      <w:r w:rsidR="0029044E" w:rsidRPr="005060E0">
        <w:t xml:space="preserve">tate </w:t>
      </w:r>
      <w:r w:rsidR="002475C8" w:rsidRPr="005060E0">
        <w:t xml:space="preserve">and territory </w:t>
      </w:r>
      <w:r w:rsidR="0029044E" w:rsidRPr="005060E0">
        <w:t>environmental legislation and frameworks.</w:t>
      </w:r>
    </w:p>
    <w:p w14:paraId="768CB5AA" w14:textId="60542F73" w:rsidR="00933EE2" w:rsidRPr="005060E0" w:rsidRDefault="00933EE2" w:rsidP="00CA1CE3">
      <w:pPr>
        <w:spacing w:after="360"/>
      </w:pPr>
      <w:r w:rsidRPr="005060E0">
        <w:rPr>
          <w:rFonts w:asciiTheme="minorHAnsi" w:hAnsiTheme="minorHAnsi" w:cstheme="minorHAnsi"/>
          <w:noProof/>
          <w:szCs w:val="20"/>
          <w:lang w:eastAsia="en-AU"/>
        </w:rPr>
        <mc:AlternateContent>
          <mc:Choice Requires="wps">
            <w:drawing>
              <wp:inline distT="0" distB="0" distL="0" distR="0" wp14:anchorId="18AD368E" wp14:editId="6896AE0F">
                <wp:extent cx="6086475" cy="532737"/>
                <wp:effectExtent l="0" t="0" r="28575" b="20320"/>
                <wp:docPr id="17" name="Text Box 17"/>
                <wp:cNvGraphicFramePr/>
                <a:graphic xmlns:a="http://schemas.openxmlformats.org/drawingml/2006/main">
                  <a:graphicData uri="http://schemas.microsoft.com/office/word/2010/wordprocessingShape">
                    <wps:wsp>
                      <wps:cNvSpPr txBox="1"/>
                      <wps:spPr>
                        <a:xfrm>
                          <a:off x="0" y="0"/>
                          <a:ext cx="6086475" cy="532737"/>
                        </a:xfrm>
                        <a:prstGeom prst="rect">
                          <a:avLst/>
                        </a:prstGeom>
                        <a:solidFill>
                          <a:schemeClr val="tx2">
                            <a:lumMod val="20000"/>
                            <a:lumOff val="80000"/>
                          </a:schemeClr>
                        </a:solidFill>
                        <a:ln w="6350">
                          <a:solidFill>
                            <a:schemeClr val="tx2">
                              <a:lumMod val="40000"/>
                              <a:lumOff val="60000"/>
                            </a:schemeClr>
                          </a:solidFill>
                        </a:ln>
                      </wps:spPr>
                      <wps:txbx>
                        <w:txbxContent>
                          <w:p w14:paraId="64BCC9F9" w14:textId="42EE08BF" w:rsidR="00B246FA" w:rsidRPr="00310CA6" w:rsidRDefault="00B246FA" w:rsidP="00933EE2">
                            <w:pPr>
                              <w:pStyle w:val="ListBullet"/>
                              <w:numPr>
                                <w:ilvl w:val="0"/>
                                <w:numId w:val="0"/>
                              </w:numPr>
                              <w:rPr>
                                <w:b/>
                              </w:rPr>
                            </w:pPr>
                            <w:r>
                              <w:rPr>
                                <w:b/>
                              </w:rPr>
                              <w:t>Recommendation 3</w:t>
                            </w:r>
                            <w:r w:rsidRPr="002C5105">
                              <w:rPr>
                                <w:b/>
                              </w:rPr>
                              <w:t>:</w:t>
                            </w:r>
                            <w:r>
                              <w:t xml:space="preserve"> </w:t>
                            </w:r>
                            <w:r w:rsidRPr="00E44728">
                              <w:t>The status quo should be mai</w:t>
                            </w:r>
                            <w:r>
                              <w:t xml:space="preserve">ntained of not including a </w:t>
                            </w:r>
                            <w:r w:rsidRPr="00E44728">
                              <w:t>10-minute SO</w:t>
                            </w:r>
                            <w:r w:rsidRPr="00E44728">
                              <w:rPr>
                                <w:vertAlign w:val="subscript"/>
                              </w:rPr>
                              <w:t>2</w:t>
                            </w:r>
                            <w:r>
                              <w:t xml:space="preserve"> standard </w:t>
                            </w:r>
                            <w:r w:rsidRPr="00E44728">
                              <w:t>in the AAQ NEPM.</w:t>
                            </w:r>
                          </w:p>
                          <w:p w14:paraId="399D3DAF" w14:textId="77777777" w:rsidR="00B246FA" w:rsidRDefault="00B246FA" w:rsidP="00933E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AD368E" id="Text Box 17" o:spid="_x0000_s1035" type="#_x0000_t202" style="width:479.25pt;height: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UacQIAACAFAAAOAAAAZHJzL2Uyb0RvYy54bWysVE1P3DAQvVfqf7B8L8ku+wERWbQFUVWi&#10;gAQVZ6/jsJH8Vdu7Cf31fXY2ywJtD1Uvif1m/MYz88Zn552SZCucb4wu6egop0RobqpGP5X0+8PV&#10;pxNKfGC6YtJoUdJn4en54uOHs9YWYmzWRlbCEZBoX7S2pOsQbJFlnq+FYv7IWKFhrI1TLGDrnrLK&#10;sRbsSmbjPJ9lrXGVdYYL74Fe9ka6SPx1LXi4rWsvApElxd1C+rr0XcVvtjhjxZNjdt3w3TXYP9xC&#10;sUYj6J7qkgVGNq55R6Ua7ow3dTjiRmWmrhsuUg7IZpS/yeZ+zaxIuaA43u7L5P8fLb/Z3jnSVOjd&#10;nBLNFHr0ILpAPpuOAEJ9WusLuN1bOIYOOHwH3AOMaXe1U/GPhAjsqPTzvrqRjQOc5SezyXxKCYdt&#10;ejyeHyf67OW0dT58EUaRuCipQ/dSUdn22gfcBK6DSwzmjWyqq0bKtImKERfSkS1Dr0M3TkflRn0z&#10;VY9BL/mu44Chix4+GWDQJ91FlhTsVQCpSYskjqd5In5l2x/7c/DJEIUVh8FnA/y34LBJjRvFTvQV&#10;j6vQrbrUudOhGytTPaNJzvQy95ZfNajkNfPhjjnoGn3BrIZbfGppkI7ZrShZG/fzd3j0h9xgpaTF&#10;nJTU/9gwJyiRXzWEeDqaTOJgpc1kOh9j4w4tq0OL3qgLg/aM8CpYnpbRP8hhWTujHjHSyxgVJqY5&#10;YqOfw/Ii9NOLJ4GL5TI5YZQsC9f63vJIHeUQdfLQPTJnd2IKkOGNGSaKFW801fvGk9osN8HUTRJc&#10;rHNf1V35MYZJGrsnI8754T55vTxsi18AAAD//wMAUEsDBBQABgAIAAAAIQBnVqO83AAAAAQBAAAP&#10;AAAAZHJzL2Rvd25yZXYueG1sTI/BTsMwEETvSP0Haytxow5FQUmIU7VQ4ExbBL1t4yWJGq+j2GnT&#10;v8dwgctKoxnNvM0Xo2nFiXrXWFZwO4tAEJdWN1wp2G2fbxIQziNrbC2Tggs5WBSTqxwzbc/8RqeN&#10;r0QoYZehgtr7LpPSlTUZdDPbEQfvy/YGfZB9JXWP51BuWjmPontpsOGwUGNHjzWVx81gFKzo/biP&#10;I1y/fM53l6ft+mM/pK9KXU/H5QMIT6P/C8MPfkCHIjAd7MDaiVZBeMT/3uClcRKDOChI7lKQRS7/&#10;wxffAAAA//8DAFBLAQItABQABgAIAAAAIQC2gziS/gAAAOEBAAATAAAAAAAAAAAAAAAAAAAAAABb&#10;Q29udGVudF9UeXBlc10ueG1sUEsBAi0AFAAGAAgAAAAhADj9If/WAAAAlAEAAAsAAAAAAAAAAAAA&#10;AAAALwEAAF9yZWxzLy5yZWxzUEsBAi0AFAAGAAgAAAAhAMnJlRpxAgAAIAUAAA4AAAAAAAAAAAAA&#10;AAAALgIAAGRycy9lMm9Eb2MueG1sUEsBAi0AFAAGAAgAAAAhAGdWo7zcAAAABAEAAA8AAAAAAAAA&#10;AAAAAAAAywQAAGRycy9kb3ducmV2LnhtbFBLBQYAAAAABAAEAPMAAADUBQAAAAA=&#10;" fillcolor="#dedfe3 [671]" strokecolor="#bdbfc8 [1311]" strokeweight=".5pt">
                <v:textbox>
                  <w:txbxContent>
                    <w:p w14:paraId="64BCC9F9" w14:textId="42EE08BF" w:rsidR="00B246FA" w:rsidRPr="00310CA6" w:rsidRDefault="00B246FA" w:rsidP="00933EE2">
                      <w:pPr>
                        <w:pStyle w:val="ListBullet"/>
                        <w:numPr>
                          <w:ilvl w:val="0"/>
                          <w:numId w:val="0"/>
                        </w:numPr>
                        <w:rPr>
                          <w:b/>
                        </w:rPr>
                      </w:pPr>
                      <w:r>
                        <w:rPr>
                          <w:b/>
                        </w:rPr>
                        <w:t>Recommendation 3</w:t>
                      </w:r>
                      <w:r w:rsidRPr="002C5105">
                        <w:rPr>
                          <w:b/>
                        </w:rPr>
                        <w:t>:</w:t>
                      </w:r>
                      <w:r>
                        <w:t xml:space="preserve"> </w:t>
                      </w:r>
                      <w:r w:rsidRPr="00E44728">
                        <w:t>The status quo should be mai</w:t>
                      </w:r>
                      <w:r>
                        <w:t xml:space="preserve">ntained of not including a </w:t>
                      </w:r>
                      <w:r w:rsidRPr="00E44728">
                        <w:t>10-minute SO</w:t>
                      </w:r>
                      <w:r w:rsidRPr="00E44728">
                        <w:rPr>
                          <w:vertAlign w:val="subscript"/>
                        </w:rPr>
                        <w:t>2</w:t>
                      </w:r>
                      <w:r>
                        <w:t xml:space="preserve"> standard </w:t>
                      </w:r>
                      <w:r w:rsidRPr="00E44728">
                        <w:t>in the AAQ NEPM.</w:t>
                      </w:r>
                    </w:p>
                    <w:p w14:paraId="399D3DAF" w14:textId="77777777" w:rsidR="00B246FA" w:rsidRDefault="00B246FA" w:rsidP="00933EE2"/>
                  </w:txbxContent>
                </v:textbox>
                <w10:anchorlock/>
              </v:shape>
            </w:pict>
          </mc:Fallback>
        </mc:AlternateContent>
      </w:r>
    </w:p>
    <w:p w14:paraId="514475C1" w14:textId="6C15FB88" w:rsidR="005C1DF9" w:rsidRPr="005060E0" w:rsidRDefault="005C1DF9" w:rsidP="00C65826">
      <w:pPr>
        <w:pStyle w:val="Heading4"/>
      </w:pPr>
      <w:r w:rsidRPr="005060E0">
        <w:t>1-hour standard</w:t>
      </w:r>
    </w:p>
    <w:p w14:paraId="0CA4D1A5" w14:textId="767DA597" w:rsidR="00F3292D" w:rsidRPr="005060E0" w:rsidRDefault="005C1DF9" w:rsidP="005C2B86">
      <w:pPr>
        <w:spacing w:after="180"/>
      </w:pPr>
      <w:r w:rsidRPr="005060E0">
        <w:t>Various 1-hour standard</w:t>
      </w:r>
      <w:r w:rsidR="00CD571E" w:rsidRPr="005060E0">
        <w:t>s for SO</w:t>
      </w:r>
      <w:r w:rsidR="00CD571E" w:rsidRPr="005060E0">
        <w:rPr>
          <w:vertAlign w:val="subscript"/>
        </w:rPr>
        <w:t>2</w:t>
      </w:r>
      <w:r w:rsidR="00CD571E" w:rsidRPr="005060E0">
        <w:t xml:space="preserve"> are in force internationally</w:t>
      </w:r>
      <w:r w:rsidR="002C5105" w:rsidRPr="005060E0">
        <w:t>, and s</w:t>
      </w:r>
      <w:r w:rsidR="00CD571E" w:rsidRPr="005060E0">
        <w:t>ome of these values are considerably lower than the current AAQ NEPM standard of 200 ppb.</w:t>
      </w:r>
      <w:r w:rsidR="002C5105" w:rsidRPr="005060E0">
        <w:t xml:space="preserve"> </w:t>
      </w:r>
      <w:r w:rsidR="00F3292D" w:rsidRPr="005060E0">
        <w:t>This means that the Austr</w:t>
      </w:r>
      <w:r w:rsidR="002C5105" w:rsidRPr="005060E0">
        <w:t>alian standard</w:t>
      </w:r>
      <w:r w:rsidR="00F3292D" w:rsidRPr="005060E0">
        <w:t xml:space="preserve"> </w:t>
      </w:r>
      <w:r w:rsidR="002C5105" w:rsidRPr="005060E0">
        <w:t>is</w:t>
      </w:r>
      <w:r w:rsidR="00F3292D" w:rsidRPr="005060E0">
        <w:t xml:space="preserve"> not consistent with international benchmarks</w:t>
      </w:r>
      <w:r w:rsidR="0057067F" w:rsidRPr="005060E0">
        <w:t>,</w:t>
      </w:r>
      <w:r w:rsidR="00F3292D" w:rsidRPr="005060E0">
        <w:t xml:space="preserve"> which have been set to protect human health in countries that have much higher levels of SO</w:t>
      </w:r>
      <w:r w:rsidR="00F3292D" w:rsidRPr="005060E0">
        <w:rPr>
          <w:vertAlign w:val="subscript"/>
        </w:rPr>
        <w:t>2</w:t>
      </w:r>
      <w:r w:rsidR="00F3292D" w:rsidRPr="005060E0">
        <w:t>.</w:t>
      </w:r>
    </w:p>
    <w:p w14:paraId="3EB7E251" w14:textId="26002B54" w:rsidR="00AF2F3C" w:rsidRPr="005060E0" w:rsidRDefault="00AF2F3C" w:rsidP="00AF2F3C">
      <w:pPr>
        <w:spacing w:after="180"/>
      </w:pPr>
      <w:r w:rsidRPr="005060E0">
        <w:t xml:space="preserve">In this </w:t>
      </w:r>
      <w:r w:rsidR="00DF05A9" w:rsidRPr="005060E0">
        <w:t>Impact Statement</w:t>
      </w:r>
      <w:r w:rsidRPr="005060E0">
        <w:t xml:space="preserve"> it has been shown that a </w:t>
      </w:r>
      <w:r w:rsidR="00557F96" w:rsidRPr="005060E0">
        <w:t xml:space="preserve">tighter Australian </w:t>
      </w:r>
      <w:r w:rsidRPr="005060E0">
        <w:t xml:space="preserve">standard of 100 ppb would be achievable in future years in NSW and Victoria under the BAU scenario (i.e. without the need for abatement measures), and </w:t>
      </w:r>
      <w:r w:rsidR="00234F48" w:rsidRPr="005060E0">
        <w:t xml:space="preserve">is considered to be appropriate for the AAQ NEPM. In numerical terms this would be towards the lower end of the range of values in use in other leading countries. </w:t>
      </w:r>
      <w:r w:rsidR="00C9215E" w:rsidRPr="005060E0">
        <w:t>There have historically been small numbers of exceedances of the proposed standard of 100 ppb in Perth and the Latrobe Valley</w:t>
      </w:r>
      <w:r w:rsidR="004A2732" w:rsidRPr="005060E0">
        <w:t xml:space="preserve">, and these would be </w:t>
      </w:r>
      <w:r w:rsidR="00C9215E" w:rsidRPr="005060E0">
        <w:t>suitably addressed th</w:t>
      </w:r>
      <w:r w:rsidRPr="005060E0">
        <w:t>rough local abatement measures.</w:t>
      </w:r>
    </w:p>
    <w:p w14:paraId="66C23C68" w14:textId="745EB3C8" w:rsidR="00EA37B6" w:rsidRPr="005060E0" w:rsidRDefault="00AF2F3C" w:rsidP="00040725">
      <w:pPr>
        <w:spacing w:after="360"/>
      </w:pPr>
      <w:r w:rsidRPr="005060E0">
        <w:t>Compliance with the most stringent proposed standard of 75 ppb was found to be possible with the Abatement Package</w:t>
      </w:r>
      <w:r w:rsidR="00B37DFC" w:rsidRPr="005060E0">
        <w:t>;</w:t>
      </w:r>
      <w:r w:rsidRPr="005060E0">
        <w:t xml:space="preserve"> </w:t>
      </w:r>
      <w:r w:rsidR="00B37DFC" w:rsidRPr="005060E0">
        <w:t>h</w:t>
      </w:r>
      <w:r w:rsidRPr="005060E0">
        <w:t>owever, the health benefit</w:t>
      </w:r>
      <w:r w:rsidR="00557F96" w:rsidRPr="005060E0">
        <w:t xml:space="preserve"> at the national level would be</w:t>
      </w:r>
      <w:r w:rsidRPr="005060E0">
        <w:t xml:space="preserve"> relatively low, and the Abatement P</w:t>
      </w:r>
      <w:r w:rsidR="00557F96" w:rsidRPr="005060E0">
        <w:t>ackage would be</w:t>
      </w:r>
      <w:r w:rsidRPr="005060E0">
        <w:t xml:space="preserve"> </w:t>
      </w:r>
      <w:r w:rsidR="00557F96" w:rsidRPr="005060E0">
        <w:t xml:space="preserve">very </w:t>
      </w:r>
      <w:r w:rsidRPr="005060E0">
        <w:t>uneconomic.</w:t>
      </w:r>
      <w:r w:rsidR="00557F96" w:rsidRPr="005060E0">
        <w:t xml:space="preserve"> In fact, m</w:t>
      </w:r>
      <w:r w:rsidR="001C5B9C" w:rsidRPr="005060E0">
        <w:t xml:space="preserve">ost jurisdictions can meet 75 ppb </w:t>
      </w:r>
      <w:r w:rsidR="00557F96" w:rsidRPr="005060E0">
        <w:t xml:space="preserve">with few exceedances except </w:t>
      </w:r>
      <w:r w:rsidR="005C2B86" w:rsidRPr="005060E0">
        <w:t xml:space="preserve">at industry-affected locations. Setting </w:t>
      </w:r>
      <w:r w:rsidR="00234F48" w:rsidRPr="005060E0">
        <w:t>a</w:t>
      </w:r>
      <w:r w:rsidR="005C2B86" w:rsidRPr="005060E0">
        <w:t xml:space="preserve"> goal of 75 ppb for a future</w:t>
      </w:r>
      <w:r w:rsidR="001C5B9C" w:rsidRPr="005060E0">
        <w:t xml:space="preserve"> standard </w:t>
      </w:r>
      <w:r w:rsidR="00234F48" w:rsidRPr="005060E0">
        <w:t>would allow</w:t>
      </w:r>
      <w:r w:rsidR="001C5B9C" w:rsidRPr="005060E0">
        <w:t xml:space="preserve"> some time for air quality management practices to </w:t>
      </w:r>
      <w:r w:rsidR="00234F48" w:rsidRPr="005060E0">
        <w:t xml:space="preserve">be </w:t>
      </w:r>
      <w:r w:rsidR="001C5B9C" w:rsidRPr="005060E0">
        <w:t>develop</w:t>
      </w:r>
      <w:r w:rsidR="00234F48" w:rsidRPr="005060E0">
        <w:t>ed</w:t>
      </w:r>
      <w:r w:rsidR="001C5B9C" w:rsidRPr="005060E0">
        <w:t>.</w:t>
      </w:r>
      <w:r w:rsidR="00EF4B02" w:rsidRPr="005060E0">
        <w:t xml:space="preserve"> </w:t>
      </w:r>
      <w:r w:rsidR="00360058" w:rsidRPr="005060E0">
        <w:t>Note that the setting of a future standard for SO</w:t>
      </w:r>
      <w:r w:rsidR="00360058" w:rsidRPr="005060E0">
        <w:rPr>
          <w:vertAlign w:val="subscript"/>
        </w:rPr>
        <w:t>2</w:t>
      </w:r>
      <w:r w:rsidR="00360058" w:rsidRPr="005060E0">
        <w:t xml:space="preserve"> is not intended to act as an </w:t>
      </w:r>
      <w:r w:rsidR="00EF4B02" w:rsidRPr="005060E0">
        <w:t>exposure</w:t>
      </w:r>
      <w:r w:rsidR="0011733C" w:rsidRPr="005060E0">
        <w:t>-</w:t>
      </w:r>
      <w:r w:rsidR="00EF4B02" w:rsidRPr="005060E0">
        <w:t xml:space="preserve">reduction </w:t>
      </w:r>
      <w:r w:rsidR="00360058" w:rsidRPr="005060E0">
        <w:t>approach</w:t>
      </w:r>
      <w:r w:rsidR="00B37DFC" w:rsidRPr="005060E0">
        <w:t>,</w:t>
      </w:r>
      <w:r w:rsidR="00360058" w:rsidRPr="005060E0">
        <w:t xml:space="preserve"> as it would not be the most effective mechanism </w:t>
      </w:r>
      <w:r w:rsidR="00B37DFC" w:rsidRPr="005060E0">
        <w:t xml:space="preserve">for </w:t>
      </w:r>
      <w:r w:rsidR="00360058" w:rsidRPr="005060E0">
        <w:t>reducing the population health risk.</w:t>
      </w:r>
    </w:p>
    <w:p w14:paraId="3A32E5C1" w14:textId="3B7587F4" w:rsidR="00D93132" w:rsidRPr="005060E0" w:rsidRDefault="00D93132" w:rsidP="00AE616A">
      <w:r w:rsidRPr="005060E0">
        <w:rPr>
          <w:rFonts w:asciiTheme="minorHAnsi" w:hAnsiTheme="minorHAnsi" w:cstheme="minorHAnsi"/>
          <w:noProof/>
          <w:szCs w:val="20"/>
          <w:lang w:eastAsia="en-AU"/>
        </w:rPr>
        <mc:AlternateContent>
          <mc:Choice Requires="wps">
            <w:drawing>
              <wp:anchor distT="0" distB="0" distL="114300" distR="114300" simplePos="0" relativeHeight="251658241" behindDoc="0" locked="0" layoutInCell="1" allowOverlap="1" wp14:anchorId="26ED7AA7" wp14:editId="14E5AED2">
                <wp:simplePos x="0" y="0"/>
                <wp:positionH relativeFrom="margin">
                  <wp:align>right</wp:align>
                </wp:positionH>
                <wp:positionV relativeFrom="paragraph">
                  <wp:posOffset>-1270</wp:posOffset>
                </wp:positionV>
                <wp:extent cx="6086475" cy="1106906"/>
                <wp:effectExtent l="0" t="0" r="28575" b="17145"/>
                <wp:wrapNone/>
                <wp:docPr id="25" name="Text Box 25"/>
                <wp:cNvGraphicFramePr/>
                <a:graphic xmlns:a="http://schemas.openxmlformats.org/drawingml/2006/main">
                  <a:graphicData uri="http://schemas.microsoft.com/office/word/2010/wordprocessingShape">
                    <wps:wsp>
                      <wps:cNvSpPr txBox="1"/>
                      <wps:spPr>
                        <a:xfrm>
                          <a:off x="0" y="0"/>
                          <a:ext cx="6086475" cy="1106906"/>
                        </a:xfrm>
                        <a:prstGeom prst="rect">
                          <a:avLst/>
                        </a:prstGeom>
                        <a:solidFill>
                          <a:schemeClr val="tx2">
                            <a:lumMod val="20000"/>
                            <a:lumOff val="80000"/>
                          </a:schemeClr>
                        </a:solidFill>
                        <a:ln w="6350">
                          <a:solidFill>
                            <a:schemeClr val="tx2">
                              <a:lumMod val="40000"/>
                              <a:lumOff val="60000"/>
                            </a:schemeClr>
                          </a:solidFill>
                        </a:ln>
                      </wps:spPr>
                      <wps:txbx>
                        <w:txbxContent>
                          <w:p w14:paraId="45A68D7C" w14:textId="51FA332A" w:rsidR="00B246FA" w:rsidRPr="00310CA6" w:rsidRDefault="00B246FA" w:rsidP="00310CA6">
                            <w:pPr>
                              <w:pStyle w:val="ListBullet"/>
                              <w:numPr>
                                <w:ilvl w:val="0"/>
                                <w:numId w:val="0"/>
                              </w:numPr>
                              <w:rPr>
                                <w:b/>
                              </w:rPr>
                            </w:pPr>
                            <w:r w:rsidRPr="00D93132">
                              <w:rPr>
                                <w:b/>
                              </w:rPr>
                              <w:t>Recommendation</w:t>
                            </w:r>
                            <w:r>
                              <w:rPr>
                                <w:b/>
                              </w:rPr>
                              <w:t xml:space="preserve"> 4</w:t>
                            </w:r>
                            <w:r w:rsidRPr="002C5105">
                              <w:rPr>
                                <w:b/>
                              </w:rPr>
                              <w:t>:</w:t>
                            </w:r>
                            <w:r>
                              <w:t xml:space="preserve"> </w:t>
                            </w:r>
                            <w:r w:rsidRPr="008149F4">
                              <w:t>The 1-hour standard for SO</w:t>
                            </w:r>
                            <w:r w:rsidRPr="008149F4">
                              <w:rPr>
                                <w:vertAlign w:val="subscript"/>
                              </w:rPr>
                              <w:t>2</w:t>
                            </w:r>
                            <w:r w:rsidRPr="008149F4">
                              <w:t xml:space="preserve"> in the AAQ NEPM should be</w:t>
                            </w:r>
                            <w:r>
                              <w:t xml:space="preserve"> retained, and the numerical value of the standard should be </w:t>
                            </w:r>
                            <w:r w:rsidRPr="008149F4">
                              <w:t xml:space="preserve">reduced to </w:t>
                            </w:r>
                            <w:r w:rsidRPr="002C5105">
                              <w:t>100 ppb.</w:t>
                            </w:r>
                          </w:p>
                          <w:p w14:paraId="53B0E3E9" w14:textId="7E739E58" w:rsidR="00B246FA" w:rsidRDefault="00B246FA" w:rsidP="00B37DFC">
                            <w:pPr>
                              <w:pStyle w:val="ListBullet"/>
                              <w:numPr>
                                <w:ilvl w:val="0"/>
                                <w:numId w:val="0"/>
                              </w:numPr>
                              <w:spacing w:after="120"/>
                            </w:pPr>
                            <w:r>
                              <w:rPr>
                                <w:b/>
                              </w:rPr>
                              <w:t>Recommendation 5</w:t>
                            </w:r>
                            <w:r w:rsidRPr="002C5105">
                              <w:rPr>
                                <w:b/>
                              </w:rPr>
                              <w:t>:</w:t>
                            </w:r>
                            <w:r>
                              <w:t xml:space="preserve"> </w:t>
                            </w:r>
                            <w:r w:rsidRPr="008149F4">
                              <w:t xml:space="preserve">A future </w:t>
                            </w:r>
                            <w:r>
                              <w:t>1-hour SO</w:t>
                            </w:r>
                            <w:r w:rsidRPr="00E20C55">
                              <w:rPr>
                                <w:vertAlign w:val="subscript"/>
                              </w:rPr>
                              <w:t>2</w:t>
                            </w:r>
                            <w:r>
                              <w:t xml:space="preserve"> standard </w:t>
                            </w:r>
                            <w:r w:rsidRPr="008149F4">
                              <w:t xml:space="preserve">of </w:t>
                            </w:r>
                            <w:r w:rsidRPr="002C5105">
                              <w:t xml:space="preserve">75 ppb is recommended for implementation </w:t>
                            </w:r>
                            <w:r>
                              <w:t>from</w:t>
                            </w:r>
                            <w:r w:rsidRPr="002C5105">
                              <w:t xml:space="preserve"> 2025 (this timeframe is consistent with the goals for PM</w:t>
                            </w:r>
                            <w:r w:rsidRPr="002C5105">
                              <w:rPr>
                                <w:vertAlign w:val="subscript"/>
                              </w:rPr>
                              <w:t>2.5</w:t>
                            </w:r>
                            <w:r w:rsidRPr="002C5105">
                              <w:t xml:space="preserve"> in the AAQ NEPM).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ED7AA7" id="Text Box 25" o:spid="_x0000_s1036" type="#_x0000_t202" style="position:absolute;margin-left:428.05pt;margin-top:-.1pt;width:479.25pt;height:87.1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vC2bwIAACIFAAAOAAAAZHJzL2Uyb0RvYy54bWysVFtP2zAUfp+0/2D5fSTpSikRKepATJMY&#10;IMHEs+s4NJJvs90m7Nfvs9OUwi4P016S4+8cn+t3fHbeK0m2wvnW6IoWRzklQnNTt/qpot8erj7M&#10;KfGB6ZpJo0VFn4Wn54v37846W4qJWRtZC0fgRPuysxVdh2DLLPN8LRTzR8YKDWVjnGIBR/eU1Y51&#10;8K5kNsnzWdYZV1tnuPAe6OWgpIvkv2kED7dN40UgsqLILaSvS99V/GaLM1Y+OWbXLd+lwf4hC8Va&#10;jaB7V5csMLJx7S+uVMud8aYJR9yozDRNy0WqAdUU+Ztq7tfMilQLmuPtvk3+/7nlN9s7R9q6opNj&#10;SjRTmNGD6AP5ZHoCCP3prC9hdm9hGHrgmPOIe4Cx7L5xKv5REIEenX7edzd64wBn+Xw2PUEUDl1R&#10;5LPTfBb9ZC/XrfPhszCKRKGiDuNLXWXbax8G09EkRvNGtvVVK2U6RMqIC+nIlmHYoZ+kq3Kjvpp6&#10;wECYfDdywCDGAM9HGJkk4kUvKa9XAaQmHar4eJwnx690+2t/Dj4do7DyMPhshP8WHDqpkVEcxdDy&#10;KIV+1afRFamoCK1M/YwxOTMQ3Vt+1aKV18yHO+bAbEwG2xpu8WmkQT1mJ1GyNu7H7/BoD8JBS0mH&#10;Tamo/75hTlAiv2hQ8bSYTuNqpcP0+GSCgzvUrA41eqMuDOZT4F2wPInRPshRbJxRj1jqZYwKFdMc&#10;sTHQUbwIw/7iUeBiuUxGWCbLwrW+tzy6jnyIRHnoH5mzOzYFEPHGjDvFyjekGmzjTW2Wm2CaNjHu&#10;pau7/mMREzd2j0bc9MNzsnp52hY/AQAA//8DAFBLAwQUAAYACAAAACEAc8s0qt0AAAAGAQAADwAA&#10;AGRycy9kb3ducmV2LnhtbEyPzU7DMBCE70i8g7VI3FqnEYE2xKn4KXCmLYLetsmSRI3XUey06duz&#10;nOA4mtHMN9lytK06Uu8bxwZm0wgUceHKhisD283LZA7KB+QSW8dk4EwelvnlRYZp6U78Tsd1qJSU&#10;sE/RQB1Cl2rti5os+qnriMX7dr3FILKvdNnjScptq+MoutUWG5aFGjt6qqk4rAdr4JE+DrskwtXr&#10;V7w9P29Wn7th8WbM9dX4cA8q0Bj+wvCLL+iQC9PeDVx61RqQI8HAJAYl5iKZJ6D2krq7mYHOM/0f&#10;P/8BAAD//wMAUEsBAi0AFAAGAAgAAAAhALaDOJL+AAAA4QEAABMAAAAAAAAAAAAAAAAAAAAAAFtD&#10;b250ZW50X1R5cGVzXS54bWxQSwECLQAUAAYACAAAACEAOP0h/9YAAACUAQAACwAAAAAAAAAAAAAA&#10;AAAvAQAAX3JlbHMvLnJlbHNQSwECLQAUAAYACAAAACEAd+rwtm8CAAAiBQAADgAAAAAAAAAAAAAA&#10;AAAuAgAAZHJzL2Uyb0RvYy54bWxQSwECLQAUAAYACAAAACEAc8s0qt0AAAAGAQAADwAAAAAAAAAA&#10;AAAAAADJBAAAZHJzL2Rvd25yZXYueG1sUEsFBgAAAAAEAAQA8wAAANMFAAAAAA==&#10;" fillcolor="#dedfe3 [671]" strokecolor="#bdbfc8 [1311]" strokeweight=".5pt">
                <v:textbox>
                  <w:txbxContent>
                    <w:p w14:paraId="45A68D7C" w14:textId="51FA332A" w:rsidR="00B246FA" w:rsidRPr="00310CA6" w:rsidRDefault="00B246FA" w:rsidP="00310CA6">
                      <w:pPr>
                        <w:pStyle w:val="ListBullet"/>
                        <w:numPr>
                          <w:ilvl w:val="0"/>
                          <w:numId w:val="0"/>
                        </w:numPr>
                        <w:rPr>
                          <w:b/>
                        </w:rPr>
                      </w:pPr>
                      <w:r w:rsidRPr="00D93132">
                        <w:rPr>
                          <w:b/>
                        </w:rPr>
                        <w:t>Recommendation</w:t>
                      </w:r>
                      <w:r>
                        <w:rPr>
                          <w:b/>
                        </w:rPr>
                        <w:t xml:space="preserve"> 4</w:t>
                      </w:r>
                      <w:r w:rsidRPr="002C5105">
                        <w:rPr>
                          <w:b/>
                        </w:rPr>
                        <w:t>:</w:t>
                      </w:r>
                      <w:r>
                        <w:t xml:space="preserve"> </w:t>
                      </w:r>
                      <w:r w:rsidRPr="008149F4">
                        <w:t>The 1-hour standard for SO</w:t>
                      </w:r>
                      <w:r w:rsidRPr="008149F4">
                        <w:rPr>
                          <w:vertAlign w:val="subscript"/>
                        </w:rPr>
                        <w:t>2</w:t>
                      </w:r>
                      <w:r w:rsidRPr="008149F4">
                        <w:t xml:space="preserve"> in the AAQ NEPM should be</w:t>
                      </w:r>
                      <w:r>
                        <w:t xml:space="preserve"> retained, and the numerical value of the standard should be </w:t>
                      </w:r>
                      <w:r w:rsidRPr="008149F4">
                        <w:t xml:space="preserve">reduced to </w:t>
                      </w:r>
                      <w:r w:rsidRPr="002C5105">
                        <w:t>100 ppb.</w:t>
                      </w:r>
                    </w:p>
                    <w:p w14:paraId="53B0E3E9" w14:textId="7E739E58" w:rsidR="00B246FA" w:rsidRDefault="00B246FA" w:rsidP="00B37DFC">
                      <w:pPr>
                        <w:pStyle w:val="ListBullet"/>
                        <w:numPr>
                          <w:ilvl w:val="0"/>
                          <w:numId w:val="0"/>
                        </w:numPr>
                        <w:spacing w:after="120"/>
                      </w:pPr>
                      <w:r>
                        <w:rPr>
                          <w:b/>
                        </w:rPr>
                        <w:t>Recommendation 5</w:t>
                      </w:r>
                      <w:r w:rsidRPr="002C5105">
                        <w:rPr>
                          <w:b/>
                        </w:rPr>
                        <w:t>:</w:t>
                      </w:r>
                      <w:r>
                        <w:t xml:space="preserve"> </w:t>
                      </w:r>
                      <w:r w:rsidRPr="008149F4">
                        <w:t xml:space="preserve">A future </w:t>
                      </w:r>
                      <w:r>
                        <w:t>1-hour SO</w:t>
                      </w:r>
                      <w:r w:rsidRPr="00E20C55">
                        <w:rPr>
                          <w:vertAlign w:val="subscript"/>
                        </w:rPr>
                        <w:t>2</w:t>
                      </w:r>
                      <w:r>
                        <w:t xml:space="preserve"> standard </w:t>
                      </w:r>
                      <w:r w:rsidRPr="008149F4">
                        <w:t xml:space="preserve">of </w:t>
                      </w:r>
                      <w:r w:rsidRPr="002C5105">
                        <w:t xml:space="preserve">75 ppb is recommended for implementation </w:t>
                      </w:r>
                      <w:r>
                        <w:t>from</w:t>
                      </w:r>
                      <w:r w:rsidRPr="002C5105">
                        <w:t xml:space="preserve"> 2025 (this timeframe is consistent with the goals for PM</w:t>
                      </w:r>
                      <w:r w:rsidRPr="002C5105">
                        <w:rPr>
                          <w:vertAlign w:val="subscript"/>
                        </w:rPr>
                        <w:t>2.5</w:t>
                      </w:r>
                      <w:r w:rsidRPr="002C5105">
                        <w:t xml:space="preserve"> in the AAQ NEPM).</w:t>
                      </w:r>
                    </w:p>
                  </w:txbxContent>
                </v:textbox>
                <w10:wrap anchorx="margin"/>
              </v:shape>
            </w:pict>
          </mc:Fallback>
        </mc:AlternateContent>
      </w:r>
    </w:p>
    <w:p w14:paraId="4E535631" w14:textId="77777777" w:rsidR="00D93132" w:rsidRPr="005060E0" w:rsidRDefault="00D93132" w:rsidP="00AE616A"/>
    <w:p w14:paraId="7B50BF6A" w14:textId="77777777" w:rsidR="00D93132" w:rsidRPr="005060E0" w:rsidRDefault="00D93132" w:rsidP="00AE616A">
      <w:pPr>
        <w:rPr>
          <w:u w:val="single"/>
        </w:rPr>
      </w:pPr>
    </w:p>
    <w:p w14:paraId="1D24E355" w14:textId="7CB9B952" w:rsidR="00D93132" w:rsidRPr="005060E0" w:rsidRDefault="00D93132" w:rsidP="00055457">
      <w:pPr>
        <w:spacing w:after="0" w:line="240" w:lineRule="auto"/>
        <w:rPr>
          <w:u w:val="single"/>
        </w:rPr>
      </w:pPr>
    </w:p>
    <w:p w14:paraId="32A35DEC" w14:textId="5CA6A58F" w:rsidR="00CA1CE3" w:rsidRPr="005060E0" w:rsidRDefault="00CA1CE3" w:rsidP="00C65826">
      <w:pPr>
        <w:pStyle w:val="Heading4"/>
      </w:pPr>
      <w:r w:rsidRPr="005060E0">
        <w:t>24-hour standard</w:t>
      </w:r>
    </w:p>
    <w:p w14:paraId="293DB249" w14:textId="348EA382" w:rsidR="00F3292D" w:rsidRPr="005060E0" w:rsidRDefault="00234F48" w:rsidP="00F3292D">
      <w:r w:rsidRPr="005060E0">
        <w:t>The WHO guideline for 24-hour SO</w:t>
      </w:r>
      <w:r w:rsidRPr="005060E0">
        <w:rPr>
          <w:vertAlign w:val="subscript"/>
        </w:rPr>
        <w:t>2</w:t>
      </w:r>
      <w:r w:rsidRPr="005060E0">
        <w:t xml:space="preserve"> i</w:t>
      </w:r>
      <w:r w:rsidR="00557F96" w:rsidRPr="005060E0">
        <w:t>s 7 ppb, and</w:t>
      </w:r>
      <w:r w:rsidRPr="005060E0">
        <w:rPr>
          <w:rFonts w:asciiTheme="minorHAnsi" w:hAnsiTheme="minorHAnsi" w:cstheme="minorHAnsi"/>
          <w:szCs w:val="20"/>
        </w:rPr>
        <w:t xml:space="preserve"> </w:t>
      </w:r>
      <w:r w:rsidR="00557F96" w:rsidRPr="005060E0">
        <w:rPr>
          <w:rFonts w:asciiTheme="minorHAnsi" w:hAnsiTheme="minorHAnsi" w:cstheme="minorHAnsi"/>
          <w:szCs w:val="20"/>
        </w:rPr>
        <w:t>s</w:t>
      </w:r>
      <w:r w:rsidR="004077DA" w:rsidRPr="005060E0">
        <w:rPr>
          <w:rFonts w:asciiTheme="minorHAnsi" w:hAnsiTheme="minorHAnsi" w:cstheme="minorHAnsi"/>
          <w:szCs w:val="20"/>
        </w:rPr>
        <w:t xml:space="preserve">ome jurisdictions (the EU and the UK) have a </w:t>
      </w:r>
      <w:r w:rsidR="004077DA" w:rsidRPr="005060E0">
        <w:t xml:space="preserve">24-hour standard </w:t>
      </w:r>
      <w:r w:rsidRPr="005060E0">
        <w:t>of 44 ppb</w:t>
      </w:r>
      <w:r w:rsidR="004077DA" w:rsidRPr="005060E0">
        <w:t>. These values are considerably lower than the curre</w:t>
      </w:r>
      <w:r w:rsidRPr="005060E0">
        <w:t>nt AAQ NEPM standard of 80 ppb.</w:t>
      </w:r>
      <w:r w:rsidR="00557F96" w:rsidRPr="005060E0">
        <w:t xml:space="preserve"> As with 1-hour SO</w:t>
      </w:r>
      <w:r w:rsidR="00557F96" w:rsidRPr="005060E0">
        <w:rPr>
          <w:vertAlign w:val="subscript"/>
        </w:rPr>
        <w:t>2</w:t>
      </w:r>
      <w:r w:rsidR="00557F96" w:rsidRPr="005060E0">
        <w:t>, t</w:t>
      </w:r>
      <w:r w:rsidR="00F3292D" w:rsidRPr="005060E0">
        <w:t>his means that the Austr</w:t>
      </w:r>
      <w:r w:rsidR="00557F96" w:rsidRPr="005060E0">
        <w:t>alian standard</w:t>
      </w:r>
      <w:r w:rsidR="00F3292D" w:rsidRPr="005060E0">
        <w:t xml:space="preserve"> </w:t>
      </w:r>
      <w:r w:rsidR="00557F96" w:rsidRPr="005060E0">
        <w:t>is</w:t>
      </w:r>
      <w:r w:rsidR="00F3292D" w:rsidRPr="005060E0">
        <w:t xml:space="preserve"> not consistent with international benchmarks</w:t>
      </w:r>
      <w:r w:rsidR="00B37DFC" w:rsidRPr="005060E0">
        <w:t>,</w:t>
      </w:r>
      <w:r w:rsidR="00F3292D" w:rsidRPr="005060E0">
        <w:t xml:space="preserve"> which have been set to protect human health in countries that have much higher levels of SO</w:t>
      </w:r>
      <w:r w:rsidR="00F3292D" w:rsidRPr="005060E0">
        <w:rPr>
          <w:vertAlign w:val="subscript"/>
        </w:rPr>
        <w:t>2</w:t>
      </w:r>
      <w:r w:rsidR="00F3292D" w:rsidRPr="005060E0">
        <w:t>.</w:t>
      </w:r>
    </w:p>
    <w:p w14:paraId="079FD03D" w14:textId="4426AFC0" w:rsidR="00557F96" w:rsidRPr="005060E0" w:rsidRDefault="00557F96" w:rsidP="00557F96">
      <w:r w:rsidRPr="005060E0">
        <w:t xml:space="preserve">This </w:t>
      </w:r>
      <w:r w:rsidR="00DF05A9" w:rsidRPr="005060E0">
        <w:t>Impact Statement</w:t>
      </w:r>
      <w:r w:rsidRPr="005060E0">
        <w:t xml:space="preserve"> has shown</w:t>
      </w:r>
      <w:r w:rsidR="008B09AB" w:rsidRPr="005060E0">
        <w:t xml:space="preserve"> that,</w:t>
      </w:r>
      <w:r w:rsidRPr="005060E0">
        <w:t xml:space="preserve"> </w:t>
      </w:r>
      <w:r w:rsidR="008B09AB" w:rsidRPr="005060E0">
        <w:t xml:space="preserve">apart from a single exceedance in the Latrobe Valley, a considerably tighter Australian standard of 20 ppb has been achieved historically. Compliance with a standard of 20 ppb </w:t>
      </w:r>
      <w:r w:rsidRPr="005060E0">
        <w:t xml:space="preserve">would </w:t>
      </w:r>
      <w:r w:rsidR="008B09AB" w:rsidRPr="005060E0">
        <w:t xml:space="preserve">also </w:t>
      </w:r>
      <w:r w:rsidRPr="005060E0">
        <w:t>be achievable in the future in NSW and Victoria without the need for abatement measures.</w:t>
      </w:r>
      <w:r w:rsidR="008B09AB" w:rsidRPr="005060E0">
        <w:t xml:space="preserve"> A standard of 20 ppb is considered to be appropriate for the AAQ NEPM. Although this is higher than the WHO guideline of 7 ppb, it is significantly lower than the standards in place in other leading countries, and compliance with this standard would hav</w:t>
      </w:r>
      <w:r w:rsidR="00704BAC" w:rsidRPr="005060E0">
        <w:t>e a material</w:t>
      </w:r>
      <w:r w:rsidR="008B09AB" w:rsidRPr="005060E0">
        <w:t xml:space="preserve"> health benefit.</w:t>
      </w:r>
    </w:p>
    <w:p w14:paraId="268632D8" w14:textId="1EC8BC7D" w:rsidR="00EA37B6" w:rsidRPr="005060E0" w:rsidRDefault="00557F96" w:rsidP="00353567">
      <w:pPr>
        <w:spacing w:after="360"/>
      </w:pPr>
      <w:r w:rsidRPr="005060E0">
        <w:t>C</w:t>
      </w:r>
      <w:r w:rsidR="004077DA" w:rsidRPr="005060E0">
        <w:t>ompliance with the</w:t>
      </w:r>
      <w:r w:rsidR="00234F48" w:rsidRPr="005060E0">
        <w:t xml:space="preserve"> WHO guideline of 7 ppb </w:t>
      </w:r>
      <w:r w:rsidR="004077DA" w:rsidRPr="005060E0">
        <w:t>would be possible with the Abatement Package</w:t>
      </w:r>
      <w:r w:rsidR="00B37DFC" w:rsidRPr="005060E0">
        <w:t>;</w:t>
      </w:r>
      <w:r w:rsidR="004077DA" w:rsidRPr="005060E0">
        <w:t xml:space="preserve"> </w:t>
      </w:r>
      <w:r w:rsidR="00B37DFC" w:rsidRPr="005060E0">
        <w:t>h</w:t>
      </w:r>
      <w:r w:rsidR="004077DA" w:rsidRPr="005060E0">
        <w:t>owever, the health benefits at the national level would be relatively low, a</w:t>
      </w:r>
      <w:r w:rsidR="00234F48" w:rsidRPr="005060E0">
        <w:t xml:space="preserve">nd the Abatement Package </w:t>
      </w:r>
      <w:r w:rsidR="004077DA" w:rsidRPr="005060E0">
        <w:t xml:space="preserve">would be very uneconomic. </w:t>
      </w:r>
      <w:r w:rsidR="00EA37B6" w:rsidRPr="005060E0">
        <w:t>However, t</w:t>
      </w:r>
      <w:r w:rsidR="00EA37B6" w:rsidRPr="005060E0">
        <w:rPr>
          <w:rFonts w:cs="Arial"/>
        </w:rPr>
        <w:t>he comparison between the historical measurements and the future predictions indicated that the models were generally overestimating the numbers of exceedances of the 7 ppb standard. This indicates that this standard may be more achievable in the future than the modelling suggests.</w:t>
      </w:r>
    </w:p>
    <w:p w14:paraId="7A48DA16" w14:textId="71865109" w:rsidR="00933EE2" w:rsidRPr="005060E0" w:rsidRDefault="00933EE2" w:rsidP="00A80123">
      <w:pPr>
        <w:spacing w:after="0"/>
      </w:pPr>
      <w:r w:rsidRPr="005060E0">
        <w:rPr>
          <w:rFonts w:asciiTheme="minorHAnsi" w:hAnsiTheme="minorHAnsi" w:cstheme="minorHAnsi"/>
          <w:noProof/>
          <w:szCs w:val="20"/>
          <w:lang w:eastAsia="en-AU"/>
        </w:rPr>
        <mc:AlternateContent>
          <mc:Choice Requires="wps">
            <w:drawing>
              <wp:inline distT="0" distB="0" distL="0" distR="0" wp14:anchorId="48DFCBCB" wp14:editId="1CB6AA1C">
                <wp:extent cx="6086475" cy="994867"/>
                <wp:effectExtent l="0" t="0" r="28575" b="15240"/>
                <wp:docPr id="672" name="Text Box 672"/>
                <wp:cNvGraphicFramePr/>
                <a:graphic xmlns:a="http://schemas.openxmlformats.org/drawingml/2006/main">
                  <a:graphicData uri="http://schemas.microsoft.com/office/word/2010/wordprocessingShape">
                    <wps:wsp>
                      <wps:cNvSpPr txBox="1"/>
                      <wps:spPr>
                        <a:xfrm>
                          <a:off x="0" y="0"/>
                          <a:ext cx="6086475" cy="994867"/>
                        </a:xfrm>
                        <a:prstGeom prst="rect">
                          <a:avLst/>
                        </a:prstGeom>
                        <a:solidFill>
                          <a:schemeClr val="tx2">
                            <a:lumMod val="20000"/>
                            <a:lumOff val="80000"/>
                          </a:schemeClr>
                        </a:solidFill>
                        <a:ln w="6350">
                          <a:solidFill>
                            <a:schemeClr val="tx2">
                              <a:lumMod val="40000"/>
                              <a:lumOff val="60000"/>
                            </a:schemeClr>
                          </a:solidFill>
                        </a:ln>
                      </wps:spPr>
                      <wps:txbx>
                        <w:txbxContent>
                          <w:p w14:paraId="6ED9614C" w14:textId="6A6B2EF3" w:rsidR="00B246FA" w:rsidRPr="00310CA6" w:rsidRDefault="00B246FA" w:rsidP="00310CA6">
                            <w:pPr>
                              <w:pStyle w:val="ListBullet"/>
                              <w:numPr>
                                <w:ilvl w:val="0"/>
                                <w:numId w:val="0"/>
                              </w:numPr>
                              <w:rPr>
                                <w:b/>
                              </w:rPr>
                            </w:pPr>
                            <w:r w:rsidRPr="00290827">
                              <w:rPr>
                                <w:b/>
                              </w:rPr>
                              <w:t>Recommendat</w:t>
                            </w:r>
                            <w:r>
                              <w:rPr>
                                <w:b/>
                              </w:rPr>
                              <w:t>ion 6</w:t>
                            </w:r>
                            <w:r w:rsidRPr="00557F96">
                              <w:rPr>
                                <w:b/>
                              </w:rPr>
                              <w:t>:</w:t>
                            </w:r>
                            <w:r>
                              <w:t xml:space="preserve"> </w:t>
                            </w:r>
                            <w:r w:rsidRPr="00290827">
                              <w:t>The 24-hour standard for SO</w:t>
                            </w:r>
                            <w:r w:rsidRPr="00290827">
                              <w:rPr>
                                <w:vertAlign w:val="subscript"/>
                              </w:rPr>
                              <w:t>2</w:t>
                            </w:r>
                            <w:r w:rsidRPr="00290827">
                              <w:t xml:space="preserve"> in the AAQ NEPM </w:t>
                            </w:r>
                            <w:r w:rsidRPr="008149F4">
                              <w:t>should be</w:t>
                            </w:r>
                            <w:r>
                              <w:t xml:space="preserve"> retained, and the numerical value of the standard </w:t>
                            </w:r>
                            <w:r w:rsidRPr="00290827">
                              <w:t xml:space="preserve">should be reduced to </w:t>
                            </w:r>
                            <w:r w:rsidRPr="00557F96">
                              <w:t>20 ppb.</w:t>
                            </w:r>
                          </w:p>
                          <w:p w14:paraId="247682D8" w14:textId="4AC7DCDA" w:rsidR="00B246FA" w:rsidRPr="00290827" w:rsidRDefault="00B246FA" w:rsidP="00933EE2">
                            <w:pPr>
                              <w:pStyle w:val="ListBullet"/>
                              <w:numPr>
                                <w:ilvl w:val="0"/>
                                <w:numId w:val="0"/>
                              </w:numPr>
                              <w:spacing w:after="120"/>
                            </w:pPr>
                            <w:r w:rsidRPr="00557F96">
                              <w:rPr>
                                <w:b/>
                              </w:rPr>
                              <w:t>R</w:t>
                            </w:r>
                            <w:r>
                              <w:rPr>
                                <w:b/>
                              </w:rPr>
                              <w:t>ecommendation 7</w:t>
                            </w:r>
                            <w:r w:rsidRPr="00557F96">
                              <w:rPr>
                                <w:b/>
                              </w:rPr>
                              <w:t>:</w:t>
                            </w:r>
                            <w:r>
                              <w:t xml:space="preserve"> </w:t>
                            </w:r>
                            <w:r w:rsidRPr="00290827">
                              <w:t xml:space="preserve">No future </w:t>
                            </w:r>
                            <w:r>
                              <w:t>target for 24-hour average SO</w:t>
                            </w:r>
                            <w:r w:rsidRPr="00557F96">
                              <w:rPr>
                                <w:vertAlign w:val="subscript"/>
                              </w:rPr>
                              <w:t>2</w:t>
                            </w:r>
                            <w:r>
                              <w:t xml:space="preserve"> concentrations </w:t>
                            </w:r>
                            <w:r w:rsidRPr="00290827">
                              <w:t>is recommended at this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DFCBCB" id="Text Box 672" o:spid="_x0000_s1037" type="#_x0000_t202" style="width:479.25pt;height:7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oKcgIAACMFAAAOAAAAZHJzL2Uyb0RvYy54bWysVMlu2zAQvRfoPxC8N5Jdx4sQOXATpCiQ&#10;JgGSImeaomIB3ErSltKv7yNlOU66HIpepOHMcLb3hmfnnZJkJ5xvjC7p6CSnRGhuqkY/lfTbw9WH&#10;OSU+MF0xabQo6bPw9Hz5/t1ZawsxNhsjK+EIgmhftLakmxBskWWeb4Ri/sRYoWGsjVMs4Oiessqx&#10;FtGVzMZ5Ps1a4yrrDBfeQ3vZG+kyxa9rwcNtXXsRiCwpagvp69J3Hb/Z8owVT47ZTcP3ZbB/qEKx&#10;RiPpIdQlC4xsXfNLKNVwZ7ypwwk3KjN13XCRekA3o/xNN/cbZkXqBcPx9jAm///C8pvdnSNNVdLp&#10;bEyJZgogPYgukE+mI1GHCbXWF3C8t3ANHQxAetB7KGPjXe1U/KMlAjtm/XyYbwzHoZzm8+lkdkoJ&#10;h22xmMynsxgme7ltnQ+fhVEkCiV1wC+Nle2ufehdB5eYzBvZVFeNlOkQOSMupCM7BrRDN05X5VZ9&#10;NVWvA2PyPeZQgxm9ej6oUUliXoyS6nqVQGrSoomPp3kK/Mp2uPbn5JMhCyuOk08H9d+SwyY1KopI&#10;9BOPUujWXcJudIBjbapnoORMz3Rv+VWDUV4zH+6YA7UBDNY13OJTS4N+zF6iZGPcj9/poz8YBysl&#10;LValpP77ljlBifyiwcXFaDKJu5UOk9PZGAd3bFkfW/RWXRjgM8LDYHkSo3+Qg1g7ox6x1auYFSam&#10;OXID0EG8CP0C41XgYrVKTtgmy8K1vrc8ho58iER56B6Zs3s2BfDwxgxLxYo3pOp9401tVttg6iYx&#10;Lg66n+p+/tjExI39qxFX/ficvF7etuVPAAAA//8DAFBLAwQUAAYACAAAACEAQxnCpd0AAAAFAQAA&#10;DwAAAGRycy9kb3ducmV2LnhtbEyPS0/DMBCE70j8B2uRuFGHSiltiFPxKHDuA7W9bZMliRqvo9hp&#10;03/PwgUuI61mNPNtOh9so07U+dqxgftRBIo4d0XNpYHN+u1uCsoH5AIbx2TgQh7m2fVViknhzryk&#10;0yqUSkrYJ2igCqFNtPZ5RRb9yLXE4n25zmKQsyt10eFZym2jx1E00RZrloUKW3qpKD+uemvgmT6P&#10;+zjCxftuvLm8rhfbfT/7MOb2Znh6BBVoCH9h+MEXdMiE6eB6LrxqDMgj4VfFm8XTGNRBQvHkAXSW&#10;6v/02TcAAAD//wMAUEsBAi0AFAAGAAgAAAAhALaDOJL+AAAA4QEAABMAAAAAAAAAAAAAAAAAAAAA&#10;AFtDb250ZW50X1R5cGVzXS54bWxQSwECLQAUAAYACAAAACEAOP0h/9YAAACUAQAACwAAAAAAAAAA&#10;AAAAAAAvAQAAX3JlbHMvLnJlbHNQSwECLQAUAAYACAAAACEAsT4aCnICAAAjBQAADgAAAAAAAAAA&#10;AAAAAAAuAgAAZHJzL2Uyb0RvYy54bWxQSwECLQAUAAYACAAAACEAQxnCpd0AAAAFAQAADwAAAAAA&#10;AAAAAAAAAADMBAAAZHJzL2Rvd25yZXYueG1sUEsFBgAAAAAEAAQA8wAAANYFAAAAAA==&#10;" fillcolor="#dedfe3 [671]" strokecolor="#bdbfc8 [1311]" strokeweight=".5pt">
                <v:textbox>
                  <w:txbxContent>
                    <w:p w14:paraId="6ED9614C" w14:textId="6A6B2EF3" w:rsidR="00B246FA" w:rsidRPr="00310CA6" w:rsidRDefault="00B246FA" w:rsidP="00310CA6">
                      <w:pPr>
                        <w:pStyle w:val="ListBullet"/>
                        <w:numPr>
                          <w:ilvl w:val="0"/>
                          <w:numId w:val="0"/>
                        </w:numPr>
                        <w:rPr>
                          <w:b/>
                        </w:rPr>
                      </w:pPr>
                      <w:r w:rsidRPr="00290827">
                        <w:rPr>
                          <w:b/>
                        </w:rPr>
                        <w:t>Recommendat</w:t>
                      </w:r>
                      <w:r>
                        <w:rPr>
                          <w:b/>
                        </w:rPr>
                        <w:t>ion 6</w:t>
                      </w:r>
                      <w:r w:rsidRPr="00557F96">
                        <w:rPr>
                          <w:b/>
                        </w:rPr>
                        <w:t>:</w:t>
                      </w:r>
                      <w:r>
                        <w:t xml:space="preserve"> </w:t>
                      </w:r>
                      <w:r w:rsidRPr="00290827">
                        <w:t>The 24-hour standard for SO</w:t>
                      </w:r>
                      <w:r w:rsidRPr="00290827">
                        <w:rPr>
                          <w:vertAlign w:val="subscript"/>
                        </w:rPr>
                        <w:t>2</w:t>
                      </w:r>
                      <w:r w:rsidRPr="00290827">
                        <w:t xml:space="preserve"> in the AAQ NEPM </w:t>
                      </w:r>
                      <w:r w:rsidRPr="008149F4">
                        <w:t>should be</w:t>
                      </w:r>
                      <w:r>
                        <w:t xml:space="preserve"> retained, and the numerical value of the standard </w:t>
                      </w:r>
                      <w:r w:rsidRPr="00290827">
                        <w:t xml:space="preserve">should be reduced to </w:t>
                      </w:r>
                      <w:r w:rsidRPr="00557F96">
                        <w:t>20 ppb.</w:t>
                      </w:r>
                    </w:p>
                    <w:p w14:paraId="247682D8" w14:textId="4AC7DCDA" w:rsidR="00B246FA" w:rsidRPr="00290827" w:rsidRDefault="00B246FA" w:rsidP="00933EE2">
                      <w:pPr>
                        <w:pStyle w:val="ListBullet"/>
                        <w:numPr>
                          <w:ilvl w:val="0"/>
                          <w:numId w:val="0"/>
                        </w:numPr>
                        <w:spacing w:after="120"/>
                      </w:pPr>
                      <w:r w:rsidRPr="00557F96">
                        <w:rPr>
                          <w:b/>
                        </w:rPr>
                        <w:t>R</w:t>
                      </w:r>
                      <w:r>
                        <w:rPr>
                          <w:b/>
                        </w:rPr>
                        <w:t>ecommendation 7</w:t>
                      </w:r>
                      <w:r w:rsidRPr="00557F96">
                        <w:rPr>
                          <w:b/>
                        </w:rPr>
                        <w:t>:</w:t>
                      </w:r>
                      <w:r>
                        <w:t xml:space="preserve"> </w:t>
                      </w:r>
                      <w:r w:rsidRPr="00290827">
                        <w:t xml:space="preserve">No future </w:t>
                      </w:r>
                      <w:r>
                        <w:t>target for 24-hour average SO</w:t>
                      </w:r>
                      <w:r w:rsidRPr="00557F96">
                        <w:rPr>
                          <w:vertAlign w:val="subscript"/>
                        </w:rPr>
                        <w:t>2</w:t>
                      </w:r>
                      <w:r>
                        <w:t xml:space="preserve"> concentrations </w:t>
                      </w:r>
                      <w:r w:rsidRPr="00290827">
                        <w:t>is recommended at this stage.</w:t>
                      </w:r>
                    </w:p>
                  </w:txbxContent>
                </v:textbox>
                <w10:anchorlock/>
              </v:shape>
            </w:pict>
          </mc:Fallback>
        </mc:AlternateContent>
      </w:r>
    </w:p>
    <w:p w14:paraId="5B59F59B" w14:textId="46EEDACC" w:rsidR="005C1DF9" w:rsidRPr="005060E0" w:rsidRDefault="00C65826" w:rsidP="00C65826">
      <w:pPr>
        <w:pStyle w:val="Heading4"/>
      </w:pPr>
      <w:r w:rsidRPr="005060E0">
        <w:t xml:space="preserve">Annual </w:t>
      </w:r>
      <w:r w:rsidR="005C1DF9" w:rsidRPr="005060E0">
        <w:t>standard</w:t>
      </w:r>
    </w:p>
    <w:p w14:paraId="54A40E7A" w14:textId="7EFBC122" w:rsidR="00AE616A" w:rsidRPr="005060E0" w:rsidRDefault="00CD0823" w:rsidP="004553B7">
      <w:pPr>
        <w:rPr>
          <w:rFonts w:asciiTheme="minorHAnsi" w:hAnsiTheme="minorHAnsi" w:cstheme="minorHAnsi"/>
          <w:szCs w:val="20"/>
        </w:rPr>
      </w:pPr>
      <w:r w:rsidRPr="005060E0">
        <w:t xml:space="preserve">The </w:t>
      </w:r>
      <w:r w:rsidR="00AE616A" w:rsidRPr="005060E0">
        <w:t>lack of strong evidence for long-term health effects from exposure to SO</w:t>
      </w:r>
      <w:r w:rsidR="00AE616A" w:rsidRPr="005060E0">
        <w:rPr>
          <w:vertAlign w:val="subscript"/>
        </w:rPr>
        <w:t>2</w:t>
      </w:r>
      <w:r w:rsidR="00AE616A" w:rsidRPr="005060E0">
        <w:t xml:space="preserve"> has led international agencies to revoke annual average standards and focus on implementing short-term standards for the protection of </w:t>
      </w:r>
      <w:r w:rsidRPr="005060E0">
        <w:t xml:space="preserve">human health. </w:t>
      </w:r>
      <w:r w:rsidR="00B37DFC" w:rsidRPr="005060E0">
        <w:t xml:space="preserve">The </w:t>
      </w:r>
      <w:r w:rsidR="00AE616A" w:rsidRPr="005060E0">
        <w:rPr>
          <w:rFonts w:asciiTheme="minorHAnsi" w:hAnsiTheme="minorHAnsi" w:cstheme="minorHAnsi"/>
          <w:szCs w:val="20"/>
        </w:rPr>
        <w:t xml:space="preserve">WHO has noted </w:t>
      </w:r>
      <w:r w:rsidR="00B37DFC" w:rsidRPr="005060E0">
        <w:rPr>
          <w:rFonts w:asciiTheme="minorHAnsi" w:hAnsiTheme="minorHAnsi" w:cstheme="minorHAnsi"/>
          <w:szCs w:val="20"/>
        </w:rPr>
        <w:t xml:space="preserve">that </w:t>
      </w:r>
      <w:r w:rsidR="00AE616A" w:rsidRPr="005060E0">
        <w:rPr>
          <w:rFonts w:asciiTheme="minorHAnsi" w:hAnsiTheme="minorHAnsi" w:cstheme="minorHAnsi"/>
          <w:szCs w:val="20"/>
        </w:rPr>
        <w:t>an annual guideline is not needed. Mo</w:t>
      </w:r>
      <w:r w:rsidR="00C65FA8" w:rsidRPr="005060E0">
        <w:rPr>
          <w:rFonts w:asciiTheme="minorHAnsi" w:hAnsiTheme="minorHAnsi" w:cstheme="minorHAnsi"/>
          <w:szCs w:val="20"/>
        </w:rPr>
        <w:t>reover, the analysis in Section</w:t>
      </w:r>
      <w:r w:rsidR="00AE616A" w:rsidRPr="005060E0">
        <w:rPr>
          <w:rFonts w:asciiTheme="minorHAnsi" w:hAnsiTheme="minorHAnsi" w:cstheme="minorHAnsi"/>
          <w:szCs w:val="20"/>
        </w:rPr>
        <w:t xml:space="preserve"> </w:t>
      </w:r>
      <w:r w:rsidR="00AE616A" w:rsidRPr="005060E0">
        <w:rPr>
          <w:rFonts w:asciiTheme="minorHAnsi" w:hAnsiTheme="minorHAnsi" w:cstheme="minorHAnsi"/>
          <w:szCs w:val="20"/>
        </w:rPr>
        <w:fldChar w:fldCharType="begin"/>
      </w:r>
      <w:r w:rsidR="00AE616A" w:rsidRPr="005060E0">
        <w:rPr>
          <w:rFonts w:asciiTheme="minorHAnsi" w:hAnsiTheme="minorHAnsi" w:cstheme="minorHAnsi"/>
          <w:szCs w:val="20"/>
        </w:rPr>
        <w:instrText xml:space="preserve"> REF _Ref507787537 \n \h  \* MERGEFORMAT </w:instrText>
      </w:r>
      <w:r w:rsidR="00AE616A" w:rsidRPr="005060E0">
        <w:rPr>
          <w:rFonts w:asciiTheme="minorHAnsi" w:hAnsiTheme="minorHAnsi" w:cstheme="minorHAnsi"/>
          <w:szCs w:val="20"/>
        </w:rPr>
      </w:r>
      <w:r w:rsidR="00AE616A" w:rsidRPr="005060E0">
        <w:rPr>
          <w:rFonts w:asciiTheme="minorHAnsi" w:hAnsiTheme="minorHAnsi" w:cstheme="minorHAnsi"/>
          <w:szCs w:val="20"/>
        </w:rPr>
        <w:fldChar w:fldCharType="separate"/>
      </w:r>
      <w:r w:rsidR="00F2067C">
        <w:rPr>
          <w:rFonts w:asciiTheme="minorHAnsi" w:hAnsiTheme="minorHAnsi" w:cstheme="minorHAnsi"/>
          <w:szCs w:val="20"/>
        </w:rPr>
        <w:t>6.6</w:t>
      </w:r>
      <w:r w:rsidR="00AE616A" w:rsidRPr="005060E0">
        <w:rPr>
          <w:rFonts w:asciiTheme="minorHAnsi" w:hAnsiTheme="minorHAnsi" w:cstheme="minorHAnsi"/>
          <w:szCs w:val="20"/>
        </w:rPr>
        <w:fldChar w:fldCharType="end"/>
      </w:r>
      <w:r w:rsidR="00C65FA8" w:rsidRPr="005060E0">
        <w:rPr>
          <w:rFonts w:asciiTheme="minorHAnsi" w:hAnsiTheme="minorHAnsi" w:cstheme="minorHAnsi"/>
          <w:szCs w:val="20"/>
        </w:rPr>
        <w:t xml:space="preserve"> </w:t>
      </w:r>
      <w:r w:rsidR="00AE616A" w:rsidRPr="005060E0">
        <w:rPr>
          <w:rFonts w:asciiTheme="minorHAnsi" w:hAnsiTheme="minorHAnsi" w:cstheme="minorHAnsi"/>
          <w:szCs w:val="20"/>
        </w:rPr>
        <w:t>show</w:t>
      </w:r>
      <w:r w:rsidR="00C65FA8" w:rsidRPr="005060E0">
        <w:rPr>
          <w:rFonts w:asciiTheme="minorHAnsi" w:hAnsiTheme="minorHAnsi" w:cstheme="minorHAnsi"/>
          <w:szCs w:val="20"/>
        </w:rPr>
        <w:t>s</w:t>
      </w:r>
      <w:r w:rsidR="00AE616A" w:rsidRPr="005060E0">
        <w:rPr>
          <w:rFonts w:asciiTheme="minorHAnsi" w:hAnsiTheme="minorHAnsi" w:cstheme="minorHAnsi"/>
          <w:szCs w:val="20"/>
        </w:rPr>
        <w:t xml:space="preserve"> there have been no exceedances of the current and proposed annual mean standards for SO</w:t>
      </w:r>
      <w:r w:rsidR="00AE616A" w:rsidRPr="005060E0">
        <w:rPr>
          <w:rFonts w:asciiTheme="minorHAnsi" w:hAnsiTheme="minorHAnsi" w:cstheme="minorHAnsi"/>
          <w:szCs w:val="20"/>
          <w:vertAlign w:val="subscript"/>
        </w:rPr>
        <w:t>2</w:t>
      </w:r>
      <w:r w:rsidR="00AE616A" w:rsidRPr="005060E0">
        <w:rPr>
          <w:rFonts w:asciiTheme="minorHAnsi" w:hAnsiTheme="minorHAnsi" w:cstheme="minorHAnsi"/>
          <w:szCs w:val="20"/>
        </w:rPr>
        <w:t>, and there are not predicted to be exceedances in the future. This supports the removal of the annual mean SO</w:t>
      </w:r>
      <w:r w:rsidR="00AE616A" w:rsidRPr="005060E0">
        <w:rPr>
          <w:rFonts w:asciiTheme="minorHAnsi" w:hAnsiTheme="minorHAnsi" w:cstheme="minorHAnsi"/>
          <w:szCs w:val="20"/>
          <w:vertAlign w:val="subscript"/>
        </w:rPr>
        <w:t>2</w:t>
      </w:r>
      <w:r w:rsidR="00AE616A" w:rsidRPr="005060E0">
        <w:rPr>
          <w:rFonts w:asciiTheme="minorHAnsi" w:hAnsiTheme="minorHAnsi" w:cstheme="minorHAnsi"/>
          <w:szCs w:val="20"/>
        </w:rPr>
        <w:t xml:space="preserve"> standard from the AAQ NEPM.</w:t>
      </w:r>
    </w:p>
    <w:p w14:paraId="621CC972" w14:textId="1EFCEF7C" w:rsidR="004553B7" w:rsidRPr="005060E0" w:rsidRDefault="004553B7" w:rsidP="00234F48">
      <w:pPr>
        <w:spacing w:after="360"/>
        <w:rPr>
          <w:rFonts w:asciiTheme="minorHAnsi" w:hAnsiTheme="minorHAnsi" w:cstheme="minorHAnsi"/>
          <w:szCs w:val="20"/>
        </w:rPr>
      </w:pPr>
      <w:r w:rsidRPr="005060E0">
        <w:rPr>
          <w:rFonts w:asciiTheme="minorHAnsi" w:hAnsiTheme="minorHAnsi" w:cstheme="minorHAnsi"/>
          <w:szCs w:val="20"/>
        </w:rPr>
        <w:t>Should a decision be made to retain the annual mean standard, a reduction in the value of the standard from 20 ppb to 10 ppb would be appropriate. There has been historical compliance with the proposed standard of 10 ppb in all airsheds, and compliance is predicted to continue in the future.</w:t>
      </w:r>
    </w:p>
    <w:p w14:paraId="6255FC21" w14:textId="02D73C3F" w:rsidR="00D93132" w:rsidRPr="005060E0" w:rsidRDefault="00D93132" w:rsidP="00AE616A">
      <w:pPr>
        <w:rPr>
          <w:rFonts w:asciiTheme="minorHAnsi" w:hAnsiTheme="minorHAnsi" w:cstheme="minorHAnsi"/>
          <w:szCs w:val="20"/>
        </w:rPr>
      </w:pPr>
      <w:r w:rsidRPr="005060E0">
        <w:rPr>
          <w:rFonts w:asciiTheme="minorHAnsi" w:hAnsiTheme="minorHAnsi" w:cstheme="minorHAnsi"/>
          <w:noProof/>
          <w:szCs w:val="20"/>
          <w:lang w:eastAsia="en-AU"/>
        </w:rPr>
        <mc:AlternateContent>
          <mc:Choice Requires="wps">
            <w:drawing>
              <wp:inline distT="0" distB="0" distL="0" distR="0" wp14:anchorId="59C020EF" wp14:editId="5EAA7890">
                <wp:extent cx="6086475" cy="492981"/>
                <wp:effectExtent l="0" t="0" r="28575" b="21590"/>
                <wp:docPr id="10" name="Text Box 10"/>
                <wp:cNvGraphicFramePr/>
                <a:graphic xmlns:a="http://schemas.openxmlformats.org/drawingml/2006/main">
                  <a:graphicData uri="http://schemas.microsoft.com/office/word/2010/wordprocessingShape">
                    <wps:wsp>
                      <wps:cNvSpPr txBox="1"/>
                      <wps:spPr>
                        <a:xfrm>
                          <a:off x="0" y="0"/>
                          <a:ext cx="6086475" cy="492981"/>
                        </a:xfrm>
                        <a:prstGeom prst="rect">
                          <a:avLst/>
                        </a:prstGeom>
                        <a:solidFill>
                          <a:schemeClr val="tx2">
                            <a:lumMod val="20000"/>
                            <a:lumOff val="80000"/>
                          </a:schemeClr>
                        </a:solidFill>
                        <a:ln w="6350">
                          <a:solidFill>
                            <a:schemeClr val="tx2">
                              <a:lumMod val="40000"/>
                              <a:lumOff val="60000"/>
                            </a:schemeClr>
                          </a:solidFill>
                        </a:ln>
                      </wps:spPr>
                      <wps:txbx>
                        <w:txbxContent>
                          <w:p w14:paraId="25D32F87" w14:textId="70707F6B" w:rsidR="00B246FA" w:rsidRDefault="00B246FA">
                            <w:r>
                              <w:rPr>
                                <w:b/>
                              </w:rPr>
                              <w:t>Recommendation 8</w:t>
                            </w:r>
                            <w:r w:rsidRPr="002B7393">
                              <w:rPr>
                                <w:b/>
                              </w:rPr>
                              <w:t>:</w:t>
                            </w:r>
                            <w:r>
                              <w:t xml:space="preserve"> T</w:t>
                            </w:r>
                            <w:r w:rsidRPr="00AE616A">
                              <w:t xml:space="preserve">he </w:t>
                            </w:r>
                            <w:r>
                              <w:t xml:space="preserve">current </w:t>
                            </w:r>
                            <w:r w:rsidRPr="00D93132">
                              <w:t>annual mean standard for SO</w:t>
                            </w:r>
                            <w:r w:rsidRPr="00D93132">
                              <w:rPr>
                                <w:vertAlign w:val="subscript"/>
                              </w:rPr>
                              <w:t>2</w:t>
                            </w:r>
                            <w:r w:rsidRPr="00D93132">
                              <w:t xml:space="preserve"> should be removed from the AAQ</w:t>
                            </w:r>
                            <w:r>
                              <w:t> </w:t>
                            </w:r>
                            <w:r w:rsidRPr="00D93132">
                              <w:t>NEPM.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C020EF" id="Text Box 10" o:spid="_x0000_s1038" type="#_x0000_t202" style="width:479.25pt;height:3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KVTcAIAACEFAAAOAAAAZHJzL2Uyb0RvYy54bWysVN9P2zAQfp+0/8Hy+0jalVIiWtSBmCYx&#10;QIKJZ9dxaCTH59luE/bX77PTlMJ+PEx7Sezvzt/57r7z2XnXaLZVztdk5nx0lHOmjKSyNk9z/u3h&#10;6sOMMx+EKYUmo+b8WXl+vnj/7qy1hRrTmnSpHAOJ8UVr53wdgi2yzMu1aoQ/IqsMjBW5RgRs3VNW&#10;OtGCvdHZOM+nWUuutI6k8h7oZW/ki8RfVUqG26ryKjA957hbSF+Xvqv4zRZnonhywq5rubuG+Idb&#10;NKI2CLqnuhRBsI2rf6FqaunIUxWOJDUZVVUtVcoB2YzyN9ncr4VVKRcUx9t9mfz/o5U32zvH6hK9&#10;Q3mMaNCjB9UF9ok6Bgj1aa0v4HZv4Rg64PAdcA8wpt1Vrol/JMRgB9XzvrqRTQKc5rPp5OSYMwnb&#10;5HR8Oks02ctp63z4rKhhcTHnDt1LRRXbax9wE7gOLjGYJ12XV7XWaRMVoy60Y1uBXodunI7qTfOV&#10;yh6DXvJdxwFDFz08G2DQJ91FlhTsVQBtWIskPh7nifiVbX/sz8EnQxRRHAafDvDfgsOmDW4UO9FX&#10;PK5Ct+r6zo2HdqyofEaXHPU691Ze1SjltfDhTjgIG43BsIZbfCpNyId2K87W5H78Do/+0BusnLUY&#10;lDn33zfCKc70FwMlno4mkzhZaTM5Phlj4w4tq0OL2TQXhP6M8CxYmZbRP+hhWTlqHjHTyxgVJmEk&#10;YqOhw/Ii9OOLN0Gq5TI5YZasCNfm3spIHfUQhfLQPQpnd2oK0OENDSMlijei6n3jSUPLTaCqToqL&#10;he6ruqs/5jBpY/dmxEE/3Cevl5dt8RMAAP//AwBQSwMEFAAGAAgAAAAhAN6kxP3cAAAABAEAAA8A&#10;AABkcnMvZG93bnJldi54bWxMj0tPwzAQhO9I/AdrkbhRh0rpI8SpWihwpg+V3rbxkkSN11HstOm/&#10;x3BpLyuNZjTzbTrrTS1O1LrKsoLnQQSCOLe64kLBZv3+NAHhPLLG2jIpuJCDWXZ/l2Ki7Zm/6LTy&#10;hQgl7BJUUHrfJFK6vCSDbmAb4uD92NagD7ItpG7xHMpNLYdRNJIGKw4LJTb0WlJ+XHVGwYK2x30c&#10;4fLje7i5vK2Xu303/VTq8aGfv4Dw1PtrGP7wAzpkgelgO9ZO1ArCI/7/Bm8aT2IQBwXj8Qhklspb&#10;+OwXAAD//wMAUEsBAi0AFAAGAAgAAAAhALaDOJL+AAAA4QEAABMAAAAAAAAAAAAAAAAAAAAAAFtD&#10;b250ZW50X1R5cGVzXS54bWxQSwECLQAUAAYACAAAACEAOP0h/9YAAACUAQAACwAAAAAAAAAAAAAA&#10;AAAvAQAAX3JlbHMvLnJlbHNQSwECLQAUAAYACAAAACEA1vClU3ACAAAhBQAADgAAAAAAAAAAAAAA&#10;AAAuAgAAZHJzL2Uyb0RvYy54bWxQSwECLQAUAAYACAAAACEA3qTE/dwAAAAEAQAADwAAAAAAAAAA&#10;AAAAAADKBAAAZHJzL2Rvd25yZXYueG1sUEsFBgAAAAAEAAQA8wAAANMFAAAAAA==&#10;" fillcolor="#dedfe3 [671]" strokecolor="#bdbfc8 [1311]" strokeweight=".5pt">
                <v:textbox>
                  <w:txbxContent>
                    <w:p w14:paraId="25D32F87" w14:textId="70707F6B" w:rsidR="00B246FA" w:rsidRDefault="00B246FA">
                      <w:r>
                        <w:rPr>
                          <w:b/>
                        </w:rPr>
                        <w:t>Recommendation 8</w:t>
                      </w:r>
                      <w:r w:rsidRPr="002B7393">
                        <w:rPr>
                          <w:b/>
                        </w:rPr>
                        <w:t>:</w:t>
                      </w:r>
                      <w:r>
                        <w:t xml:space="preserve"> T</w:t>
                      </w:r>
                      <w:r w:rsidRPr="00AE616A">
                        <w:t xml:space="preserve">he </w:t>
                      </w:r>
                      <w:r>
                        <w:t xml:space="preserve">current </w:t>
                      </w:r>
                      <w:r w:rsidRPr="00D93132">
                        <w:t>annual mean standard for SO</w:t>
                      </w:r>
                      <w:r w:rsidRPr="00D93132">
                        <w:rPr>
                          <w:vertAlign w:val="subscript"/>
                        </w:rPr>
                        <w:t>2</w:t>
                      </w:r>
                      <w:r w:rsidRPr="00D93132">
                        <w:t xml:space="preserve"> should be removed from the AAQ</w:t>
                      </w:r>
                      <w:r>
                        <w:t> </w:t>
                      </w:r>
                      <w:r w:rsidRPr="00D93132">
                        <w:t>NEPM.</w:t>
                      </w:r>
                    </w:p>
                  </w:txbxContent>
                </v:textbox>
                <w10:anchorlock/>
              </v:shape>
            </w:pict>
          </mc:Fallback>
        </mc:AlternateContent>
      </w:r>
    </w:p>
    <w:p w14:paraId="6C9B3BE6" w14:textId="248C6FD6" w:rsidR="00866C2D" w:rsidRPr="005060E0" w:rsidRDefault="00866C2D" w:rsidP="001D5E69">
      <w:pPr>
        <w:pStyle w:val="Heading3"/>
      </w:pPr>
      <w:bookmarkStart w:id="147" w:name="_Toc479858906"/>
      <w:r w:rsidRPr="005060E0">
        <w:t>What form should the standards</w:t>
      </w:r>
      <w:bookmarkEnd w:id="147"/>
      <w:r w:rsidRPr="005060E0">
        <w:t xml:space="preserve"> take?</w:t>
      </w:r>
    </w:p>
    <w:p w14:paraId="48D52521" w14:textId="619C80C7" w:rsidR="0028558E" w:rsidRPr="005060E0" w:rsidRDefault="0028558E" w:rsidP="0028558E">
      <w:r w:rsidRPr="005060E0">
        <w:t>A</w:t>
      </w:r>
      <w:r w:rsidR="00FE54DA" w:rsidRPr="005060E0">
        <w:t xml:space="preserve">llowing exceedances of </w:t>
      </w:r>
      <w:r w:rsidR="00866C2D" w:rsidRPr="005060E0">
        <w:t xml:space="preserve">standards </w:t>
      </w:r>
      <w:r w:rsidR="00622534" w:rsidRPr="005060E0">
        <w:t>can weaken</w:t>
      </w:r>
      <w:r w:rsidR="00866C2D" w:rsidRPr="005060E0">
        <w:t xml:space="preserve"> the health protection inherent in the</w:t>
      </w:r>
      <w:r w:rsidR="00FE54DA" w:rsidRPr="005060E0">
        <w:t>ir numerical values</w:t>
      </w:r>
      <w:r w:rsidR="00B73831" w:rsidRPr="005060E0">
        <w:t xml:space="preserve">. </w:t>
      </w:r>
      <w:r w:rsidRPr="005060E0">
        <w:t xml:space="preserve">Most international jurisdictions </w:t>
      </w:r>
      <w:r w:rsidR="00FE54DA" w:rsidRPr="005060E0">
        <w:t xml:space="preserve">do </w:t>
      </w:r>
      <w:r w:rsidRPr="005060E0">
        <w:t xml:space="preserve">allow some exceedances of </w:t>
      </w:r>
      <w:r w:rsidR="00FE54DA" w:rsidRPr="005060E0">
        <w:t xml:space="preserve">the </w:t>
      </w:r>
      <w:r w:rsidRPr="005060E0">
        <w:t xml:space="preserve">1-hour and 24-hour </w:t>
      </w:r>
      <w:r w:rsidR="00FE54DA" w:rsidRPr="005060E0">
        <w:t>SO</w:t>
      </w:r>
      <w:r w:rsidR="00FE54DA" w:rsidRPr="005060E0">
        <w:rPr>
          <w:vertAlign w:val="subscript"/>
        </w:rPr>
        <w:t>2</w:t>
      </w:r>
      <w:r w:rsidR="00FE54DA" w:rsidRPr="005060E0">
        <w:t xml:space="preserve"> </w:t>
      </w:r>
      <w:r w:rsidRPr="005060E0">
        <w:t xml:space="preserve">standards, either explicitly or through the use of percentile concentrations, but </w:t>
      </w:r>
      <w:r w:rsidR="00FE54DA" w:rsidRPr="005060E0">
        <w:t xml:space="preserve">these apply to </w:t>
      </w:r>
      <w:r w:rsidRPr="005060E0">
        <w:t>numerical values of the standard</w:t>
      </w:r>
      <w:r w:rsidR="00FE54DA" w:rsidRPr="005060E0">
        <w:t>s</w:t>
      </w:r>
      <w:r w:rsidRPr="005060E0">
        <w:t xml:space="preserve"> that are lower than in Australia. </w:t>
      </w:r>
      <w:r w:rsidR="00FE54DA" w:rsidRPr="005060E0">
        <w:t xml:space="preserve">The WHO </w:t>
      </w:r>
      <w:r w:rsidRPr="005060E0">
        <w:t>do</w:t>
      </w:r>
      <w:r w:rsidR="00FE54DA" w:rsidRPr="005060E0">
        <w:t>es not state</w:t>
      </w:r>
      <w:r w:rsidRPr="005060E0">
        <w:t xml:space="preserve"> any </w:t>
      </w:r>
      <w:r w:rsidR="00FE54DA" w:rsidRPr="005060E0">
        <w:t>allowed exceedances of its 24-hour guideline</w:t>
      </w:r>
      <w:r w:rsidRPr="005060E0">
        <w:t xml:space="preserve"> for SO</w:t>
      </w:r>
      <w:r w:rsidRPr="005060E0">
        <w:rPr>
          <w:vertAlign w:val="subscript"/>
        </w:rPr>
        <w:t>2</w:t>
      </w:r>
      <w:r w:rsidRPr="005060E0">
        <w:t>.</w:t>
      </w:r>
    </w:p>
    <w:p w14:paraId="189DE319" w14:textId="58C47880" w:rsidR="00FE54DA" w:rsidRPr="005060E0" w:rsidRDefault="00FE54DA" w:rsidP="00FE54DA">
      <w:r w:rsidRPr="005060E0">
        <w:t>In the air quality study, the analysis of the monitoring</w:t>
      </w:r>
      <w:r w:rsidR="00866C2D" w:rsidRPr="005060E0">
        <w:t xml:space="preserve"> d</w:t>
      </w:r>
      <w:r w:rsidRPr="005060E0">
        <w:t>ata did not reveal</w:t>
      </w:r>
      <w:r w:rsidR="00866C2D" w:rsidRPr="005060E0">
        <w:t xml:space="preserve"> any extreme me</w:t>
      </w:r>
      <w:r w:rsidRPr="005060E0">
        <w:t xml:space="preserve">teorological conditions that led to very high </w:t>
      </w:r>
      <w:r w:rsidR="00866C2D" w:rsidRPr="005060E0">
        <w:t>SO</w:t>
      </w:r>
      <w:r w:rsidR="00866C2D" w:rsidRPr="005060E0">
        <w:rPr>
          <w:vertAlign w:val="subscript"/>
        </w:rPr>
        <w:t>2</w:t>
      </w:r>
      <w:r w:rsidR="00866C2D" w:rsidRPr="005060E0">
        <w:t xml:space="preserve"> </w:t>
      </w:r>
      <w:r w:rsidRPr="005060E0">
        <w:t>concentrations. Furthermore, natural sources of SO</w:t>
      </w:r>
      <w:r w:rsidRPr="005060E0">
        <w:rPr>
          <w:vertAlign w:val="subscript"/>
        </w:rPr>
        <w:t>2</w:t>
      </w:r>
      <w:r w:rsidRPr="005060E0">
        <w:t xml:space="preserve"> include volcanic activity and fires, but Australia does not have any active volcanoes and the analysis of the monitoring data fo</w:t>
      </w:r>
      <w:r w:rsidR="00553262" w:rsidRPr="005060E0">
        <w:t>r periods with significant bush</w:t>
      </w:r>
      <w:r w:rsidRPr="005060E0">
        <w:t>fire activity and other types of burning did not reveal any association with elevated SO</w:t>
      </w:r>
      <w:r w:rsidRPr="005060E0">
        <w:rPr>
          <w:vertAlign w:val="subscript"/>
        </w:rPr>
        <w:t>2</w:t>
      </w:r>
      <w:r w:rsidRPr="005060E0">
        <w:t xml:space="preserve"> levels. Therefore, an ‘exceptional events’ rule is not required for SO</w:t>
      </w:r>
      <w:r w:rsidRPr="005060E0">
        <w:rPr>
          <w:vertAlign w:val="subscript"/>
        </w:rPr>
        <w:t>2</w:t>
      </w:r>
      <w:r w:rsidRPr="005060E0">
        <w:t>.</w:t>
      </w:r>
    </w:p>
    <w:p w14:paraId="223D0A55" w14:textId="5396D2C9" w:rsidR="00CB6DA6" w:rsidRPr="005060E0" w:rsidRDefault="00CB6DA6" w:rsidP="00866C2D">
      <w:r w:rsidRPr="005060E0">
        <w:t>The main sources of SO</w:t>
      </w:r>
      <w:r w:rsidRPr="005060E0">
        <w:rPr>
          <w:vertAlign w:val="subscript"/>
        </w:rPr>
        <w:t>2</w:t>
      </w:r>
      <w:r w:rsidRPr="005060E0">
        <w:t xml:space="preserve"> are industrial facilities which will have localised impacts. The management of industrial sources is not through the implementation of the </w:t>
      </w:r>
      <w:r w:rsidR="00FE23DB" w:rsidRPr="005060E0">
        <w:t>AAQ NEPM</w:t>
      </w:r>
      <w:r w:rsidRPr="005060E0">
        <w:t xml:space="preserve"> but through individual jurisdictions</w:t>
      </w:r>
      <w:r w:rsidR="00B37DFC" w:rsidRPr="005060E0">
        <w:t>’</w:t>
      </w:r>
      <w:r w:rsidRPr="005060E0">
        <w:t xml:space="preserve"> management strategies.</w:t>
      </w:r>
    </w:p>
    <w:p w14:paraId="152D3222" w14:textId="570824F9" w:rsidR="00CB6DA6" w:rsidRPr="005060E0" w:rsidRDefault="006C6F8C" w:rsidP="00866C2D">
      <w:r w:rsidRPr="005060E0">
        <w:t>Given the above, it is recommended that f</w:t>
      </w:r>
      <w:r w:rsidR="00FE54DA" w:rsidRPr="005060E0">
        <w:t>or both the 1-hour and 24-hour SO</w:t>
      </w:r>
      <w:r w:rsidR="00FE54DA" w:rsidRPr="005060E0">
        <w:rPr>
          <w:vertAlign w:val="subscript"/>
        </w:rPr>
        <w:t>2</w:t>
      </w:r>
      <w:r w:rsidR="00FE54DA" w:rsidRPr="005060E0">
        <w:t xml:space="preserve"> </w:t>
      </w:r>
      <w:r w:rsidRPr="005060E0">
        <w:t>standards</w:t>
      </w:r>
      <w:r w:rsidR="00FE54DA" w:rsidRPr="005060E0">
        <w:t xml:space="preserve"> </w:t>
      </w:r>
      <w:r w:rsidR="00FE54DA" w:rsidRPr="005060E0">
        <w:rPr>
          <w:szCs w:val="20"/>
        </w:rPr>
        <w:t>the form should be the maximum value with no allowable exceedances.</w:t>
      </w:r>
      <w:r w:rsidR="00CB6DA6" w:rsidRPr="005060E0">
        <w:t xml:space="preserve"> This is consistent with the 2016 v</w:t>
      </w:r>
      <w:r w:rsidR="00866C2D" w:rsidRPr="005060E0">
        <w:t xml:space="preserve">ariation to the </w:t>
      </w:r>
      <w:r w:rsidR="00FE23DB" w:rsidRPr="005060E0">
        <w:t>AAQ NEPM</w:t>
      </w:r>
      <w:r w:rsidR="00866C2D" w:rsidRPr="005060E0">
        <w:t xml:space="preserve"> for the</w:t>
      </w:r>
      <w:r w:rsidR="00CB6DA6" w:rsidRPr="005060E0">
        <w:t xml:space="preserve"> PM standards, in which</w:t>
      </w:r>
      <w:r w:rsidR="00866C2D" w:rsidRPr="005060E0">
        <w:t xml:space="preserve"> allowable exceedances were removed and an exceptional events reporting protocol </w:t>
      </w:r>
      <w:r w:rsidR="00CB6DA6" w:rsidRPr="005060E0">
        <w:t xml:space="preserve">was </w:t>
      </w:r>
      <w:r w:rsidR="00866C2D" w:rsidRPr="005060E0">
        <w:t xml:space="preserve">introduced. </w:t>
      </w:r>
      <w:r w:rsidR="002D5A97" w:rsidRPr="005060E0">
        <w:t>A corresponding approach for SO</w:t>
      </w:r>
      <w:r w:rsidR="002D5A97" w:rsidRPr="005060E0">
        <w:rPr>
          <w:vertAlign w:val="subscript"/>
        </w:rPr>
        <w:t>2</w:t>
      </w:r>
      <w:r w:rsidR="002D5A97" w:rsidRPr="005060E0">
        <w:t xml:space="preserve"> would help jurisdictions better understand the reasons for exceedances.</w:t>
      </w:r>
    </w:p>
    <w:p w14:paraId="6A016EFC" w14:textId="23CD6C8A" w:rsidR="00866C2D" w:rsidRPr="005060E0" w:rsidRDefault="00CB6DA6" w:rsidP="00866C2D">
      <w:r w:rsidRPr="005060E0">
        <w:t>S</w:t>
      </w:r>
      <w:r w:rsidR="00866C2D" w:rsidRPr="005060E0">
        <w:t xml:space="preserve">etting a </w:t>
      </w:r>
      <w:r w:rsidRPr="005060E0">
        <w:t>‘not-to-be-</w:t>
      </w:r>
      <w:r w:rsidR="00866C2D" w:rsidRPr="005060E0">
        <w:t>exceeded</w:t>
      </w:r>
      <w:r w:rsidRPr="005060E0">
        <w:t>’</w:t>
      </w:r>
      <w:r w:rsidR="00866C2D" w:rsidRPr="005060E0">
        <w:t xml:space="preserve"> form of the standard</w:t>
      </w:r>
      <w:r w:rsidRPr="005060E0">
        <w:t>s</w:t>
      </w:r>
      <w:r w:rsidR="00866C2D" w:rsidRPr="005060E0">
        <w:t xml:space="preserve"> is </w:t>
      </w:r>
      <w:r w:rsidRPr="005060E0">
        <w:t xml:space="preserve">also </w:t>
      </w:r>
      <w:r w:rsidR="00866C2D" w:rsidRPr="005060E0">
        <w:t xml:space="preserve">the most effective way of ensuring the requirements of the NEPC Act for ‘equivalent protection for all Australians wherever they live’ and </w:t>
      </w:r>
      <w:r w:rsidR="00B37DFC" w:rsidRPr="005060E0">
        <w:t xml:space="preserve">the </w:t>
      </w:r>
      <w:r w:rsidR="00866C2D" w:rsidRPr="005060E0">
        <w:t xml:space="preserve">desired environmental outcome of the </w:t>
      </w:r>
      <w:r w:rsidR="00FE23DB" w:rsidRPr="005060E0">
        <w:t>AAQ NEPM</w:t>
      </w:r>
      <w:r w:rsidR="00866C2D" w:rsidRPr="005060E0">
        <w:t xml:space="preserve"> </w:t>
      </w:r>
      <w:r w:rsidR="00B37DFC" w:rsidRPr="005060E0">
        <w:t xml:space="preserve">are </w:t>
      </w:r>
      <w:r w:rsidR="00866C2D" w:rsidRPr="005060E0">
        <w:t>achieved.</w:t>
      </w:r>
    </w:p>
    <w:p w14:paraId="176325A8" w14:textId="19206D86" w:rsidR="00E0189C" w:rsidRPr="005060E0" w:rsidRDefault="00E0189C" w:rsidP="00866C2D">
      <w:r w:rsidRPr="005060E0">
        <w:rPr>
          <w:rFonts w:asciiTheme="minorHAnsi" w:hAnsiTheme="minorHAnsi" w:cstheme="minorHAnsi"/>
          <w:noProof/>
          <w:szCs w:val="20"/>
          <w:lang w:eastAsia="en-AU"/>
        </w:rPr>
        <mc:AlternateContent>
          <mc:Choice Requires="wps">
            <w:drawing>
              <wp:inline distT="0" distB="0" distL="0" distR="0" wp14:anchorId="0C1668CD" wp14:editId="52BF4003">
                <wp:extent cx="6086475" cy="492981"/>
                <wp:effectExtent l="0" t="0" r="28575" b="21590"/>
                <wp:docPr id="15" name="Text Box 15"/>
                <wp:cNvGraphicFramePr/>
                <a:graphic xmlns:a="http://schemas.openxmlformats.org/drawingml/2006/main">
                  <a:graphicData uri="http://schemas.microsoft.com/office/word/2010/wordprocessingShape">
                    <wps:wsp>
                      <wps:cNvSpPr txBox="1"/>
                      <wps:spPr>
                        <a:xfrm>
                          <a:off x="0" y="0"/>
                          <a:ext cx="6086475" cy="492981"/>
                        </a:xfrm>
                        <a:prstGeom prst="rect">
                          <a:avLst/>
                        </a:prstGeom>
                        <a:solidFill>
                          <a:schemeClr val="tx2">
                            <a:lumMod val="20000"/>
                            <a:lumOff val="80000"/>
                          </a:schemeClr>
                        </a:solidFill>
                        <a:ln w="6350">
                          <a:solidFill>
                            <a:schemeClr val="tx2">
                              <a:lumMod val="40000"/>
                              <a:lumOff val="60000"/>
                            </a:schemeClr>
                          </a:solidFill>
                        </a:ln>
                      </wps:spPr>
                      <wps:txbx>
                        <w:txbxContent>
                          <w:p w14:paraId="51A84DAF" w14:textId="63EBB17E" w:rsidR="00B246FA" w:rsidRDefault="00B246FA" w:rsidP="00E0189C">
                            <w:r>
                              <w:rPr>
                                <w:b/>
                              </w:rPr>
                              <w:t>Recommendation 9</w:t>
                            </w:r>
                            <w:r w:rsidRPr="002B7393">
                              <w:rPr>
                                <w:b/>
                              </w:rPr>
                              <w:t>:</w:t>
                            </w:r>
                            <w:r>
                              <w:t xml:space="preserve"> </w:t>
                            </w:r>
                            <w:r w:rsidRPr="00E0189C">
                              <w:t>The form of both the 1-hour and 24-hour SO</w:t>
                            </w:r>
                            <w:r w:rsidRPr="00E0189C">
                              <w:rPr>
                                <w:vertAlign w:val="subscript"/>
                              </w:rPr>
                              <w:t>2</w:t>
                            </w:r>
                            <w:r w:rsidRPr="00E0189C">
                              <w:t xml:space="preserve"> standards should be the maximum value with no allowable exceedances.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1668CD" id="Text Box 15" o:spid="_x0000_s1039" type="#_x0000_t202" style="width:479.25pt;height:3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HBcQIAACEFAAAOAAAAZHJzL2Uyb0RvYy54bWysVN9P2zAQfp+0/8Hy+0haSikRLepATJMY&#10;IMG0Z9dxaCTH59luE/bX77PTlMJ+PEx7Sezvzt/57r7z+UXXaLZVztdk5nx0lHOmjKSyNk9z/vXx&#10;+sOMMx+EKYUmo+b8WXl+sXj/7ry1hRrTmnSpHAOJ8UVr53wdgi2yzMu1aoQ/IqsMjBW5RgRs3VNW&#10;OtGCvdHZOM+nWUuutI6k8h7oVW/ki8RfVUqGu6ryKjA957hbSF+Xvqv4zRbnonhywq5rubuG+Idb&#10;NKI2CLqnuhJBsI2rf6FqaunIUxWOJDUZVVUtVcoB2YzyN9k8rIVVKRcUx9t9mfz/o5W323vH6hK9&#10;O+HMiAY9elRdYB+pY4BQn9b6Am4PFo6hAw7fAfcAY9pd5Zr4R0IMdlT6eV/dyCYBTvPZdHKKKBK2&#10;ydn4bJZospfT1vnwSVHD4mLOHbqXiiq2Nz7gJnAdXGIwT7our2ut0yYqRl1qx7YCvQ7dOB3Vm+YL&#10;lT0GveS7jgOGLnp4NsCgT7qLLCnYqwDasBZJHJ/kifiVbX/sz8EnQxRRHAafDvDfgsOmDW4UO9FX&#10;PK5Ct+r6zh0P7VhR+YwuOep17q28rlHKG+HDvXAQNhqDYQ13+FSakA/tVpytyf34HR79oTdYOWsx&#10;KHPuv2+EU5zpzwZKPBtNJnGy0mZycjrGxh1aVocWs2kuCf0Z4VmwMi2jf9DDsnLUfMNML2NUmISR&#10;iI2GDsvL0I8v3gSplsvkhFmyItyYBysjddRDFMpj9004u1NTgA5vaRgpUbwRVe8bTxpabgJVdVJc&#10;LHRf1V39MYdJG7s3Iw764T55vbxsi58AAAD//wMAUEsDBBQABgAIAAAAIQDepMT93AAAAAQBAAAP&#10;AAAAZHJzL2Rvd25yZXYueG1sTI9LT8MwEITvSPwHa5G4UYdK6SPEqVoocKYPld628ZJEjddR7LTp&#10;v8dwaS8rjWY08206600tTtS6yrKC50EEgji3uuJCwWb9/jQB4TyyxtoyKbiQg1l2f5diou2Zv+i0&#10;8oUIJewSVFB63yRSurwkg25gG+Lg/djWoA+yLaRu8RzKTS2HUTSSBisOCyU29FpSflx1RsGCtsd9&#10;HOHy43u4ubytl7t9N/1U6vGhn7+A8NT7axj+8AM6ZIHpYDvWTtQKwiP+/wZvGk9iEAcF4/EIZJbK&#10;W/jsFwAA//8DAFBLAQItABQABgAIAAAAIQC2gziS/gAAAOEBAAATAAAAAAAAAAAAAAAAAAAAAABb&#10;Q29udGVudF9UeXBlc10ueG1sUEsBAi0AFAAGAAgAAAAhADj9If/WAAAAlAEAAAsAAAAAAAAAAAAA&#10;AAAALwEAAF9yZWxzLy5yZWxzUEsBAi0AFAAGAAgAAAAhAKBvgcFxAgAAIQUAAA4AAAAAAAAAAAAA&#10;AAAALgIAAGRycy9lMm9Eb2MueG1sUEsBAi0AFAAGAAgAAAAhAN6kxP3cAAAABAEAAA8AAAAAAAAA&#10;AAAAAAAAywQAAGRycy9kb3ducmV2LnhtbFBLBQYAAAAABAAEAPMAAADUBQAAAAA=&#10;" fillcolor="#dedfe3 [671]" strokecolor="#bdbfc8 [1311]" strokeweight=".5pt">
                <v:textbox>
                  <w:txbxContent>
                    <w:p w14:paraId="51A84DAF" w14:textId="63EBB17E" w:rsidR="00B246FA" w:rsidRDefault="00B246FA" w:rsidP="00E0189C">
                      <w:r>
                        <w:rPr>
                          <w:b/>
                        </w:rPr>
                        <w:t>Recommendation 9</w:t>
                      </w:r>
                      <w:r w:rsidRPr="002B7393">
                        <w:rPr>
                          <w:b/>
                        </w:rPr>
                        <w:t>:</w:t>
                      </w:r>
                      <w:r>
                        <w:t xml:space="preserve"> </w:t>
                      </w:r>
                      <w:r w:rsidRPr="00E0189C">
                        <w:t>The form of both the 1-hour and 24-hour SO</w:t>
                      </w:r>
                      <w:r w:rsidRPr="00E0189C">
                        <w:rPr>
                          <w:vertAlign w:val="subscript"/>
                        </w:rPr>
                        <w:t>2</w:t>
                      </w:r>
                      <w:r w:rsidRPr="00E0189C">
                        <w:t xml:space="preserve"> standards should be the maximum value with no allowable exceedances.</w:t>
                      </w:r>
                    </w:p>
                  </w:txbxContent>
                </v:textbox>
                <w10:anchorlock/>
              </v:shape>
            </w:pict>
          </mc:Fallback>
        </mc:AlternateContent>
      </w:r>
    </w:p>
    <w:p w14:paraId="04F76262" w14:textId="63097F49" w:rsidR="00C420DD" w:rsidRPr="005060E0" w:rsidRDefault="00C420DD" w:rsidP="001D5E69">
      <w:pPr>
        <w:pStyle w:val="Heading3"/>
      </w:pPr>
      <w:r w:rsidRPr="005060E0">
        <w:t>Are the recommended standards achievable with reasonable measures?</w:t>
      </w:r>
    </w:p>
    <w:p w14:paraId="1C74DE33" w14:textId="1AC9BA15" w:rsidR="005733DD" w:rsidRPr="005060E0" w:rsidRDefault="00C420DD" w:rsidP="005733DD">
      <w:pPr>
        <w:rPr>
          <w:szCs w:val="20"/>
        </w:rPr>
      </w:pPr>
      <w:r w:rsidRPr="005060E0">
        <w:t>The air quality assessment and future modelling has shown that</w:t>
      </w:r>
      <w:r w:rsidR="002D5A97" w:rsidRPr="005060E0">
        <w:t xml:space="preserve"> the recommended</w:t>
      </w:r>
      <w:r w:rsidRPr="005060E0">
        <w:t xml:space="preserve"> </w:t>
      </w:r>
      <w:r w:rsidR="002D5A97" w:rsidRPr="005060E0">
        <w:t xml:space="preserve">standards for </w:t>
      </w:r>
      <w:r w:rsidRPr="005060E0">
        <w:t xml:space="preserve">1-hour and 24-hour </w:t>
      </w:r>
      <w:r w:rsidR="002D5A97" w:rsidRPr="005060E0">
        <w:t>SO</w:t>
      </w:r>
      <w:r w:rsidR="002D5A97" w:rsidRPr="005060E0">
        <w:rPr>
          <w:vertAlign w:val="subscript"/>
        </w:rPr>
        <w:t>2</w:t>
      </w:r>
      <w:r w:rsidR="002D5A97" w:rsidRPr="005060E0">
        <w:t>, of 100 ppb and 20 ppb respectively,</w:t>
      </w:r>
      <w:r w:rsidRPr="005060E0">
        <w:t xml:space="preserve"> can be met in</w:t>
      </w:r>
      <w:r w:rsidR="002D5A97" w:rsidRPr="005060E0">
        <w:t xml:space="preserve"> most of the Australian airsheds. The proposed 1-hour standard of 100 ppb has only been exceeded in locations that are dominated by large industrial sources in </w:t>
      </w:r>
      <w:r w:rsidR="00B37DFC" w:rsidRPr="005060E0">
        <w:t xml:space="preserve">Perth </w:t>
      </w:r>
      <w:r w:rsidR="002D5A97" w:rsidRPr="005060E0">
        <w:t>and the Latrobe Valley, and the exceedances have been infrequent.</w:t>
      </w:r>
      <w:r w:rsidR="002D5A97" w:rsidRPr="005060E0">
        <w:rPr>
          <w:szCs w:val="20"/>
        </w:rPr>
        <w:t xml:space="preserve"> </w:t>
      </w:r>
      <w:r w:rsidR="005733DD" w:rsidRPr="005060E0">
        <w:rPr>
          <w:szCs w:val="20"/>
        </w:rPr>
        <w:t>State-based abatement measures would be the most suitable action to achieve compliance with the 1-hour standard in these locations.</w:t>
      </w:r>
    </w:p>
    <w:p w14:paraId="546F03B3" w14:textId="211BE063" w:rsidR="00844B36" w:rsidRPr="005060E0" w:rsidRDefault="00844B36" w:rsidP="001D5E69">
      <w:pPr>
        <w:pStyle w:val="Heading3"/>
      </w:pPr>
      <w:r w:rsidRPr="005060E0">
        <w:t>Shou</w:t>
      </w:r>
      <w:r w:rsidR="009B7316" w:rsidRPr="005060E0">
        <w:t>ld an exposure-reduction framework</w:t>
      </w:r>
      <w:r w:rsidRPr="005060E0">
        <w:t xml:space="preserve"> </w:t>
      </w:r>
      <w:r w:rsidR="00ED1321">
        <w:t>for SO</w:t>
      </w:r>
      <w:r w:rsidR="00ED1321" w:rsidRPr="006B6C26">
        <w:rPr>
          <w:vertAlign w:val="subscript"/>
        </w:rPr>
        <w:t>2</w:t>
      </w:r>
      <w:r w:rsidR="00ED1321">
        <w:t xml:space="preserve"> </w:t>
      </w:r>
      <w:r w:rsidRPr="005060E0">
        <w:t>be considered?</w:t>
      </w:r>
    </w:p>
    <w:p w14:paraId="6312E980" w14:textId="47F48A33" w:rsidR="00844B36" w:rsidRPr="005060E0" w:rsidRDefault="00844B36" w:rsidP="00C420DD">
      <w:r w:rsidRPr="005060E0">
        <w:t>Given that exposure across whole populations is low for SO</w:t>
      </w:r>
      <w:r w:rsidRPr="005060E0">
        <w:rPr>
          <w:vertAlign w:val="subscript"/>
        </w:rPr>
        <w:t>2</w:t>
      </w:r>
      <w:r w:rsidRPr="005060E0">
        <w:t>, it is considered th</w:t>
      </w:r>
      <w:r w:rsidR="009B7316" w:rsidRPr="005060E0">
        <w:t>at an exposure-reduction framework</w:t>
      </w:r>
      <w:r w:rsidRPr="005060E0">
        <w:t xml:space="preserve"> would not be the most effective mechanism </w:t>
      </w:r>
      <w:r w:rsidR="00B37DFC" w:rsidRPr="005060E0">
        <w:t xml:space="preserve">for </w:t>
      </w:r>
      <w:r w:rsidRPr="005060E0">
        <w:t>reducing the population health risk.</w:t>
      </w:r>
    </w:p>
    <w:p w14:paraId="488FB6C6" w14:textId="4C63B06E" w:rsidR="00927D56" w:rsidRPr="005060E0" w:rsidRDefault="00927D56">
      <w:pPr>
        <w:spacing w:after="160" w:line="259" w:lineRule="auto"/>
        <w:rPr>
          <w:szCs w:val="20"/>
        </w:rPr>
      </w:pPr>
      <w:r w:rsidRPr="005060E0">
        <w:rPr>
          <w:szCs w:val="20"/>
        </w:rPr>
        <w:br w:type="page"/>
      </w:r>
    </w:p>
    <w:p w14:paraId="67F26924" w14:textId="29461F0C" w:rsidR="00927D56" w:rsidRPr="005060E0" w:rsidRDefault="00927D56" w:rsidP="00C420DD">
      <w:pPr>
        <w:rPr>
          <w:szCs w:val="20"/>
        </w:rPr>
      </w:pPr>
      <w:r w:rsidRPr="005060E0">
        <w:rPr>
          <w:noProof/>
          <w:lang w:eastAsia="en-AU"/>
        </w:rPr>
        <mc:AlternateContent>
          <mc:Choice Requires="wps">
            <w:drawing>
              <wp:inline distT="0" distB="0" distL="0" distR="0" wp14:anchorId="75877434" wp14:editId="713C9249">
                <wp:extent cx="6080125" cy="5237018"/>
                <wp:effectExtent l="0" t="0" r="15875" b="20955"/>
                <wp:docPr id="463" name="Text Box 463"/>
                <wp:cNvGraphicFramePr/>
                <a:graphic xmlns:a="http://schemas.openxmlformats.org/drawingml/2006/main">
                  <a:graphicData uri="http://schemas.microsoft.com/office/word/2010/wordprocessingShape">
                    <wps:wsp>
                      <wps:cNvSpPr txBox="1"/>
                      <wps:spPr>
                        <a:xfrm>
                          <a:off x="0" y="0"/>
                          <a:ext cx="6080125" cy="5237018"/>
                        </a:xfrm>
                        <a:prstGeom prst="rect">
                          <a:avLst/>
                        </a:prstGeom>
                        <a:ln>
                          <a:solidFill>
                            <a:schemeClr val="accent1">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1DB604E7" w14:textId="7C1A3CB2" w:rsidR="00B246FA" w:rsidRDefault="00B246FA" w:rsidP="00927D56">
                            <w:pPr>
                              <w:rPr>
                                <w:b/>
                                <w:sz w:val="24"/>
                              </w:rPr>
                            </w:pPr>
                            <w:r w:rsidRPr="00964CD3">
                              <w:rPr>
                                <w:b/>
                                <w:sz w:val="24"/>
                              </w:rPr>
                              <w:t xml:space="preserve">Chapter </w:t>
                            </w:r>
                            <w:r>
                              <w:rPr>
                                <w:b/>
                                <w:sz w:val="24"/>
                              </w:rPr>
                              <w:t>6</w:t>
                            </w:r>
                            <w:r w:rsidRPr="00964CD3">
                              <w:rPr>
                                <w:b/>
                                <w:sz w:val="24"/>
                              </w:rPr>
                              <w:t xml:space="preserve"> – Key </w:t>
                            </w:r>
                            <w:r>
                              <w:rPr>
                                <w:b/>
                                <w:sz w:val="24"/>
                              </w:rPr>
                              <w:t>p</w:t>
                            </w:r>
                            <w:r w:rsidRPr="00964CD3">
                              <w:rPr>
                                <w:b/>
                                <w:sz w:val="24"/>
                              </w:rPr>
                              <w:t>oints</w:t>
                            </w:r>
                          </w:p>
                          <w:p w14:paraId="35E082DE" w14:textId="77777777" w:rsidR="00B246FA" w:rsidRDefault="00B246FA" w:rsidP="00CB3A58">
                            <w:pPr>
                              <w:pStyle w:val="ListBullet"/>
                              <w:numPr>
                                <w:ilvl w:val="0"/>
                                <w:numId w:val="78"/>
                              </w:numPr>
                            </w:pPr>
                            <w:r>
                              <w:t>SO</w:t>
                            </w:r>
                            <w:r w:rsidRPr="00964CD3">
                              <w:rPr>
                                <w:vertAlign w:val="subscript"/>
                              </w:rPr>
                              <w:t>2</w:t>
                            </w:r>
                            <w:r>
                              <w:t xml:space="preserve"> is a colourless gas with a pungent odour. Natural sources of SO</w:t>
                            </w:r>
                            <w:r w:rsidRPr="00964CD3">
                              <w:rPr>
                                <w:vertAlign w:val="subscript"/>
                              </w:rPr>
                              <w:t>2</w:t>
                            </w:r>
                            <w:r>
                              <w:t xml:space="preserve"> include geothermal activity (e.g. hot springs and volcanoes) and the decay of vegetation. Anthropogenic SO</w:t>
                            </w:r>
                            <w:r w:rsidRPr="00964CD3">
                              <w:rPr>
                                <w:vertAlign w:val="subscript"/>
                              </w:rPr>
                              <w:t>2</w:t>
                            </w:r>
                            <w:r>
                              <w:t xml:space="preserve"> results primarily from the combustion of fossil fuels containing sulfur (e.g. coal, oil), such as at power stations or smelting facilities. Combustion of diesel fuel used in automotive and shipping is also a source of SO</w:t>
                            </w:r>
                            <w:r w:rsidRPr="00964CD3">
                              <w:rPr>
                                <w:vertAlign w:val="subscript"/>
                              </w:rPr>
                              <w:t>2</w:t>
                            </w:r>
                            <w:r>
                              <w:t>.</w:t>
                            </w:r>
                          </w:p>
                          <w:p w14:paraId="01094DB4" w14:textId="611CA611" w:rsidR="00B246FA" w:rsidRDefault="00B246FA" w:rsidP="00CB3A58">
                            <w:pPr>
                              <w:pStyle w:val="ListBullet"/>
                              <w:numPr>
                                <w:ilvl w:val="0"/>
                                <w:numId w:val="78"/>
                              </w:numPr>
                            </w:pPr>
                            <w:r>
                              <w:t>The main health effects associated with SO</w:t>
                            </w:r>
                            <w:r w:rsidRPr="00964CD3">
                              <w:rPr>
                                <w:vertAlign w:val="subscript"/>
                              </w:rPr>
                              <w:t>2</w:t>
                            </w:r>
                            <w:r>
                              <w:t xml:space="preserve"> are short-term effects on the respiratory system, especially for children, the elderly and people with pre-existing respiratory conditions such as asthma.</w:t>
                            </w:r>
                          </w:p>
                          <w:p w14:paraId="5CF697B4" w14:textId="77777777" w:rsidR="00B246FA" w:rsidRDefault="00B246FA" w:rsidP="00CB3A58">
                            <w:pPr>
                              <w:pStyle w:val="ListBullet"/>
                              <w:numPr>
                                <w:ilvl w:val="0"/>
                                <w:numId w:val="78"/>
                              </w:numPr>
                            </w:pPr>
                            <w:r>
                              <w:t>SO</w:t>
                            </w:r>
                            <w:r w:rsidRPr="00546975">
                              <w:rPr>
                                <w:vertAlign w:val="subscript"/>
                              </w:rPr>
                              <w:t>2</w:t>
                            </w:r>
                            <w:r>
                              <w:t xml:space="preserve"> levels in Australian cities are generally well below the current air quality standards. Where exceedances do occur, these are usually in regional areas affected by emissions from large industrial facilities.</w:t>
                            </w:r>
                          </w:p>
                          <w:p w14:paraId="7B26BFC3" w14:textId="77777777" w:rsidR="00B246FA" w:rsidRDefault="00B246FA" w:rsidP="00CB3A58">
                            <w:pPr>
                              <w:pStyle w:val="ListBullet"/>
                              <w:numPr>
                                <w:ilvl w:val="0"/>
                                <w:numId w:val="78"/>
                              </w:numPr>
                            </w:pPr>
                            <w:r>
                              <w:t>Projections indicate SO</w:t>
                            </w:r>
                            <w:r w:rsidRPr="00546975">
                              <w:rPr>
                                <w:vertAlign w:val="subscript"/>
                              </w:rPr>
                              <w:t>2</w:t>
                            </w:r>
                            <w:r>
                              <w:t xml:space="preserve"> concentrations in modelled airsheds are likely to remain stable or increase over time if emissions continue as forecast with no abatement.</w:t>
                            </w:r>
                          </w:p>
                          <w:p w14:paraId="18978C4F" w14:textId="77777777" w:rsidR="00B246FA" w:rsidRDefault="00B246FA" w:rsidP="00CB3A58">
                            <w:pPr>
                              <w:pStyle w:val="ListBullet"/>
                              <w:numPr>
                                <w:ilvl w:val="0"/>
                                <w:numId w:val="78"/>
                              </w:numPr>
                            </w:pPr>
                            <w:r>
                              <w:t>Historical air quality assessment and future modelling has shown that most of the proposed SO</w:t>
                            </w:r>
                            <w:r w:rsidRPr="00546975">
                              <w:rPr>
                                <w:vertAlign w:val="subscript"/>
                              </w:rPr>
                              <w:t>2</w:t>
                            </w:r>
                            <w:r>
                              <w:t xml:space="preserve"> standards can be met now and into the future without the need for additional abatement measures.</w:t>
                            </w:r>
                          </w:p>
                          <w:p w14:paraId="08EE7EE8" w14:textId="15976F47" w:rsidR="00B246FA" w:rsidRDefault="00B246FA" w:rsidP="00CB3A58">
                            <w:pPr>
                              <w:pStyle w:val="ListBullet"/>
                              <w:numPr>
                                <w:ilvl w:val="0"/>
                                <w:numId w:val="78"/>
                              </w:numPr>
                            </w:pPr>
                            <w:r>
                              <w:t>There is a notable health burden associated with exposure to recent levels of SO</w:t>
                            </w:r>
                            <w:r w:rsidRPr="00546975">
                              <w:rPr>
                                <w:vertAlign w:val="subscript"/>
                              </w:rPr>
                              <w:t>2</w:t>
                            </w:r>
                            <w:r>
                              <w:t xml:space="preserve"> that is likely to increase substantially in the future if emissions continue as forecast with no abatement.</w:t>
                            </w:r>
                          </w:p>
                          <w:p w14:paraId="1DC97F21" w14:textId="6D94BEF2" w:rsidR="00B246FA" w:rsidRPr="00836815" w:rsidRDefault="00B246FA" w:rsidP="00CB3A58">
                            <w:pPr>
                              <w:pStyle w:val="ListBullet"/>
                              <w:numPr>
                                <w:ilvl w:val="0"/>
                                <w:numId w:val="78"/>
                              </w:numPr>
                            </w:pPr>
                            <w:r>
                              <w:t>The impacts of SO</w:t>
                            </w:r>
                            <w:r w:rsidRPr="00546975">
                              <w:rPr>
                                <w:vertAlign w:val="subscript"/>
                              </w:rPr>
                              <w:t>2</w:t>
                            </w:r>
                            <w:r>
                              <w:t xml:space="preserve"> on health are not widely spread across the population, but are highly localised, and usually where there is a low population. Introduction of an exposure-reduction framework is not recommended for SO</w:t>
                            </w:r>
                            <w:r w:rsidRPr="00546975">
                              <w:rPr>
                                <w:vertAlign w:val="subscript"/>
                              </w:rPr>
                              <w:t>2</w:t>
                            </w:r>
                            <w:r>
                              <w:t xml:space="preserve"> as action by individual jurisdictions through the management of industrial sources will more likely achieve reductions in SO</w:t>
                            </w:r>
                            <w:r w:rsidRPr="00546975">
                              <w:rPr>
                                <w:vertAlign w:val="subscript"/>
                              </w:rPr>
                              <w:t>2</w:t>
                            </w:r>
                            <w:r>
                              <w:t xml:space="preserve"> concentrations and associated health risks in the affected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877434" id="Text Box 463" o:spid="_x0000_s1040" type="#_x0000_t202" style="width:478.75pt;height:4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mHpwIAALAFAAAOAAAAZHJzL2Uyb0RvYy54bWysVFtP2zAUfp+0/2D5fSQppbCKFHUgpkkM&#10;0GDi2XVsGs328Wy3Tffrd2wnoWJIk6blwbHP/fKdc37RaUW2wvkWTE2ro5ISYTg0rXmu6ffH6w9n&#10;lPjATMMUGFHTvfD0YvH+3fnOzsUE1qAa4QgaMX6+szVdh2DnReH5Wmjmj8AKg0wJTrOAT/dcNI7t&#10;0LpWxaQsZ8UOXGMdcOE9Uq8yky6SfSkFD3dSehGIqinGFtLp0rmKZ7E4Z/Nnx+y65X0Y7B+i0Kw1&#10;6HQ0dcUCIxvX/mFKt9yBBxmOOOgCpGy5SDlgNlX5KpuHNbMi5YLF8XYsk/9/Zvnt9t6RtqnpdHZM&#10;iWEam/QoukA+QUciDSu0s36Ogg8WRUOHDOz0QPdIjIl30un4x5QI8rHW+7G+0RxH4qw8K6vJCSUc&#10;eSeT49OyOot2ihd163z4LECTeKmpwwamurLtjQ9ZdBCJ3pSJpwfVNtetUukRoSMulSNbhk1nnAsT&#10;qmREbfRXaDJ9VuKX249kBEkmTwcyxpRAGC2lCA+cIC86LmJdcv7pFvZK5KC+CYk1xYwnye9o6DCk&#10;WZ+5Migd1SQmMCrmgF8pKswj16CXjWoioXxULP/ucdRIXsGEUVm3BtxbBpofo+csP2Sfc47ph27V&#10;JSBV0xhkJK2g2SNkHOSx85Zft9jWG+bDPXM4Z4gS3B3hDg+pYFdT6G+UrMH9eose5RH+yKVkh3Nb&#10;U/9zw5ygRH0xOBgfq+k0Dnp6TE9OJ/hwh5zVIcds9CUgSircUpana5QParhKB/oJV8wyekUWMxx9&#10;1zQM18uQtwmuKC6WyySEo21ZuDEPlkfTscwRtI/dE3O2R3bAobiFYcLZ/BXAs2zUNLDcBJBtQv9L&#10;VfsG4FpI6OxXWNw7h+8k9bJoF78BAAD//wMAUEsDBBQABgAIAAAAIQBY15Df3QAAAAUBAAAPAAAA&#10;ZHJzL2Rvd25yZXYueG1sTI9PSwMxEMXvgt8hjODNZi3WtutmS/EPCGKhtd7TzXQ3mEyWJG23397R&#10;i14eDG947/eqxeCdOGJMNpCC21EBAqkJxlKrYPvxcjMDkbImo10gVHDGBIv68qLSpQknWuNxk1vB&#10;IZRKraDLuS+lTE2HXqdR6JHY24fodeYzttJEfeJw7+S4KO6l15a4odM9PnbYfG0OnkvOzdtyvv90&#10;73q7jvbVrp7C80qp66th+QAi45D/nuEHn9GhZqZdOJBJwingIflX2ZtPphMQOwWz8d0UZF3J//T1&#10;NwAAAP//AwBQSwECLQAUAAYACAAAACEAtoM4kv4AAADhAQAAEwAAAAAAAAAAAAAAAAAAAAAAW0Nv&#10;bnRlbnRfVHlwZXNdLnhtbFBLAQItABQABgAIAAAAIQA4/SH/1gAAAJQBAAALAAAAAAAAAAAAAAAA&#10;AC8BAABfcmVscy8ucmVsc1BLAQItABQABgAIAAAAIQCS4ImHpwIAALAFAAAOAAAAAAAAAAAAAAAA&#10;AC4CAABkcnMvZTJvRG9jLnhtbFBLAQItABQABgAIAAAAIQBY15Df3QAAAAUBAAAPAAAAAAAAAAAA&#10;AAAAAAEFAABkcnMvZG93bnJldi54bWxQSwUGAAAAAAQABADzAAAACwYAAAAA&#10;" fillcolor="white [3201]" strokecolor="#40b4ff [1940]" strokeweight="2pt">
                <v:textbox>
                  <w:txbxContent>
                    <w:p w14:paraId="1DB604E7" w14:textId="7C1A3CB2" w:rsidR="00B246FA" w:rsidRDefault="00B246FA" w:rsidP="00927D56">
                      <w:pPr>
                        <w:rPr>
                          <w:b/>
                          <w:sz w:val="24"/>
                        </w:rPr>
                      </w:pPr>
                      <w:r w:rsidRPr="00964CD3">
                        <w:rPr>
                          <w:b/>
                          <w:sz w:val="24"/>
                        </w:rPr>
                        <w:t xml:space="preserve">Chapter </w:t>
                      </w:r>
                      <w:r>
                        <w:rPr>
                          <w:b/>
                          <w:sz w:val="24"/>
                        </w:rPr>
                        <w:t>6</w:t>
                      </w:r>
                      <w:r w:rsidRPr="00964CD3">
                        <w:rPr>
                          <w:b/>
                          <w:sz w:val="24"/>
                        </w:rPr>
                        <w:t xml:space="preserve"> – Key </w:t>
                      </w:r>
                      <w:r>
                        <w:rPr>
                          <w:b/>
                          <w:sz w:val="24"/>
                        </w:rPr>
                        <w:t>p</w:t>
                      </w:r>
                      <w:r w:rsidRPr="00964CD3">
                        <w:rPr>
                          <w:b/>
                          <w:sz w:val="24"/>
                        </w:rPr>
                        <w:t>oints</w:t>
                      </w:r>
                    </w:p>
                    <w:p w14:paraId="35E082DE" w14:textId="77777777" w:rsidR="00B246FA" w:rsidRDefault="00B246FA" w:rsidP="00CB3A58">
                      <w:pPr>
                        <w:pStyle w:val="ListBullet"/>
                        <w:numPr>
                          <w:ilvl w:val="0"/>
                          <w:numId w:val="78"/>
                        </w:numPr>
                      </w:pPr>
                      <w:r>
                        <w:t>SO</w:t>
                      </w:r>
                      <w:r w:rsidRPr="00964CD3">
                        <w:rPr>
                          <w:vertAlign w:val="subscript"/>
                        </w:rPr>
                        <w:t>2</w:t>
                      </w:r>
                      <w:r>
                        <w:t xml:space="preserve"> is a colourless gas with a pungent odour. Natural sources of SO</w:t>
                      </w:r>
                      <w:r w:rsidRPr="00964CD3">
                        <w:rPr>
                          <w:vertAlign w:val="subscript"/>
                        </w:rPr>
                        <w:t>2</w:t>
                      </w:r>
                      <w:r>
                        <w:t xml:space="preserve"> include geothermal activity (e.g. hot springs and volcanoes) and the decay of vegetation. Anthropogenic SO</w:t>
                      </w:r>
                      <w:r w:rsidRPr="00964CD3">
                        <w:rPr>
                          <w:vertAlign w:val="subscript"/>
                        </w:rPr>
                        <w:t>2</w:t>
                      </w:r>
                      <w:r>
                        <w:t xml:space="preserve"> results primarily from the combustion of fossil fuels containing sulfur (e.g. coal, oil), such as at power stations or smelting facilities. Combustion of diesel fuel used in automotive and shipping is also a source of SO</w:t>
                      </w:r>
                      <w:r w:rsidRPr="00964CD3">
                        <w:rPr>
                          <w:vertAlign w:val="subscript"/>
                        </w:rPr>
                        <w:t>2</w:t>
                      </w:r>
                      <w:r>
                        <w:t>.</w:t>
                      </w:r>
                    </w:p>
                    <w:p w14:paraId="01094DB4" w14:textId="611CA611" w:rsidR="00B246FA" w:rsidRDefault="00B246FA" w:rsidP="00CB3A58">
                      <w:pPr>
                        <w:pStyle w:val="ListBullet"/>
                        <w:numPr>
                          <w:ilvl w:val="0"/>
                          <w:numId w:val="78"/>
                        </w:numPr>
                      </w:pPr>
                      <w:r>
                        <w:t>The main health effects associated with SO</w:t>
                      </w:r>
                      <w:r w:rsidRPr="00964CD3">
                        <w:rPr>
                          <w:vertAlign w:val="subscript"/>
                        </w:rPr>
                        <w:t>2</w:t>
                      </w:r>
                      <w:r>
                        <w:t xml:space="preserve"> are short-term effects on the respiratory system, especially for children, the elderly and people with pre-existing respiratory conditions such as asthma.</w:t>
                      </w:r>
                    </w:p>
                    <w:p w14:paraId="5CF697B4" w14:textId="77777777" w:rsidR="00B246FA" w:rsidRDefault="00B246FA" w:rsidP="00CB3A58">
                      <w:pPr>
                        <w:pStyle w:val="ListBullet"/>
                        <w:numPr>
                          <w:ilvl w:val="0"/>
                          <w:numId w:val="78"/>
                        </w:numPr>
                      </w:pPr>
                      <w:r>
                        <w:t>SO</w:t>
                      </w:r>
                      <w:r w:rsidRPr="00546975">
                        <w:rPr>
                          <w:vertAlign w:val="subscript"/>
                        </w:rPr>
                        <w:t>2</w:t>
                      </w:r>
                      <w:r>
                        <w:t xml:space="preserve"> levels in Australian cities are generally well below the current air quality standards. Where exceedances do occur, these are usually in regional areas affected by emissions from large industrial facilities.</w:t>
                      </w:r>
                    </w:p>
                    <w:p w14:paraId="7B26BFC3" w14:textId="77777777" w:rsidR="00B246FA" w:rsidRDefault="00B246FA" w:rsidP="00CB3A58">
                      <w:pPr>
                        <w:pStyle w:val="ListBullet"/>
                        <w:numPr>
                          <w:ilvl w:val="0"/>
                          <w:numId w:val="78"/>
                        </w:numPr>
                      </w:pPr>
                      <w:r>
                        <w:t>Projections indicate SO</w:t>
                      </w:r>
                      <w:r w:rsidRPr="00546975">
                        <w:rPr>
                          <w:vertAlign w:val="subscript"/>
                        </w:rPr>
                        <w:t>2</w:t>
                      </w:r>
                      <w:r>
                        <w:t xml:space="preserve"> concentrations in modelled airsheds are likely to remain stable or increase over time if emissions continue as forecast with no abatement.</w:t>
                      </w:r>
                    </w:p>
                    <w:p w14:paraId="18978C4F" w14:textId="77777777" w:rsidR="00B246FA" w:rsidRDefault="00B246FA" w:rsidP="00CB3A58">
                      <w:pPr>
                        <w:pStyle w:val="ListBullet"/>
                        <w:numPr>
                          <w:ilvl w:val="0"/>
                          <w:numId w:val="78"/>
                        </w:numPr>
                      </w:pPr>
                      <w:r>
                        <w:t>Historical air quality assessment and future modelling has shown that most of the proposed SO</w:t>
                      </w:r>
                      <w:r w:rsidRPr="00546975">
                        <w:rPr>
                          <w:vertAlign w:val="subscript"/>
                        </w:rPr>
                        <w:t>2</w:t>
                      </w:r>
                      <w:r>
                        <w:t xml:space="preserve"> standards can be met now and into the future without the need for additional abatement measures.</w:t>
                      </w:r>
                    </w:p>
                    <w:p w14:paraId="08EE7EE8" w14:textId="15976F47" w:rsidR="00B246FA" w:rsidRDefault="00B246FA" w:rsidP="00CB3A58">
                      <w:pPr>
                        <w:pStyle w:val="ListBullet"/>
                        <w:numPr>
                          <w:ilvl w:val="0"/>
                          <w:numId w:val="78"/>
                        </w:numPr>
                      </w:pPr>
                      <w:r>
                        <w:t>There is a notable health burden associated with exposure to recent levels of SO</w:t>
                      </w:r>
                      <w:r w:rsidRPr="00546975">
                        <w:rPr>
                          <w:vertAlign w:val="subscript"/>
                        </w:rPr>
                        <w:t>2</w:t>
                      </w:r>
                      <w:r>
                        <w:t xml:space="preserve"> that is likely to increase substantially in the future if emissions continue as forecast with no abatement.</w:t>
                      </w:r>
                    </w:p>
                    <w:p w14:paraId="1DC97F21" w14:textId="6D94BEF2" w:rsidR="00B246FA" w:rsidRPr="00836815" w:rsidRDefault="00B246FA" w:rsidP="00CB3A58">
                      <w:pPr>
                        <w:pStyle w:val="ListBullet"/>
                        <w:numPr>
                          <w:ilvl w:val="0"/>
                          <w:numId w:val="78"/>
                        </w:numPr>
                      </w:pPr>
                      <w:r>
                        <w:t>The impacts of SO</w:t>
                      </w:r>
                      <w:r w:rsidRPr="00546975">
                        <w:rPr>
                          <w:vertAlign w:val="subscript"/>
                        </w:rPr>
                        <w:t>2</w:t>
                      </w:r>
                      <w:r>
                        <w:t xml:space="preserve"> on health are not widely spread across the population, but are highly localised, and usually where there is a low population. Introduction of an exposure-reduction framework is not recommended for SO</w:t>
                      </w:r>
                      <w:r w:rsidRPr="00546975">
                        <w:rPr>
                          <w:vertAlign w:val="subscript"/>
                        </w:rPr>
                        <w:t>2</w:t>
                      </w:r>
                      <w:r>
                        <w:t xml:space="preserve"> as action by individual jurisdictions through the management of industrial sources will more likely achieve reductions in SO</w:t>
                      </w:r>
                      <w:r w:rsidRPr="00546975">
                        <w:rPr>
                          <w:vertAlign w:val="subscript"/>
                        </w:rPr>
                        <w:t>2</w:t>
                      </w:r>
                      <w:r>
                        <w:t xml:space="preserve"> concentrations and associated health risks in the affected communities.</w:t>
                      </w:r>
                    </w:p>
                  </w:txbxContent>
                </v:textbox>
                <w10:anchorlock/>
              </v:shape>
            </w:pict>
          </mc:Fallback>
        </mc:AlternateContent>
      </w:r>
    </w:p>
    <w:p w14:paraId="44CD8785" w14:textId="7556FEEA" w:rsidR="000949BD" w:rsidRPr="005060E0" w:rsidRDefault="000949BD">
      <w:pPr>
        <w:spacing w:after="160" w:line="259" w:lineRule="auto"/>
        <w:rPr>
          <w:szCs w:val="20"/>
        </w:rPr>
      </w:pPr>
      <w:r w:rsidRPr="005060E0">
        <w:rPr>
          <w:szCs w:val="20"/>
        </w:rPr>
        <w:br w:type="page"/>
      </w:r>
    </w:p>
    <w:p w14:paraId="4D092A79" w14:textId="6C215F12" w:rsidR="00927D56" w:rsidRPr="005060E0" w:rsidRDefault="00344CBB" w:rsidP="00C420DD">
      <w:pPr>
        <w:rPr>
          <w:szCs w:val="20"/>
        </w:rPr>
      </w:pPr>
      <w:r w:rsidRPr="005060E0">
        <w:rPr>
          <w:noProof/>
          <w:lang w:eastAsia="en-AU"/>
        </w:rPr>
        <mc:AlternateContent>
          <mc:Choice Requires="wps">
            <w:drawing>
              <wp:inline distT="0" distB="0" distL="0" distR="0" wp14:anchorId="54255BA8" wp14:editId="727C2D8C">
                <wp:extent cx="6080166" cy="3783724"/>
                <wp:effectExtent l="0" t="0" r="15875" b="26670"/>
                <wp:docPr id="464" name="Text Box 464"/>
                <wp:cNvGraphicFramePr/>
                <a:graphic xmlns:a="http://schemas.openxmlformats.org/drawingml/2006/main">
                  <a:graphicData uri="http://schemas.microsoft.com/office/word/2010/wordprocessingShape">
                    <wps:wsp>
                      <wps:cNvSpPr txBox="1"/>
                      <wps:spPr>
                        <a:xfrm>
                          <a:off x="0" y="0"/>
                          <a:ext cx="6080166" cy="3783724"/>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5CB6D9C" w14:textId="7E6E470A" w:rsidR="00B246FA" w:rsidRDefault="00B246FA" w:rsidP="00927D56">
                            <w:pPr>
                              <w:rPr>
                                <w:b/>
                                <w:sz w:val="24"/>
                              </w:rPr>
                            </w:pPr>
                            <w:r w:rsidRPr="00546975">
                              <w:rPr>
                                <w:b/>
                                <w:sz w:val="24"/>
                              </w:rPr>
                              <w:t xml:space="preserve">Chapter </w:t>
                            </w:r>
                            <w:r>
                              <w:rPr>
                                <w:b/>
                                <w:sz w:val="24"/>
                              </w:rPr>
                              <w:t>6</w:t>
                            </w:r>
                            <w:r w:rsidRPr="00546975">
                              <w:rPr>
                                <w:b/>
                                <w:sz w:val="24"/>
                              </w:rPr>
                              <w:t xml:space="preserve"> – Consultation </w:t>
                            </w:r>
                            <w:r>
                              <w:rPr>
                                <w:b/>
                                <w:sz w:val="24"/>
                              </w:rPr>
                              <w:t>q</w:t>
                            </w:r>
                            <w:r w:rsidRPr="00546975">
                              <w:rPr>
                                <w:b/>
                                <w:sz w:val="24"/>
                              </w:rPr>
                              <w:t>uestions</w:t>
                            </w:r>
                          </w:p>
                          <w:p w14:paraId="69FA1B37" w14:textId="77777777" w:rsidR="00B246FA" w:rsidRPr="00927D56" w:rsidRDefault="00B246FA" w:rsidP="00CB3A58">
                            <w:pPr>
                              <w:pStyle w:val="ListParagraph"/>
                              <w:numPr>
                                <w:ilvl w:val="0"/>
                                <w:numId w:val="71"/>
                              </w:numPr>
                              <w:ind w:hanging="357"/>
                              <w:contextualSpacing w:val="0"/>
                            </w:pPr>
                            <w:r w:rsidRPr="00927D56">
                              <w:t>Do you agree with the recommendations made in this report for the SO</w:t>
                            </w:r>
                            <w:r w:rsidRPr="00546975">
                              <w:rPr>
                                <w:vertAlign w:val="subscript"/>
                              </w:rPr>
                              <w:t>2</w:t>
                            </w:r>
                            <w:r w:rsidRPr="00927D56">
                              <w:t xml:space="preserve"> standards? Your answer should consider whether you agree:</w:t>
                            </w:r>
                          </w:p>
                          <w:p w14:paraId="3AF30551" w14:textId="4C4CF986" w:rsidR="00B246FA" w:rsidRPr="00927D56" w:rsidRDefault="00B246FA" w:rsidP="00CB3A58">
                            <w:pPr>
                              <w:pStyle w:val="ListParagraph"/>
                              <w:numPr>
                                <w:ilvl w:val="1"/>
                                <w:numId w:val="71"/>
                              </w:numPr>
                              <w:ind w:hanging="357"/>
                              <w:contextualSpacing w:val="0"/>
                            </w:pPr>
                            <w:r>
                              <w:t>with</w:t>
                            </w:r>
                            <w:r w:rsidRPr="00927D56">
                              <w:t xml:space="preserve"> maintain</w:t>
                            </w:r>
                            <w:r>
                              <w:t>ing</w:t>
                            </w:r>
                            <w:r w:rsidRPr="00927D56">
                              <w:t xml:space="preserve"> the status quo of not including a 10-minute SO</w:t>
                            </w:r>
                            <w:r w:rsidRPr="00546975">
                              <w:rPr>
                                <w:vertAlign w:val="subscript"/>
                              </w:rPr>
                              <w:t>2</w:t>
                            </w:r>
                            <w:r w:rsidRPr="00927D56">
                              <w:t xml:space="preserve"> standard in the AAQ NEPM</w:t>
                            </w:r>
                          </w:p>
                          <w:p w14:paraId="181FC354" w14:textId="6B813C06" w:rsidR="00B246FA" w:rsidRPr="00927D56" w:rsidRDefault="00B246FA" w:rsidP="00CB3A58">
                            <w:pPr>
                              <w:pStyle w:val="ListParagraph"/>
                              <w:numPr>
                                <w:ilvl w:val="1"/>
                                <w:numId w:val="71"/>
                              </w:numPr>
                              <w:ind w:hanging="357"/>
                              <w:contextualSpacing w:val="0"/>
                            </w:pPr>
                            <w:r>
                              <w:t>with</w:t>
                            </w:r>
                            <w:r w:rsidRPr="00927D56">
                              <w:t xml:space="preserve"> retain</w:t>
                            </w:r>
                            <w:r>
                              <w:t>ing</w:t>
                            </w:r>
                            <w:r w:rsidRPr="00927D56">
                              <w:t xml:space="preserve"> the averaging periods of 1-hour and 24-hour</w:t>
                            </w:r>
                            <w:r>
                              <w:t>s</w:t>
                            </w:r>
                            <w:r w:rsidRPr="00927D56">
                              <w:t xml:space="preserve"> for SO</w:t>
                            </w:r>
                            <w:r w:rsidRPr="00546975">
                              <w:rPr>
                                <w:vertAlign w:val="subscript"/>
                              </w:rPr>
                              <w:t>2</w:t>
                            </w:r>
                            <w:r w:rsidRPr="00927D56">
                              <w:t xml:space="preserve"> and removal of the annual SO</w:t>
                            </w:r>
                            <w:r w:rsidRPr="00546975">
                              <w:rPr>
                                <w:vertAlign w:val="subscript"/>
                              </w:rPr>
                              <w:t>2</w:t>
                            </w:r>
                            <w:r w:rsidRPr="00927D56">
                              <w:t xml:space="preserve"> standard given the weak evidence of health effects from long-term exposures to SO</w:t>
                            </w:r>
                            <w:r w:rsidRPr="00546975">
                              <w:rPr>
                                <w:vertAlign w:val="subscript"/>
                              </w:rPr>
                              <w:t>2</w:t>
                            </w:r>
                          </w:p>
                          <w:p w14:paraId="15952B42" w14:textId="10B1FDBC" w:rsidR="00B246FA" w:rsidRPr="00927D56" w:rsidRDefault="00B246FA" w:rsidP="00CB3A58">
                            <w:pPr>
                              <w:pStyle w:val="ListParagraph"/>
                              <w:numPr>
                                <w:ilvl w:val="1"/>
                                <w:numId w:val="71"/>
                              </w:numPr>
                              <w:ind w:hanging="357"/>
                              <w:contextualSpacing w:val="0"/>
                            </w:pPr>
                            <w:r>
                              <w:t>t</w:t>
                            </w:r>
                            <w:r w:rsidRPr="00927D56">
                              <w:t>hat there are no other averaging periods for SO</w:t>
                            </w:r>
                            <w:r w:rsidRPr="00546975">
                              <w:rPr>
                                <w:vertAlign w:val="subscript"/>
                              </w:rPr>
                              <w:t>2</w:t>
                            </w:r>
                            <w:r w:rsidRPr="00927D56">
                              <w:t xml:space="preserve"> that should be considered in the future</w:t>
                            </w:r>
                          </w:p>
                          <w:p w14:paraId="16A9503B" w14:textId="51723C6B" w:rsidR="00B246FA" w:rsidRPr="00927D56" w:rsidRDefault="00B246FA" w:rsidP="00CB3A58">
                            <w:pPr>
                              <w:pStyle w:val="ListParagraph"/>
                              <w:numPr>
                                <w:ilvl w:val="1"/>
                                <w:numId w:val="71"/>
                              </w:numPr>
                              <w:ind w:hanging="357"/>
                              <w:contextualSpacing w:val="0"/>
                            </w:pPr>
                            <w:r>
                              <w:t>w</w:t>
                            </w:r>
                            <w:r w:rsidRPr="00927D56">
                              <w:t>ith the preferred numerical value for the 1-hour SO</w:t>
                            </w:r>
                            <w:r w:rsidRPr="00546975">
                              <w:rPr>
                                <w:vertAlign w:val="subscript"/>
                              </w:rPr>
                              <w:t>2</w:t>
                            </w:r>
                            <w:r w:rsidRPr="00927D56">
                              <w:t xml:space="preserve"> standard (100 ppb) and the future 1-hour standard (75 ppb) for implementation by 2025</w:t>
                            </w:r>
                          </w:p>
                          <w:p w14:paraId="7877A552" w14:textId="21AA9D8C" w:rsidR="00B246FA" w:rsidRPr="00927D56" w:rsidRDefault="00B246FA" w:rsidP="00CB3A58">
                            <w:pPr>
                              <w:pStyle w:val="ListParagraph"/>
                              <w:numPr>
                                <w:ilvl w:val="1"/>
                                <w:numId w:val="71"/>
                              </w:numPr>
                              <w:ind w:hanging="357"/>
                              <w:contextualSpacing w:val="0"/>
                            </w:pPr>
                            <w:r>
                              <w:t>w</w:t>
                            </w:r>
                            <w:r w:rsidRPr="00927D56">
                              <w:t>ith the preferred numerical value for the 24-hour SO</w:t>
                            </w:r>
                            <w:r w:rsidRPr="00546975">
                              <w:rPr>
                                <w:vertAlign w:val="subscript"/>
                              </w:rPr>
                              <w:t>2</w:t>
                            </w:r>
                            <w:r w:rsidRPr="00927D56">
                              <w:t xml:space="preserve"> standard (20 ppb) and no future 24-hour standard</w:t>
                            </w:r>
                          </w:p>
                          <w:p w14:paraId="210E3C58" w14:textId="00EDCE8D" w:rsidR="00B246FA" w:rsidRPr="00927D56" w:rsidRDefault="00B246FA" w:rsidP="00CB3A58">
                            <w:pPr>
                              <w:pStyle w:val="ListParagraph"/>
                              <w:numPr>
                                <w:ilvl w:val="1"/>
                                <w:numId w:val="71"/>
                              </w:numPr>
                              <w:ind w:hanging="357"/>
                              <w:contextualSpacing w:val="0"/>
                            </w:pPr>
                            <w:r>
                              <w:t>t</w:t>
                            </w:r>
                            <w:r w:rsidRPr="00927D56">
                              <w:t>hat there should be no allowable exceedances for the SO</w:t>
                            </w:r>
                            <w:r w:rsidRPr="00546975">
                              <w:rPr>
                                <w:vertAlign w:val="subscript"/>
                              </w:rPr>
                              <w:t>2</w:t>
                            </w:r>
                            <w:r w:rsidRPr="00927D56">
                              <w:t xml:space="preserve"> standards</w:t>
                            </w:r>
                          </w:p>
                          <w:p w14:paraId="05342FFE" w14:textId="3E19B530" w:rsidR="00B246FA" w:rsidRPr="00546975" w:rsidRDefault="00B246FA" w:rsidP="00CB3A58">
                            <w:pPr>
                              <w:pStyle w:val="ListParagraph"/>
                              <w:numPr>
                                <w:ilvl w:val="1"/>
                                <w:numId w:val="71"/>
                              </w:numPr>
                              <w:ind w:hanging="357"/>
                              <w:contextualSpacing w:val="0"/>
                            </w:pPr>
                            <w:r>
                              <w:t>t</w:t>
                            </w:r>
                            <w:r w:rsidRPr="00927D56">
                              <w:t>hat an exposure-reduction framework is not needed for SO</w:t>
                            </w:r>
                            <w:r w:rsidRPr="00546975">
                              <w:rPr>
                                <w:vertAlign w:val="subscript"/>
                              </w:rPr>
                              <w:t>2</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255BA8" id="Text Box 464" o:spid="_x0000_s1041" type="#_x0000_t202" style="width:478.75pt;height:29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BXeAIAADgFAAAOAAAAZHJzL2Uyb0RvYy54bWysVFtP2zAUfp+0/2D5fU1SSssqUtQVMU2q&#10;AA0mnl3HptFsH892m3S/nmOnCYz1adpLYp/Ld27f8eVVqxXZC+drMCUtRjklwnCoavNc0h+PN58u&#10;KPGBmYopMKKkB+Hp1eLjh8vGzsUYtqAq4QiCGD9vbEm3Idh5lnm+FZr5EVhhUCnBaRbw6p6zyrEG&#10;0bXKxnk+zRpwlXXAhfcove6UdJHwpRQ83EnpRSCqpJhbSF+Xvpv4zRaXbP7smN3W/JgG+4csNKsN&#10;Bh2grllgZOfqv6B0zR14kGHEQWcgZc1FqgGrKfJ31TxsmRWpFmyOt0Ob/P+D5bf7e0fqqqST6YQS&#10;wzQO6VG0gXyBlkQZdqixfo6GDxZNQ4sKnHQv9yiMhbfS6fjHkgjqsdeHob8RjqNwml/kxXRKCUfd&#10;2ezibDZO+Nmru3U+fBWgSTyU1OEAU1/Zfu0DpoKmvUmMpkyUxfy6PNIpHJTolN+FxNow8jiBJFaJ&#10;lXJkz5APjHNhQqoEYZVB6+gma6UGx+KUoxqcjrbRTSS2DY75Kcc/Iw4eKSqYMDjr2oA7BVD97NOV&#10;nX1ffVdzLD+0mzYNtDjvZ7SB6oCjc9DR31t+U2N718yHe+aQ7zgt3OFwhx+poCkpHE+UbMH9PiWP&#10;9khD1FLS4P6U1P/aMScoUd8MEvRzMZnEhUuXyflsjBf3VrN5qzE7vQIcSYGvheXpGO2D6o/SgX7C&#10;VV/GqKhihmPskob+uArdVuNTwcVymYxwxSwLa/NgeYSObY7keWyfmLNHhgUk5y30m8bm74jW2UZP&#10;A8tdAFknFsZGd109DgDXM5Hz+JTE/X97T1avD97iBQAA//8DAFBLAwQUAAYACAAAACEAxKUG3tsA&#10;AAAFAQAADwAAAGRycy9kb3ducmV2LnhtbEyPQWvCQBCF7wX/wzJCb3VjIdakmUgJFW9CVTxvstMk&#10;mJ0N2TXGf++2l/Yy8HiP977JNpPpxEiDay0jLBcRCOLK6pZrhNNx+7IG4bxirTrLhHAnB5t89pSp&#10;VNsbf9F48LUIJexShdB436dSuqoho9zC9sTB+7aDUT7IoZZ6ULdQbjr5GkUraVTLYaFRPRUNVZfD&#10;1SAUUbF1425Zru62vZzXn7zvqx3i83z6eAfhafJ/YfjBD+iQB6bSXlk70SGER/zvDV4Sv8UgSoQ4&#10;iROQeSb/0+cPAAAA//8DAFBLAQItABQABgAIAAAAIQC2gziS/gAAAOEBAAATAAAAAAAAAAAAAAAA&#10;AAAAAABbQ29udGVudF9UeXBlc10ueG1sUEsBAi0AFAAGAAgAAAAhADj9If/WAAAAlAEAAAsAAAAA&#10;AAAAAAAAAAAALwEAAF9yZWxzLy5yZWxzUEsBAi0AFAAGAAgAAAAhALNmwFd4AgAAOAUAAA4AAAAA&#10;AAAAAAAAAAAALgIAAGRycy9lMm9Eb2MueG1sUEsBAi0AFAAGAAgAAAAhAMSlBt7bAAAABQEAAA8A&#10;AAAAAAAAAAAAAAAA0gQAAGRycy9kb3ducmV2LnhtbFBLBQYAAAAABAAEAPMAAADaBQAAAAA=&#10;" fillcolor="white [3201]" strokecolor="#0076c0 [3204]" strokeweight="2pt">
                <v:textbox>
                  <w:txbxContent>
                    <w:p w14:paraId="25CB6D9C" w14:textId="7E6E470A" w:rsidR="00B246FA" w:rsidRDefault="00B246FA" w:rsidP="00927D56">
                      <w:pPr>
                        <w:rPr>
                          <w:b/>
                          <w:sz w:val="24"/>
                        </w:rPr>
                      </w:pPr>
                      <w:r w:rsidRPr="00546975">
                        <w:rPr>
                          <w:b/>
                          <w:sz w:val="24"/>
                        </w:rPr>
                        <w:t xml:space="preserve">Chapter </w:t>
                      </w:r>
                      <w:r>
                        <w:rPr>
                          <w:b/>
                          <w:sz w:val="24"/>
                        </w:rPr>
                        <w:t>6</w:t>
                      </w:r>
                      <w:r w:rsidRPr="00546975">
                        <w:rPr>
                          <w:b/>
                          <w:sz w:val="24"/>
                        </w:rPr>
                        <w:t xml:space="preserve"> – Consultation </w:t>
                      </w:r>
                      <w:r>
                        <w:rPr>
                          <w:b/>
                          <w:sz w:val="24"/>
                        </w:rPr>
                        <w:t>q</w:t>
                      </w:r>
                      <w:r w:rsidRPr="00546975">
                        <w:rPr>
                          <w:b/>
                          <w:sz w:val="24"/>
                        </w:rPr>
                        <w:t>uestions</w:t>
                      </w:r>
                    </w:p>
                    <w:p w14:paraId="69FA1B37" w14:textId="77777777" w:rsidR="00B246FA" w:rsidRPr="00927D56" w:rsidRDefault="00B246FA" w:rsidP="00CB3A58">
                      <w:pPr>
                        <w:pStyle w:val="ListParagraph"/>
                        <w:numPr>
                          <w:ilvl w:val="0"/>
                          <w:numId w:val="71"/>
                        </w:numPr>
                        <w:ind w:hanging="357"/>
                        <w:contextualSpacing w:val="0"/>
                      </w:pPr>
                      <w:r w:rsidRPr="00927D56">
                        <w:t>Do you agree with the recommendations made in this report for the SO</w:t>
                      </w:r>
                      <w:r w:rsidRPr="00546975">
                        <w:rPr>
                          <w:vertAlign w:val="subscript"/>
                        </w:rPr>
                        <w:t>2</w:t>
                      </w:r>
                      <w:r w:rsidRPr="00927D56">
                        <w:t xml:space="preserve"> standards? Your answer should consider whether you agree:</w:t>
                      </w:r>
                    </w:p>
                    <w:p w14:paraId="3AF30551" w14:textId="4C4CF986" w:rsidR="00B246FA" w:rsidRPr="00927D56" w:rsidRDefault="00B246FA" w:rsidP="00CB3A58">
                      <w:pPr>
                        <w:pStyle w:val="ListParagraph"/>
                        <w:numPr>
                          <w:ilvl w:val="1"/>
                          <w:numId w:val="71"/>
                        </w:numPr>
                        <w:ind w:hanging="357"/>
                        <w:contextualSpacing w:val="0"/>
                      </w:pPr>
                      <w:r>
                        <w:t>with</w:t>
                      </w:r>
                      <w:r w:rsidRPr="00927D56">
                        <w:t xml:space="preserve"> maintain</w:t>
                      </w:r>
                      <w:r>
                        <w:t>ing</w:t>
                      </w:r>
                      <w:r w:rsidRPr="00927D56">
                        <w:t xml:space="preserve"> the status quo of not including a 10-minute SO</w:t>
                      </w:r>
                      <w:r w:rsidRPr="00546975">
                        <w:rPr>
                          <w:vertAlign w:val="subscript"/>
                        </w:rPr>
                        <w:t>2</w:t>
                      </w:r>
                      <w:r w:rsidRPr="00927D56">
                        <w:t xml:space="preserve"> standard in the AAQ NEPM</w:t>
                      </w:r>
                    </w:p>
                    <w:p w14:paraId="181FC354" w14:textId="6B813C06" w:rsidR="00B246FA" w:rsidRPr="00927D56" w:rsidRDefault="00B246FA" w:rsidP="00CB3A58">
                      <w:pPr>
                        <w:pStyle w:val="ListParagraph"/>
                        <w:numPr>
                          <w:ilvl w:val="1"/>
                          <w:numId w:val="71"/>
                        </w:numPr>
                        <w:ind w:hanging="357"/>
                        <w:contextualSpacing w:val="0"/>
                      </w:pPr>
                      <w:r>
                        <w:t>with</w:t>
                      </w:r>
                      <w:r w:rsidRPr="00927D56">
                        <w:t xml:space="preserve"> retain</w:t>
                      </w:r>
                      <w:r>
                        <w:t>ing</w:t>
                      </w:r>
                      <w:r w:rsidRPr="00927D56">
                        <w:t xml:space="preserve"> the averaging periods of 1-hour and 24-hour</w:t>
                      </w:r>
                      <w:r>
                        <w:t>s</w:t>
                      </w:r>
                      <w:r w:rsidRPr="00927D56">
                        <w:t xml:space="preserve"> for SO</w:t>
                      </w:r>
                      <w:r w:rsidRPr="00546975">
                        <w:rPr>
                          <w:vertAlign w:val="subscript"/>
                        </w:rPr>
                        <w:t>2</w:t>
                      </w:r>
                      <w:r w:rsidRPr="00927D56">
                        <w:t xml:space="preserve"> and removal of the annual SO</w:t>
                      </w:r>
                      <w:r w:rsidRPr="00546975">
                        <w:rPr>
                          <w:vertAlign w:val="subscript"/>
                        </w:rPr>
                        <w:t>2</w:t>
                      </w:r>
                      <w:r w:rsidRPr="00927D56">
                        <w:t xml:space="preserve"> standard given the weak evidence of health effects from long-term exposures to SO</w:t>
                      </w:r>
                      <w:r w:rsidRPr="00546975">
                        <w:rPr>
                          <w:vertAlign w:val="subscript"/>
                        </w:rPr>
                        <w:t>2</w:t>
                      </w:r>
                    </w:p>
                    <w:p w14:paraId="15952B42" w14:textId="10B1FDBC" w:rsidR="00B246FA" w:rsidRPr="00927D56" w:rsidRDefault="00B246FA" w:rsidP="00CB3A58">
                      <w:pPr>
                        <w:pStyle w:val="ListParagraph"/>
                        <w:numPr>
                          <w:ilvl w:val="1"/>
                          <w:numId w:val="71"/>
                        </w:numPr>
                        <w:ind w:hanging="357"/>
                        <w:contextualSpacing w:val="0"/>
                      </w:pPr>
                      <w:r>
                        <w:t>t</w:t>
                      </w:r>
                      <w:r w:rsidRPr="00927D56">
                        <w:t>hat there are no other averaging periods for SO</w:t>
                      </w:r>
                      <w:r w:rsidRPr="00546975">
                        <w:rPr>
                          <w:vertAlign w:val="subscript"/>
                        </w:rPr>
                        <w:t>2</w:t>
                      </w:r>
                      <w:r w:rsidRPr="00927D56">
                        <w:t xml:space="preserve"> that should be considered in the future</w:t>
                      </w:r>
                    </w:p>
                    <w:p w14:paraId="16A9503B" w14:textId="51723C6B" w:rsidR="00B246FA" w:rsidRPr="00927D56" w:rsidRDefault="00B246FA" w:rsidP="00CB3A58">
                      <w:pPr>
                        <w:pStyle w:val="ListParagraph"/>
                        <w:numPr>
                          <w:ilvl w:val="1"/>
                          <w:numId w:val="71"/>
                        </w:numPr>
                        <w:ind w:hanging="357"/>
                        <w:contextualSpacing w:val="0"/>
                      </w:pPr>
                      <w:r>
                        <w:t>w</w:t>
                      </w:r>
                      <w:r w:rsidRPr="00927D56">
                        <w:t>ith the preferred numerical value for the 1-hour SO</w:t>
                      </w:r>
                      <w:r w:rsidRPr="00546975">
                        <w:rPr>
                          <w:vertAlign w:val="subscript"/>
                        </w:rPr>
                        <w:t>2</w:t>
                      </w:r>
                      <w:r w:rsidRPr="00927D56">
                        <w:t xml:space="preserve"> standard (100 ppb) and the future 1-hour standard (75 ppb) for implementation by 2025</w:t>
                      </w:r>
                    </w:p>
                    <w:p w14:paraId="7877A552" w14:textId="21AA9D8C" w:rsidR="00B246FA" w:rsidRPr="00927D56" w:rsidRDefault="00B246FA" w:rsidP="00CB3A58">
                      <w:pPr>
                        <w:pStyle w:val="ListParagraph"/>
                        <w:numPr>
                          <w:ilvl w:val="1"/>
                          <w:numId w:val="71"/>
                        </w:numPr>
                        <w:ind w:hanging="357"/>
                        <w:contextualSpacing w:val="0"/>
                      </w:pPr>
                      <w:r>
                        <w:t>w</w:t>
                      </w:r>
                      <w:r w:rsidRPr="00927D56">
                        <w:t>ith the preferred numerical value for the 24-hour SO</w:t>
                      </w:r>
                      <w:r w:rsidRPr="00546975">
                        <w:rPr>
                          <w:vertAlign w:val="subscript"/>
                        </w:rPr>
                        <w:t>2</w:t>
                      </w:r>
                      <w:r w:rsidRPr="00927D56">
                        <w:t xml:space="preserve"> standard (20 ppb) and no future 24-hour standard</w:t>
                      </w:r>
                    </w:p>
                    <w:p w14:paraId="210E3C58" w14:textId="00EDCE8D" w:rsidR="00B246FA" w:rsidRPr="00927D56" w:rsidRDefault="00B246FA" w:rsidP="00CB3A58">
                      <w:pPr>
                        <w:pStyle w:val="ListParagraph"/>
                        <w:numPr>
                          <w:ilvl w:val="1"/>
                          <w:numId w:val="71"/>
                        </w:numPr>
                        <w:ind w:hanging="357"/>
                        <w:contextualSpacing w:val="0"/>
                      </w:pPr>
                      <w:r>
                        <w:t>t</w:t>
                      </w:r>
                      <w:r w:rsidRPr="00927D56">
                        <w:t>hat there should be no allowable exceedances for the SO</w:t>
                      </w:r>
                      <w:r w:rsidRPr="00546975">
                        <w:rPr>
                          <w:vertAlign w:val="subscript"/>
                        </w:rPr>
                        <w:t>2</w:t>
                      </w:r>
                      <w:r w:rsidRPr="00927D56">
                        <w:t xml:space="preserve"> standards</w:t>
                      </w:r>
                    </w:p>
                    <w:p w14:paraId="05342FFE" w14:textId="3E19B530" w:rsidR="00B246FA" w:rsidRPr="00546975" w:rsidRDefault="00B246FA" w:rsidP="00CB3A58">
                      <w:pPr>
                        <w:pStyle w:val="ListParagraph"/>
                        <w:numPr>
                          <w:ilvl w:val="1"/>
                          <w:numId w:val="71"/>
                        </w:numPr>
                        <w:ind w:hanging="357"/>
                        <w:contextualSpacing w:val="0"/>
                      </w:pPr>
                      <w:r>
                        <w:t>t</w:t>
                      </w:r>
                      <w:r w:rsidRPr="00927D56">
                        <w:t>hat an exposure-reduction framework is not needed for SO</w:t>
                      </w:r>
                      <w:r w:rsidRPr="00546975">
                        <w:rPr>
                          <w:vertAlign w:val="subscript"/>
                        </w:rPr>
                        <w:t>2</w:t>
                      </w:r>
                      <w:r>
                        <w:t>.</w:t>
                      </w:r>
                    </w:p>
                  </w:txbxContent>
                </v:textbox>
                <w10:anchorlock/>
              </v:shape>
            </w:pict>
          </mc:Fallback>
        </mc:AlternateContent>
      </w:r>
    </w:p>
    <w:p w14:paraId="7A62B10F" w14:textId="3DDDCDE8" w:rsidR="00927D56" w:rsidRPr="005060E0" w:rsidRDefault="00927D56">
      <w:pPr>
        <w:spacing w:after="160" w:line="259" w:lineRule="auto"/>
        <w:rPr>
          <w:szCs w:val="20"/>
        </w:rPr>
      </w:pPr>
    </w:p>
    <w:p w14:paraId="54F23908" w14:textId="77777777" w:rsidR="00927D56" w:rsidRPr="005060E0" w:rsidRDefault="00927D56" w:rsidP="00C420DD">
      <w:pPr>
        <w:rPr>
          <w:szCs w:val="20"/>
        </w:rPr>
        <w:sectPr w:rsidR="00927D56" w:rsidRPr="005060E0" w:rsidSect="00C521A0">
          <w:headerReference w:type="default" r:id="rId27"/>
          <w:footerReference w:type="default" r:id="rId28"/>
          <w:pgSz w:w="11906" w:h="16838"/>
          <w:pgMar w:top="1418" w:right="1133" w:bottom="1560" w:left="1134" w:header="709" w:footer="0" w:gutter="0"/>
          <w:cols w:space="708"/>
          <w:docGrid w:linePitch="360"/>
        </w:sectPr>
      </w:pPr>
    </w:p>
    <w:p w14:paraId="78A5ADD3" w14:textId="2605B3AA" w:rsidR="00CB16C9" w:rsidRPr="005060E0" w:rsidRDefault="00CB16C9" w:rsidP="0043533F">
      <w:pPr>
        <w:pStyle w:val="Heading1"/>
      </w:pPr>
      <w:bookmarkStart w:id="148" w:name="_Ref506115098"/>
      <w:bookmarkStart w:id="149" w:name="_Toc3278964"/>
      <w:r w:rsidRPr="005060E0">
        <w:t xml:space="preserve">Impact assessment for </w:t>
      </w:r>
      <w:bookmarkEnd w:id="148"/>
      <w:r w:rsidR="005128BC" w:rsidRPr="005060E0">
        <w:t>nitrogen dioxide</w:t>
      </w:r>
      <w:bookmarkEnd w:id="149"/>
    </w:p>
    <w:p w14:paraId="32E41A7D" w14:textId="03001C74" w:rsidR="00DE0522" w:rsidRPr="005060E0" w:rsidRDefault="004962E3" w:rsidP="0043533F">
      <w:pPr>
        <w:pStyle w:val="Heading2"/>
      </w:pPr>
      <w:bookmarkStart w:id="150" w:name="_Toc479858874"/>
      <w:bookmarkStart w:id="151" w:name="_Ref508522438"/>
      <w:bookmarkStart w:id="152" w:name="_Toc3278965"/>
      <w:r w:rsidRPr="005060E0">
        <w:t>C</w:t>
      </w:r>
      <w:r w:rsidR="00DE0522" w:rsidRPr="005060E0">
        <w:t>haracteristics</w:t>
      </w:r>
      <w:r w:rsidR="008D41BF" w:rsidRPr="005060E0">
        <w:t xml:space="preserve"> and sources</w:t>
      </w:r>
      <w:bookmarkEnd w:id="150"/>
      <w:bookmarkEnd w:id="151"/>
      <w:bookmarkEnd w:id="152"/>
    </w:p>
    <w:p w14:paraId="53A2562C" w14:textId="7E23285D" w:rsidR="007F482F" w:rsidRPr="005060E0" w:rsidRDefault="000E706E" w:rsidP="0043533F">
      <w:pPr>
        <w:tabs>
          <w:tab w:val="left" w:pos="567"/>
        </w:tabs>
      </w:pPr>
      <w:r w:rsidRPr="005060E0">
        <w:rPr>
          <w:shd w:val="clear" w:color="auto" w:fill="FFFFFF"/>
        </w:rPr>
        <w:t>NO</w:t>
      </w:r>
      <w:r w:rsidRPr="005060E0">
        <w:rPr>
          <w:shd w:val="clear" w:color="auto" w:fill="FFFFFF"/>
          <w:vertAlign w:val="subscript"/>
        </w:rPr>
        <w:t>2</w:t>
      </w:r>
      <w:r w:rsidRPr="005060E0">
        <w:rPr>
          <w:shd w:val="clear" w:color="auto" w:fill="FFFFFF"/>
        </w:rPr>
        <w:t xml:space="preserve"> is a </w:t>
      </w:r>
      <w:r w:rsidR="009C1B9C" w:rsidRPr="005060E0">
        <w:t xml:space="preserve">reactive </w:t>
      </w:r>
      <w:r w:rsidRPr="005060E0">
        <w:t xml:space="preserve">gas which </w:t>
      </w:r>
      <w:r w:rsidR="009C1B9C" w:rsidRPr="005060E0">
        <w:t>has a reddish-brown colour at typical atmospheric</w:t>
      </w:r>
      <w:r w:rsidRPr="005060E0">
        <w:t xml:space="preserve"> temperat</w:t>
      </w:r>
      <w:r w:rsidR="009C1B9C" w:rsidRPr="005060E0">
        <w:t>ures. It has a strong</w:t>
      </w:r>
      <w:r w:rsidR="001735DD" w:rsidRPr="005060E0">
        <w:t xml:space="preserve"> odour and recognised impacts on human health.</w:t>
      </w:r>
      <w:r w:rsidR="007F482F" w:rsidRPr="005060E0">
        <w:rPr>
          <w:color w:val="FF0000"/>
        </w:rPr>
        <w:t xml:space="preserve"> </w:t>
      </w:r>
      <w:r w:rsidR="007F482F" w:rsidRPr="005060E0">
        <w:t>NO</w:t>
      </w:r>
      <w:r w:rsidR="007F482F" w:rsidRPr="005060E0">
        <w:rPr>
          <w:vertAlign w:val="subscript"/>
        </w:rPr>
        <w:t>2</w:t>
      </w:r>
      <w:r w:rsidR="001C1E4C" w:rsidRPr="005060E0">
        <w:t xml:space="preserve"> is</w:t>
      </w:r>
      <w:r w:rsidR="007F482F" w:rsidRPr="005060E0">
        <w:t xml:space="preserve"> </w:t>
      </w:r>
      <w:r w:rsidR="001C1E4C" w:rsidRPr="005060E0">
        <w:t xml:space="preserve">also a </w:t>
      </w:r>
      <w:r w:rsidR="007F482F" w:rsidRPr="005060E0">
        <w:t xml:space="preserve">precursor of photochemical </w:t>
      </w:r>
      <w:r w:rsidR="00E36CDD" w:rsidRPr="005060E0">
        <w:t>smog and</w:t>
      </w:r>
      <w:r w:rsidR="001C1E4C" w:rsidRPr="005060E0">
        <w:t xml:space="preserve"> </w:t>
      </w:r>
      <w:r w:rsidR="007F482F" w:rsidRPr="005060E0">
        <w:t>contributes to secondary particle formation by reaction with ammonia to form nitrate salts. This can be a significant contributor to PM</w:t>
      </w:r>
      <w:r w:rsidR="007F482F" w:rsidRPr="005060E0">
        <w:rPr>
          <w:vertAlign w:val="subscript"/>
        </w:rPr>
        <w:t xml:space="preserve">2.5 </w:t>
      </w:r>
      <w:r w:rsidR="007F482F" w:rsidRPr="005060E0">
        <w:t>concentratio</w:t>
      </w:r>
      <w:r w:rsidR="007444E2" w:rsidRPr="005060E0">
        <w:t xml:space="preserve">ns in airsheds with </w:t>
      </w:r>
      <w:r w:rsidR="007F482F" w:rsidRPr="005060E0">
        <w:t>significant ammonia and NO</w:t>
      </w:r>
      <w:r w:rsidR="007F482F" w:rsidRPr="005060E0">
        <w:rPr>
          <w:vertAlign w:val="subscript"/>
        </w:rPr>
        <w:t>x</w:t>
      </w:r>
      <w:r w:rsidR="002A01ED" w:rsidRPr="005060E0">
        <w:t xml:space="preserve"> emissions</w:t>
      </w:r>
      <w:r w:rsidR="001C1E4C" w:rsidRPr="005060E0">
        <w:t>.</w:t>
      </w:r>
    </w:p>
    <w:p w14:paraId="0FE49E88" w14:textId="3F310CC9" w:rsidR="00C66B61" w:rsidRPr="005060E0" w:rsidRDefault="001735DD" w:rsidP="009C78A7">
      <w:r w:rsidRPr="005060E0">
        <w:t>Natural sources of NO</w:t>
      </w:r>
      <w:r w:rsidRPr="005060E0">
        <w:rPr>
          <w:vertAlign w:val="subscript"/>
        </w:rPr>
        <w:t>2</w:t>
      </w:r>
      <w:r w:rsidRPr="005060E0">
        <w:t xml:space="preserve"> include bacterial respiration, volcanoes and the extreme heating of air during lightning strikes. The main anthropogenic source of NO</w:t>
      </w:r>
      <w:r w:rsidRPr="005060E0">
        <w:rPr>
          <w:vertAlign w:val="subscript"/>
        </w:rPr>
        <w:t>2</w:t>
      </w:r>
      <w:r w:rsidRPr="005060E0">
        <w:t xml:space="preserve"> is fuel combustion, and in</w:t>
      </w:r>
      <w:r w:rsidR="007444E2" w:rsidRPr="005060E0">
        <w:t xml:space="preserve"> urban areas the largest contributor</w:t>
      </w:r>
      <w:r w:rsidRPr="005060E0">
        <w:t xml:space="preserve"> is road vehicle exhaust. Other sources include the burning of coal, oil, or natural </w:t>
      </w:r>
      <w:r w:rsidR="00C66B61" w:rsidRPr="005060E0">
        <w:t xml:space="preserve">gas, and industrial processes. Fuel combustion results in the simultaneous emission of </w:t>
      </w:r>
      <w:r w:rsidRPr="005060E0">
        <w:t>nitric oxide (NO)</w:t>
      </w:r>
      <w:r w:rsidR="00C66B61" w:rsidRPr="005060E0">
        <w:t xml:space="preserve"> along with NO</w:t>
      </w:r>
      <w:r w:rsidR="00C66B61" w:rsidRPr="005060E0">
        <w:rPr>
          <w:vertAlign w:val="subscript"/>
        </w:rPr>
        <w:t>2</w:t>
      </w:r>
      <w:r w:rsidR="00C66B61" w:rsidRPr="005060E0">
        <w:t>, and the two compounds are collectively referred to as ox</w:t>
      </w:r>
      <w:r w:rsidRPr="005060E0">
        <w:t>ides of nitrogen (NO</w:t>
      </w:r>
      <w:r w:rsidRPr="005060E0">
        <w:rPr>
          <w:vertAlign w:val="subscript"/>
        </w:rPr>
        <w:t>x</w:t>
      </w:r>
      <w:r w:rsidRPr="005060E0">
        <w:t>)</w:t>
      </w:r>
      <w:r w:rsidR="00C66B61" w:rsidRPr="005060E0">
        <w:t xml:space="preserve">. </w:t>
      </w:r>
      <w:r w:rsidR="00C66B61" w:rsidRPr="005060E0">
        <w:rPr>
          <w:shd w:val="clear" w:color="auto" w:fill="FFFFFF"/>
        </w:rPr>
        <w:t>NO</w:t>
      </w:r>
      <w:r w:rsidR="00C66B61" w:rsidRPr="005060E0">
        <w:rPr>
          <w:shd w:val="clear" w:color="auto" w:fill="FFFFFF"/>
          <w:vertAlign w:val="subscript"/>
        </w:rPr>
        <w:t>2</w:t>
      </w:r>
      <w:r w:rsidR="00C66B61" w:rsidRPr="005060E0">
        <w:rPr>
          <w:shd w:val="clear" w:color="auto" w:fill="FFFFFF"/>
        </w:rPr>
        <w:t xml:space="preserve"> has a greater impact on health than NO.</w:t>
      </w:r>
    </w:p>
    <w:p w14:paraId="040454FC" w14:textId="302D1D2E" w:rsidR="009C78A7" w:rsidRPr="005060E0" w:rsidRDefault="009C78A7" w:rsidP="009C78A7">
      <w:r w:rsidRPr="005060E0">
        <w:t>In the atmosphere, NO is oxidised to NO</w:t>
      </w:r>
      <w:r w:rsidRPr="005060E0">
        <w:rPr>
          <w:vertAlign w:val="subscript"/>
        </w:rPr>
        <w:t>2</w:t>
      </w:r>
      <w:r w:rsidRPr="005060E0">
        <w:t>. NO and NO</w:t>
      </w:r>
      <w:r w:rsidRPr="005060E0">
        <w:rPr>
          <w:vertAlign w:val="subscript"/>
        </w:rPr>
        <w:t>2</w:t>
      </w:r>
      <w:r w:rsidR="007444E2" w:rsidRPr="005060E0">
        <w:t xml:space="preserve"> exist in a complex equilibrium that is</w:t>
      </w:r>
      <w:r w:rsidRPr="005060E0">
        <w:t xml:space="preserve"> influenced by the presence of atmospheric oxidants</w:t>
      </w:r>
      <w:r w:rsidR="007F482F" w:rsidRPr="005060E0">
        <w:t xml:space="preserve"> such as O</w:t>
      </w:r>
      <w:r w:rsidR="007F482F" w:rsidRPr="005060E0">
        <w:rPr>
          <w:vertAlign w:val="subscript"/>
        </w:rPr>
        <w:t>3</w:t>
      </w:r>
      <w:r w:rsidRPr="005060E0">
        <w:t>, the c</w:t>
      </w:r>
      <w:r w:rsidR="00C40468" w:rsidRPr="005060E0">
        <w:t>oncentration and speciation of VOCs</w:t>
      </w:r>
      <w:r w:rsidRPr="005060E0">
        <w:t>, sunlight, and other factors. The concentrations</w:t>
      </w:r>
      <w:r w:rsidR="003E47C9" w:rsidRPr="005060E0">
        <w:t xml:space="preserve"> of NO</w:t>
      </w:r>
      <w:r w:rsidR="003E47C9" w:rsidRPr="005060E0">
        <w:rPr>
          <w:vertAlign w:val="subscript"/>
        </w:rPr>
        <w:t>2</w:t>
      </w:r>
      <w:r w:rsidRPr="005060E0">
        <w:t xml:space="preserve"> in the atmosphere at any</w:t>
      </w:r>
      <w:r w:rsidR="003E47C9" w:rsidRPr="005060E0">
        <w:t xml:space="preserve"> given</w:t>
      </w:r>
      <w:r w:rsidRPr="005060E0">
        <w:t xml:space="preserve"> time are determined by the rates of competing chemical reactions</w:t>
      </w:r>
      <w:r w:rsidR="00EE3551" w:rsidRPr="005060E0">
        <w:t xml:space="preserve"> (see Section </w:t>
      </w:r>
      <w:r w:rsidR="00EE3551" w:rsidRPr="005060E0">
        <w:fldChar w:fldCharType="begin"/>
      </w:r>
      <w:r w:rsidR="00EE3551" w:rsidRPr="005060E0">
        <w:instrText xml:space="preserve"> REF _Ref508522159 \r \h </w:instrText>
      </w:r>
      <w:r w:rsidR="00EE3551" w:rsidRPr="005060E0">
        <w:fldChar w:fldCharType="separate"/>
      </w:r>
      <w:r w:rsidR="00F2067C">
        <w:t>8.1</w:t>
      </w:r>
      <w:r w:rsidR="00EE3551" w:rsidRPr="005060E0">
        <w:fldChar w:fldCharType="end"/>
      </w:r>
      <w:r w:rsidR="00EE3551" w:rsidRPr="005060E0">
        <w:t>)</w:t>
      </w:r>
      <w:r w:rsidR="007444E2" w:rsidRPr="005060E0">
        <w:t>. The r</w:t>
      </w:r>
      <w:r w:rsidRPr="005060E0">
        <w:t>eactions that form NO</w:t>
      </w:r>
      <w:r w:rsidRPr="005060E0">
        <w:rPr>
          <w:vertAlign w:val="subscript"/>
        </w:rPr>
        <w:t>2</w:t>
      </w:r>
      <w:r w:rsidRPr="005060E0">
        <w:t xml:space="preserve"> from NO are reversible, and the net concentration of each substance is determined by competition between the forward and reverse reactions as well as the rate of other reactions that involve NO and NO</w:t>
      </w:r>
      <w:r w:rsidRPr="005060E0">
        <w:rPr>
          <w:vertAlign w:val="subscript"/>
        </w:rPr>
        <w:t>2</w:t>
      </w:r>
      <w:r w:rsidRPr="005060E0">
        <w:t>. This complex atmospheric chemistry</w:t>
      </w:r>
      <w:r w:rsidR="003E47C9" w:rsidRPr="005060E0">
        <w:t>,</w:t>
      </w:r>
      <w:r w:rsidRPr="005060E0">
        <w:t xml:space="preserve"> and the </w:t>
      </w:r>
      <w:r w:rsidR="003E47C9" w:rsidRPr="005060E0">
        <w:t xml:space="preserve">spatial and temporal distributions of different </w:t>
      </w:r>
      <w:r w:rsidRPr="005060E0">
        <w:t>sources</w:t>
      </w:r>
      <w:r w:rsidR="003E47C9" w:rsidRPr="005060E0">
        <w:t>,</w:t>
      </w:r>
      <w:r w:rsidRPr="005060E0">
        <w:t xml:space="preserve"> complicate</w:t>
      </w:r>
      <w:r w:rsidR="003E47C9" w:rsidRPr="005060E0">
        <w:t>s</w:t>
      </w:r>
      <w:r w:rsidRPr="005060E0">
        <w:t xml:space="preserve"> the evaluation of NO</w:t>
      </w:r>
      <w:r w:rsidRPr="005060E0">
        <w:rPr>
          <w:vertAlign w:val="subscript"/>
        </w:rPr>
        <w:t>2</w:t>
      </w:r>
      <w:r w:rsidRPr="005060E0">
        <w:t xml:space="preserve">. </w:t>
      </w:r>
    </w:p>
    <w:p w14:paraId="2453F473" w14:textId="5D138907" w:rsidR="00E72C9F" w:rsidRPr="005060E0" w:rsidRDefault="00E72C9F" w:rsidP="007444E2">
      <w:pPr>
        <w:spacing w:after="120"/>
      </w:pPr>
      <w:r w:rsidRPr="005060E0">
        <w:t>The main sources of NO</w:t>
      </w:r>
      <w:r w:rsidRPr="005060E0">
        <w:rPr>
          <w:vertAlign w:val="subscript"/>
        </w:rPr>
        <w:t>X</w:t>
      </w:r>
      <w:r w:rsidRPr="005060E0">
        <w:t xml:space="preserve"> in Australia are industry and motor vehicles. The NPI data for 2014</w:t>
      </w:r>
      <w:r w:rsidR="00DF4D3A" w:rsidRPr="005060E0">
        <w:t>–20</w:t>
      </w:r>
      <w:r w:rsidRPr="005060E0">
        <w:t xml:space="preserve">15 </w:t>
      </w:r>
      <w:r w:rsidR="004B0E58" w:rsidRPr="005060E0">
        <w:t xml:space="preserve">estimates </w:t>
      </w:r>
      <w:r w:rsidRPr="005060E0">
        <w:t>the following with respect to NO</w:t>
      </w:r>
      <w:r w:rsidRPr="005060E0">
        <w:rPr>
          <w:vertAlign w:val="subscript"/>
        </w:rPr>
        <w:t>X</w:t>
      </w:r>
      <w:r w:rsidRPr="005060E0">
        <w:t xml:space="preserve"> emissions in Australia:</w:t>
      </w:r>
    </w:p>
    <w:p w14:paraId="43D5B5B8" w14:textId="0D2FEBD0" w:rsidR="00E72C9F" w:rsidRPr="005060E0" w:rsidRDefault="00E72C9F" w:rsidP="007444E2">
      <w:pPr>
        <w:pStyle w:val="ListBullet"/>
        <w:spacing w:after="120"/>
      </w:pPr>
      <w:r w:rsidRPr="005060E0">
        <w:t>29</w:t>
      </w:r>
      <w:r w:rsidR="005060E0">
        <w:t xml:space="preserve"> per cent</w:t>
      </w:r>
      <w:r w:rsidRPr="005060E0">
        <w:t xml:space="preserve"> of emissions were from electricity generation</w:t>
      </w:r>
    </w:p>
    <w:p w14:paraId="19528B44" w14:textId="0E08ADDE" w:rsidR="00E72C9F" w:rsidRPr="005060E0" w:rsidRDefault="00E72C9F" w:rsidP="007444E2">
      <w:pPr>
        <w:pStyle w:val="ListBullet"/>
        <w:spacing w:after="120"/>
      </w:pPr>
      <w:r w:rsidRPr="005060E0">
        <w:t>26</w:t>
      </w:r>
      <w:r w:rsidR="005060E0">
        <w:t xml:space="preserve"> per cent</w:t>
      </w:r>
      <w:r w:rsidRPr="005060E0">
        <w:t xml:space="preserve"> of emissions were from motor vehicles</w:t>
      </w:r>
    </w:p>
    <w:p w14:paraId="52300797" w14:textId="7E02D6BE" w:rsidR="00DE0522" w:rsidRPr="005060E0" w:rsidRDefault="00E72C9F" w:rsidP="00DE0522">
      <w:pPr>
        <w:pStyle w:val="ListBullet"/>
      </w:pPr>
      <w:r w:rsidRPr="005060E0">
        <w:t>10</w:t>
      </w:r>
      <w:r w:rsidR="005060E0">
        <w:t xml:space="preserve"> per cent</w:t>
      </w:r>
      <w:r w:rsidRPr="005060E0">
        <w:t xml:space="preserve"> of emissions were</w:t>
      </w:r>
      <w:r w:rsidR="00DE0522" w:rsidRPr="005060E0">
        <w:t xml:space="preserve"> from burning</w:t>
      </w:r>
      <w:r w:rsidRPr="005060E0">
        <w:t>,</w:t>
      </w:r>
      <w:r w:rsidR="00D50F74" w:rsidRPr="005060E0">
        <w:t xml:space="preserve"> including bushfires, hazard</w:t>
      </w:r>
      <w:r w:rsidR="00DE0522" w:rsidRPr="005060E0">
        <w:t xml:space="preserve"> reduction burning, regener</w:t>
      </w:r>
      <w:r w:rsidR="008D41BF" w:rsidRPr="005060E0">
        <w:t>ation and agricultural burning.</w:t>
      </w:r>
    </w:p>
    <w:p w14:paraId="14D964B3" w14:textId="509E907E" w:rsidR="00E72C9F" w:rsidRPr="005060E0" w:rsidRDefault="00A36784" w:rsidP="00E72C9F">
      <w:pPr>
        <w:pStyle w:val="BodyText"/>
        <w:spacing w:after="360"/>
      </w:pPr>
      <w:r w:rsidRPr="005060E0">
        <w:t>The</w:t>
      </w:r>
      <w:r w:rsidR="00E72C9F" w:rsidRPr="005060E0">
        <w:t xml:space="preserve"> estimates of the annual</w:t>
      </w:r>
      <w:r w:rsidRPr="005060E0">
        <w:t xml:space="preserve"> emissions</w:t>
      </w:r>
      <w:r w:rsidR="00E72C9F" w:rsidRPr="005060E0">
        <w:t xml:space="preserve"> in each Australian airshed </w:t>
      </w:r>
      <w:r w:rsidRPr="005060E0">
        <w:t>(</w:t>
      </w:r>
      <w:r w:rsidR="00E72C9F" w:rsidRPr="005060E0">
        <w:t xml:space="preserve">for </w:t>
      </w:r>
      <w:r w:rsidRPr="005060E0">
        <w:t>both facility and diffu</w:t>
      </w:r>
      <w:r w:rsidR="00E72C9F" w:rsidRPr="005060E0">
        <w:t>se sources) are</w:t>
      </w:r>
      <w:r w:rsidRPr="005060E0">
        <w:t xml:space="preserve"> summarised in </w:t>
      </w:r>
      <w:r w:rsidRPr="005060E0">
        <w:fldChar w:fldCharType="begin"/>
      </w:r>
      <w:r w:rsidRPr="005060E0">
        <w:instrText xml:space="preserve"> REF _Ref479194608 \h </w:instrText>
      </w:r>
      <w:r w:rsidRPr="005060E0">
        <w:fldChar w:fldCharType="separate"/>
      </w:r>
      <w:r w:rsidR="00F2067C" w:rsidRPr="005060E0">
        <w:t xml:space="preserve">Table </w:t>
      </w:r>
      <w:r w:rsidR="00F2067C">
        <w:rPr>
          <w:noProof/>
        </w:rPr>
        <w:t>7</w:t>
      </w:r>
      <w:r w:rsidR="00F2067C" w:rsidRPr="005060E0">
        <w:noBreakHyphen/>
      </w:r>
      <w:r w:rsidR="00F2067C">
        <w:rPr>
          <w:noProof/>
        </w:rPr>
        <w:t>1</w:t>
      </w:r>
      <w:r w:rsidRPr="005060E0">
        <w:fldChar w:fldCharType="end"/>
      </w:r>
      <w:r w:rsidR="00E72C9F" w:rsidRPr="005060E0">
        <w:t>. As with SO</w:t>
      </w:r>
      <w:r w:rsidR="00E72C9F" w:rsidRPr="005060E0">
        <w:rPr>
          <w:vertAlign w:val="subscript"/>
        </w:rPr>
        <w:t>2</w:t>
      </w:r>
      <w:r w:rsidR="00E72C9F" w:rsidRPr="005060E0">
        <w:t>, there was significant variation across the jurisdictions, and this will influence the ambient concentrations and the potential risk to the exposed population.</w:t>
      </w:r>
    </w:p>
    <w:p w14:paraId="5209D171" w14:textId="14E847E7" w:rsidR="008D41BF" w:rsidRPr="005060E0" w:rsidRDefault="008D41BF" w:rsidP="008D41BF">
      <w:pPr>
        <w:pStyle w:val="PBTablecaption"/>
      </w:pPr>
      <w:bookmarkStart w:id="153" w:name="_Ref479194608"/>
      <w:bookmarkStart w:id="154" w:name="_Toc479201774"/>
      <w:bookmarkStart w:id="155" w:name="_Toc508305368"/>
      <w:r w:rsidRPr="005060E0">
        <w:t xml:space="preserve">Table </w:t>
      </w:r>
      <w:r w:rsidR="009863AA" w:rsidRPr="005060E0">
        <w:rPr>
          <w:noProof/>
        </w:rPr>
        <w:fldChar w:fldCharType="begin"/>
      </w:r>
      <w:r w:rsidR="009863AA" w:rsidRPr="005060E0">
        <w:rPr>
          <w:noProof/>
        </w:rPr>
        <w:instrText xml:space="preserve"> STYLEREF 1 \s </w:instrText>
      </w:r>
      <w:r w:rsidR="009863AA" w:rsidRPr="005060E0">
        <w:rPr>
          <w:noProof/>
        </w:rPr>
        <w:fldChar w:fldCharType="separate"/>
      </w:r>
      <w:r w:rsidR="00F2067C">
        <w:rPr>
          <w:noProof/>
        </w:rPr>
        <w:t>7</w:t>
      </w:r>
      <w:r w:rsidR="009863AA" w:rsidRPr="005060E0">
        <w:rPr>
          <w:noProof/>
        </w:rPr>
        <w:fldChar w:fldCharType="end"/>
      </w:r>
      <w:r w:rsidRPr="005060E0">
        <w:noBreakHyphen/>
      </w:r>
      <w:r w:rsidR="009863AA" w:rsidRPr="005060E0">
        <w:rPr>
          <w:noProof/>
        </w:rPr>
        <w:fldChar w:fldCharType="begin"/>
      </w:r>
      <w:r w:rsidR="009863AA" w:rsidRPr="005060E0">
        <w:rPr>
          <w:noProof/>
        </w:rPr>
        <w:instrText xml:space="preserve"> SEQ Table \* ARABIC \s 1 </w:instrText>
      </w:r>
      <w:r w:rsidR="009863AA" w:rsidRPr="005060E0">
        <w:rPr>
          <w:noProof/>
        </w:rPr>
        <w:fldChar w:fldCharType="separate"/>
      </w:r>
      <w:r w:rsidR="00F2067C">
        <w:rPr>
          <w:noProof/>
        </w:rPr>
        <w:t>1</w:t>
      </w:r>
      <w:r w:rsidR="009863AA" w:rsidRPr="005060E0">
        <w:rPr>
          <w:noProof/>
        </w:rPr>
        <w:fldChar w:fldCharType="end"/>
      </w:r>
      <w:bookmarkEnd w:id="153"/>
      <w:r w:rsidRPr="005060E0">
        <w:t xml:space="preserve">:  Total </w:t>
      </w:r>
      <w:r w:rsidR="004B0E58" w:rsidRPr="005060E0">
        <w:t xml:space="preserve">estimated </w:t>
      </w:r>
      <w:r w:rsidR="00E72C9F" w:rsidRPr="005060E0">
        <w:t>emissions of NO</w:t>
      </w:r>
      <w:r w:rsidR="00EE3551" w:rsidRPr="005060E0">
        <w:rPr>
          <w:vertAlign w:val="subscript"/>
        </w:rPr>
        <w:t>X</w:t>
      </w:r>
      <w:r w:rsidR="00E72C9F" w:rsidRPr="005060E0">
        <w:t xml:space="preserve"> from industrial facilities and diffuse sources</w:t>
      </w:r>
      <w:r w:rsidRPr="005060E0">
        <w:t xml:space="preserve"> (</w:t>
      </w:r>
      <w:r w:rsidR="00E72C9F" w:rsidRPr="005060E0">
        <w:t xml:space="preserve">NPI, </w:t>
      </w:r>
      <w:r w:rsidRPr="005060E0">
        <w:t>2014</w:t>
      </w:r>
      <w:r w:rsidR="00DF4D3A" w:rsidRPr="005060E0">
        <w:t>–20</w:t>
      </w:r>
      <w:r w:rsidRPr="005060E0">
        <w:t>15)</w:t>
      </w:r>
      <w:bookmarkEnd w:id="154"/>
      <w:bookmarkEnd w:id="155"/>
      <w:r w:rsidRPr="005060E0">
        <w:t xml:space="preserve"> </w:t>
      </w:r>
      <w:bookmarkStart w:id="156" w:name="_Toc479858877"/>
    </w:p>
    <w:tbl>
      <w:tblPr>
        <w:tblW w:w="5000" w:type="pct"/>
        <w:jc w:val="center"/>
        <w:tblBorders>
          <w:top w:val="single" w:sz="4" w:space="0" w:color="0076C0" w:themeColor="accent1"/>
          <w:left w:val="single" w:sz="4" w:space="0" w:color="0076C0" w:themeColor="accent1"/>
          <w:bottom w:val="single" w:sz="4" w:space="0" w:color="0076C0" w:themeColor="accent1"/>
          <w:right w:val="single" w:sz="4" w:space="0" w:color="0076C0" w:themeColor="accent1"/>
          <w:insideH w:val="single" w:sz="4" w:space="0" w:color="0076C0" w:themeColor="accent1"/>
          <w:insideV w:val="single" w:sz="4" w:space="0" w:color="0076C0" w:themeColor="accent1"/>
        </w:tblBorders>
        <w:tblLook w:val="04A0" w:firstRow="1" w:lastRow="0" w:firstColumn="1" w:lastColumn="0" w:noHBand="0" w:noVBand="1"/>
      </w:tblPr>
      <w:tblGrid>
        <w:gridCol w:w="5105"/>
        <w:gridCol w:w="4524"/>
      </w:tblGrid>
      <w:tr w:rsidR="008D41BF" w:rsidRPr="005060E0" w14:paraId="0D78EFAE" w14:textId="77777777" w:rsidTr="00D35C2D">
        <w:trPr>
          <w:trHeight w:hRule="exact" w:val="397"/>
          <w:tblHeader/>
          <w:jc w:val="center"/>
        </w:trPr>
        <w:tc>
          <w:tcPr>
            <w:tcW w:w="2651" w:type="pct"/>
            <w:tcBorders>
              <w:top w:val="single" w:sz="4" w:space="0" w:color="606075"/>
              <w:left w:val="single" w:sz="4" w:space="0" w:color="606075"/>
              <w:bottom w:val="single" w:sz="4" w:space="0" w:color="606075"/>
              <w:right w:val="single" w:sz="4" w:space="0" w:color="606075"/>
            </w:tcBorders>
            <w:shd w:val="clear" w:color="auto" w:fill="606075"/>
            <w:noWrap/>
            <w:vAlign w:val="center"/>
            <w:hideMark/>
          </w:tcPr>
          <w:p w14:paraId="5DB4C46D" w14:textId="77777777" w:rsidR="008D41BF" w:rsidRPr="005060E0" w:rsidRDefault="008D41BF" w:rsidP="00790F21">
            <w:pPr>
              <w:spacing w:before="60" w:after="60" w:line="240" w:lineRule="auto"/>
              <w:jc w:val="center"/>
              <w:rPr>
                <w:bCs/>
                <w:color w:val="FFFFFF"/>
                <w:sz w:val="16"/>
                <w:szCs w:val="16"/>
                <w:lang w:bidi="en-US"/>
              </w:rPr>
            </w:pPr>
            <w:r w:rsidRPr="005060E0">
              <w:rPr>
                <w:bCs/>
                <w:color w:val="FFFFFF"/>
                <w:sz w:val="16"/>
                <w:szCs w:val="16"/>
                <w:lang w:bidi="en-US"/>
              </w:rPr>
              <w:t>Airshed</w:t>
            </w:r>
          </w:p>
        </w:tc>
        <w:tc>
          <w:tcPr>
            <w:tcW w:w="2349" w:type="pct"/>
            <w:tcBorders>
              <w:top w:val="single" w:sz="4" w:space="0" w:color="606075"/>
              <w:left w:val="single" w:sz="4" w:space="0" w:color="606075"/>
              <w:bottom w:val="single" w:sz="4" w:space="0" w:color="606075"/>
              <w:right w:val="single" w:sz="4" w:space="0" w:color="606075"/>
            </w:tcBorders>
            <w:shd w:val="clear" w:color="auto" w:fill="606075"/>
            <w:vAlign w:val="center"/>
            <w:hideMark/>
          </w:tcPr>
          <w:p w14:paraId="7AE06468" w14:textId="5D4D8B4D" w:rsidR="008D41BF" w:rsidRPr="005060E0" w:rsidRDefault="008D41BF" w:rsidP="007444E2">
            <w:pPr>
              <w:spacing w:after="0" w:line="240" w:lineRule="auto"/>
              <w:jc w:val="center"/>
              <w:rPr>
                <w:bCs/>
                <w:color w:val="FFFFFF"/>
                <w:sz w:val="16"/>
                <w:szCs w:val="16"/>
                <w:lang w:bidi="en-US"/>
              </w:rPr>
            </w:pPr>
            <w:r w:rsidRPr="005060E0">
              <w:rPr>
                <w:bCs/>
                <w:color w:val="FFFFFF"/>
                <w:sz w:val="16"/>
                <w:szCs w:val="16"/>
                <w:lang w:bidi="en-US"/>
              </w:rPr>
              <w:t>NO</w:t>
            </w:r>
            <w:r w:rsidRPr="005060E0">
              <w:rPr>
                <w:bCs/>
                <w:color w:val="FFFFFF"/>
                <w:sz w:val="16"/>
                <w:szCs w:val="16"/>
                <w:vertAlign w:val="subscript"/>
                <w:lang w:bidi="en-US"/>
              </w:rPr>
              <w:t>X</w:t>
            </w:r>
            <w:r w:rsidRPr="005060E0">
              <w:rPr>
                <w:bCs/>
                <w:color w:val="FFFFFF"/>
                <w:sz w:val="16"/>
                <w:szCs w:val="16"/>
                <w:lang w:bidi="en-US"/>
              </w:rPr>
              <w:t xml:space="preserve"> emissions </w:t>
            </w:r>
            <w:r w:rsidR="00E72C9F" w:rsidRPr="005060E0">
              <w:rPr>
                <w:bCs/>
                <w:color w:val="FFFFFF"/>
                <w:sz w:val="16"/>
                <w:szCs w:val="16"/>
                <w:lang w:bidi="en-US"/>
              </w:rPr>
              <w:t>(</w:t>
            </w:r>
            <w:r w:rsidRPr="005060E0">
              <w:rPr>
                <w:bCs/>
                <w:color w:val="FFFFFF"/>
                <w:sz w:val="16"/>
                <w:szCs w:val="16"/>
                <w:lang w:bidi="en-US"/>
              </w:rPr>
              <w:t>tonnes/year)</w:t>
            </w:r>
          </w:p>
        </w:tc>
      </w:tr>
      <w:tr w:rsidR="008D41BF" w:rsidRPr="005060E0" w14:paraId="23F8E6FA" w14:textId="77777777" w:rsidTr="007444E2">
        <w:trPr>
          <w:trHeight w:hRule="exact" w:val="340"/>
          <w:jc w:val="center"/>
        </w:trPr>
        <w:tc>
          <w:tcPr>
            <w:tcW w:w="2651" w:type="pct"/>
            <w:tcBorders>
              <w:top w:val="single" w:sz="4" w:space="0" w:color="606075"/>
              <w:left w:val="single" w:sz="4" w:space="0" w:color="606075"/>
              <w:bottom w:val="single" w:sz="4" w:space="0" w:color="606075"/>
              <w:right w:val="single" w:sz="4" w:space="0" w:color="606075"/>
            </w:tcBorders>
            <w:noWrap/>
            <w:vAlign w:val="center"/>
          </w:tcPr>
          <w:p w14:paraId="738FB076" w14:textId="02E600B6" w:rsidR="008D41BF" w:rsidRPr="005060E0" w:rsidRDefault="008D41BF" w:rsidP="00E364C2">
            <w:pPr>
              <w:tabs>
                <w:tab w:val="left" w:pos="6804"/>
              </w:tabs>
              <w:spacing w:before="60" w:after="60" w:line="240" w:lineRule="auto"/>
              <w:rPr>
                <w:rFonts w:eastAsia="Times New Roman" w:cstheme="majorHAnsi"/>
                <w:bCs/>
                <w:kern w:val="32"/>
                <w:sz w:val="16"/>
                <w:szCs w:val="16"/>
                <w:lang w:bidi="en-US"/>
              </w:rPr>
            </w:pPr>
            <w:r w:rsidRPr="005060E0">
              <w:rPr>
                <w:rFonts w:eastAsia="Times New Roman" w:cstheme="majorHAnsi"/>
                <w:bCs/>
                <w:kern w:val="32"/>
                <w:sz w:val="16"/>
                <w:szCs w:val="16"/>
                <w:lang w:bidi="en-US"/>
              </w:rPr>
              <w:t xml:space="preserve">NSW: </w:t>
            </w:r>
            <w:r w:rsidR="00E72C9F" w:rsidRPr="005060E0">
              <w:rPr>
                <w:rFonts w:eastAsia="Times New Roman" w:cstheme="majorHAnsi"/>
                <w:bCs/>
                <w:kern w:val="32"/>
                <w:sz w:val="16"/>
                <w:szCs w:val="16"/>
                <w:lang w:bidi="en-US"/>
              </w:rPr>
              <w:t xml:space="preserve">Greater </w:t>
            </w:r>
            <w:r w:rsidRPr="005060E0">
              <w:rPr>
                <w:rFonts w:eastAsia="Times New Roman" w:cstheme="majorHAnsi"/>
                <w:bCs/>
                <w:kern w:val="32"/>
                <w:sz w:val="16"/>
                <w:szCs w:val="16"/>
                <w:lang w:bidi="en-US"/>
              </w:rPr>
              <w:t>Sydney</w:t>
            </w:r>
          </w:p>
        </w:tc>
        <w:tc>
          <w:tcPr>
            <w:tcW w:w="2349" w:type="pct"/>
            <w:tcBorders>
              <w:top w:val="single" w:sz="4" w:space="0" w:color="606075"/>
              <w:left w:val="single" w:sz="4" w:space="0" w:color="606075"/>
              <w:bottom w:val="single" w:sz="4" w:space="0" w:color="606075"/>
              <w:right w:val="single" w:sz="4" w:space="0" w:color="606075"/>
            </w:tcBorders>
            <w:noWrap/>
            <w:vAlign w:val="center"/>
          </w:tcPr>
          <w:p w14:paraId="6A719F4B" w14:textId="77777777" w:rsidR="008D41BF" w:rsidRPr="005060E0" w:rsidRDefault="008D41BF" w:rsidP="00E364C2">
            <w:pPr>
              <w:tabs>
                <w:tab w:val="left" w:pos="6804"/>
              </w:tabs>
              <w:spacing w:before="60" w:after="60" w:line="240" w:lineRule="auto"/>
              <w:ind w:right="526"/>
              <w:jc w:val="center"/>
              <w:rPr>
                <w:rFonts w:eastAsia="Times New Roman" w:cstheme="majorHAnsi"/>
                <w:bCs/>
                <w:kern w:val="32"/>
                <w:sz w:val="16"/>
                <w:szCs w:val="16"/>
                <w:lang w:bidi="en-US"/>
              </w:rPr>
            </w:pPr>
            <w:r w:rsidRPr="005060E0">
              <w:rPr>
                <w:rFonts w:eastAsia="Times New Roman" w:cstheme="majorHAnsi"/>
                <w:bCs/>
                <w:kern w:val="32"/>
                <w:sz w:val="16"/>
                <w:szCs w:val="16"/>
                <w:lang w:bidi="en-US"/>
              </w:rPr>
              <w:t>270,000</w:t>
            </w:r>
          </w:p>
        </w:tc>
      </w:tr>
      <w:tr w:rsidR="008D41BF" w:rsidRPr="005060E0" w14:paraId="73D290E7" w14:textId="77777777" w:rsidTr="007444E2">
        <w:trPr>
          <w:trHeight w:hRule="exact" w:val="340"/>
          <w:jc w:val="center"/>
        </w:trPr>
        <w:tc>
          <w:tcPr>
            <w:tcW w:w="2651" w:type="pct"/>
            <w:tcBorders>
              <w:top w:val="single" w:sz="4" w:space="0" w:color="606075"/>
              <w:left w:val="single" w:sz="4" w:space="0" w:color="606075"/>
              <w:bottom w:val="single" w:sz="4" w:space="0" w:color="606075"/>
              <w:right w:val="single" w:sz="4" w:space="0" w:color="606075"/>
            </w:tcBorders>
            <w:noWrap/>
            <w:vAlign w:val="center"/>
          </w:tcPr>
          <w:p w14:paraId="1EC1B96C" w14:textId="77777777" w:rsidR="008D41BF" w:rsidRPr="005060E0" w:rsidRDefault="008D41BF" w:rsidP="00E364C2">
            <w:pPr>
              <w:tabs>
                <w:tab w:val="left" w:pos="6804"/>
              </w:tabs>
              <w:spacing w:before="60" w:after="60" w:line="240" w:lineRule="auto"/>
              <w:rPr>
                <w:rFonts w:eastAsia="Times New Roman" w:cstheme="majorHAnsi"/>
                <w:bCs/>
                <w:kern w:val="32"/>
                <w:sz w:val="16"/>
                <w:szCs w:val="16"/>
                <w:lang w:bidi="en-US"/>
              </w:rPr>
            </w:pPr>
            <w:r w:rsidRPr="005060E0">
              <w:rPr>
                <w:rFonts w:eastAsia="Times New Roman" w:cstheme="majorHAnsi"/>
                <w:bCs/>
                <w:kern w:val="32"/>
                <w:sz w:val="16"/>
                <w:szCs w:val="16"/>
                <w:lang w:bidi="en-US"/>
              </w:rPr>
              <w:t>VIC: Port Phillip Region</w:t>
            </w:r>
          </w:p>
        </w:tc>
        <w:tc>
          <w:tcPr>
            <w:tcW w:w="2349" w:type="pct"/>
            <w:tcBorders>
              <w:top w:val="single" w:sz="4" w:space="0" w:color="606075"/>
              <w:left w:val="single" w:sz="4" w:space="0" w:color="606075"/>
              <w:bottom w:val="single" w:sz="4" w:space="0" w:color="606075"/>
              <w:right w:val="single" w:sz="4" w:space="0" w:color="606075"/>
            </w:tcBorders>
            <w:noWrap/>
            <w:vAlign w:val="center"/>
          </w:tcPr>
          <w:p w14:paraId="08F32B58" w14:textId="77777777" w:rsidR="008D41BF" w:rsidRPr="005060E0" w:rsidRDefault="008D41BF" w:rsidP="00E364C2">
            <w:pPr>
              <w:tabs>
                <w:tab w:val="left" w:pos="6804"/>
              </w:tabs>
              <w:spacing w:before="60" w:after="60" w:line="240" w:lineRule="auto"/>
              <w:ind w:right="526"/>
              <w:jc w:val="center"/>
              <w:rPr>
                <w:rFonts w:eastAsia="Times New Roman" w:cstheme="majorHAnsi"/>
                <w:bCs/>
                <w:kern w:val="32"/>
                <w:sz w:val="16"/>
                <w:szCs w:val="16"/>
                <w:lang w:bidi="en-US"/>
              </w:rPr>
            </w:pPr>
            <w:r w:rsidRPr="005060E0">
              <w:rPr>
                <w:rFonts w:eastAsia="Times New Roman" w:cstheme="majorHAnsi"/>
                <w:bCs/>
                <w:kern w:val="32"/>
                <w:sz w:val="16"/>
                <w:szCs w:val="16"/>
                <w:lang w:bidi="en-US"/>
              </w:rPr>
              <w:t>130,000</w:t>
            </w:r>
          </w:p>
        </w:tc>
      </w:tr>
      <w:tr w:rsidR="008D41BF" w:rsidRPr="005060E0" w14:paraId="67B42EE7" w14:textId="77777777" w:rsidTr="007444E2">
        <w:trPr>
          <w:trHeight w:hRule="exact" w:val="340"/>
          <w:jc w:val="center"/>
        </w:trPr>
        <w:tc>
          <w:tcPr>
            <w:tcW w:w="2651" w:type="pct"/>
            <w:tcBorders>
              <w:top w:val="single" w:sz="4" w:space="0" w:color="606075"/>
              <w:left w:val="single" w:sz="4" w:space="0" w:color="606075"/>
              <w:bottom w:val="single" w:sz="4" w:space="0" w:color="606075"/>
              <w:right w:val="single" w:sz="4" w:space="0" w:color="606075"/>
            </w:tcBorders>
            <w:noWrap/>
            <w:vAlign w:val="center"/>
          </w:tcPr>
          <w:p w14:paraId="700DE820" w14:textId="77777777" w:rsidR="008D41BF" w:rsidRPr="005060E0" w:rsidRDefault="008D41BF" w:rsidP="00E364C2">
            <w:pPr>
              <w:tabs>
                <w:tab w:val="left" w:pos="6804"/>
              </w:tabs>
              <w:spacing w:before="60" w:after="60" w:line="240" w:lineRule="auto"/>
              <w:rPr>
                <w:rFonts w:eastAsia="Times New Roman" w:cstheme="majorHAnsi"/>
                <w:bCs/>
                <w:kern w:val="32"/>
                <w:sz w:val="16"/>
                <w:szCs w:val="16"/>
                <w:lang w:bidi="en-US"/>
              </w:rPr>
            </w:pPr>
            <w:r w:rsidRPr="005060E0">
              <w:rPr>
                <w:rFonts w:eastAsia="Times New Roman" w:cstheme="majorHAnsi"/>
                <w:bCs/>
                <w:kern w:val="32"/>
                <w:sz w:val="16"/>
                <w:szCs w:val="16"/>
                <w:lang w:bidi="en-US"/>
              </w:rPr>
              <w:t>QLD: South-East Queensland</w:t>
            </w:r>
          </w:p>
        </w:tc>
        <w:tc>
          <w:tcPr>
            <w:tcW w:w="2349" w:type="pct"/>
            <w:tcBorders>
              <w:top w:val="single" w:sz="4" w:space="0" w:color="606075"/>
              <w:left w:val="single" w:sz="4" w:space="0" w:color="606075"/>
              <w:bottom w:val="single" w:sz="4" w:space="0" w:color="606075"/>
              <w:right w:val="single" w:sz="4" w:space="0" w:color="606075"/>
            </w:tcBorders>
            <w:noWrap/>
            <w:vAlign w:val="center"/>
          </w:tcPr>
          <w:p w14:paraId="608EF75A" w14:textId="77777777" w:rsidR="008D41BF" w:rsidRPr="005060E0" w:rsidRDefault="008D41BF" w:rsidP="00E364C2">
            <w:pPr>
              <w:tabs>
                <w:tab w:val="left" w:pos="6804"/>
              </w:tabs>
              <w:spacing w:before="60" w:after="60" w:line="240" w:lineRule="auto"/>
              <w:ind w:right="526"/>
              <w:jc w:val="center"/>
              <w:rPr>
                <w:rFonts w:eastAsia="Times New Roman" w:cstheme="majorHAnsi"/>
                <w:bCs/>
                <w:kern w:val="32"/>
                <w:sz w:val="16"/>
                <w:szCs w:val="16"/>
                <w:lang w:bidi="en-US"/>
              </w:rPr>
            </w:pPr>
            <w:r w:rsidRPr="005060E0">
              <w:rPr>
                <w:rFonts w:eastAsia="Times New Roman" w:cstheme="majorHAnsi"/>
                <w:bCs/>
                <w:kern w:val="32"/>
                <w:sz w:val="16"/>
                <w:szCs w:val="16"/>
                <w:lang w:bidi="en-US"/>
              </w:rPr>
              <w:t>88,000</w:t>
            </w:r>
          </w:p>
        </w:tc>
      </w:tr>
      <w:tr w:rsidR="008D41BF" w:rsidRPr="005060E0" w14:paraId="772A6AC2" w14:textId="77777777" w:rsidTr="007444E2">
        <w:trPr>
          <w:trHeight w:hRule="exact" w:val="340"/>
          <w:jc w:val="center"/>
        </w:trPr>
        <w:tc>
          <w:tcPr>
            <w:tcW w:w="2651" w:type="pct"/>
            <w:tcBorders>
              <w:top w:val="single" w:sz="4" w:space="0" w:color="606075"/>
              <w:left w:val="single" w:sz="4" w:space="0" w:color="606075"/>
              <w:bottom w:val="single" w:sz="4" w:space="0" w:color="606075"/>
              <w:right w:val="single" w:sz="4" w:space="0" w:color="606075"/>
            </w:tcBorders>
            <w:noWrap/>
            <w:vAlign w:val="center"/>
          </w:tcPr>
          <w:p w14:paraId="067853C0" w14:textId="77777777" w:rsidR="008D41BF" w:rsidRPr="005060E0" w:rsidRDefault="008D41BF" w:rsidP="00E364C2">
            <w:pPr>
              <w:tabs>
                <w:tab w:val="left" w:pos="6804"/>
              </w:tabs>
              <w:spacing w:before="60" w:after="60" w:line="240" w:lineRule="auto"/>
              <w:rPr>
                <w:rFonts w:eastAsia="Times New Roman" w:cstheme="majorHAnsi"/>
                <w:bCs/>
                <w:kern w:val="32"/>
                <w:sz w:val="16"/>
                <w:szCs w:val="16"/>
                <w:lang w:bidi="en-US"/>
              </w:rPr>
            </w:pPr>
            <w:r w:rsidRPr="005060E0">
              <w:rPr>
                <w:rFonts w:eastAsia="Times New Roman" w:cstheme="majorHAnsi"/>
                <w:bCs/>
                <w:kern w:val="32"/>
                <w:sz w:val="16"/>
                <w:szCs w:val="16"/>
                <w:lang w:bidi="en-US"/>
              </w:rPr>
              <w:t>SA: Adelaide</w:t>
            </w:r>
          </w:p>
        </w:tc>
        <w:tc>
          <w:tcPr>
            <w:tcW w:w="2349" w:type="pct"/>
            <w:tcBorders>
              <w:top w:val="single" w:sz="4" w:space="0" w:color="606075"/>
              <w:left w:val="single" w:sz="4" w:space="0" w:color="606075"/>
              <w:bottom w:val="single" w:sz="4" w:space="0" w:color="606075"/>
              <w:right w:val="single" w:sz="4" w:space="0" w:color="606075"/>
            </w:tcBorders>
            <w:noWrap/>
            <w:vAlign w:val="center"/>
          </w:tcPr>
          <w:p w14:paraId="51319B94" w14:textId="77777777" w:rsidR="008D41BF" w:rsidRPr="005060E0" w:rsidRDefault="008D41BF" w:rsidP="00E364C2">
            <w:pPr>
              <w:tabs>
                <w:tab w:val="left" w:pos="6804"/>
              </w:tabs>
              <w:spacing w:before="60" w:after="60" w:line="240" w:lineRule="auto"/>
              <w:ind w:right="526"/>
              <w:jc w:val="center"/>
              <w:rPr>
                <w:rFonts w:eastAsia="Times New Roman" w:cstheme="majorHAnsi"/>
                <w:bCs/>
                <w:kern w:val="32"/>
                <w:sz w:val="16"/>
                <w:szCs w:val="16"/>
                <w:lang w:bidi="en-US"/>
              </w:rPr>
            </w:pPr>
            <w:r w:rsidRPr="005060E0">
              <w:rPr>
                <w:rFonts w:eastAsia="Times New Roman" w:cstheme="majorHAnsi"/>
                <w:bCs/>
                <w:kern w:val="32"/>
                <w:sz w:val="16"/>
                <w:szCs w:val="16"/>
                <w:lang w:bidi="en-US"/>
              </w:rPr>
              <w:t>36,000</w:t>
            </w:r>
          </w:p>
        </w:tc>
      </w:tr>
      <w:tr w:rsidR="008D41BF" w:rsidRPr="005060E0" w14:paraId="5A9E2B0B" w14:textId="77777777" w:rsidTr="007444E2">
        <w:trPr>
          <w:trHeight w:hRule="exact" w:val="340"/>
          <w:jc w:val="center"/>
        </w:trPr>
        <w:tc>
          <w:tcPr>
            <w:tcW w:w="2651" w:type="pct"/>
            <w:tcBorders>
              <w:top w:val="single" w:sz="4" w:space="0" w:color="606075"/>
              <w:left w:val="single" w:sz="4" w:space="0" w:color="606075"/>
              <w:bottom w:val="single" w:sz="4" w:space="0" w:color="606075"/>
              <w:right w:val="single" w:sz="4" w:space="0" w:color="606075"/>
            </w:tcBorders>
            <w:noWrap/>
            <w:vAlign w:val="center"/>
          </w:tcPr>
          <w:p w14:paraId="314E8731" w14:textId="77777777" w:rsidR="008D41BF" w:rsidRPr="005060E0" w:rsidRDefault="008D41BF" w:rsidP="00E364C2">
            <w:pPr>
              <w:tabs>
                <w:tab w:val="left" w:pos="6804"/>
              </w:tabs>
              <w:spacing w:before="60" w:after="60" w:line="240" w:lineRule="auto"/>
              <w:rPr>
                <w:rFonts w:eastAsia="Times New Roman" w:cstheme="majorHAnsi"/>
                <w:bCs/>
                <w:kern w:val="32"/>
                <w:sz w:val="16"/>
                <w:szCs w:val="16"/>
                <w:lang w:bidi="en-US"/>
              </w:rPr>
            </w:pPr>
            <w:r w:rsidRPr="005060E0">
              <w:rPr>
                <w:rFonts w:eastAsia="Times New Roman" w:cstheme="majorHAnsi"/>
                <w:bCs/>
                <w:kern w:val="32"/>
                <w:sz w:val="16"/>
                <w:szCs w:val="16"/>
                <w:lang w:bidi="en-US"/>
              </w:rPr>
              <w:t>WA: Perth</w:t>
            </w:r>
          </w:p>
        </w:tc>
        <w:tc>
          <w:tcPr>
            <w:tcW w:w="2349" w:type="pct"/>
            <w:tcBorders>
              <w:top w:val="single" w:sz="4" w:space="0" w:color="606075"/>
              <w:left w:val="single" w:sz="4" w:space="0" w:color="606075"/>
              <w:bottom w:val="single" w:sz="4" w:space="0" w:color="606075"/>
              <w:right w:val="single" w:sz="4" w:space="0" w:color="606075"/>
            </w:tcBorders>
            <w:noWrap/>
            <w:vAlign w:val="center"/>
          </w:tcPr>
          <w:p w14:paraId="2CA5403D" w14:textId="77777777" w:rsidR="008D41BF" w:rsidRPr="005060E0" w:rsidRDefault="008D41BF" w:rsidP="00E364C2">
            <w:pPr>
              <w:tabs>
                <w:tab w:val="left" w:pos="6804"/>
              </w:tabs>
              <w:spacing w:before="60" w:after="60" w:line="240" w:lineRule="auto"/>
              <w:ind w:right="526"/>
              <w:jc w:val="center"/>
              <w:rPr>
                <w:rFonts w:eastAsia="Times New Roman" w:cstheme="majorHAnsi"/>
                <w:bCs/>
                <w:kern w:val="32"/>
                <w:sz w:val="16"/>
                <w:szCs w:val="16"/>
                <w:lang w:bidi="en-US"/>
              </w:rPr>
            </w:pPr>
            <w:r w:rsidRPr="005060E0">
              <w:rPr>
                <w:rFonts w:eastAsia="Times New Roman" w:cstheme="majorHAnsi"/>
                <w:bCs/>
                <w:kern w:val="32"/>
                <w:sz w:val="16"/>
                <w:szCs w:val="16"/>
                <w:lang w:bidi="en-US"/>
              </w:rPr>
              <w:t>51,000</w:t>
            </w:r>
          </w:p>
        </w:tc>
      </w:tr>
      <w:tr w:rsidR="008D41BF" w:rsidRPr="005060E0" w14:paraId="13492E4E" w14:textId="77777777" w:rsidTr="007444E2">
        <w:trPr>
          <w:trHeight w:hRule="exact" w:val="340"/>
          <w:jc w:val="center"/>
        </w:trPr>
        <w:tc>
          <w:tcPr>
            <w:tcW w:w="2651" w:type="pct"/>
            <w:tcBorders>
              <w:top w:val="single" w:sz="4" w:space="0" w:color="606075"/>
              <w:left w:val="single" w:sz="4" w:space="0" w:color="606075"/>
              <w:bottom w:val="single" w:sz="4" w:space="0" w:color="606075"/>
              <w:right w:val="single" w:sz="4" w:space="0" w:color="606075"/>
            </w:tcBorders>
            <w:noWrap/>
            <w:vAlign w:val="center"/>
            <w:hideMark/>
          </w:tcPr>
          <w:p w14:paraId="00E61865" w14:textId="77777777" w:rsidR="008D41BF" w:rsidRPr="005060E0" w:rsidRDefault="008D41BF" w:rsidP="00E364C2">
            <w:pPr>
              <w:tabs>
                <w:tab w:val="left" w:pos="6804"/>
              </w:tabs>
              <w:spacing w:before="60" w:after="60" w:line="240" w:lineRule="auto"/>
              <w:rPr>
                <w:rFonts w:eastAsia="Times New Roman" w:cstheme="majorHAnsi"/>
                <w:bCs/>
                <w:kern w:val="32"/>
                <w:sz w:val="16"/>
                <w:szCs w:val="16"/>
                <w:lang w:bidi="en-US"/>
              </w:rPr>
            </w:pPr>
            <w:r w:rsidRPr="005060E0">
              <w:rPr>
                <w:rFonts w:eastAsia="Times New Roman" w:cstheme="majorHAnsi"/>
                <w:bCs/>
                <w:kern w:val="32"/>
                <w:sz w:val="16"/>
                <w:szCs w:val="16"/>
                <w:lang w:bidi="en-US"/>
              </w:rPr>
              <w:t>TAS: Hobart</w:t>
            </w:r>
          </w:p>
        </w:tc>
        <w:tc>
          <w:tcPr>
            <w:tcW w:w="2349" w:type="pct"/>
            <w:tcBorders>
              <w:top w:val="single" w:sz="4" w:space="0" w:color="606075"/>
              <w:left w:val="single" w:sz="4" w:space="0" w:color="606075"/>
              <w:bottom w:val="single" w:sz="4" w:space="0" w:color="606075"/>
              <w:right w:val="single" w:sz="4" w:space="0" w:color="606075"/>
            </w:tcBorders>
            <w:noWrap/>
            <w:vAlign w:val="center"/>
          </w:tcPr>
          <w:p w14:paraId="1642948A" w14:textId="77777777" w:rsidR="008D41BF" w:rsidRPr="005060E0" w:rsidRDefault="008D41BF" w:rsidP="00E364C2">
            <w:pPr>
              <w:tabs>
                <w:tab w:val="left" w:pos="6804"/>
              </w:tabs>
              <w:spacing w:before="60" w:after="60" w:line="240" w:lineRule="auto"/>
              <w:ind w:right="526"/>
              <w:jc w:val="center"/>
              <w:rPr>
                <w:rFonts w:eastAsia="Times New Roman" w:cstheme="majorHAnsi"/>
                <w:bCs/>
                <w:kern w:val="32"/>
                <w:sz w:val="16"/>
                <w:szCs w:val="16"/>
                <w:lang w:bidi="en-US"/>
              </w:rPr>
            </w:pPr>
            <w:r w:rsidRPr="005060E0">
              <w:rPr>
                <w:rFonts w:eastAsia="Times New Roman" w:cstheme="majorHAnsi"/>
                <w:bCs/>
                <w:kern w:val="32"/>
                <w:sz w:val="16"/>
                <w:szCs w:val="16"/>
                <w:lang w:bidi="en-US"/>
              </w:rPr>
              <w:t>6,800</w:t>
            </w:r>
          </w:p>
        </w:tc>
      </w:tr>
      <w:tr w:rsidR="008D41BF" w:rsidRPr="005060E0" w14:paraId="495DAD7F" w14:textId="77777777" w:rsidTr="007444E2">
        <w:trPr>
          <w:trHeight w:hRule="exact" w:val="340"/>
          <w:jc w:val="center"/>
        </w:trPr>
        <w:tc>
          <w:tcPr>
            <w:tcW w:w="2651" w:type="pct"/>
            <w:tcBorders>
              <w:top w:val="single" w:sz="4" w:space="0" w:color="606075"/>
              <w:left w:val="single" w:sz="4" w:space="0" w:color="606075"/>
              <w:bottom w:val="single" w:sz="4" w:space="0" w:color="606075"/>
              <w:right w:val="single" w:sz="4" w:space="0" w:color="606075"/>
            </w:tcBorders>
            <w:noWrap/>
            <w:vAlign w:val="center"/>
          </w:tcPr>
          <w:p w14:paraId="79821FD7" w14:textId="77777777" w:rsidR="008D41BF" w:rsidRPr="005060E0" w:rsidRDefault="008D41BF" w:rsidP="00E364C2">
            <w:pPr>
              <w:tabs>
                <w:tab w:val="left" w:pos="6804"/>
              </w:tabs>
              <w:spacing w:before="60" w:after="60" w:line="240" w:lineRule="auto"/>
              <w:rPr>
                <w:rFonts w:eastAsia="Times New Roman" w:cstheme="majorHAnsi"/>
                <w:bCs/>
                <w:kern w:val="32"/>
                <w:sz w:val="16"/>
                <w:szCs w:val="16"/>
                <w:lang w:bidi="en-US"/>
              </w:rPr>
            </w:pPr>
            <w:r w:rsidRPr="005060E0">
              <w:rPr>
                <w:rFonts w:eastAsia="Times New Roman" w:cstheme="majorHAnsi"/>
                <w:bCs/>
                <w:kern w:val="32"/>
                <w:sz w:val="16"/>
                <w:szCs w:val="16"/>
                <w:lang w:bidi="en-US"/>
              </w:rPr>
              <w:t>NT: Darwin</w:t>
            </w:r>
          </w:p>
        </w:tc>
        <w:tc>
          <w:tcPr>
            <w:tcW w:w="2349" w:type="pct"/>
            <w:tcBorders>
              <w:top w:val="single" w:sz="4" w:space="0" w:color="606075"/>
              <w:left w:val="single" w:sz="4" w:space="0" w:color="606075"/>
              <w:bottom w:val="single" w:sz="4" w:space="0" w:color="606075"/>
              <w:right w:val="single" w:sz="4" w:space="0" w:color="606075"/>
            </w:tcBorders>
            <w:noWrap/>
            <w:vAlign w:val="center"/>
          </w:tcPr>
          <w:p w14:paraId="100C77D4" w14:textId="77777777" w:rsidR="008D41BF" w:rsidRPr="005060E0" w:rsidRDefault="008D41BF" w:rsidP="00E364C2">
            <w:pPr>
              <w:tabs>
                <w:tab w:val="left" w:pos="6804"/>
              </w:tabs>
              <w:spacing w:before="60" w:after="60" w:line="240" w:lineRule="auto"/>
              <w:ind w:right="526"/>
              <w:jc w:val="center"/>
              <w:rPr>
                <w:rFonts w:eastAsia="Times New Roman" w:cstheme="majorHAnsi"/>
                <w:bCs/>
                <w:kern w:val="32"/>
                <w:sz w:val="16"/>
                <w:szCs w:val="16"/>
                <w:lang w:bidi="en-US"/>
              </w:rPr>
            </w:pPr>
            <w:r w:rsidRPr="005060E0">
              <w:rPr>
                <w:rFonts w:eastAsia="Times New Roman" w:cstheme="majorHAnsi"/>
                <w:bCs/>
                <w:kern w:val="32"/>
                <w:sz w:val="16"/>
                <w:szCs w:val="16"/>
                <w:lang w:bidi="en-US"/>
              </w:rPr>
              <w:t>12,000</w:t>
            </w:r>
          </w:p>
        </w:tc>
      </w:tr>
      <w:tr w:rsidR="008D41BF" w:rsidRPr="005060E0" w14:paraId="4A3D1CD7" w14:textId="77777777" w:rsidTr="007444E2">
        <w:trPr>
          <w:trHeight w:hRule="exact" w:val="340"/>
          <w:jc w:val="center"/>
        </w:trPr>
        <w:tc>
          <w:tcPr>
            <w:tcW w:w="2651" w:type="pct"/>
            <w:tcBorders>
              <w:top w:val="single" w:sz="4" w:space="0" w:color="606075"/>
              <w:left w:val="single" w:sz="4" w:space="0" w:color="606075"/>
              <w:bottom w:val="single" w:sz="4" w:space="0" w:color="606075"/>
              <w:right w:val="single" w:sz="4" w:space="0" w:color="606075"/>
            </w:tcBorders>
            <w:noWrap/>
            <w:vAlign w:val="center"/>
          </w:tcPr>
          <w:p w14:paraId="29D5C4CB" w14:textId="77777777" w:rsidR="008D41BF" w:rsidRPr="005060E0" w:rsidRDefault="008D41BF" w:rsidP="00E364C2">
            <w:pPr>
              <w:tabs>
                <w:tab w:val="left" w:pos="6804"/>
              </w:tabs>
              <w:spacing w:before="60" w:after="60" w:line="240" w:lineRule="auto"/>
              <w:rPr>
                <w:rFonts w:eastAsia="Times New Roman" w:cstheme="majorHAnsi"/>
                <w:bCs/>
                <w:kern w:val="32"/>
                <w:sz w:val="16"/>
                <w:szCs w:val="16"/>
                <w:lang w:bidi="en-US"/>
              </w:rPr>
            </w:pPr>
            <w:r w:rsidRPr="005060E0">
              <w:rPr>
                <w:rFonts w:eastAsia="Times New Roman" w:cstheme="majorHAnsi"/>
                <w:bCs/>
                <w:kern w:val="32"/>
                <w:sz w:val="16"/>
                <w:szCs w:val="16"/>
                <w:lang w:bidi="en-US"/>
              </w:rPr>
              <w:t>ACT: Canberra</w:t>
            </w:r>
          </w:p>
        </w:tc>
        <w:tc>
          <w:tcPr>
            <w:tcW w:w="2349" w:type="pct"/>
            <w:tcBorders>
              <w:top w:val="single" w:sz="4" w:space="0" w:color="606075"/>
              <w:left w:val="single" w:sz="4" w:space="0" w:color="606075"/>
              <w:bottom w:val="single" w:sz="4" w:space="0" w:color="606075"/>
              <w:right w:val="single" w:sz="4" w:space="0" w:color="606075"/>
            </w:tcBorders>
            <w:noWrap/>
            <w:vAlign w:val="center"/>
          </w:tcPr>
          <w:p w14:paraId="08EB698E" w14:textId="77777777" w:rsidR="008D41BF" w:rsidRPr="005060E0" w:rsidRDefault="008D41BF" w:rsidP="00E364C2">
            <w:pPr>
              <w:tabs>
                <w:tab w:val="left" w:pos="6804"/>
              </w:tabs>
              <w:spacing w:before="60" w:after="60" w:line="240" w:lineRule="auto"/>
              <w:ind w:right="526"/>
              <w:jc w:val="center"/>
              <w:rPr>
                <w:rFonts w:eastAsia="Times New Roman" w:cstheme="majorHAnsi"/>
                <w:bCs/>
                <w:kern w:val="32"/>
                <w:sz w:val="16"/>
                <w:szCs w:val="16"/>
                <w:lang w:bidi="en-US"/>
              </w:rPr>
            </w:pPr>
            <w:r w:rsidRPr="005060E0">
              <w:rPr>
                <w:rFonts w:eastAsia="Times New Roman" w:cstheme="majorHAnsi"/>
                <w:bCs/>
                <w:kern w:val="32"/>
                <w:sz w:val="16"/>
                <w:szCs w:val="16"/>
                <w:lang w:bidi="en-US"/>
              </w:rPr>
              <w:t>8,100</w:t>
            </w:r>
          </w:p>
        </w:tc>
      </w:tr>
    </w:tbl>
    <w:p w14:paraId="05D72B68" w14:textId="7A7F793F" w:rsidR="00B27CE3" w:rsidRPr="005060E0" w:rsidRDefault="004962E3" w:rsidP="0043533F">
      <w:pPr>
        <w:pStyle w:val="Heading2"/>
      </w:pPr>
      <w:bookmarkStart w:id="157" w:name="_Toc3278966"/>
      <w:bookmarkEnd w:id="156"/>
      <w:r w:rsidRPr="005060E0">
        <w:t>H</w:t>
      </w:r>
      <w:r w:rsidR="008D41BF" w:rsidRPr="005060E0">
        <w:t>ealth evidence</w:t>
      </w:r>
      <w:bookmarkEnd w:id="157"/>
    </w:p>
    <w:p w14:paraId="2AA8F12D" w14:textId="4DF5379A" w:rsidR="00B27CE3" w:rsidRPr="005060E0" w:rsidRDefault="00B27CE3" w:rsidP="00B27CE3">
      <w:pPr>
        <w:spacing w:after="120" w:line="288" w:lineRule="auto"/>
        <w:rPr>
          <w:rFonts w:asciiTheme="minorHAnsi" w:hAnsiTheme="minorHAnsi" w:cstheme="minorHAnsi"/>
          <w:szCs w:val="20"/>
        </w:rPr>
      </w:pPr>
      <w:r w:rsidRPr="005060E0">
        <w:rPr>
          <w:rFonts w:asciiTheme="minorHAnsi" w:hAnsiTheme="minorHAnsi" w:cstheme="minorHAnsi"/>
          <w:szCs w:val="20"/>
        </w:rPr>
        <w:t>A detailed</w:t>
      </w:r>
      <w:r w:rsidR="00E72C9F" w:rsidRPr="005060E0">
        <w:rPr>
          <w:rFonts w:asciiTheme="minorHAnsi" w:hAnsiTheme="minorHAnsi" w:cstheme="minorHAnsi"/>
          <w:szCs w:val="20"/>
        </w:rPr>
        <w:t>, up-to-date</w:t>
      </w:r>
      <w:r w:rsidRPr="005060E0">
        <w:rPr>
          <w:rFonts w:asciiTheme="minorHAnsi" w:hAnsiTheme="minorHAnsi" w:cstheme="minorHAnsi"/>
          <w:szCs w:val="20"/>
        </w:rPr>
        <w:t xml:space="preserve"> review of the health effects of NO</w:t>
      </w:r>
      <w:r w:rsidRPr="005060E0">
        <w:rPr>
          <w:rFonts w:asciiTheme="minorHAnsi" w:hAnsiTheme="minorHAnsi" w:cstheme="minorHAnsi"/>
          <w:szCs w:val="20"/>
          <w:vertAlign w:val="subscript"/>
        </w:rPr>
        <w:t>2</w:t>
      </w:r>
      <w:r w:rsidRPr="005060E0">
        <w:rPr>
          <w:rFonts w:asciiTheme="minorHAnsi" w:hAnsiTheme="minorHAnsi" w:cstheme="minorHAnsi"/>
          <w:szCs w:val="20"/>
        </w:rPr>
        <w:t xml:space="preserve"> can be found in Appendix B</w:t>
      </w:r>
      <w:r w:rsidR="00E72C9F" w:rsidRPr="005060E0">
        <w:rPr>
          <w:rFonts w:asciiTheme="minorHAnsi" w:hAnsiTheme="minorHAnsi" w:cstheme="minorHAnsi"/>
          <w:szCs w:val="20"/>
        </w:rPr>
        <w:t>, and the main findings are summarised below.</w:t>
      </w:r>
    </w:p>
    <w:p w14:paraId="55475C34" w14:textId="5362DD18" w:rsidR="00786B67" w:rsidRPr="005060E0" w:rsidRDefault="00786B67" w:rsidP="00786B67">
      <w:r w:rsidRPr="005060E0">
        <w:t>In recent years there has been a significant increase in the number of studies that have investigated the effects of NO</w:t>
      </w:r>
      <w:r w:rsidRPr="005060E0">
        <w:rPr>
          <w:vertAlign w:val="subscript"/>
        </w:rPr>
        <w:t>2</w:t>
      </w:r>
      <w:r w:rsidRPr="005060E0">
        <w:t xml:space="preserve"> on health. </w:t>
      </w:r>
      <w:r w:rsidR="00683FD8" w:rsidRPr="005060E0">
        <w:t>International reviews (e.g. WHO 2013a; USEPA 2016) have found there is considerable new evidence on the health effects of NO</w:t>
      </w:r>
      <w:r w:rsidR="00683FD8" w:rsidRPr="005060E0">
        <w:rPr>
          <w:vertAlign w:val="subscript"/>
        </w:rPr>
        <w:t>2</w:t>
      </w:r>
      <w:r w:rsidR="00683FD8" w:rsidRPr="005060E0">
        <w:t>, and that these effects are independent of other pollutants, including PM. The results of the recent</w:t>
      </w:r>
      <w:r w:rsidRPr="005060E0">
        <w:t xml:space="preserve"> studies have strengthened the evidence base for independent effects of NO</w:t>
      </w:r>
      <w:r w:rsidRPr="005060E0">
        <w:rPr>
          <w:vertAlign w:val="subscript"/>
        </w:rPr>
        <w:t>2</w:t>
      </w:r>
      <w:r w:rsidRPr="005060E0">
        <w:t xml:space="preserve"> on health,</w:t>
      </w:r>
      <w:r w:rsidR="00683FD8" w:rsidRPr="005060E0">
        <w:t xml:space="preserve"> and for long-term effects</w:t>
      </w:r>
      <w:r w:rsidRPr="005060E0">
        <w:t>, and have led to the lowering of air quality standards for NO</w:t>
      </w:r>
      <w:r w:rsidRPr="005060E0">
        <w:rPr>
          <w:vertAlign w:val="subscript"/>
        </w:rPr>
        <w:t>2</w:t>
      </w:r>
      <w:r w:rsidR="006A33BD" w:rsidRPr="005060E0">
        <w:t xml:space="preserve"> in</w:t>
      </w:r>
      <w:r w:rsidR="004C3A74" w:rsidRPr="005060E0">
        <w:t xml:space="preserve"> some countries</w:t>
      </w:r>
      <w:r w:rsidRPr="005060E0">
        <w:t>.</w:t>
      </w:r>
    </w:p>
    <w:p w14:paraId="6442A5F8" w14:textId="79413F95" w:rsidR="00DE0522" w:rsidRPr="005060E0" w:rsidRDefault="00B27CE3" w:rsidP="00DE0522">
      <w:r w:rsidRPr="005060E0">
        <w:t>Short-term exposure to NO</w:t>
      </w:r>
      <w:r w:rsidRPr="005060E0">
        <w:rPr>
          <w:vertAlign w:val="subscript"/>
        </w:rPr>
        <w:t>2</w:t>
      </w:r>
      <w:r w:rsidRPr="005060E0">
        <w:t xml:space="preserve"> has been linked to increases in all</w:t>
      </w:r>
      <w:r w:rsidR="00736235">
        <w:t>-</w:t>
      </w:r>
      <w:r w:rsidRPr="005060E0">
        <w:t>cause, cardiovascular and respiratory mortality. The recent studies have provided evidence that has strengthened the association with hospital admissions and emergency department visits for respiratory disease including all respi</w:t>
      </w:r>
      <w:r w:rsidR="00754202" w:rsidRPr="005060E0">
        <w:t xml:space="preserve">ratory causes, asthma and </w:t>
      </w:r>
      <w:r w:rsidR="00326071" w:rsidRPr="005060E0">
        <w:t>chronic obstructive pulmonary disease (</w:t>
      </w:r>
      <w:r w:rsidR="00754202" w:rsidRPr="005060E0">
        <w:t>COPD</w:t>
      </w:r>
      <w:r w:rsidR="00326071" w:rsidRPr="005060E0">
        <w:t>)</w:t>
      </w:r>
      <w:r w:rsidR="00754202" w:rsidRPr="005060E0">
        <w:t>.</w:t>
      </w:r>
      <w:r w:rsidR="00683FD8" w:rsidRPr="005060E0">
        <w:t xml:space="preserve"> </w:t>
      </w:r>
      <w:r w:rsidR="00754202" w:rsidRPr="005060E0">
        <w:t>S</w:t>
      </w:r>
      <w:r w:rsidR="00DE0522" w:rsidRPr="005060E0">
        <w:t xml:space="preserve">tudies of children with asthma show associations between nitrogen dioxide and reductions in lung function, increases in cough, night-time asthma and school absenteeism. </w:t>
      </w:r>
      <w:r w:rsidR="00736235">
        <w:t>A</w:t>
      </w:r>
      <w:r w:rsidR="00DE0522" w:rsidRPr="005060E0">
        <w:t>n increase in symptoms in asthmatic children and increases in airway inflam</w:t>
      </w:r>
      <w:r w:rsidR="00754202" w:rsidRPr="005060E0">
        <w:t>mation and hyper-responsiveness</w:t>
      </w:r>
      <w:r w:rsidR="00A406A3">
        <w:t xml:space="preserve"> have also been observed</w:t>
      </w:r>
      <w:r w:rsidR="00DE0522" w:rsidRPr="005060E0">
        <w:t>.</w:t>
      </w:r>
    </w:p>
    <w:p w14:paraId="70C41D0D" w14:textId="4B59FC3B" w:rsidR="00DE0522" w:rsidRPr="005060E0" w:rsidRDefault="00DE0522" w:rsidP="00DE0522">
      <w:r w:rsidRPr="005060E0">
        <w:t>Epidemiological studies of long-term effects of NO</w:t>
      </w:r>
      <w:r w:rsidRPr="005060E0">
        <w:rPr>
          <w:vertAlign w:val="subscript"/>
        </w:rPr>
        <w:t>2</w:t>
      </w:r>
      <w:r w:rsidRPr="005060E0">
        <w:t xml:space="preserve"> exposure on mortality (both respiratory and cardiovascular causes) and </w:t>
      </w:r>
      <w:r w:rsidR="00EB57C9">
        <w:t>on</w:t>
      </w:r>
      <w:r w:rsidR="00EB57C9" w:rsidRPr="005060E0">
        <w:t xml:space="preserve"> </w:t>
      </w:r>
      <w:r w:rsidRPr="005060E0">
        <w:t>children</w:t>
      </w:r>
      <w:r w:rsidR="00EB57C9">
        <w:t>’</w:t>
      </w:r>
      <w:r w:rsidRPr="005060E0">
        <w:t>s respiratory symptoms and lung function also support the conclusion that NO</w:t>
      </w:r>
      <w:r w:rsidRPr="005060E0">
        <w:rPr>
          <w:vertAlign w:val="subscript"/>
        </w:rPr>
        <w:t>2</w:t>
      </w:r>
      <w:r w:rsidRPr="005060E0">
        <w:t xml:space="preserve"> has an independent effect on </w:t>
      </w:r>
      <w:r w:rsidR="00683FD8" w:rsidRPr="005060E0">
        <w:t>health</w:t>
      </w:r>
      <w:r w:rsidR="00754202" w:rsidRPr="005060E0">
        <w:t>.</w:t>
      </w:r>
      <w:r w:rsidR="00683FD8" w:rsidRPr="005060E0">
        <w:t xml:space="preserve"> </w:t>
      </w:r>
      <w:r w:rsidRPr="005060E0">
        <w:t>Long-term exposure to NO</w:t>
      </w:r>
      <w:r w:rsidRPr="005060E0">
        <w:rPr>
          <w:vertAlign w:val="subscript"/>
        </w:rPr>
        <w:t>2</w:t>
      </w:r>
      <w:r w:rsidRPr="005060E0">
        <w:t xml:space="preserve"> has been linked to deficits in lung function growth. There is also strong evidence of an association between long-term exposure to NO</w:t>
      </w:r>
      <w:r w:rsidRPr="005060E0">
        <w:rPr>
          <w:vertAlign w:val="subscript"/>
        </w:rPr>
        <w:t>2</w:t>
      </w:r>
      <w:r w:rsidRPr="005060E0">
        <w:t xml:space="preserve"> and the incidence of asthma and wheeze. This new evidence suggests that NO</w:t>
      </w:r>
      <w:r w:rsidRPr="005060E0">
        <w:rPr>
          <w:vertAlign w:val="subscript"/>
        </w:rPr>
        <w:t>2</w:t>
      </w:r>
      <w:r w:rsidRPr="005060E0">
        <w:t xml:space="preserve"> exposure may actually cause asthma rather than just exacerbate existing asthma. </w:t>
      </w:r>
    </w:p>
    <w:p w14:paraId="3075DD83" w14:textId="0ED5ECE5" w:rsidR="00594DA2" w:rsidRPr="005060E0" w:rsidRDefault="00A07F05" w:rsidP="00A07F05">
      <w:bookmarkStart w:id="158" w:name="_Hlk534379552"/>
      <w:r w:rsidRPr="005060E0">
        <w:t>However, unlike particulate air pollution, which has been studied in detail, there is much greater uncertainty as to the quantitative health impact on large populations of long-term exposure to NO</w:t>
      </w:r>
      <w:r w:rsidR="006B5382" w:rsidRPr="002A1097">
        <w:rPr>
          <w:vertAlign w:val="subscript"/>
        </w:rPr>
        <w:t>2</w:t>
      </w:r>
      <w:r w:rsidRPr="005060E0">
        <w:t>. The evidence is growing, but there is still uncertainty regarding long-term mortality impacts of NO</w:t>
      </w:r>
      <w:r w:rsidRPr="005060E0">
        <w:rPr>
          <w:vertAlign w:val="subscript"/>
        </w:rPr>
        <w:t>2</w:t>
      </w:r>
      <w:r w:rsidRPr="005060E0">
        <w:t xml:space="preserve"> compared </w:t>
      </w:r>
      <w:r w:rsidR="00EB57C9">
        <w:t>to</w:t>
      </w:r>
      <w:r w:rsidR="00EB57C9" w:rsidRPr="005060E0">
        <w:t xml:space="preserve"> </w:t>
      </w:r>
      <w:r w:rsidRPr="005060E0">
        <w:t xml:space="preserve">those associated with particulate matter. </w:t>
      </w:r>
      <w:r w:rsidR="00594DA2" w:rsidRPr="005060E0">
        <w:t xml:space="preserve">This is clearly reflected in the recent report released by the UK Committee </w:t>
      </w:r>
      <w:r w:rsidR="00EB57C9">
        <w:t xml:space="preserve">on the </w:t>
      </w:r>
      <w:r w:rsidR="00594DA2" w:rsidRPr="005060E0">
        <w:t xml:space="preserve">Medical Effects of Air </w:t>
      </w:r>
      <w:r w:rsidR="00EB57C9">
        <w:t>Pollutants</w:t>
      </w:r>
      <w:r w:rsidR="00EB57C9" w:rsidRPr="005060E0">
        <w:t xml:space="preserve"> </w:t>
      </w:r>
      <w:r w:rsidR="00594DA2" w:rsidRPr="005060E0">
        <w:t>(COMEAP), which notes the lack of consensus from within the committee</w:t>
      </w:r>
      <w:r w:rsidR="003C3AC9" w:rsidRPr="005060E0">
        <w:t>,</w:t>
      </w:r>
      <w:r w:rsidR="00594DA2" w:rsidRPr="005060E0">
        <w:t xml:space="preserve"> </w:t>
      </w:r>
      <w:r w:rsidR="00604847" w:rsidRPr="005060E0">
        <w:t xml:space="preserve">in particular </w:t>
      </w:r>
      <w:r w:rsidR="00594DA2" w:rsidRPr="005060E0">
        <w:t>regarding the causality of NO</w:t>
      </w:r>
      <w:r w:rsidR="00594DA2" w:rsidRPr="005060E0">
        <w:rPr>
          <w:vertAlign w:val="subscript"/>
        </w:rPr>
        <w:t>2</w:t>
      </w:r>
      <w:r w:rsidR="00594DA2" w:rsidRPr="005060E0">
        <w:t xml:space="preserve"> associations with mortality, interpretation of results from multi-pollutant models in cohort studies</w:t>
      </w:r>
      <w:r w:rsidR="006B5382">
        <w:t>,</w:t>
      </w:r>
      <w:r w:rsidR="00594DA2" w:rsidRPr="005060E0">
        <w:t xml:space="preserve"> and the estimation of health burden from long-term exposure to NO</w:t>
      </w:r>
      <w:r w:rsidR="00594DA2" w:rsidRPr="005060E0">
        <w:rPr>
          <w:vertAlign w:val="subscript"/>
        </w:rPr>
        <w:t>2</w:t>
      </w:r>
      <w:r w:rsidR="00604847" w:rsidRPr="005060E0">
        <w:t xml:space="preserve"> (COMEAP 2018)</w:t>
      </w:r>
      <w:r w:rsidR="00594DA2" w:rsidRPr="005060E0">
        <w:t xml:space="preserve">. </w:t>
      </w:r>
    </w:p>
    <w:p w14:paraId="2229B82B" w14:textId="109DBBF9" w:rsidR="006E7BBA" w:rsidRPr="005060E0" w:rsidRDefault="00A07F05" w:rsidP="00604847">
      <w:r w:rsidRPr="005060E0">
        <w:t xml:space="preserve">There </w:t>
      </w:r>
      <w:r w:rsidR="006B5382">
        <w:t>are</w:t>
      </w:r>
      <w:r w:rsidR="006B5382" w:rsidRPr="005060E0">
        <w:t xml:space="preserve"> </w:t>
      </w:r>
      <w:r w:rsidRPr="005060E0">
        <w:t xml:space="preserve">only a limited number of large epidemiological studies </w:t>
      </w:r>
      <w:r w:rsidR="006B5382">
        <w:t>that</w:t>
      </w:r>
      <w:r w:rsidR="006B5382" w:rsidRPr="005060E0">
        <w:t xml:space="preserve"> </w:t>
      </w:r>
      <w:r w:rsidRPr="005060E0">
        <w:t>have estimated CRFs for mortality associated with long-term exposure to NO</w:t>
      </w:r>
      <w:r w:rsidR="006B5382" w:rsidRPr="00E33BA6">
        <w:rPr>
          <w:vertAlign w:val="subscript"/>
        </w:rPr>
        <w:t>2</w:t>
      </w:r>
      <w:r w:rsidRPr="005060E0">
        <w:t>. Hence, there is much greater uncertainty associated with determining the appropriate CRF for long-term NO</w:t>
      </w:r>
      <w:r w:rsidRPr="006B5382">
        <w:rPr>
          <w:vertAlign w:val="subscript"/>
        </w:rPr>
        <w:t>2</w:t>
      </w:r>
      <w:r w:rsidRPr="005060E0">
        <w:t xml:space="preserve"> exposure and mortality to use in an assessment of population health outcomes from exposure to NO</w:t>
      </w:r>
      <w:r w:rsidR="006B5382" w:rsidRPr="002A1097">
        <w:rPr>
          <w:vertAlign w:val="subscript"/>
        </w:rPr>
        <w:t>2</w:t>
      </w:r>
      <w:r w:rsidRPr="005060E0">
        <w:t xml:space="preserve">. This uncertainty is reflected by </w:t>
      </w:r>
      <w:r w:rsidR="00604847" w:rsidRPr="005060E0">
        <w:t xml:space="preserve">the </w:t>
      </w:r>
      <w:r w:rsidRPr="005060E0">
        <w:t>WHO HRAPIE report, which classes the long-term mortality CRF for NO</w:t>
      </w:r>
      <w:r w:rsidR="006B5382" w:rsidRPr="002A1097">
        <w:rPr>
          <w:vertAlign w:val="subscript"/>
        </w:rPr>
        <w:t>2</w:t>
      </w:r>
      <w:r w:rsidRPr="005060E0">
        <w:t xml:space="preserve"> as a Group B CRF </w:t>
      </w:r>
      <w:r w:rsidR="006B5382">
        <w:t>‘</w:t>
      </w:r>
      <w:r w:rsidRPr="005060E0">
        <w:t>…. for which there is more uncertainty about the precision of the data used for quantification of effects</w:t>
      </w:r>
      <w:r w:rsidR="006B5382">
        <w:t>’</w:t>
      </w:r>
      <w:r w:rsidRPr="005060E0">
        <w:t xml:space="preserve"> (WHO 2013b).</w:t>
      </w:r>
    </w:p>
    <w:bookmarkEnd w:id="158"/>
    <w:p w14:paraId="5E1E2675" w14:textId="08B86D9C" w:rsidR="00A07F05" w:rsidRPr="005060E0" w:rsidRDefault="00A07F05" w:rsidP="00A07F05">
      <w:r w:rsidRPr="005060E0">
        <w:t>In addition, there is likely to be considerable overlap between the health effects of long-term exposure to NO</w:t>
      </w:r>
      <w:r w:rsidR="006B5382" w:rsidRPr="002A1097">
        <w:rPr>
          <w:vertAlign w:val="subscript"/>
        </w:rPr>
        <w:t>2</w:t>
      </w:r>
      <w:r w:rsidRPr="005060E0">
        <w:t xml:space="preserve"> and PM</w:t>
      </w:r>
      <w:r w:rsidRPr="005060E0">
        <w:rPr>
          <w:vertAlign w:val="subscript"/>
        </w:rPr>
        <w:t>2.5</w:t>
      </w:r>
      <w:r w:rsidRPr="005060E0">
        <w:t xml:space="preserve">, as they are highly correlated. Any method to </w:t>
      </w:r>
      <w:r w:rsidR="006B5382">
        <w:t>quantify</w:t>
      </w:r>
      <w:r w:rsidR="006B5382" w:rsidRPr="005060E0">
        <w:t xml:space="preserve"> </w:t>
      </w:r>
      <w:r w:rsidRPr="005060E0">
        <w:t>the health outcomes associated with NO</w:t>
      </w:r>
      <w:r w:rsidR="006B5382" w:rsidRPr="002A1097">
        <w:rPr>
          <w:vertAlign w:val="subscript"/>
        </w:rPr>
        <w:t>2</w:t>
      </w:r>
      <w:r w:rsidRPr="005060E0">
        <w:t xml:space="preserve"> should include an adjustment to remove the contribution of PM</w:t>
      </w:r>
      <w:r w:rsidRPr="005060E0">
        <w:rPr>
          <w:vertAlign w:val="subscript"/>
        </w:rPr>
        <w:t>2.5</w:t>
      </w:r>
      <w:r w:rsidRPr="005060E0">
        <w:t>.</w:t>
      </w:r>
    </w:p>
    <w:p w14:paraId="13895D1F" w14:textId="28F8DF1F" w:rsidR="00754202" w:rsidRPr="005060E0" w:rsidRDefault="00754202" w:rsidP="00DE0522">
      <w:pPr>
        <w:spacing w:after="120" w:line="288" w:lineRule="auto"/>
        <w:rPr>
          <w:szCs w:val="20"/>
        </w:rPr>
      </w:pPr>
      <w:r w:rsidRPr="005060E0">
        <w:rPr>
          <w:szCs w:val="20"/>
        </w:rPr>
        <w:t xml:space="preserve">Short-term exposure to </w:t>
      </w:r>
      <w:r w:rsidR="00DE0522" w:rsidRPr="005060E0">
        <w:rPr>
          <w:szCs w:val="20"/>
        </w:rPr>
        <w:t>NO</w:t>
      </w:r>
      <w:r w:rsidR="00DE0522" w:rsidRPr="005060E0">
        <w:rPr>
          <w:szCs w:val="20"/>
          <w:vertAlign w:val="subscript"/>
        </w:rPr>
        <w:t>2</w:t>
      </w:r>
      <w:r w:rsidR="00DE0522" w:rsidRPr="005060E0">
        <w:rPr>
          <w:szCs w:val="20"/>
        </w:rPr>
        <w:t xml:space="preserve"> levels currently experienced in Australian cities </w:t>
      </w:r>
      <w:r w:rsidR="006B5382">
        <w:rPr>
          <w:szCs w:val="20"/>
        </w:rPr>
        <w:t>has</w:t>
      </w:r>
      <w:r w:rsidR="006B5382" w:rsidRPr="005060E0">
        <w:rPr>
          <w:szCs w:val="20"/>
        </w:rPr>
        <w:t xml:space="preserve"> </w:t>
      </w:r>
      <w:r w:rsidRPr="005060E0">
        <w:rPr>
          <w:szCs w:val="20"/>
        </w:rPr>
        <w:t xml:space="preserve">been associated with the main </w:t>
      </w:r>
      <w:r w:rsidR="00DE0522" w:rsidRPr="005060E0">
        <w:rPr>
          <w:szCs w:val="20"/>
        </w:rPr>
        <w:t>health outcomes</w:t>
      </w:r>
      <w:r w:rsidRPr="005060E0">
        <w:rPr>
          <w:szCs w:val="20"/>
        </w:rPr>
        <w:t xml:space="preserve"> identified above. N</w:t>
      </w:r>
      <w:r w:rsidR="00DE0522" w:rsidRPr="005060E0">
        <w:rPr>
          <w:szCs w:val="20"/>
        </w:rPr>
        <w:t>o studies investigating the long-term effects of exposure to NO</w:t>
      </w:r>
      <w:r w:rsidR="00DE0522" w:rsidRPr="005060E0">
        <w:rPr>
          <w:szCs w:val="20"/>
          <w:vertAlign w:val="subscript"/>
        </w:rPr>
        <w:t>2</w:t>
      </w:r>
      <w:r w:rsidR="00DE0522" w:rsidRPr="005060E0">
        <w:rPr>
          <w:szCs w:val="20"/>
        </w:rPr>
        <w:t xml:space="preserve"> on health have been conducted in Australia</w:t>
      </w:r>
      <w:r w:rsidRPr="005060E0">
        <w:rPr>
          <w:szCs w:val="20"/>
        </w:rPr>
        <w:t>.</w:t>
      </w:r>
    </w:p>
    <w:p w14:paraId="3C832309" w14:textId="3E81E11E" w:rsidR="008F2559" w:rsidRPr="006B5382" w:rsidRDefault="00683FD8" w:rsidP="000949BD">
      <w:r w:rsidRPr="005060E0">
        <w:t xml:space="preserve">The review of the current literature strengthens the findings of the </w:t>
      </w:r>
      <w:r w:rsidR="00FE23DB" w:rsidRPr="005060E0">
        <w:t>AAQ NEPM</w:t>
      </w:r>
      <w:r w:rsidRPr="005060E0">
        <w:t xml:space="preserve"> review (NEPC 2011a).</w:t>
      </w:r>
      <w:bookmarkStart w:id="159" w:name="_Toc479201557"/>
    </w:p>
    <w:p w14:paraId="78D0ECA9" w14:textId="324FDAA1" w:rsidR="00CB16C9" w:rsidRPr="005060E0" w:rsidRDefault="005128BC" w:rsidP="0043533F">
      <w:pPr>
        <w:pStyle w:val="Heading2"/>
      </w:pPr>
      <w:bookmarkStart w:id="160" w:name="_Toc3278967"/>
      <w:r w:rsidRPr="005060E0">
        <w:t>World Health Organization</w:t>
      </w:r>
      <w:r w:rsidR="004962E3" w:rsidRPr="005060E0">
        <w:t xml:space="preserve"> guidelines</w:t>
      </w:r>
      <w:bookmarkEnd w:id="160"/>
    </w:p>
    <w:p w14:paraId="72EDD808" w14:textId="0E1F6C8B" w:rsidR="004962E3" w:rsidRPr="005060E0" w:rsidRDefault="004962E3" w:rsidP="00163A33">
      <w:pPr>
        <w:spacing w:after="360" w:line="288" w:lineRule="auto"/>
        <w:rPr>
          <w:rFonts w:asciiTheme="minorHAnsi" w:hAnsiTheme="minorHAnsi" w:cstheme="minorHAnsi"/>
          <w:szCs w:val="20"/>
        </w:rPr>
      </w:pPr>
      <w:r w:rsidRPr="005060E0">
        <w:rPr>
          <w:rFonts w:asciiTheme="minorHAnsi" w:hAnsiTheme="minorHAnsi" w:cstheme="minorHAnsi"/>
          <w:szCs w:val="20"/>
        </w:rPr>
        <w:t>The current WHO guidelines for NO</w:t>
      </w:r>
      <w:r w:rsidRPr="005060E0">
        <w:rPr>
          <w:rFonts w:asciiTheme="minorHAnsi" w:hAnsiTheme="minorHAnsi" w:cstheme="minorHAnsi"/>
          <w:szCs w:val="20"/>
          <w:vertAlign w:val="subscript"/>
        </w:rPr>
        <w:t>2</w:t>
      </w:r>
      <w:r w:rsidRPr="005060E0">
        <w:rPr>
          <w:rFonts w:asciiTheme="minorHAnsi" w:hAnsiTheme="minorHAnsi" w:cstheme="minorHAnsi"/>
          <w:szCs w:val="20"/>
        </w:rPr>
        <w:t xml:space="preserve"> are given in</w:t>
      </w:r>
      <w:r w:rsidR="00163A33" w:rsidRPr="005060E0">
        <w:rPr>
          <w:rFonts w:asciiTheme="minorHAnsi" w:hAnsiTheme="minorHAnsi" w:cstheme="minorHAnsi"/>
          <w:szCs w:val="20"/>
        </w:rPr>
        <w:t xml:space="preserve"> </w:t>
      </w:r>
      <w:r w:rsidR="00163A33" w:rsidRPr="005060E0">
        <w:rPr>
          <w:rFonts w:asciiTheme="minorHAnsi" w:hAnsiTheme="minorHAnsi" w:cstheme="minorHAnsi"/>
          <w:szCs w:val="20"/>
        </w:rPr>
        <w:fldChar w:fldCharType="begin"/>
      </w:r>
      <w:r w:rsidR="00163A33" w:rsidRPr="005060E0">
        <w:rPr>
          <w:rFonts w:asciiTheme="minorHAnsi" w:hAnsiTheme="minorHAnsi" w:cstheme="minorHAnsi"/>
          <w:szCs w:val="20"/>
        </w:rPr>
        <w:instrText xml:space="preserve"> REF _Ref508397466 \h </w:instrText>
      </w:r>
      <w:r w:rsidR="00163A33" w:rsidRPr="005060E0">
        <w:rPr>
          <w:rFonts w:asciiTheme="minorHAnsi" w:hAnsiTheme="minorHAnsi" w:cstheme="minorHAnsi"/>
          <w:szCs w:val="20"/>
        </w:rPr>
      </w:r>
      <w:r w:rsidR="00163A33" w:rsidRPr="005060E0">
        <w:rPr>
          <w:rFonts w:asciiTheme="minorHAnsi" w:hAnsiTheme="minorHAnsi" w:cstheme="minorHAnsi"/>
          <w:szCs w:val="20"/>
        </w:rPr>
        <w:fldChar w:fldCharType="separate"/>
      </w:r>
      <w:r w:rsidR="00F2067C" w:rsidRPr="005060E0">
        <w:t xml:space="preserve">Table </w:t>
      </w:r>
      <w:r w:rsidR="00F2067C">
        <w:rPr>
          <w:noProof/>
        </w:rPr>
        <w:t>7</w:t>
      </w:r>
      <w:r w:rsidR="00F2067C" w:rsidRPr="005060E0">
        <w:noBreakHyphen/>
      </w:r>
      <w:r w:rsidR="00F2067C">
        <w:rPr>
          <w:noProof/>
        </w:rPr>
        <w:t>2</w:t>
      </w:r>
      <w:r w:rsidR="00163A33" w:rsidRPr="005060E0">
        <w:rPr>
          <w:rFonts w:asciiTheme="minorHAnsi" w:hAnsiTheme="minorHAnsi" w:cstheme="minorHAnsi"/>
          <w:szCs w:val="20"/>
        </w:rPr>
        <w:fldChar w:fldCharType="end"/>
      </w:r>
      <w:r w:rsidRPr="005060E0">
        <w:rPr>
          <w:rFonts w:asciiTheme="minorHAnsi" w:hAnsiTheme="minorHAnsi" w:cstheme="minorHAnsi"/>
          <w:szCs w:val="20"/>
        </w:rPr>
        <w:t>. These guidelines were defined in the 2005 global update (WHO 2006</w:t>
      </w:r>
      <w:r w:rsidR="006A33BD" w:rsidRPr="005060E0">
        <w:rPr>
          <w:rFonts w:asciiTheme="minorHAnsi" w:hAnsiTheme="minorHAnsi" w:cstheme="minorHAnsi"/>
          <w:szCs w:val="20"/>
        </w:rPr>
        <w:t xml:space="preserve">), although the values for both the 24-hour and annual mean were retained from the previous edition of the guidelines in 2000. </w:t>
      </w:r>
    </w:p>
    <w:p w14:paraId="32CC7BCA" w14:textId="1B9A3C95" w:rsidR="00163A33" w:rsidRPr="005060E0" w:rsidRDefault="00163A33" w:rsidP="00163A33">
      <w:pPr>
        <w:pStyle w:val="PBTablecaption"/>
      </w:pPr>
      <w:bookmarkStart w:id="161" w:name="_Ref508397466"/>
      <w:r w:rsidRPr="005060E0">
        <w:t xml:space="preserve">Table </w:t>
      </w:r>
      <w:r w:rsidR="009863AA" w:rsidRPr="005060E0">
        <w:rPr>
          <w:noProof/>
        </w:rPr>
        <w:fldChar w:fldCharType="begin"/>
      </w:r>
      <w:r w:rsidR="009863AA" w:rsidRPr="005060E0">
        <w:rPr>
          <w:noProof/>
        </w:rPr>
        <w:instrText xml:space="preserve"> STYLEREF 1 \s </w:instrText>
      </w:r>
      <w:r w:rsidR="009863AA" w:rsidRPr="005060E0">
        <w:rPr>
          <w:noProof/>
        </w:rPr>
        <w:fldChar w:fldCharType="separate"/>
      </w:r>
      <w:r w:rsidR="00F2067C">
        <w:rPr>
          <w:noProof/>
        </w:rPr>
        <w:t>7</w:t>
      </w:r>
      <w:r w:rsidR="009863AA" w:rsidRPr="005060E0">
        <w:rPr>
          <w:noProof/>
        </w:rPr>
        <w:fldChar w:fldCharType="end"/>
      </w:r>
      <w:r w:rsidRPr="005060E0">
        <w:noBreakHyphen/>
      </w:r>
      <w:r w:rsidR="009863AA" w:rsidRPr="005060E0">
        <w:rPr>
          <w:noProof/>
        </w:rPr>
        <w:fldChar w:fldCharType="begin"/>
      </w:r>
      <w:r w:rsidR="009863AA" w:rsidRPr="005060E0">
        <w:rPr>
          <w:noProof/>
        </w:rPr>
        <w:instrText xml:space="preserve"> SEQ Table \* ARABIC \s 1 </w:instrText>
      </w:r>
      <w:r w:rsidR="009863AA" w:rsidRPr="005060E0">
        <w:rPr>
          <w:noProof/>
        </w:rPr>
        <w:fldChar w:fldCharType="separate"/>
      </w:r>
      <w:r w:rsidR="00F2067C">
        <w:rPr>
          <w:noProof/>
        </w:rPr>
        <w:t>2</w:t>
      </w:r>
      <w:r w:rsidR="009863AA" w:rsidRPr="005060E0">
        <w:rPr>
          <w:noProof/>
        </w:rPr>
        <w:fldChar w:fldCharType="end"/>
      </w:r>
      <w:bookmarkEnd w:id="161"/>
      <w:r w:rsidRPr="005060E0">
        <w:t>: Current WHO guidelines for NO</w:t>
      </w:r>
      <w:r w:rsidRPr="005060E0">
        <w:rPr>
          <w:vertAlign w:val="subscript"/>
        </w:rPr>
        <w:t>2</w:t>
      </w:r>
      <w:r w:rsidRPr="005060E0">
        <w:t xml:space="preserve"> (WHO 2006)</w:t>
      </w:r>
    </w:p>
    <w:tbl>
      <w:tblPr>
        <w:tblStyle w:val="LightList-Accent11"/>
        <w:tblW w:w="5000" w:type="pct"/>
        <w:tblBorders>
          <w:top w:val="single" w:sz="4" w:space="0" w:color="606372" w:themeColor="text2"/>
          <w:left w:val="single" w:sz="4" w:space="0" w:color="606372" w:themeColor="text2"/>
          <w:bottom w:val="single" w:sz="4" w:space="0" w:color="606372" w:themeColor="text2"/>
          <w:right w:val="single" w:sz="4" w:space="0" w:color="606372" w:themeColor="text2"/>
          <w:insideH w:val="single" w:sz="4" w:space="0" w:color="606372" w:themeColor="text2"/>
          <w:insideV w:val="single" w:sz="4" w:space="0" w:color="606372" w:themeColor="text2"/>
        </w:tblBorders>
        <w:tblLook w:val="04A0" w:firstRow="1" w:lastRow="0" w:firstColumn="1" w:lastColumn="0" w:noHBand="0" w:noVBand="1"/>
      </w:tblPr>
      <w:tblGrid>
        <w:gridCol w:w="1415"/>
        <w:gridCol w:w="998"/>
        <w:gridCol w:w="921"/>
        <w:gridCol w:w="924"/>
        <w:gridCol w:w="4000"/>
        <w:gridCol w:w="1371"/>
      </w:tblGrid>
      <w:tr w:rsidR="00163A33" w:rsidRPr="005060E0" w14:paraId="328D42D9" w14:textId="77777777" w:rsidTr="001735DD">
        <w:trPr>
          <w:cnfStyle w:val="100000000000" w:firstRow="1" w:lastRow="0" w:firstColumn="0" w:lastColumn="0" w:oddVBand="0" w:evenVBand="0" w:oddHBand="0" w:evenHBand="0" w:firstRowFirstColumn="0" w:firstRowLastColumn="0" w:lastRowFirstColumn="0" w:lastRowLastColumn="0"/>
          <w:trHeight w:hRule="exact" w:val="340"/>
          <w:tblHeader/>
        </w:trPr>
        <w:tc>
          <w:tcPr>
            <w:cnfStyle w:val="001000000000" w:firstRow="0" w:lastRow="0" w:firstColumn="1" w:lastColumn="0" w:oddVBand="0" w:evenVBand="0" w:oddHBand="0" w:evenHBand="0" w:firstRowFirstColumn="0" w:firstRowLastColumn="0" w:lastRowFirstColumn="0" w:lastRowLastColumn="0"/>
            <w:tcW w:w="735" w:type="pct"/>
            <w:vMerge w:val="restart"/>
            <w:shd w:val="clear" w:color="auto" w:fill="606075"/>
            <w:vAlign w:val="center"/>
          </w:tcPr>
          <w:p w14:paraId="69B5CBAC" w14:textId="21C3E269" w:rsidR="00163A33" w:rsidRPr="005060E0" w:rsidRDefault="006A33BD" w:rsidP="001735DD">
            <w:pPr>
              <w:spacing w:before="60" w:after="60" w:line="240" w:lineRule="auto"/>
              <w:jc w:val="center"/>
              <w:rPr>
                <w:rFonts w:cs="Arial"/>
                <w:b w:val="0"/>
                <w:color w:val="FFFFFF" w:themeColor="background1"/>
                <w:sz w:val="16"/>
                <w:szCs w:val="16"/>
                <w:lang w:val="en-AU"/>
              </w:rPr>
            </w:pPr>
            <w:r w:rsidRPr="005060E0">
              <w:rPr>
                <w:rFonts w:cs="Arial"/>
                <w:b w:val="0"/>
                <w:color w:val="FFFFFF" w:themeColor="background1"/>
                <w:sz w:val="16"/>
                <w:szCs w:val="16"/>
                <w:lang w:val="en-AU"/>
              </w:rPr>
              <w:t>Agency</w:t>
            </w:r>
          </w:p>
        </w:tc>
        <w:tc>
          <w:tcPr>
            <w:tcW w:w="518" w:type="pct"/>
            <w:vMerge w:val="restart"/>
            <w:shd w:val="clear" w:color="auto" w:fill="606075"/>
            <w:vAlign w:val="center"/>
          </w:tcPr>
          <w:p w14:paraId="7E5376C6" w14:textId="77777777" w:rsidR="00163A33" w:rsidRPr="005060E0" w:rsidRDefault="00163A33" w:rsidP="001735D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Averaging period</w:t>
            </w:r>
          </w:p>
        </w:tc>
        <w:tc>
          <w:tcPr>
            <w:tcW w:w="958" w:type="pct"/>
            <w:gridSpan w:val="2"/>
            <w:shd w:val="clear" w:color="auto" w:fill="606075"/>
            <w:vAlign w:val="center"/>
          </w:tcPr>
          <w:p w14:paraId="63007C58" w14:textId="062F0BA0" w:rsidR="00163A33" w:rsidRPr="005060E0" w:rsidRDefault="006A33BD" w:rsidP="001735D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G</w:t>
            </w:r>
            <w:r w:rsidR="00163A33" w:rsidRPr="005060E0">
              <w:rPr>
                <w:rFonts w:cs="Arial"/>
                <w:b w:val="0"/>
                <w:color w:val="FFFFFF" w:themeColor="background1"/>
                <w:sz w:val="16"/>
                <w:szCs w:val="16"/>
                <w:lang w:val="en-AU"/>
              </w:rPr>
              <w:t>uideline</w:t>
            </w:r>
          </w:p>
        </w:tc>
        <w:tc>
          <w:tcPr>
            <w:tcW w:w="2077" w:type="pct"/>
            <w:vMerge w:val="restart"/>
            <w:shd w:val="clear" w:color="auto" w:fill="606075"/>
            <w:vAlign w:val="center"/>
          </w:tcPr>
          <w:p w14:paraId="24AF23E5" w14:textId="77777777" w:rsidR="00163A33" w:rsidRPr="005060E0" w:rsidRDefault="00163A33" w:rsidP="001735D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Form of standard</w:t>
            </w:r>
          </w:p>
        </w:tc>
        <w:tc>
          <w:tcPr>
            <w:tcW w:w="712" w:type="pct"/>
            <w:vMerge w:val="restart"/>
            <w:shd w:val="clear" w:color="auto" w:fill="606075"/>
            <w:vAlign w:val="center"/>
          </w:tcPr>
          <w:p w14:paraId="6E00DF8E" w14:textId="77777777" w:rsidR="00163A33" w:rsidRPr="005060E0" w:rsidRDefault="00163A33" w:rsidP="001735D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Allowable exceedances</w:t>
            </w:r>
          </w:p>
        </w:tc>
      </w:tr>
      <w:tr w:rsidR="00163A33" w:rsidRPr="005060E0" w14:paraId="427F1C7C" w14:textId="77777777" w:rsidTr="001735DD">
        <w:trPr>
          <w:cnfStyle w:val="100000000000" w:firstRow="1" w:lastRow="0" w:firstColumn="0" w:lastColumn="0" w:oddVBand="0" w:evenVBand="0" w:oddHBand="0" w:evenHBand="0" w:firstRowFirstColumn="0" w:firstRowLastColumn="0" w:lastRowFirstColumn="0" w:lastRowLastColumn="0"/>
          <w:trHeight w:hRule="exact" w:val="340"/>
          <w:tblHeader/>
        </w:trPr>
        <w:tc>
          <w:tcPr>
            <w:cnfStyle w:val="001000000000" w:firstRow="0" w:lastRow="0" w:firstColumn="1" w:lastColumn="0" w:oddVBand="0" w:evenVBand="0" w:oddHBand="0" w:evenHBand="0" w:firstRowFirstColumn="0" w:firstRowLastColumn="0" w:lastRowFirstColumn="0" w:lastRowLastColumn="0"/>
            <w:tcW w:w="735" w:type="pct"/>
            <w:vMerge/>
            <w:tcBorders>
              <w:bottom w:val="single" w:sz="4" w:space="0" w:color="606372" w:themeColor="text2"/>
            </w:tcBorders>
            <w:shd w:val="clear" w:color="auto" w:fill="606075"/>
            <w:vAlign w:val="center"/>
          </w:tcPr>
          <w:p w14:paraId="704A46D6" w14:textId="77777777" w:rsidR="00163A33" w:rsidRPr="005060E0" w:rsidRDefault="00163A33" w:rsidP="001735DD">
            <w:pPr>
              <w:spacing w:before="60" w:after="60" w:line="240" w:lineRule="auto"/>
              <w:jc w:val="center"/>
              <w:rPr>
                <w:rFonts w:cs="Arial"/>
                <w:b w:val="0"/>
                <w:color w:val="FFFFFF" w:themeColor="background1"/>
                <w:sz w:val="16"/>
                <w:szCs w:val="16"/>
                <w:lang w:val="en-AU"/>
              </w:rPr>
            </w:pPr>
          </w:p>
        </w:tc>
        <w:tc>
          <w:tcPr>
            <w:tcW w:w="518" w:type="pct"/>
            <w:vMerge/>
            <w:tcBorders>
              <w:bottom w:val="single" w:sz="4" w:space="0" w:color="606372" w:themeColor="text2"/>
            </w:tcBorders>
            <w:shd w:val="clear" w:color="auto" w:fill="606075"/>
            <w:vAlign w:val="center"/>
          </w:tcPr>
          <w:p w14:paraId="6C8C6EEF" w14:textId="77777777" w:rsidR="00163A33" w:rsidRPr="005060E0" w:rsidRDefault="00163A33" w:rsidP="001735D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p>
        </w:tc>
        <w:tc>
          <w:tcPr>
            <w:tcW w:w="478" w:type="pct"/>
            <w:tcBorders>
              <w:bottom w:val="single" w:sz="4" w:space="0" w:color="606372" w:themeColor="text2"/>
            </w:tcBorders>
            <w:shd w:val="clear" w:color="auto" w:fill="606075"/>
            <w:vAlign w:val="center"/>
          </w:tcPr>
          <w:p w14:paraId="6288B5F1" w14:textId="77777777" w:rsidR="00163A33" w:rsidRPr="005060E0" w:rsidRDefault="00163A33" w:rsidP="001735D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ppb</w:t>
            </w:r>
          </w:p>
        </w:tc>
        <w:tc>
          <w:tcPr>
            <w:tcW w:w="480" w:type="pct"/>
            <w:tcBorders>
              <w:bottom w:val="single" w:sz="4" w:space="0" w:color="606372" w:themeColor="text2"/>
            </w:tcBorders>
            <w:shd w:val="clear" w:color="auto" w:fill="606075"/>
            <w:vAlign w:val="center"/>
          </w:tcPr>
          <w:p w14:paraId="31B8C6C7" w14:textId="77777777" w:rsidR="00163A33" w:rsidRPr="005060E0" w:rsidRDefault="00163A33" w:rsidP="001735D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µg/m</w:t>
            </w:r>
            <w:r w:rsidRPr="005060E0">
              <w:rPr>
                <w:rFonts w:cs="Arial"/>
                <w:b w:val="0"/>
                <w:color w:val="FFFFFF" w:themeColor="background1"/>
                <w:sz w:val="16"/>
                <w:szCs w:val="16"/>
                <w:vertAlign w:val="superscript"/>
                <w:lang w:val="en-AU"/>
              </w:rPr>
              <w:t>3</w:t>
            </w:r>
          </w:p>
        </w:tc>
        <w:tc>
          <w:tcPr>
            <w:tcW w:w="2077" w:type="pct"/>
            <w:vMerge/>
            <w:tcBorders>
              <w:bottom w:val="single" w:sz="4" w:space="0" w:color="606372" w:themeColor="text2"/>
            </w:tcBorders>
            <w:shd w:val="clear" w:color="auto" w:fill="606075"/>
            <w:vAlign w:val="center"/>
          </w:tcPr>
          <w:p w14:paraId="18AE8D2C" w14:textId="77777777" w:rsidR="00163A33" w:rsidRPr="005060E0" w:rsidRDefault="00163A33" w:rsidP="001735D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p>
        </w:tc>
        <w:tc>
          <w:tcPr>
            <w:tcW w:w="712" w:type="pct"/>
            <w:vMerge/>
            <w:tcBorders>
              <w:bottom w:val="single" w:sz="4" w:space="0" w:color="606372" w:themeColor="text2"/>
            </w:tcBorders>
            <w:shd w:val="clear" w:color="auto" w:fill="606075"/>
          </w:tcPr>
          <w:p w14:paraId="7B6A9265" w14:textId="77777777" w:rsidR="00163A33" w:rsidRPr="005060E0" w:rsidRDefault="00163A33" w:rsidP="001735D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p>
        </w:tc>
      </w:tr>
      <w:tr w:rsidR="00163A33" w:rsidRPr="005060E0" w14:paraId="765378E6" w14:textId="77777777" w:rsidTr="006A33BD">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735" w:type="pct"/>
            <w:vMerge w:val="restart"/>
            <w:tcBorders>
              <w:top w:val="none" w:sz="0" w:space="0" w:color="auto"/>
              <w:left w:val="none" w:sz="0" w:space="0" w:color="auto"/>
              <w:bottom w:val="none" w:sz="0" w:space="0" w:color="auto"/>
            </w:tcBorders>
            <w:vAlign w:val="center"/>
          </w:tcPr>
          <w:p w14:paraId="21749B30" w14:textId="77777777" w:rsidR="00163A33" w:rsidRPr="005060E0" w:rsidRDefault="00163A33" w:rsidP="001735DD">
            <w:pPr>
              <w:spacing w:before="60" w:after="60" w:line="240" w:lineRule="auto"/>
              <w:jc w:val="center"/>
              <w:rPr>
                <w:rFonts w:cs="Arial"/>
                <w:b w:val="0"/>
                <w:sz w:val="16"/>
                <w:szCs w:val="16"/>
                <w:lang w:val="en-AU"/>
              </w:rPr>
            </w:pPr>
            <w:r w:rsidRPr="005060E0">
              <w:rPr>
                <w:rFonts w:cs="Arial"/>
                <w:b w:val="0"/>
                <w:sz w:val="16"/>
                <w:szCs w:val="16"/>
                <w:lang w:val="en-AU"/>
              </w:rPr>
              <w:t>WHO</w:t>
            </w:r>
          </w:p>
        </w:tc>
        <w:tc>
          <w:tcPr>
            <w:tcW w:w="518" w:type="pct"/>
            <w:tcBorders>
              <w:top w:val="none" w:sz="0" w:space="0" w:color="auto"/>
              <w:bottom w:val="dotted" w:sz="4" w:space="0" w:color="606072"/>
            </w:tcBorders>
            <w:vAlign w:val="center"/>
          </w:tcPr>
          <w:p w14:paraId="1172479F" w14:textId="51217AB6" w:rsidR="00163A33" w:rsidRPr="005060E0" w:rsidRDefault="009863AA" w:rsidP="001735DD">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1</w:t>
            </w:r>
            <w:r w:rsidR="00163A33" w:rsidRPr="005060E0">
              <w:rPr>
                <w:rFonts w:cs="Arial"/>
                <w:sz w:val="16"/>
                <w:szCs w:val="16"/>
                <w:lang w:val="en-AU"/>
              </w:rPr>
              <w:t>-hour</w:t>
            </w:r>
          </w:p>
        </w:tc>
        <w:tc>
          <w:tcPr>
            <w:tcW w:w="478" w:type="pct"/>
            <w:tcBorders>
              <w:top w:val="none" w:sz="0" w:space="0" w:color="auto"/>
              <w:bottom w:val="dotted" w:sz="4" w:space="0" w:color="606072"/>
            </w:tcBorders>
            <w:vAlign w:val="center"/>
          </w:tcPr>
          <w:p w14:paraId="683267AA" w14:textId="23B837E2" w:rsidR="00163A33" w:rsidRPr="005060E0" w:rsidRDefault="00163A33" w:rsidP="001735DD">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97</w:t>
            </w:r>
          </w:p>
        </w:tc>
        <w:tc>
          <w:tcPr>
            <w:tcW w:w="480" w:type="pct"/>
            <w:tcBorders>
              <w:top w:val="none" w:sz="0" w:space="0" w:color="auto"/>
              <w:bottom w:val="dotted" w:sz="4" w:space="0" w:color="606072"/>
            </w:tcBorders>
            <w:vAlign w:val="center"/>
          </w:tcPr>
          <w:p w14:paraId="70BFDAD8" w14:textId="03CA4D1F" w:rsidR="00163A33" w:rsidRPr="005060E0" w:rsidRDefault="00163A33" w:rsidP="001735DD">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200</w:t>
            </w:r>
          </w:p>
        </w:tc>
        <w:tc>
          <w:tcPr>
            <w:tcW w:w="2077" w:type="pct"/>
            <w:tcBorders>
              <w:top w:val="none" w:sz="0" w:space="0" w:color="auto"/>
              <w:bottom w:val="dotted" w:sz="4" w:space="0" w:color="606072"/>
            </w:tcBorders>
            <w:vAlign w:val="center"/>
          </w:tcPr>
          <w:p w14:paraId="0B3B7480" w14:textId="51A7CDDF" w:rsidR="00163A33" w:rsidRPr="005060E0" w:rsidRDefault="001F261C" w:rsidP="001735DD">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Pr>
                <w:rFonts w:cs="Arial"/>
                <w:sz w:val="16"/>
                <w:szCs w:val="16"/>
                <w:lang w:val="en-AU"/>
              </w:rPr>
              <w:t>–</w:t>
            </w:r>
          </w:p>
        </w:tc>
        <w:tc>
          <w:tcPr>
            <w:tcW w:w="712" w:type="pct"/>
            <w:tcBorders>
              <w:top w:val="none" w:sz="0" w:space="0" w:color="auto"/>
              <w:bottom w:val="dotted" w:sz="4" w:space="0" w:color="606072"/>
              <w:right w:val="none" w:sz="0" w:space="0" w:color="auto"/>
            </w:tcBorders>
          </w:tcPr>
          <w:p w14:paraId="02F118DD" w14:textId="5FBAB466" w:rsidR="00163A33" w:rsidRPr="005060E0" w:rsidRDefault="003832E7" w:rsidP="001735DD">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None</w:t>
            </w:r>
          </w:p>
        </w:tc>
      </w:tr>
      <w:tr w:rsidR="00163A33" w:rsidRPr="005060E0" w14:paraId="5349BF59" w14:textId="77777777" w:rsidTr="006A33BD">
        <w:trPr>
          <w:trHeight w:hRule="exact" w:val="340"/>
        </w:trPr>
        <w:tc>
          <w:tcPr>
            <w:cnfStyle w:val="001000000000" w:firstRow="0" w:lastRow="0" w:firstColumn="1" w:lastColumn="0" w:oddVBand="0" w:evenVBand="0" w:oddHBand="0" w:evenHBand="0" w:firstRowFirstColumn="0" w:firstRowLastColumn="0" w:lastRowFirstColumn="0" w:lastRowLastColumn="0"/>
            <w:tcW w:w="735" w:type="pct"/>
            <w:vMerge/>
            <w:tcBorders>
              <w:top w:val="single" w:sz="4" w:space="0" w:color="606372" w:themeColor="text2"/>
              <w:left w:val="single" w:sz="4" w:space="0" w:color="606372" w:themeColor="text2"/>
              <w:bottom w:val="single" w:sz="4" w:space="0" w:color="606372" w:themeColor="text2"/>
            </w:tcBorders>
            <w:vAlign w:val="center"/>
          </w:tcPr>
          <w:p w14:paraId="7B520C9C" w14:textId="77777777" w:rsidR="00163A33" w:rsidRPr="005060E0" w:rsidRDefault="00163A33" w:rsidP="001735DD">
            <w:pPr>
              <w:spacing w:before="60" w:after="60" w:line="240" w:lineRule="auto"/>
              <w:jc w:val="center"/>
              <w:rPr>
                <w:rFonts w:cs="Arial"/>
                <w:b w:val="0"/>
                <w:sz w:val="16"/>
                <w:szCs w:val="16"/>
                <w:lang w:val="en-AU"/>
              </w:rPr>
            </w:pPr>
          </w:p>
        </w:tc>
        <w:tc>
          <w:tcPr>
            <w:tcW w:w="518" w:type="pct"/>
            <w:tcBorders>
              <w:top w:val="dotted" w:sz="4" w:space="0" w:color="606072"/>
              <w:bottom w:val="single" w:sz="4" w:space="0" w:color="606372" w:themeColor="text2"/>
            </w:tcBorders>
            <w:vAlign w:val="center"/>
          </w:tcPr>
          <w:p w14:paraId="15BAB396" w14:textId="745335A4" w:rsidR="00163A33" w:rsidRPr="005060E0" w:rsidRDefault="00163A33" w:rsidP="001735DD">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Annual</w:t>
            </w:r>
          </w:p>
        </w:tc>
        <w:tc>
          <w:tcPr>
            <w:tcW w:w="478" w:type="pct"/>
            <w:tcBorders>
              <w:top w:val="dotted" w:sz="4" w:space="0" w:color="606072"/>
              <w:bottom w:val="single" w:sz="4" w:space="0" w:color="606372" w:themeColor="text2"/>
            </w:tcBorders>
            <w:vAlign w:val="center"/>
          </w:tcPr>
          <w:p w14:paraId="36883F29" w14:textId="4EC53A38" w:rsidR="00163A33" w:rsidRPr="005060E0" w:rsidRDefault="00163A33" w:rsidP="001735DD">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19</w:t>
            </w:r>
          </w:p>
        </w:tc>
        <w:tc>
          <w:tcPr>
            <w:tcW w:w="480" w:type="pct"/>
            <w:tcBorders>
              <w:top w:val="dotted" w:sz="4" w:space="0" w:color="606072"/>
              <w:bottom w:val="single" w:sz="4" w:space="0" w:color="606372" w:themeColor="text2"/>
            </w:tcBorders>
            <w:vAlign w:val="center"/>
          </w:tcPr>
          <w:p w14:paraId="23EBCE2E" w14:textId="3054C051" w:rsidR="00163A33" w:rsidRPr="005060E0" w:rsidRDefault="00163A33" w:rsidP="001735DD">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40</w:t>
            </w:r>
          </w:p>
        </w:tc>
        <w:tc>
          <w:tcPr>
            <w:tcW w:w="2077" w:type="pct"/>
            <w:tcBorders>
              <w:top w:val="dotted" w:sz="4" w:space="0" w:color="606072"/>
              <w:bottom w:val="single" w:sz="4" w:space="0" w:color="606372" w:themeColor="text2"/>
            </w:tcBorders>
            <w:vAlign w:val="center"/>
          </w:tcPr>
          <w:p w14:paraId="28517CB9" w14:textId="49CB95C6" w:rsidR="00163A33" w:rsidRPr="005060E0" w:rsidRDefault="001F261C" w:rsidP="001735DD">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Pr>
                <w:rFonts w:cs="Arial"/>
                <w:sz w:val="16"/>
                <w:szCs w:val="16"/>
                <w:lang w:val="en-AU"/>
              </w:rPr>
              <w:t>–</w:t>
            </w:r>
          </w:p>
        </w:tc>
        <w:tc>
          <w:tcPr>
            <w:tcW w:w="712" w:type="pct"/>
            <w:tcBorders>
              <w:top w:val="dotted" w:sz="4" w:space="0" w:color="606072"/>
              <w:bottom w:val="single" w:sz="4" w:space="0" w:color="606372" w:themeColor="text2"/>
              <w:right w:val="single" w:sz="4" w:space="0" w:color="606372" w:themeColor="text2"/>
            </w:tcBorders>
          </w:tcPr>
          <w:p w14:paraId="592AA005" w14:textId="72D41879" w:rsidR="00163A33" w:rsidRPr="005060E0" w:rsidRDefault="003832E7" w:rsidP="001735DD">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None</w:t>
            </w:r>
          </w:p>
        </w:tc>
      </w:tr>
    </w:tbl>
    <w:p w14:paraId="4F3EA9E0" w14:textId="59E60DDD" w:rsidR="00163A33" w:rsidRPr="005060E0" w:rsidRDefault="00163A33" w:rsidP="00163A33">
      <w:pPr>
        <w:spacing w:after="0" w:line="240" w:lineRule="auto"/>
      </w:pPr>
    </w:p>
    <w:p w14:paraId="0766B459" w14:textId="76B73BC6" w:rsidR="00BB48AE" w:rsidRPr="005060E0" w:rsidRDefault="00BB48AE" w:rsidP="0043533F">
      <w:pPr>
        <w:pStyle w:val="Heading2"/>
      </w:pPr>
      <w:bookmarkStart w:id="162" w:name="_Toc3278968"/>
      <w:r w:rsidRPr="005060E0">
        <w:t xml:space="preserve">Air quality standards in </w:t>
      </w:r>
      <w:r w:rsidR="007116E3" w:rsidRPr="005060E0">
        <w:t>other leading countries</w:t>
      </w:r>
      <w:bookmarkEnd w:id="162"/>
    </w:p>
    <w:p w14:paraId="2B3DCB9A" w14:textId="174A5A90" w:rsidR="00657E9C" w:rsidRPr="005060E0" w:rsidRDefault="00CB16C9" w:rsidP="007444E2">
      <w:pPr>
        <w:spacing w:after="360"/>
      </w:pPr>
      <w:r w:rsidRPr="005060E0">
        <w:t>The current international standards derived to protect human health for NO</w:t>
      </w:r>
      <w:r w:rsidRPr="005060E0">
        <w:rPr>
          <w:vertAlign w:val="subscript"/>
        </w:rPr>
        <w:t>2</w:t>
      </w:r>
      <w:r w:rsidRPr="005060E0">
        <w:t xml:space="preserve"> are summarised in </w:t>
      </w:r>
      <w:r w:rsidRPr="005060E0">
        <w:fldChar w:fldCharType="begin"/>
      </w:r>
      <w:r w:rsidRPr="005060E0">
        <w:instrText xml:space="preserve"> REF _Ref478832734 \h  \* MERGEFORMAT </w:instrText>
      </w:r>
      <w:r w:rsidRPr="005060E0">
        <w:fldChar w:fldCharType="separate"/>
      </w:r>
      <w:r w:rsidR="00F2067C" w:rsidRPr="005060E0">
        <w:t xml:space="preserve">Table </w:t>
      </w:r>
      <w:r w:rsidR="00F2067C">
        <w:rPr>
          <w:noProof/>
        </w:rPr>
        <w:t>7</w:t>
      </w:r>
      <w:r w:rsidR="00F2067C" w:rsidRPr="005060E0">
        <w:rPr>
          <w:noProof/>
        </w:rPr>
        <w:noBreakHyphen/>
      </w:r>
      <w:r w:rsidR="00F2067C">
        <w:rPr>
          <w:noProof/>
        </w:rPr>
        <w:t>3</w:t>
      </w:r>
      <w:r w:rsidRPr="005060E0">
        <w:fldChar w:fldCharType="end"/>
      </w:r>
      <w:r w:rsidRPr="005060E0">
        <w:t xml:space="preserve">. </w:t>
      </w:r>
      <w:r w:rsidR="00F078BE" w:rsidRPr="005060E0">
        <w:t xml:space="preserve">It is worth noting that 24-hour standards (as recommended by </w:t>
      </w:r>
      <w:r w:rsidR="00882FFC">
        <w:t xml:space="preserve">the </w:t>
      </w:r>
      <w:r w:rsidR="00F078BE" w:rsidRPr="005060E0">
        <w:t xml:space="preserve">WHO) are not in common use. </w:t>
      </w:r>
      <w:r w:rsidRPr="005060E0">
        <w:t>As with SO</w:t>
      </w:r>
      <w:r w:rsidRPr="005060E0">
        <w:rPr>
          <w:vertAlign w:val="subscript"/>
        </w:rPr>
        <w:t>2</w:t>
      </w:r>
      <w:r w:rsidRPr="005060E0">
        <w:t xml:space="preserve">, the current </w:t>
      </w:r>
      <w:r w:rsidR="00A36784" w:rsidRPr="005060E0">
        <w:t xml:space="preserve">AAQ </w:t>
      </w:r>
      <w:r w:rsidRPr="005060E0">
        <w:t xml:space="preserve">NEPM standards are less stringent than </w:t>
      </w:r>
      <w:r w:rsidR="00657E9C" w:rsidRPr="005060E0">
        <w:t xml:space="preserve">some of </w:t>
      </w:r>
      <w:r w:rsidRPr="005060E0">
        <w:t>the international standards</w:t>
      </w:r>
      <w:r w:rsidR="00BB48AE" w:rsidRPr="005060E0">
        <w:t>,</w:t>
      </w:r>
      <w:r w:rsidRPr="005060E0">
        <w:t xml:space="preserve"> with the exception of the USEPA annual average. </w:t>
      </w:r>
      <w:r w:rsidR="00657E9C" w:rsidRPr="005060E0">
        <w:t>As noted earlier, the SO</w:t>
      </w:r>
      <w:r w:rsidR="00657E9C" w:rsidRPr="005060E0">
        <w:rPr>
          <w:vertAlign w:val="subscript"/>
        </w:rPr>
        <w:t>2</w:t>
      </w:r>
      <w:r w:rsidR="00657E9C" w:rsidRPr="005060E0">
        <w:t xml:space="preserve"> standards in the AAQ NEPM were adopted in 1998 and were based on the understanding of the health effects at the time.</w:t>
      </w:r>
    </w:p>
    <w:p w14:paraId="616BF7B4" w14:textId="4584213E" w:rsidR="00CB16C9" w:rsidRPr="005060E0" w:rsidRDefault="00CB16C9" w:rsidP="00CB16C9">
      <w:pPr>
        <w:pStyle w:val="PBTablecaption"/>
      </w:pPr>
      <w:bookmarkStart w:id="163" w:name="_Ref478832734"/>
      <w:bookmarkStart w:id="164" w:name="_Toc479201775"/>
      <w:bookmarkStart w:id="165" w:name="_Toc508305370"/>
      <w:r w:rsidRPr="005060E0">
        <w:t xml:space="preserve">Table </w:t>
      </w:r>
      <w:r w:rsidR="009863AA" w:rsidRPr="005060E0">
        <w:rPr>
          <w:noProof/>
        </w:rPr>
        <w:fldChar w:fldCharType="begin"/>
      </w:r>
      <w:r w:rsidR="009863AA" w:rsidRPr="005060E0">
        <w:rPr>
          <w:noProof/>
        </w:rPr>
        <w:instrText xml:space="preserve"> STYLEREF 1 \s </w:instrText>
      </w:r>
      <w:r w:rsidR="009863AA" w:rsidRPr="005060E0">
        <w:rPr>
          <w:noProof/>
        </w:rPr>
        <w:fldChar w:fldCharType="separate"/>
      </w:r>
      <w:r w:rsidR="00F2067C">
        <w:rPr>
          <w:noProof/>
        </w:rPr>
        <w:t>7</w:t>
      </w:r>
      <w:r w:rsidR="009863AA" w:rsidRPr="005060E0">
        <w:rPr>
          <w:noProof/>
        </w:rPr>
        <w:fldChar w:fldCharType="end"/>
      </w:r>
      <w:r w:rsidRPr="005060E0">
        <w:noBreakHyphen/>
      </w:r>
      <w:r w:rsidR="009863AA" w:rsidRPr="005060E0">
        <w:rPr>
          <w:noProof/>
        </w:rPr>
        <w:fldChar w:fldCharType="begin"/>
      </w:r>
      <w:r w:rsidR="009863AA" w:rsidRPr="005060E0">
        <w:rPr>
          <w:noProof/>
        </w:rPr>
        <w:instrText xml:space="preserve"> SEQ Table \* ARABIC \s 1 </w:instrText>
      </w:r>
      <w:r w:rsidR="009863AA" w:rsidRPr="005060E0">
        <w:rPr>
          <w:noProof/>
        </w:rPr>
        <w:fldChar w:fldCharType="separate"/>
      </w:r>
      <w:r w:rsidR="00F2067C">
        <w:rPr>
          <w:noProof/>
        </w:rPr>
        <w:t>3</w:t>
      </w:r>
      <w:r w:rsidR="009863AA" w:rsidRPr="005060E0">
        <w:rPr>
          <w:noProof/>
        </w:rPr>
        <w:fldChar w:fldCharType="end"/>
      </w:r>
      <w:bookmarkEnd w:id="163"/>
      <w:r w:rsidRPr="005060E0">
        <w:t>: International standards for NO</w:t>
      </w:r>
      <w:r w:rsidRPr="005060E0">
        <w:rPr>
          <w:vertAlign w:val="subscript"/>
        </w:rPr>
        <w:t>2</w:t>
      </w:r>
      <w:bookmarkEnd w:id="164"/>
      <w:bookmarkEnd w:id="165"/>
    </w:p>
    <w:tbl>
      <w:tblPr>
        <w:tblStyle w:val="LightList-Accent11"/>
        <w:tblW w:w="5000" w:type="pct"/>
        <w:tblBorders>
          <w:top w:val="single" w:sz="4" w:space="0" w:color="606372" w:themeColor="text2"/>
          <w:left w:val="single" w:sz="4" w:space="0" w:color="606372" w:themeColor="text2"/>
          <w:bottom w:val="single" w:sz="4" w:space="0" w:color="606372" w:themeColor="text2"/>
          <w:right w:val="single" w:sz="4" w:space="0" w:color="606372" w:themeColor="text2"/>
          <w:insideH w:val="single" w:sz="4" w:space="0" w:color="606372" w:themeColor="text2"/>
          <w:insideV w:val="single" w:sz="4" w:space="0" w:color="606372" w:themeColor="text2"/>
        </w:tblBorders>
        <w:tblLook w:val="04A0" w:firstRow="1" w:lastRow="0" w:firstColumn="1" w:lastColumn="0" w:noHBand="0" w:noVBand="1"/>
      </w:tblPr>
      <w:tblGrid>
        <w:gridCol w:w="1027"/>
        <w:gridCol w:w="1711"/>
        <w:gridCol w:w="1151"/>
        <w:gridCol w:w="714"/>
        <w:gridCol w:w="3578"/>
        <w:gridCol w:w="1448"/>
      </w:tblGrid>
      <w:tr w:rsidR="00FA3E74" w:rsidRPr="005060E0" w14:paraId="4B772927" w14:textId="77777777" w:rsidTr="00BB48AE">
        <w:trPr>
          <w:cnfStyle w:val="100000000000" w:firstRow="1" w:lastRow="0" w:firstColumn="0" w:lastColumn="0" w:oddVBand="0" w:evenVBand="0" w:oddHBand="0" w:evenHBand="0" w:firstRowFirstColumn="0" w:firstRowLastColumn="0" w:lastRowFirstColumn="0" w:lastRowLastColumn="0"/>
          <w:trHeight w:hRule="exact" w:val="340"/>
          <w:tblHeader/>
        </w:trPr>
        <w:tc>
          <w:tcPr>
            <w:cnfStyle w:val="001000000000" w:firstRow="0" w:lastRow="0" w:firstColumn="1" w:lastColumn="0" w:oddVBand="0" w:evenVBand="0" w:oddHBand="0" w:evenHBand="0" w:firstRowFirstColumn="0" w:firstRowLastColumn="0" w:lastRowFirstColumn="0" w:lastRowLastColumn="0"/>
            <w:tcW w:w="533" w:type="pct"/>
            <w:vMerge w:val="restart"/>
            <w:shd w:val="clear" w:color="auto" w:fill="606075"/>
            <w:vAlign w:val="center"/>
          </w:tcPr>
          <w:p w14:paraId="7FEB9CD8" w14:textId="77777777" w:rsidR="00FA3E74" w:rsidRPr="005060E0" w:rsidRDefault="00FA3E74" w:rsidP="003664C2">
            <w:pPr>
              <w:widowControl w:val="0"/>
              <w:spacing w:after="0" w:line="240" w:lineRule="auto"/>
              <w:jc w:val="center"/>
              <w:rPr>
                <w:rFonts w:cs="Arial"/>
                <w:b w:val="0"/>
                <w:color w:val="FFFFFF" w:themeColor="background1"/>
                <w:sz w:val="16"/>
                <w:szCs w:val="16"/>
                <w:lang w:val="en-AU"/>
              </w:rPr>
            </w:pPr>
            <w:r w:rsidRPr="005060E0">
              <w:rPr>
                <w:rFonts w:cs="Arial"/>
                <w:b w:val="0"/>
                <w:color w:val="FFFFFF" w:themeColor="background1"/>
                <w:sz w:val="16"/>
                <w:szCs w:val="16"/>
                <w:lang w:val="en-AU"/>
              </w:rPr>
              <w:t>Averaging period</w:t>
            </w:r>
          </w:p>
        </w:tc>
        <w:tc>
          <w:tcPr>
            <w:tcW w:w="888" w:type="pct"/>
            <w:vMerge w:val="restart"/>
            <w:shd w:val="clear" w:color="auto" w:fill="606075"/>
            <w:vAlign w:val="center"/>
          </w:tcPr>
          <w:p w14:paraId="0CED1610" w14:textId="581FFFC8" w:rsidR="00FA3E74" w:rsidRPr="005060E0" w:rsidRDefault="003832E7" w:rsidP="003664C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C</w:t>
            </w:r>
            <w:r w:rsidR="00FA3E74" w:rsidRPr="005060E0">
              <w:rPr>
                <w:rFonts w:cs="Arial"/>
                <w:b w:val="0"/>
                <w:color w:val="FFFFFF" w:themeColor="background1"/>
                <w:sz w:val="16"/>
                <w:szCs w:val="16"/>
                <w:lang w:val="en-AU"/>
              </w:rPr>
              <w:t>ountry</w:t>
            </w:r>
          </w:p>
        </w:tc>
        <w:tc>
          <w:tcPr>
            <w:tcW w:w="968" w:type="pct"/>
            <w:gridSpan w:val="2"/>
            <w:shd w:val="clear" w:color="auto" w:fill="606075"/>
            <w:vAlign w:val="center"/>
          </w:tcPr>
          <w:p w14:paraId="7E742692" w14:textId="02A348AA" w:rsidR="00FA3E74" w:rsidRPr="005060E0" w:rsidRDefault="003832E7" w:rsidP="003664C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Standard</w:t>
            </w:r>
            <w:r w:rsidR="00BB48AE" w:rsidRPr="005060E0">
              <w:rPr>
                <w:rFonts w:cs="Arial"/>
                <w:b w:val="0"/>
                <w:color w:val="FFFFFF" w:themeColor="background1"/>
                <w:sz w:val="16"/>
                <w:szCs w:val="16"/>
                <w:vertAlign w:val="superscript"/>
                <w:lang w:val="en-AU"/>
              </w:rPr>
              <w:t>(a)</w:t>
            </w:r>
          </w:p>
        </w:tc>
        <w:tc>
          <w:tcPr>
            <w:tcW w:w="1858" w:type="pct"/>
            <w:vMerge w:val="restart"/>
            <w:shd w:val="clear" w:color="auto" w:fill="606075"/>
            <w:vAlign w:val="center"/>
          </w:tcPr>
          <w:p w14:paraId="48F8A92C" w14:textId="77777777" w:rsidR="00FA3E74" w:rsidRPr="005060E0" w:rsidRDefault="00FA3E74" w:rsidP="003664C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Form of standard</w:t>
            </w:r>
          </w:p>
        </w:tc>
        <w:tc>
          <w:tcPr>
            <w:tcW w:w="752" w:type="pct"/>
            <w:vMerge w:val="restart"/>
            <w:shd w:val="clear" w:color="auto" w:fill="606075"/>
            <w:vAlign w:val="center"/>
          </w:tcPr>
          <w:p w14:paraId="067ED9D3" w14:textId="77777777" w:rsidR="00FA3E74" w:rsidRPr="005060E0" w:rsidRDefault="00FA3E74" w:rsidP="003664C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Allowable exceedances</w:t>
            </w:r>
          </w:p>
        </w:tc>
      </w:tr>
      <w:tr w:rsidR="00FA3E74" w:rsidRPr="005060E0" w14:paraId="13F3AEE9" w14:textId="77777777" w:rsidTr="00BB48AE">
        <w:trPr>
          <w:cnfStyle w:val="100000000000" w:firstRow="1" w:lastRow="0" w:firstColumn="0" w:lastColumn="0" w:oddVBand="0" w:evenVBand="0" w:oddHBand="0" w:evenHBand="0" w:firstRowFirstColumn="0" w:firstRowLastColumn="0" w:lastRowFirstColumn="0" w:lastRowLastColumn="0"/>
          <w:trHeight w:hRule="exact" w:val="340"/>
          <w:tblHeader/>
        </w:trPr>
        <w:tc>
          <w:tcPr>
            <w:cnfStyle w:val="001000000000" w:firstRow="0" w:lastRow="0" w:firstColumn="1" w:lastColumn="0" w:oddVBand="0" w:evenVBand="0" w:oddHBand="0" w:evenHBand="0" w:firstRowFirstColumn="0" w:firstRowLastColumn="0" w:lastRowFirstColumn="0" w:lastRowLastColumn="0"/>
            <w:tcW w:w="533" w:type="pct"/>
            <w:vMerge/>
            <w:tcBorders>
              <w:bottom w:val="single" w:sz="4" w:space="0" w:color="606372" w:themeColor="text2"/>
            </w:tcBorders>
            <w:shd w:val="clear" w:color="auto" w:fill="606075"/>
            <w:vAlign w:val="center"/>
          </w:tcPr>
          <w:p w14:paraId="35728B2B" w14:textId="77777777" w:rsidR="00FA3E74" w:rsidRPr="005060E0" w:rsidRDefault="00FA3E74" w:rsidP="003664C2">
            <w:pPr>
              <w:widowControl w:val="0"/>
              <w:spacing w:after="0" w:line="240" w:lineRule="auto"/>
              <w:jc w:val="center"/>
              <w:rPr>
                <w:rFonts w:cs="Arial"/>
                <w:b w:val="0"/>
                <w:color w:val="FFFFFF" w:themeColor="background1"/>
                <w:sz w:val="16"/>
                <w:szCs w:val="16"/>
                <w:lang w:val="en-AU"/>
              </w:rPr>
            </w:pPr>
          </w:p>
        </w:tc>
        <w:tc>
          <w:tcPr>
            <w:tcW w:w="888" w:type="pct"/>
            <w:vMerge/>
            <w:tcBorders>
              <w:bottom w:val="single" w:sz="4" w:space="0" w:color="606372" w:themeColor="text2"/>
            </w:tcBorders>
            <w:shd w:val="clear" w:color="auto" w:fill="606075"/>
            <w:vAlign w:val="center"/>
          </w:tcPr>
          <w:p w14:paraId="0651CDD6" w14:textId="77777777" w:rsidR="00FA3E74" w:rsidRPr="005060E0" w:rsidRDefault="00FA3E74" w:rsidP="003664C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p>
        </w:tc>
        <w:tc>
          <w:tcPr>
            <w:tcW w:w="597" w:type="pct"/>
            <w:tcBorders>
              <w:bottom w:val="single" w:sz="4" w:space="0" w:color="606372" w:themeColor="text2"/>
            </w:tcBorders>
            <w:shd w:val="clear" w:color="auto" w:fill="606075"/>
            <w:vAlign w:val="center"/>
          </w:tcPr>
          <w:p w14:paraId="0B523CB9" w14:textId="77777777" w:rsidR="00FA3E74" w:rsidRPr="005060E0" w:rsidRDefault="00FA3E74" w:rsidP="003664C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ppb</w:t>
            </w:r>
          </w:p>
        </w:tc>
        <w:tc>
          <w:tcPr>
            <w:tcW w:w="371" w:type="pct"/>
            <w:tcBorders>
              <w:bottom w:val="single" w:sz="4" w:space="0" w:color="606372" w:themeColor="text2"/>
            </w:tcBorders>
            <w:shd w:val="clear" w:color="auto" w:fill="606075"/>
            <w:vAlign w:val="center"/>
          </w:tcPr>
          <w:p w14:paraId="6CF03E9A" w14:textId="77777777" w:rsidR="00FA3E74" w:rsidRPr="005060E0" w:rsidRDefault="00FA3E74" w:rsidP="003664C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µg/m</w:t>
            </w:r>
            <w:r w:rsidRPr="005060E0">
              <w:rPr>
                <w:rFonts w:cs="Arial"/>
                <w:b w:val="0"/>
                <w:color w:val="FFFFFF" w:themeColor="background1"/>
                <w:sz w:val="16"/>
                <w:szCs w:val="16"/>
                <w:vertAlign w:val="superscript"/>
                <w:lang w:val="en-AU"/>
              </w:rPr>
              <w:t>3</w:t>
            </w:r>
          </w:p>
        </w:tc>
        <w:tc>
          <w:tcPr>
            <w:tcW w:w="1858" w:type="pct"/>
            <w:vMerge/>
            <w:tcBorders>
              <w:bottom w:val="single" w:sz="4" w:space="0" w:color="606372" w:themeColor="text2"/>
            </w:tcBorders>
            <w:shd w:val="clear" w:color="auto" w:fill="606075"/>
            <w:vAlign w:val="center"/>
          </w:tcPr>
          <w:p w14:paraId="579E7907" w14:textId="77777777" w:rsidR="00FA3E74" w:rsidRPr="005060E0" w:rsidRDefault="00FA3E74" w:rsidP="003664C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p>
        </w:tc>
        <w:tc>
          <w:tcPr>
            <w:tcW w:w="752" w:type="pct"/>
            <w:vMerge/>
            <w:tcBorders>
              <w:bottom w:val="single" w:sz="4" w:space="0" w:color="606372" w:themeColor="text2"/>
            </w:tcBorders>
            <w:shd w:val="clear" w:color="auto" w:fill="606075"/>
          </w:tcPr>
          <w:p w14:paraId="7595EEB6" w14:textId="77777777" w:rsidR="00FA3E74" w:rsidRPr="005060E0" w:rsidRDefault="00FA3E74" w:rsidP="003664C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p>
        </w:tc>
      </w:tr>
      <w:tr w:rsidR="00FA3E74" w:rsidRPr="005060E0" w14:paraId="2822A8F7" w14:textId="77777777" w:rsidTr="000704F3">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533" w:type="pct"/>
            <w:vMerge w:val="restart"/>
            <w:tcBorders>
              <w:top w:val="single" w:sz="4" w:space="0" w:color="606372" w:themeColor="text2"/>
              <w:left w:val="single" w:sz="4" w:space="0" w:color="606372" w:themeColor="text2"/>
            </w:tcBorders>
            <w:vAlign w:val="center"/>
          </w:tcPr>
          <w:p w14:paraId="05678D8E" w14:textId="2FE5D1F2" w:rsidR="00FA3E74" w:rsidRPr="005060E0" w:rsidRDefault="000C7CC2" w:rsidP="003664C2">
            <w:pPr>
              <w:widowControl w:val="0"/>
              <w:spacing w:after="0" w:line="240" w:lineRule="auto"/>
              <w:jc w:val="center"/>
              <w:rPr>
                <w:rFonts w:cs="Arial"/>
                <w:b w:val="0"/>
                <w:sz w:val="16"/>
                <w:szCs w:val="16"/>
                <w:lang w:val="en-AU"/>
              </w:rPr>
            </w:pPr>
            <w:r w:rsidRPr="005060E0">
              <w:rPr>
                <w:rFonts w:cs="Arial"/>
                <w:b w:val="0"/>
                <w:sz w:val="16"/>
                <w:szCs w:val="16"/>
                <w:lang w:val="en-AU"/>
              </w:rPr>
              <w:t>1-hour</w:t>
            </w:r>
          </w:p>
        </w:tc>
        <w:tc>
          <w:tcPr>
            <w:tcW w:w="888" w:type="pct"/>
            <w:tcBorders>
              <w:top w:val="single" w:sz="4" w:space="0" w:color="606372" w:themeColor="text2"/>
              <w:bottom w:val="dotted" w:sz="4" w:space="0" w:color="606372" w:themeColor="text2"/>
            </w:tcBorders>
            <w:shd w:val="clear" w:color="auto" w:fill="DEDFE3" w:themeFill="text2" w:themeFillTint="33"/>
            <w:vAlign w:val="center"/>
          </w:tcPr>
          <w:p w14:paraId="70AE4285" w14:textId="4B297B6D" w:rsidR="00FA3E74" w:rsidRPr="005060E0" w:rsidRDefault="000C7CC2" w:rsidP="003664C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Australia</w:t>
            </w:r>
          </w:p>
        </w:tc>
        <w:tc>
          <w:tcPr>
            <w:tcW w:w="597" w:type="pct"/>
            <w:tcBorders>
              <w:top w:val="single" w:sz="4" w:space="0" w:color="606372" w:themeColor="text2"/>
              <w:bottom w:val="dotted" w:sz="4" w:space="0" w:color="606372" w:themeColor="text2"/>
              <w:right w:val="dotted" w:sz="4" w:space="0" w:color="606072"/>
            </w:tcBorders>
            <w:shd w:val="clear" w:color="auto" w:fill="DEDFE3" w:themeFill="text2" w:themeFillTint="33"/>
            <w:vAlign w:val="center"/>
          </w:tcPr>
          <w:p w14:paraId="683AE286" w14:textId="2F5A0F61" w:rsidR="00FA3E74" w:rsidRPr="005060E0" w:rsidRDefault="000C7CC2" w:rsidP="003664C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120</w:t>
            </w:r>
          </w:p>
        </w:tc>
        <w:tc>
          <w:tcPr>
            <w:tcW w:w="371" w:type="pct"/>
            <w:tcBorders>
              <w:top w:val="single" w:sz="4" w:space="0" w:color="606372" w:themeColor="text2"/>
              <w:left w:val="dotted" w:sz="4" w:space="0" w:color="606072"/>
              <w:bottom w:val="dotted" w:sz="4" w:space="0" w:color="606372" w:themeColor="text2"/>
            </w:tcBorders>
            <w:shd w:val="clear" w:color="auto" w:fill="DEDFE3" w:themeFill="text2" w:themeFillTint="33"/>
            <w:vAlign w:val="center"/>
          </w:tcPr>
          <w:p w14:paraId="36111269" w14:textId="2D3C3C54" w:rsidR="00FA3E74" w:rsidRPr="005060E0" w:rsidRDefault="000C7CC2" w:rsidP="003664C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246</w:t>
            </w:r>
          </w:p>
        </w:tc>
        <w:tc>
          <w:tcPr>
            <w:tcW w:w="1858" w:type="pct"/>
            <w:tcBorders>
              <w:top w:val="single" w:sz="4" w:space="0" w:color="606372" w:themeColor="text2"/>
              <w:bottom w:val="dotted" w:sz="4" w:space="0" w:color="606372" w:themeColor="text2"/>
              <w:right w:val="single" w:sz="4" w:space="0" w:color="606372" w:themeColor="text2"/>
            </w:tcBorders>
            <w:shd w:val="clear" w:color="auto" w:fill="DEDFE3" w:themeFill="text2" w:themeFillTint="33"/>
            <w:vAlign w:val="center"/>
          </w:tcPr>
          <w:p w14:paraId="47FC16EB" w14:textId="192B1E2B" w:rsidR="00FA3E74" w:rsidRPr="005060E0" w:rsidRDefault="00BB48AE" w:rsidP="003664C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w:t>
            </w:r>
          </w:p>
        </w:tc>
        <w:tc>
          <w:tcPr>
            <w:tcW w:w="752" w:type="pct"/>
            <w:tcBorders>
              <w:top w:val="single" w:sz="4" w:space="0" w:color="606372" w:themeColor="text2"/>
              <w:bottom w:val="dotted" w:sz="4" w:space="0" w:color="606372" w:themeColor="text2"/>
              <w:right w:val="single" w:sz="4" w:space="0" w:color="606372" w:themeColor="text2"/>
            </w:tcBorders>
            <w:shd w:val="clear" w:color="auto" w:fill="DEDFE3" w:themeFill="text2" w:themeFillTint="33"/>
            <w:vAlign w:val="center"/>
          </w:tcPr>
          <w:p w14:paraId="2D0807DE" w14:textId="04DD944D" w:rsidR="00FA3E74" w:rsidRPr="005060E0" w:rsidRDefault="00B67484" w:rsidP="003664C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1 day per year</w:t>
            </w:r>
          </w:p>
        </w:tc>
      </w:tr>
      <w:tr w:rsidR="00FA3E74" w:rsidRPr="005060E0" w14:paraId="0D27ED5A" w14:textId="77777777" w:rsidTr="000704F3">
        <w:trPr>
          <w:trHeight w:hRule="exact" w:val="624"/>
        </w:trPr>
        <w:tc>
          <w:tcPr>
            <w:cnfStyle w:val="001000000000" w:firstRow="0" w:lastRow="0" w:firstColumn="1" w:lastColumn="0" w:oddVBand="0" w:evenVBand="0" w:oddHBand="0" w:evenHBand="0" w:firstRowFirstColumn="0" w:firstRowLastColumn="0" w:lastRowFirstColumn="0" w:lastRowLastColumn="0"/>
            <w:tcW w:w="533" w:type="pct"/>
            <w:vMerge/>
            <w:tcBorders>
              <w:top w:val="single" w:sz="4" w:space="0" w:color="606372" w:themeColor="text2"/>
              <w:left w:val="single" w:sz="4" w:space="0" w:color="606372" w:themeColor="text2"/>
              <w:bottom w:val="single" w:sz="4" w:space="0" w:color="606372" w:themeColor="text2"/>
            </w:tcBorders>
            <w:vAlign w:val="center"/>
          </w:tcPr>
          <w:p w14:paraId="54B8D2FD" w14:textId="77777777" w:rsidR="00FA3E74" w:rsidRPr="005060E0" w:rsidRDefault="00FA3E74" w:rsidP="003664C2">
            <w:pPr>
              <w:widowControl w:val="0"/>
              <w:spacing w:after="0" w:line="240" w:lineRule="auto"/>
              <w:jc w:val="center"/>
              <w:rPr>
                <w:rFonts w:cs="Arial"/>
                <w:b w:val="0"/>
                <w:sz w:val="16"/>
                <w:szCs w:val="16"/>
                <w:lang w:val="en-AU"/>
              </w:rPr>
            </w:pPr>
          </w:p>
        </w:tc>
        <w:tc>
          <w:tcPr>
            <w:tcW w:w="888" w:type="pct"/>
            <w:tcBorders>
              <w:top w:val="dotted" w:sz="4" w:space="0" w:color="606372" w:themeColor="text2"/>
              <w:bottom w:val="dotted" w:sz="4" w:space="0" w:color="606372" w:themeColor="text2"/>
            </w:tcBorders>
            <w:shd w:val="clear" w:color="auto" w:fill="auto"/>
            <w:vAlign w:val="center"/>
          </w:tcPr>
          <w:p w14:paraId="518303C8" w14:textId="417D03A2" w:rsidR="00FA3E74" w:rsidRPr="005060E0" w:rsidRDefault="000C7CC2" w:rsidP="003664C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USEPA</w:t>
            </w:r>
          </w:p>
        </w:tc>
        <w:tc>
          <w:tcPr>
            <w:tcW w:w="597" w:type="pct"/>
            <w:tcBorders>
              <w:top w:val="dotted" w:sz="4" w:space="0" w:color="606372" w:themeColor="text2"/>
              <w:bottom w:val="dotted" w:sz="4" w:space="0" w:color="606372" w:themeColor="text2"/>
              <w:right w:val="dotted" w:sz="4" w:space="0" w:color="606072"/>
            </w:tcBorders>
            <w:shd w:val="clear" w:color="auto" w:fill="auto"/>
            <w:vAlign w:val="center"/>
          </w:tcPr>
          <w:p w14:paraId="2A3501A0" w14:textId="0D48BA79" w:rsidR="00FA3E74" w:rsidRPr="005060E0" w:rsidRDefault="000C7CC2" w:rsidP="003664C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100</w:t>
            </w:r>
          </w:p>
        </w:tc>
        <w:tc>
          <w:tcPr>
            <w:tcW w:w="371" w:type="pct"/>
            <w:tcBorders>
              <w:top w:val="dotted" w:sz="4" w:space="0" w:color="606372" w:themeColor="text2"/>
              <w:left w:val="dotted" w:sz="4" w:space="0" w:color="606072"/>
              <w:bottom w:val="dotted" w:sz="4" w:space="0" w:color="606372" w:themeColor="text2"/>
            </w:tcBorders>
            <w:shd w:val="clear" w:color="auto" w:fill="auto"/>
            <w:vAlign w:val="center"/>
          </w:tcPr>
          <w:p w14:paraId="4E8C152A" w14:textId="47C7E139" w:rsidR="00FA3E74" w:rsidRPr="005060E0" w:rsidRDefault="003832E7" w:rsidP="003664C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6"/>
                <w:szCs w:val="16"/>
                <w:lang w:val="en-AU"/>
              </w:rPr>
            </w:pPr>
            <w:r w:rsidRPr="005060E0">
              <w:rPr>
                <w:rFonts w:cs="Arial"/>
                <w:i/>
                <w:sz w:val="16"/>
                <w:szCs w:val="16"/>
                <w:lang w:val="en-AU"/>
              </w:rPr>
              <w:t>205</w:t>
            </w:r>
          </w:p>
        </w:tc>
        <w:tc>
          <w:tcPr>
            <w:tcW w:w="1858" w:type="pct"/>
            <w:tcBorders>
              <w:top w:val="dotted" w:sz="4" w:space="0" w:color="606372" w:themeColor="text2"/>
              <w:bottom w:val="dotted" w:sz="4" w:space="0" w:color="606372" w:themeColor="text2"/>
              <w:right w:val="single" w:sz="4" w:space="0" w:color="606372" w:themeColor="text2"/>
            </w:tcBorders>
            <w:shd w:val="clear" w:color="auto" w:fill="auto"/>
            <w:vAlign w:val="center"/>
          </w:tcPr>
          <w:p w14:paraId="6F14D561" w14:textId="7401E7C5" w:rsidR="00FA3E74" w:rsidRPr="005060E0" w:rsidRDefault="000C7CC2" w:rsidP="003664C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99</w:t>
            </w:r>
            <w:r w:rsidRPr="005060E0">
              <w:rPr>
                <w:rFonts w:cs="Arial"/>
                <w:sz w:val="16"/>
                <w:szCs w:val="16"/>
                <w:vertAlign w:val="superscript"/>
                <w:lang w:val="en-AU"/>
              </w:rPr>
              <w:t>th</w:t>
            </w:r>
            <w:r w:rsidRPr="005060E0">
              <w:rPr>
                <w:rFonts w:cs="Arial"/>
                <w:sz w:val="16"/>
                <w:szCs w:val="16"/>
                <w:lang w:val="en-AU"/>
              </w:rPr>
              <w:t xml:space="preserve"> percentile of 1-hour daily maximum concentrations averaged over 3 years</w:t>
            </w:r>
          </w:p>
        </w:tc>
        <w:tc>
          <w:tcPr>
            <w:tcW w:w="752" w:type="pct"/>
            <w:tcBorders>
              <w:top w:val="dotted" w:sz="4" w:space="0" w:color="606372" w:themeColor="text2"/>
              <w:bottom w:val="dotted" w:sz="4" w:space="0" w:color="606372" w:themeColor="text2"/>
              <w:right w:val="single" w:sz="4" w:space="0" w:color="606372" w:themeColor="text2"/>
            </w:tcBorders>
            <w:shd w:val="clear" w:color="auto" w:fill="auto"/>
            <w:vAlign w:val="center"/>
          </w:tcPr>
          <w:p w14:paraId="0D4AE460" w14:textId="42588C0E" w:rsidR="00FA3E74" w:rsidRPr="005060E0" w:rsidRDefault="000C7CC2" w:rsidP="003664C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None</w:t>
            </w:r>
          </w:p>
        </w:tc>
      </w:tr>
      <w:tr w:rsidR="00FA3E74" w:rsidRPr="005060E0" w14:paraId="0FAEFEF1" w14:textId="77777777" w:rsidTr="000704F3">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533" w:type="pct"/>
            <w:vMerge/>
            <w:tcBorders>
              <w:left w:val="single" w:sz="4" w:space="0" w:color="606372" w:themeColor="text2"/>
            </w:tcBorders>
            <w:vAlign w:val="center"/>
          </w:tcPr>
          <w:p w14:paraId="4FC94B32" w14:textId="77777777" w:rsidR="00FA3E74" w:rsidRPr="005060E0" w:rsidRDefault="00FA3E74" w:rsidP="003664C2">
            <w:pPr>
              <w:widowControl w:val="0"/>
              <w:spacing w:after="0" w:line="240" w:lineRule="auto"/>
              <w:jc w:val="center"/>
              <w:rPr>
                <w:rFonts w:cs="Arial"/>
                <w:b w:val="0"/>
                <w:sz w:val="16"/>
                <w:szCs w:val="16"/>
                <w:lang w:val="en-AU"/>
              </w:rPr>
            </w:pPr>
          </w:p>
        </w:tc>
        <w:tc>
          <w:tcPr>
            <w:tcW w:w="888" w:type="pct"/>
            <w:tcBorders>
              <w:top w:val="dotted" w:sz="4" w:space="0" w:color="606372" w:themeColor="text2"/>
              <w:bottom w:val="dotted" w:sz="4" w:space="0" w:color="606372" w:themeColor="text2"/>
            </w:tcBorders>
            <w:shd w:val="clear" w:color="auto" w:fill="auto"/>
            <w:vAlign w:val="center"/>
          </w:tcPr>
          <w:p w14:paraId="78568B29" w14:textId="6E8FC014" w:rsidR="00FA3E74" w:rsidRPr="005060E0" w:rsidRDefault="000C7CC2" w:rsidP="003664C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United Kingdom</w:t>
            </w:r>
          </w:p>
        </w:tc>
        <w:tc>
          <w:tcPr>
            <w:tcW w:w="597" w:type="pct"/>
            <w:tcBorders>
              <w:top w:val="dotted" w:sz="4" w:space="0" w:color="606372" w:themeColor="text2"/>
              <w:bottom w:val="dotted" w:sz="4" w:space="0" w:color="606372" w:themeColor="text2"/>
              <w:right w:val="dotted" w:sz="4" w:space="0" w:color="606072"/>
            </w:tcBorders>
            <w:shd w:val="clear" w:color="auto" w:fill="auto"/>
            <w:vAlign w:val="center"/>
          </w:tcPr>
          <w:p w14:paraId="2B25A778" w14:textId="74337F0B" w:rsidR="00FA3E74" w:rsidRPr="005060E0" w:rsidRDefault="000C7CC2" w:rsidP="003664C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97</w:t>
            </w:r>
          </w:p>
        </w:tc>
        <w:tc>
          <w:tcPr>
            <w:tcW w:w="371" w:type="pct"/>
            <w:tcBorders>
              <w:top w:val="dotted" w:sz="4" w:space="0" w:color="606372" w:themeColor="text2"/>
              <w:left w:val="dotted" w:sz="4" w:space="0" w:color="606072"/>
              <w:bottom w:val="dotted" w:sz="4" w:space="0" w:color="606372" w:themeColor="text2"/>
            </w:tcBorders>
            <w:shd w:val="clear" w:color="auto" w:fill="auto"/>
            <w:vAlign w:val="center"/>
          </w:tcPr>
          <w:p w14:paraId="5E967EEF" w14:textId="52AE2C6A" w:rsidR="00FA3E74" w:rsidRPr="005060E0" w:rsidRDefault="000C7CC2" w:rsidP="003664C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200</w:t>
            </w:r>
          </w:p>
        </w:tc>
        <w:tc>
          <w:tcPr>
            <w:tcW w:w="1858" w:type="pct"/>
            <w:tcBorders>
              <w:top w:val="dotted" w:sz="4" w:space="0" w:color="606372" w:themeColor="text2"/>
              <w:bottom w:val="dotted" w:sz="4" w:space="0" w:color="606372" w:themeColor="text2"/>
              <w:right w:val="single" w:sz="4" w:space="0" w:color="606372" w:themeColor="text2"/>
            </w:tcBorders>
            <w:shd w:val="clear" w:color="auto" w:fill="auto"/>
            <w:vAlign w:val="center"/>
          </w:tcPr>
          <w:p w14:paraId="4E907695" w14:textId="5F431D69" w:rsidR="00FA3E74" w:rsidRPr="005060E0" w:rsidRDefault="00BB48AE" w:rsidP="003664C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w:t>
            </w:r>
          </w:p>
        </w:tc>
        <w:tc>
          <w:tcPr>
            <w:tcW w:w="752" w:type="pct"/>
            <w:tcBorders>
              <w:top w:val="dotted" w:sz="4" w:space="0" w:color="606372" w:themeColor="text2"/>
              <w:bottom w:val="dotted" w:sz="4" w:space="0" w:color="606372" w:themeColor="text2"/>
              <w:right w:val="single" w:sz="4" w:space="0" w:color="606372" w:themeColor="text2"/>
            </w:tcBorders>
            <w:shd w:val="clear" w:color="auto" w:fill="auto"/>
            <w:vAlign w:val="center"/>
          </w:tcPr>
          <w:p w14:paraId="10FB31B7" w14:textId="787C4212" w:rsidR="00FA3E74" w:rsidRPr="005060E0" w:rsidRDefault="000C7CC2" w:rsidP="003664C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18</w:t>
            </w:r>
          </w:p>
        </w:tc>
      </w:tr>
      <w:tr w:rsidR="00FA3E74" w:rsidRPr="005060E0" w14:paraId="4643D1DB" w14:textId="77777777" w:rsidTr="000704F3">
        <w:trPr>
          <w:trHeight w:hRule="exact" w:val="397"/>
        </w:trPr>
        <w:tc>
          <w:tcPr>
            <w:cnfStyle w:val="001000000000" w:firstRow="0" w:lastRow="0" w:firstColumn="1" w:lastColumn="0" w:oddVBand="0" w:evenVBand="0" w:oddHBand="0" w:evenHBand="0" w:firstRowFirstColumn="0" w:firstRowLastColumn="0" w:lastRowFirstColumn="0" w:lastRowLastColumn="0"/>
            <w:tcW w:w="533" w:type="pct"/>
            <w:vMerge/>
            <w:tcBorders>
              <w:top w:val="single" w:sz="4" w:space="0" w:color="606372" w:themeColor="text2"/>
              <w:left w:val="single" w:sz="4" w:space="0" w:color="606372" w:themeColor="text2"/>
              <w:bottom w:val="single" w:sz="4" w:space="0" w:color="606372" w:themeColor="text2"/>
            </w:tcBorders>
            <w:vAlign w:val="center"/>
          </w:tcPr>
          <w:p w14:paraId="477725A3" w14:textId="77777777" w:rsidR="00FA3E74" w:rsidRPr="005060E0" w:rsidRDefault="00FA3E74" w:rsidP="003664C2">
            <w:pPr>
              <w:widowControl w:val="0"/>
              <w:spacing w:after="0" w:line="240" w:lineRule="auto"/>
              <w:jc w:val="center"/>
              <w:rPr>
                <w:rFonts w:cs="Arial"/>
                <w:b w:val="0"/>
                <w:sz w:val="16"/>
                <w:szCs w:val="16"/>
                <w:lang w:val="en-AU"/>
              </w:rPr>
            </w:pPr>
          </w:p>
        </w:tc>
        <w:tc>
          <w:tcPr>
            <w:tcW w:w="888" w:type="pct"/>
            <w:tcBorders>
              <w:top w:val="dotted" w:sz="4" w:space="0" w:color="606372" w:themeColor="text2"/>
              <w:bottom w:val="dotted" w:sz="4" w:space="0" w:color="606372" w:themeColor="text2"/>
            </w:tcBorders>
            <w:shd w:val="clear" w:color="auto" w:fill="auto"/>
            <w:vAlign w:val="center"/>
          </w:tcPr>
          <w:p w14:paraId="40EBBFFF" w14:textId="59F12459" w:rsidR="00FA3E74" w:rsidRPr="005060E0" w:rsidRDefault="000C7CC2" w:rsidP="003664C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European Union</w:t>
            </w:r>
          </w:p>
        </w:tc>
        <w:tc>
          <w:tcPr>
            <w:tcW w:w="597" w:type="pct"/>
            <w:tcBorders>
              <w:top w:val="dotted" w:sz="4" w:space="0" w:color="606372" w:themeColor="text2"/>
              <w:bottom w:val="dotted" w:sz="4" w:space="0" w:color="606372" w:themeColor="text2"/>
              <w:right w:val="dotted" w:sz="4" w:space="0" w:color="606072"/>
            </w:tcBorders>
            <w:shd w:val="clear" w:color="auto" w:fill="auto"/>
            <w:vAlign w:val="center"/>
          </w:tcPr>
          <w:p w14:paraId="17643E47" w14:textId="667A8315" w:rsidR="00FA3E74" w:rsidRPr="005060E0" w:rsidRDefault="000C7CC2" w:rsidP="003664C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97</w:t>
            </w:r>
          </w:p>
        </w:tc>
        <w:tc>
          <w:tcPr>
            <w:tcW w:w="371" w:type="pct"/>
            <w:tcBorders>
              <w:top w:val="dotted" w:sz="4" w:space="0" w:color="606372" w:themeColor="text2"/>
              <w:left w:val="dotted" w:sz="4" w:space="0" w:color="606072"/>
              <w:bottom w:val="dotted" w:sz="4" w:space="0" w:color="606372" w:themeColor="text2"/>
            </w:tcBorders>
            <w:shd w:val="clear" w:color="auto" w:fill="auto"/>
            <w:vAlign w:val="center"/>
          </w:tcPr>
          <w:p w14:paraId="7BB5F95D" w14:textId="55F2B465" w:rsidR="00FA3E74" w:rsidRPr="005060E0" w:rsidRDefault="000C7CC2" w:rsidP="003664C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200</w:t>
            </w:r>
          </w:p>
        </w:tc>
        <w:tc>
          <w:tcPr>
            <w:tcW w:w="1858" w:type="pct"/>
            <w:tcBorders>
              <w:top w:val="dotted" w:sz="4" w:space="0" w:color="606372" w:themeColor="text2"/>
              <w:bottom w:val="dotted" w:sz="4" w:space="0" w:color="606372" w:themeColor="text2"/>
              <w:right w:val="single" w:sz="4" w:space="0" w:color="606372" w:themeColor="text2"/>
            </w:tcBorders>
            <w:shd w:val="clear" w:color="auto" w:fill="auto"/>
            <w:vAlign w:val="center"/>
          </w:tcPr>
          <w:p w14:paraId="0F2C613F" w14:textId="24BE6A0A" w:rsidR="00FA3E74" w:rsidRPr="005060E0" w:rsidRDefault="00BB48AE" w:rsidP="003664C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w:t>
            </w:r>
          </w:p>
        </w:tc>
        <w:tc>
          <w:tcPr>
            <w:tcW w:w="752" w:type="pct"/>
            <w:tcBorders>
              <w:top w:val="dotted" w:sz="4" w:space="0" w:color="606372" w:themeColor="text2"/>
              <w:bottom w:val="dotted" w:sz="4" w:space="0" w:color="606372" w:themeColor="text2"/>
              <w:right w:val="single" w:sz="4" w:space="0" w:color="606372" w:themeColor="text2"/>
            </w:tcBorders>
            <w:shd w:val="clear" w:color="auto" w:fill="auto"/>
            <w:vAlign w:val="center"/>
          </w:tcPr>
          <w:p w14:paraId="349B5620" w14:textId="7E4E53FC" w:rsidR="00FA3E74" w:rsidRPr="005060E0" w:rsidRDefault="000C7CC2" w:rsidP="003664C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18</w:t>
            </w:r>
          </w:p>
        </w:tc>
      </w:tr>
      <w:tr w:rsidR="000C7CC2" w:rsidRPr="005060E0" w14:paraId="22A42F51" w14:textId="77777777" w:rsidTr="000704F3">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533" w:type="pct"/>
            <w:vMerge/>
            <w:tcBorders>
              <w:left w:val="single" w:sz="4" w:space="0" w:color="606372" w:themeColor="text2"/>
              <w:bottom w:val="single" w:sz="4" w:space="0" w:color="606372" w:themeColor="text2"/>
            </w:tcBorders>
            <w:vAlign w:val="center"/>
          </w:tcPr>
          <w:p w14:paraId="605613C2" w14:textId="77777777" w:rsidR="000C7CC2" w:rsidRPr="005060E0" w:rsidRDefault="000C7CC2" w:rsidP="000C7CC2">
            <w:pPr>
              <w:widowControl w:val="0"/>
              <w:spacing w:after="0" w:line="240" w:lineRule="auto"/>
              <w:jc w:val="center"/>
              <w:rPr>
                <w:rFonts w:cs="Arial"/>
                <w:b w:val="0"/>
                <w:sz w:val="16"/>
                <w:szCs w:val="16"/>
                <w:lang w:val="en-AU"/>
              </w:rPr>
            </w:pPr>
          </w:p>
        </w:tc>
        <w:tc>
          <w:tcPr>
            <w:tcW w:w="888" w:type="pct"/>
            <w:tcBorders>
              <w:top w:val="dotted" w:sz="4" w:space="0" w:color="606372" w:themeColor="text2"/>
              <w:bottom w:val="single" w:sz="4" w:space="0" w:color="606372" w:themeColor="text2"/>
            </w:tcBorders>
            <w:shd w:val="clear" w:color="auto" w:fill="auto"/>
            <w:vAlign w:val="center"/>
          </w:tcPr>
          <w:p w14:paraId="6140EB24" w14:textId="4DA3B8E0" w:rsidR="000C7CC2" w:rsidRPr="005060E0" w:rsidRDefault="000C7CC2" w:rsidP="000C7CC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New Zealand</w:t>
            </w:r>
          </w:p>
        </w:tc>
        <w:tc>
          <w:tcPr>
            <w:tcW w:w="597" w:type="pct"/>
            <w:tcBorders>
              <w:top w:val="dotted" w:sz="4" w:space="0" w:color="606372" w:themeColor="text2"/>
              <w:bottom w:val="single" w:sz="4" w:space="0" w:color="606372" w:themeColor="text2"/>
              <w:right w:val="dotted" w:sz="4" w:space="0" w:color="606072"/>
            </w:tcBorders>
            <w:shd w:val="clear" w:color="auto" w:fill="auto"/>
            <w:vAlign w:val="center"/>
          </w:tcPr>
          <w:p w14:paraId="1289B2FA" w14:textId="1CF83F05" w:rsidR="000C7CC2" w:rsidRPr="005060E0" w:rsidRDefault="000C7CC2" w:rsidP="000C7CC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97</w:t>
            </w:r>
          </w:p>
        </w:tc>
        <w:tc>
          <w:tcPr>
            <w:tcW w:w="371" w:type="pct"/>
            <w:tcBorders>
              <w:top w:val="dotted" w:sz="4" w:space="0" w:color="606372" w:themeColor="text2"/>
              <w:left w:val="dotted" w:sz="4" w:space="0" w:color="606072"/>
              <w:bottom w:val="single" w:sz="4" w:space="0" w:color="606372" w:themeColor="text2"/>
            </w:tcBorders>
            <w:shd w:val="clear" w:color="auto" w:fill="auto"/>
            <w:vAlign w:val="center"/>
          </w:tcPr>
          <w:p w14:paraId="47A3CDB4" w14:textId="7A966DE4" w:rsidR="000C7CC2" w:rsidRPr="005060E0" w:rsidRDefault="000C7CC2" w:rsidP="000C7CC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200</w:t>
            </w:r>
          </w:p>
        </w:tc>
        <w:tc>
          <w:tcPr>
            <w:tcW w:w="1858" w:type="pct"/>
            <w:tcBorders>
              <w:top w:val="dotted" w:sz="4" w:space="0" w:color="606372" w:themeColor="text2"/>
              <w:bottom w:val="single" w:sz="4" w:space="0" w:color="606372" w:themeColor="text2"/>
              <w:right w:val="single" w:sz="4" w:space="0" w:color="606372" w:themeColor="text2"/>
            </w:tcBorders>
            <w:shd w:val="clear" w:color="auto" w:fill="auto"/>
            <w:vAlign w:val="center"/>
          </w:tcPr>
          <w:p w14:paraId="721744A9" w14:textId="717FE674" w:rsidR="000C7CC2" w:rsidRPr="005060E0" w:rsidRDefault="00BB48AE" w:rsidP="000C7CC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w:t>
            </w:r>
          </w:p>
        </w:tc>
        <w:tc>
          <w:tcPr>
            <w:tcW w:w="752" w:type="pct"/>
            <w:tcBorders>
              <w:top w:val="dotted" w:sz="4" w:space="0" w:color="606372" w:themeColor="text2"/>
              <w:bottom w:val="single" w:sz="4" w:space="0" w:color="606372" w:themeColor="text2"/>
              <w:right w:val="single" w:sz="4" w:space="0" w:color="606372" w:themeColor="text2"/>
            </w:tcBorders>
            <w:shd w:val="clear" w:color="auto" w:fill="auto"/>
            <w:vAlign w:val="center"/>
          </w:tcPr>
          <w:p w14:paraId="01B1F22C" w14:textId="791CA594" w:rsidR="000C7CC2" w:rsidRPr="005060E0" w:rsidRDefault="00B001BF" w:rsidP="000C7CC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9</w:t>
            </w:r>
          </w:p>
        </w:tc>
      </w:tr>
      <w:tr w:rsidR="000C7CC2" w:rsidRPr="005060E0" w14:paraId="2511D9FD" w14:textId="77777777" w:rsidTr="000704F3">
        <w:trPr>
          <w:trHeight w:hRule="exact" w:val="397"/>
        </w:trPr>
        <w:tc>
          <w:tcPr>
            <w:cnfStyle w:val="001000000000" w:firstRow="0" w:lastRow="0" w:firstColumn="1" w:lastColumn="0" w:oddVBand="0" w:evenVBand="0" w:oddHBand="0" w:evenHBand="0" w:firstRowFirstColumn="0" w:firstRowLastColumn="0" w:lastRowFirstColumn="0" w:lastRowLastColumn="0"/>
            <w:tcW w:w="533" w:type="pct"/>
            <w:vMerge w:val="restart"/>
            <w:tcBorders>
              <w:top w:val="single" w:sz="4" w:space="0" w:color="606372" w:themeColor="text2"/>
              <w:left w:val="single" w:sz="4" w:space="0" w:color="606372" w:themeColor="text2"/>
            </w:tcBorders>
            <w:vAlign w:val="center"/>
          </w:tcPr>
          <w:p w14:paraId="1F4A49C9" w14:textId="75999282" w:rsidR="000C7CC2" w:rsidRPr="005060E0" w:rsidRDefault="000C7CC2" w:rsidP="000C7CC2">
            <w:pPr>
              <w:widowControl w:val="0"/>
              <w:spacing w:after="0" w:line="240" w:lineRule="auto"/>
              <w:jc w:val="center"/>
              <w:rPr>
                <w:rFonts w:cs="Arial"/>
                <w:b w:val="0"/>
                <w:sz w:val="16"/>
                <w:szCs w:val="16"/>
                <w:lang w:val="en-AU"/>
              </w:rPr>
            </w:pPr>
            <w:r w:rsidRPr="005060E0">
              <w:rPr>
                <w:rFonts w:cs="Arial"/>
                <w:b w:val="0"/>
                <w:sz w:val="16"/>
                <w:szCs w:val="16"/>
                <w:lang w:val="en-AU"/>
              </w:rPr>
              <w:t>Annual</w:t>
            </w:r>
          </w:p>
        </w:tc>
        <w:tc>
          <w:tcPr>
            <w:tcW w:w="888" w:type="pct"/>
            <w:tcBorders>
              <w:top w:val="single" w:sz="4" w:space="0" w:color="606372" w:themeColor="text2"/>
              <w:bottom w:val="dotted" w:sz="4" w:space="0" w:color="auto"/>
            </w:tcBorders>
            <w:shd w:val="clear" w:color="auto" w:fill="DEDFE3" w:themeFill="text2" w:themeFillTint="33"/>
            <w:vAlign w:val="center"/>
          </w:tcPr>
          <w:p w14:paraId="7FFD577E" w14:textId="6F5624BC" w:rsidR="000C7CC2" w:rsidRPr="005060E0" w:rsidRDefault="000C7CC2" w:rsidP="000C7CC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Australia</w:t>
            </w:r>
          </w:p>
        </w:tc>
        <w:tc>
          <w:tcPr>
            <w:tcW w:w="597" w:type="pct"/>
            <w:tcBorders>
              <w:top w:val="single" w:sz="4" w:space="0" w:color="606372" w:themeColor="text2"/>
              <w:bottom w:val="dotted" w:sz="4" w:space="0" w:color="auto"/>
              <w:right w:val="dotted" w:sz="4" w:space="0" w:color="606072"/>
            </w:tcBorders>
            <w:shd w:val="clear" w:color="auto" w:fill="DEDFE3" w:themeFill="text2" w:themeFillTint="33"/>
            <w:vAlign w:val="center"/>
          </w:tcPr>
          <w:p w14:paraId="351274CF" w14:textId="4001E244" w:rsidR="000C7CC2" w:rsidRPr="005060E0" w:rsidRDefault="000C7CC2" w:rsidP="000C7CC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30</w:t>
            </w:r>
          </w:p>
        </w:tc>
        <w:tc>
          <w:tcPr>
            <w:tcW w:w="371" w:type="pct"/>
            <w:tcBorders>
              <w:top w:val="single" w:sz="4" w:space="0" w:color="606372" w:themeColor="text2"/>
              <w:left w:val="dotted" w:sz="4" w:space="0" w:color="606072"/>
              <w:bottom w:val="dotted" w:sz="4" w:space="0" w:color="auto"/>
            </w:tcBorders>
            <w:shd w:val="clear" w:color="auto" w:fill="DEDFE3" w:themeFill="text2" w:themeFillTint="33"/>
            <w:vAlign w:val="center"/>
          </w:tcPr>
          <w:p w14:paraId="201802BE" w14:textId="6CC94AA6" w:rsidR="000C7CC2" w:rsidRPr="005060E0" w:rsidRDefault="000C7CC2" w:rsidP="000C7CC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62</w:t>
            </w:r>
          </w:p>
        </w:tc>
        <w:tc>
          <w:tcPr>
            <w:tcW w:w="1858" w:type="pct"/>
            <w:tcBorders>
              <w:top w:val="single" w:sz="4" w:space="0" w:color="606372" w:themeColor="text2"/>
              <w:bottom w:val="dotted" w:sz="4" w:space="0" w:color="auto"/>
              <w:right w:val="single" w:sz="4" w:space="0" w:color="606372" w:themeColor="text2"/>
            </w:tcBorders>
            <w:shd w:val="clear" w:color="auto" w:fill="DEDFE3" w:themeFill="text2" w:themeFillTint="33"/>
            <w:vAlign w:val="center"/>
          </w:tcPr>
          <w:p w14:paraId="542DE8D2" w14:textId="11A35EA3" w:rsidR="000C7CC2" w:rsidRPr="005060E0" w:rsidRDefault="000C7CC2" w:rsidP="000C7CC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w:t>
            </w:r>
          </w:p>
        </w:tc>
        <w:tc>
          <w:tcPr>
            <w:tcW w:w="752" w:type="pct"/>
            <w:tcBorders>
              <w:top w:val="single" w:sz="4" w:space="0" w:color="606372" w:themeColor="text2"/>
              <w:bottom w:val="dotted" w:sz="4" w:space="0" w:color="auto"/>
              <w:right w:val="single" w:sz="4" w:space="0" w:color="606372" w:themeColor="text2"/>
            </w:tcBorders>
            <w:shd w:val="clear" w:color="auto" w:fill="DEDFE3" w:themeFill="text2" w:themeFillTint="33"/>
            <w:vAlign w:val="center"/>
          </w:tcPr>
          <w:p w14:paraId="0049AA2B" w14:textId="0F224309" w:rsidR="000C7CC2" w:rsidRPr="005060E0" w:rsidRDefault="003832E7" w:rsidP="000C7CC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None</w:t>
            </w:r>
          </w:p>
        </w:tc>
      </w:tr>
      <w:tr w:rsidR="000C7CC2" w:rsidRPr="005060E0" w14:paraId="7533D1F2" w14:textId="77777777" w:rsidTr="000704F3">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533" w:type="pct"/>
            <w:vMerge/>
            <w:tcBorders>
              <w:left w:val="single" w:sz="4" w:space="0" w:color="606372" w:themeColor="text2"/>
            </w:tcBorders>
            <w:vAlign w:val="center"/>
          </w:tcPr>
          <w:p w14:paraId="38E47263" w14:textId="1F7F66DB" w:rsidR="000C7CC2" w:rsidRPr="005060E0" w:rsidRDefault="000C7CC2" w:rsidP="000C7CC2">
            <w:pPr>
              <w:widowControl w:val="0"/>
              <w:spacing w:after="0" w:line="240" w:lineRule="auto"/>
              <w:jc w:val="center"/>
              <w:rPr>
                <w:rFonts w:cs="Arial"/>
                <w:b w:val="0"/>
                <w:sz w:val="16"/>
                <w:szCs w:val="16"/>
                <w:lang w:val="en-AU"/>
              </w:rPr>
            </w:pPr>
          </w:p>
        </w:tc>
        <w:tc>
          <w:tcPr>
            <w:tcW w:w="888" w:type="pct"/>
            <w:tcBorders>
              <w:top w:val="dotted" w:sz="4" w:space="0" w:color="auto"/>
              <w:bottom w:val="dotted" w:sz="4" w:space="0" w:color="auto"/>
            </w:tcBorders>
            <w:shd w:val="clear" w:color="auto" w:fill="auto"/>
            <w:vAlign w:val="center"/>
          </w:tcPr>
          <w:p w14:paraId="2F052006" w14:textId="7AEF134D" w:rsidR="000C7CC2" w:rsidRPr="005060E0" w:rsidRDefault="000C7CC2" w:rsidP="000C7CC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USEPA</w:t>
            </w:r>
          </w:p>
        </w:tc>
        <w:tc>
          <w:tcPr>
            <w:tcW w:w="597" w:type="pct"/>
            <w:tcBorders>
              <w:top w:val="dotted" w:sz="4" w:space="0" w:color="auto"/>
              <w:bottom w:val="dotted" w:sz="4" w:space="0" w:color="auto"/>
              <w:right w:val="dotted" w:sz="4" w:space="0" w:color="606072"/>
            </w:tcBorders>
            <w:shd w:val="clear" w:color="auto" w:fill="auto"/>
            <w:vAlign w:val="center"/>
          </w:tcPr>
          <w:p w14:paraId="72AA5AC5" w14:textId="07D2FA5F" w:rsidR="000C7CC2" w:rsidRPr="005060E0" w:rsidRDefault="000C7CC2" w:rsidP="000C7CC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53</w:t>
            </w:r>
          </w:p>
        </w:tc>
        <w:tc>
          <w:tcPr>
            <w:tcW w:w="371" w:type="pct"/>
            <w:tcBorders>
              <w:top w:val="dotted" w:sz="4" w:space="0" w:color="auto"/>
              <w:left w:val="dotted" w:sz="4" w:space="0" w:color="606072"/>
              <w:bottom w:val="dotted" w:sz="4" w:space="0" w:color="auto"/>
            </w:tcBorders>
            <w:shd w:val="clear" w:color="auto" w:fill="auto"/>
            <w:vAlign w:val="center"/>
          </w:tcPr>
          <w:p w14:paraId="0C693A8B" w14:textId="5A1825AA" w:rsidR="000C7CC2" w:rsidRPr="005060E0" w:rsidRDefault="003832E7" w:rsidP="000C7CC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6"/>
                <w:szCs w:val="16"/>
                <w:lang w:val="en-AU"/>
              </w:rPr>
            </w:pPr>
            <w:r w:rsidRPr="005060E0">
              <w:rPr>
                <w:rFonts w:cs="Arial"/>
                <w:i/>
                <w:sz w:val="16"/>
                <w:szCs w:val="16"/>
                <w:lang w:val="en-AU"/>
              </w:rPr>
              <w:t>109</w:t>
            </w:r>
          </w:p>
        </w:tc>
        <w:tc>
          <w:tcPr>
            <w:tcW w:w="1858" w:type="pct"/>
            <w:tcBorders>
              <w:top w:val="dotted" w:sz="4" w:space="0" w:color="auto"/>
              <w:bottom w:val="dotted" w:sz="4" w:space="0" w:color="auto"/>
              <w:right w:val="single" w:sz="4" w:space="0" w:color="606372" w:themeColor="text2"/>
            </w:tcBorders>
            <w:shd w:val="clear" w:color="auto" w:fill="auto"/>
            <w:vAlign w:val="center"/>
          </w:tcPr>
          <w:p w14:paraId="3BF7AD74" w14:textId="40CA893A" w:rsidR="000C7CC2" w:rsidRPr="005060E0" w:rsidRDefault="000C7CC2" w:rsidP="000C7CC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w:t>
            </w:r>
          </w:p>
        </w:tc>
        <w:tc>
          <w:tcPr>
            <w:tcW w:w="752" w:type="pct"/>
            <w:tcBorders>
              <w:top w:val="dotted" w:sz="4" w:space="0" w:color="auto"/>
              <w:bottom w:val="dotted" w:sz="4" w:space="0" w:color="auto"/>
              <w:right w:val="single" w:sz="4" w:space="0" w:color="606372" w:themeColor="text2"/>
            </w:tcBorders>
            <w:shd w:val="clear" w:color="auto" w:fill="auto"/>
            <w:vAlign w:val="center"/>
          </w:tcPr>
          <w:p w14:paraId="27C61582" w14:textId="30727534" w:rsidR="000C7CC2" w:rsidRPr="005060E0" w:rsidRDefault="003832E7" w:rsidP="000C7CC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None</w:t>
            </w:r>
          </w:p>
        </w:tc>
      </w:tr>
      <w:tr w:rsidR="000C7CC2" w:rsidRPr="005060E0" w14:paraId="7024EFC2" w14:textId="77777777" w:rsidTr="000704F3">
        <w:trPr>
          <w:trHeight w:hRule="exact" w:val="397"/>
        </w:trPr>
        <w:tc>
          <w:tcPr>
            <w:cnfStyle w:val="001000000000" w:firstRow="0" w:lastRow="0" w:firstColumn="1" w:lastColumn="0" w:oddVBand="0" w:evenVBand="0" w:oddHBand="0" w:evenHBand="0" w:firstRowFirstColumn="0" w:firstRowLastColumn="0" w:lastRowFirstColumn="0" w:lastRowLastColumn="0"/>
            <w:tcW w:w="533" w:type="pct"/>
            <w:vMerge/>
            <w:tcBorders>
              <w:left w:val="single" w:sz="4" w:space="0" w:color="606372" w:themeColor="text2"/>
            </w:tcBorders>
            <w:vAlign w:val="center"/>
          </w:tcPr>
          <w:p w14:paraId="15B99294" w14:textId="5AB31DB0" w:rsidR="000C7CC2" w:rsidRPr="005060E0" w:rsidRDefault="000C7CC2" w:rsidP="000C7CC2">
            <w:pPr>
              <w:widowControl w:val="0"/>
              <w:spacing w:after="0" w:line="240" w:lineRule="auto"/>
              <w:jc w:val="center"/>
              <w:rPr>
                <w:rFonts w:cs="Arial"/>
                <w:b w:val="0"/>
                <w:sz w:val="16"/>
                <w:szCs w:val="16"/>
                <w:lang w:val="en-AU"/>
              </w:rPr>
            </w:pPr>
          </w:p>
        </w:tc>
        <w:tc>
          <w:tcPr>
            <w:tcW w:w="888" w:type="pct"/>
            <w:tcBorders>
              <w:top w:val="dotted" w:sz="4" w:space="0" w:color="auto"/>
              <w:bottom w:val="dotted" w:sz="4" w:space="0" w:color="auto"/>
            </w:tcBorders>
            <w:shd w:val="clear" w:color="auto" w:fill="auto"/>
            <w:vAlign w:val="center"/>
          </w:tcPr>
          <w:p w14:paraId="0B3907CB" w14:textId="5604084F" w:rsidR="000C7CC2" w:rsidRPr="005060E0" w:rsidRDefault="000C7CC2" w:rsidP="000C7CC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United Kingdom</w:t>
            </w:r>
          </w:p>
        </w:tc>
        <w:tc>
          <w:tcPr>
            <w:tcW w:w="597" w:type="pct"/>
            <w:tcBorders>
              <w:top w:val="dotted" w:sz="4" w:space="0" w:color="auto"/>
              <w:bottom w:val="dotted" w:sz="4" w:space="0" w:color="auto"/>
              <w:right w:val="dotted" w:sz="4" w:space="0" w:color="606072"/>
            </w:tcBorders>
            <w:shd w:val="clear" w:color="auto" w:fill="auto"/>
            <w:vAlign w:val="center"/>
          </w:tcPr>
          <w:p w14:paraId="25ECA9ED" w14:textId="617ADFBD" w:rsidR="000C7CC2" w:rsidRPr="005060E0" w:rsidRDefault="000C7CC2" w:rsidP="000C7CC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19</w:t>
            </w:r>
          </w:p>
        </w:tc>
        <w:tc>
          <w:tcPr>
            <w:tcW w:w="371" w:type="pct"/>
            <w:tcBorders>
              <w:top w:val="dotted" w:sz="4" w:space="0" w:color="auto"/>
              <w:left w:val="dotted" w:sz="4" w:space="0" w:color="606072"/>
              <w:bottom w:val="dotted" w:sz="4" w:space="0" w:color="auto"/>
            </w:tcBorders>
            <w:shd w:val="clear" w:color="auto" w:fill="auto"/>
            <w:vAlign w:val="center"/>
          </w:tcPr>
          <w:p w14:paraId="033F9EE6" w14:textId="4FD0CE2D" w:rsidR="000C7CC2" w:rsidRPr="005060E0" w:rsidRDefault="000C7CC2" w:rsidP="000C7CC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40</w:t>
            </w:r>
          </w:p>
        </w:tc>
        <w:tc>
          <w:tcPr>
            <w:tcW w:w="1858" w:type="pct"/>
            <w:tcBorders>
              <w:top w:val="dotted" w:sz="4" w:space="0" w:color="auto"/>
              <w:bottom w:val="dotted" w:sz="4" w:space="0" w:color="auto"/>
              <w:right w:val="single" w:sz="4" w:space="0" w:color="606372" w:themeColor="text2"/>
            </w:tcBorders>
            <w:shd w:val="clear" w:color="auto" w:fill="auto"/>
            <w:vAlign w:val="center"/>
          </w:tcPr>
          <w:p w14:paraId="3ABFA111" w14:textId="7CC0333B" w:rsidR="000C7CC2" w:rsidRPr="005060E0" w:rsidRDefault="000C7CC2" w:rsidP="000C7CC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w:t>
            </w:r>
          </w:p>
        </w:tc>
        <w:tc>
          <w:tcPr>
            <w:tcW w:w="752" w:type="pct"/>
            <w:tcBorders>
              <w:top w:val="dotted" w:sz="4" w:space="0" w:color="auto"/>
              <w:bottom w:val="dotted" w:sz="4" w:space="0" w:color="auto"/>
              <w:right w:val="single" w:sz="4" w:space="0" w:color="606372" w:themeColor="text2"/>
            </w:tcBorders>
            <w:shd w:val="clear" w:color="auto" w:fill="auto"/>
            <w:vAlign w:val="center"/>
          </w:tcPr>
          <w:p w14:paraId="6492D5E7" w14:textId="320729ED" w:rsidR="000C7CC2" w:rsidRPr="005060E0" w:rsidRDefault="003832E7" w:rsidP="000C7CC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None</w:t>
            </w:r>
          </w:p>
        </w:tc>
      </w:tr>
      <w:tr w:rsidR="000C7CC2" w:rsidRPr="005060E0" w14:paraId="4684D2AB" w14:textId="77777777" w:rsidTr="000704F3">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533" w:type="pct"/>
            <w:vMerge/>
            <w:tcBorders>
              <w:left w:val="single" w:sz="4" w:space="0" w:color="606372" w:themeColor="text2"/>
              <w:bottom w:val="single" w:sz="4" w:space="0" w:color="606372" w:themeColor="text2"/>
            </w:tcBorders>
            <w:vAlign w:val="center"/>
          </w:tcPr>
          <w:p w14:paraId="0FB80C26" w14:textId="6DCD9885" w:rsidR="000C7CC2" w:rsidRPr="005060E0" w:rsidRDefault="000C7CC2" w:rsidP="000C7CC2">
            <w:pPr>
              <w:widowControl w:val="0"/>
              <w:spacing w:after="0" w:line="240" w:lineRule="auto"/>
              <w:jc w:val="center"/>
              <w:rPr>
                <w:rFonts w:cs="Arial"/>
                <w:b w:val="0"/>
                <w:sz w:val="16"/>
                <w:szCs w:val="16"/>
                <w:lang w:val="en-AU"/>
              </w:rPr>
            </w:pPr>
          </w:p>
        </w:tc>
        <w:tc>
          <w:tcPr>
            <w:tcW w:w="888" w:type="pct"/>
            <w:tcBorders>
              <w:top w:val="dotted" w:sz="4" w:space="0" w:color="auto"/>
              <w:bottom w:val="single" w:sz="4" w:space="0" w:color="606372" w:themeColor="text2"/>
            </w:tcBorders>
            <w:shd w:val="clear" w:color="auto" w:fill="auto"/>
            <w:vAlign w:val="center"/>
          </w:tcPr>
          <w:p w14:paraId="22B6D07E" w14:textId="73BF95FD" w:rsidR="000C7CC2" w:rsidRPr="005060E0" w:rsidRDefault="000C7CC2" w:rsidP="000C7CC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European Union</w:t>
            </w:r>
          </w:p>
        </w:tc>
        <w:tc>
          <w:tcPr>
            <w:tcW w:w="597" w:type="pct"/>
            <w:tcBorders>
              <w:top w:val="dotted" w:sz="4" w:space="0" w:color="auto"/>
              <w:bottom w:val="single" w:sz="4" w:space="0" w:color="606372" w:themeColor="text2"/>
              <w:right w:val="dotted" w:sz="4" w:space="0" w:color="606072"/>
            </w:tcBorders>
            <w:shd w:val="clear" w:color="auto" w:fill="auto"/>
            <w:vAlign w:val="center"/>
          </w:tcPr>
          <w:p w14:paraId="5A693E93" w14:textId="444B39BD" w:rsidR="000C7CC2" w:rsidRPr="005060E0" w:rsidRDefault="000C7CC2" w:rsidP="000C7CC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19</w:t>
            </w:r>
          </w:p>
        </w:tc>
        <w:tc>
          <w:tcPr>
            <w:tcW w:w="371" w:type="pct"/>
            <w:tcBorders>
              <w:top w:val="dotted" w:sz="4" w:space="0" w:color="auto"/>
              <w:left w:val="dotted" w:sz="4" w:space="0" w:color="606072"/>
              <w:bottom w:val="single" w:sz="4" w:space="0" w:color="606372" w:themeColor="text2"/>
            </w:tcBorders>
            <w:shd w:val="clear" w:color="auto" w:fill="auto"/>
            <w:vAlign w:val="center"/>
          </w:tcPr>
          <w:p w14:paraId="12926E36" w14:textId="4AEB0651" w:rsidR="000C7CC2" w:rsidRPr="005060E0" w:rsidRDefault="000C7CC2" w:rsidP="000C7CC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40</w:t>
            </w:r>
          </w:p>
        </w:tc>
        <w:tc>
          <w:tcPr>
            <w:tcW w:w="1858" w:type="pct"/>
            <w:tcBorders>
              <w:top w:val="dotted" w:sz="4" w:space="0" w:color="auto"/>
              <w:bottom w:val="single" w:sz="4" w:space="0" w:color="606372" w:themeColor="text2"/>
              <w:right w:val="single" w:sz="4" w:space="0" w:color="606372" w:themeColor="text2"/>
            </w:tcBorders>
            <w:shd w:val="clear" w:color="auto" w:fill="auto"/>
            <w:vAlign w:val="center"/>
          </w:tcPr>
          <w:p w14:paraId="169ADB2C" w14:textId="2188CBB0" w:rsidR="000C7CC2" w:rsidRPr="005060E0" w:rsidRDefault="000C7CC2" w:rsidP="000C7CC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w:t>
            </w:r>
          </w:p>
        </w:tc>
        <w:tc>
          <w:tcPr>
            <w:tcW w:w="752" w:type="pct"/>
            <w:tcBorders>
              <w:top w:val="dotted" w:sz="4" w:space="0" w:color="auto"/>
              <w:bottom w:val="single" w:sz="4" w:space="0" w:color="606372" w:themeColor="text2"/>
              <w:right w:val="single" w:sz="4" w:space="0" w:color="606372" w:themeColor="text2"/>
            </w:tcBorders>
            <w:shd w:val="clear" w:color="auto" w:fill="auto"/>
            <w:vAlign w:val="center"/>
          </w:tcPr>
          <w:p w14:paraId="4DD6DA62" w14:textId="57E0415D" w:rsidR="000C7CC2" w:rsidRPr="005060E0" w:rsidRDefault="003832E7" w:rsidP="000C7CC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None</w:t>
            </w:r>
          </w:p>
        </w:tc>
      </w:tr>
    </w:tbl>
    <w:p w14:paraId="34327173" w14:textId="604EB7EE" w:rsidR="00BB48AE" w:rsidRPr="005060E0" w:rsidRDefault="00BB48AE" w:rsidP="00CB3A58">
      <w:pPr>
        <w:pStyle w:val="ListParagraph"/>
        <w:widowControl w:val="0"/>
        <w:numPr>
          <w:ilvl w:val="0"/>
          <w:numId w:val="49"/>
        </w:numPr>
        <w:spacing w:before="60" w:after="0" w:line="240" w:lineRule="auto"/>
        <w:ind w:left="284" w:hanging="284"/>
        <w:rPr>
          <w:sz w:val="16"/>
          <w:szCs w:val="16"/>
        </w:rPr>
      </w:pPr>
      <w:r w:rsidRPr="005060E0">
        <w:rPr>
          <w:sz w:val="16"/>
          <w:szCs w:val="16"/>
        </w:rPr>
        <w:t xml:space="preserve">Values in italics have been obtained using the conversion factors stated at the start of this </w:t>
      </w:r>
      <w:r w:rsidR="00DF05A9" w:rsidRPr="005060E0">
        <w:rPr>
          <w:sz w:val="16"/>
          <w:szCs w:val="16"/>
        </w:rPr>
        <w:t>Impact Statement</w:t>
      </w:r>
      <w:r w:rsidRPr="005060E0">
        <w:rPr>
          <w:sz w:val="16"/>
          <w:szCs w:val="16"/>
        </w:rPr>
        <w:t>.</w:t>
      </w:r>
    </w:p>
    <w:p w14:paraId="48B15CC0" w14:textId="4D6F15BA" w:rsidR="00BB48AE" w:rsidRPr="005060E0" w:rsidRDefault="00BB48AE" w:rsidP="000966C3">
      <w:pPr>
        <w:spacing w:after="0" w:line="240" w:lineRule="auto"/>
        <w:rPr>
          <w:sz w:val="8"/>
          <w:szCs w:val="8"/>
        </w:rPr>
      </w:pPr>
    </w:p>
    <w:p w14:paraId="7BF9E12D" w14:textId="523B3EEE" w:rsidR="003172C0" w:rsidRPr="005060E0" w:rsidRDefault="003172C0" w:rsidP="0043533F">
      <w:pPr>
        <w:pStyle w:val="Heading2"/>
      </w:pPr>
      <w:bookmarkStart w:id="166" w:name="_Toc3278969"/>
      <w:bookmarkEnd w:id="159"/>
      <w:r w:rsidRPr="005060E0">
        <w:t>Proposed air quality standards</w:t>
      </w:r>
      <w:r w:rsidR="00DE0522" w:rsidRPr="005060E0">
        <w:t xml:space="preserve"> for </w:t>
      </w:r>
      <w:r w:rsidR="00284327" w:rsidRPr="005060E0">
        <w:t>review</w:t>
      </w:r>
      <w:bookmarkEnd w:id="166"/>
    </w:p>
    <w:p w14:paraId="0BA36677" w14:textId="4DFAFC79" w:rsidR="00A36784" w:rsidRPr="005060E0" w:rsidRDefault="003172C0" w:rsidP="007444E2">
      <w:pPr>
        <w:spacing w:after="360"/>
        <w:rPr>
          <w:szCs w:val="20"/>
        </w:rPr>
      </w:pPr>
      <w:r w:rsidRPr="005060E0">
        <w:t>The proposed standards for NO</w:t>
      </w:r>
      <w:r w:rsidRPr="005060E0">
        <w:rPr>
          <w:vertAlign w:val="subscript"/>
        </w:rPr>
        <w:t>2</w:t>
      </w:r>
      <w:r w:rsidRPr="005060E0">
        <w:t xml:space="preserve"> tha</w:t>
      </w:r>
      <w:r w:rsidR="00284327" w:rsidRPr="005060E0">
        <w:t>t were investigated in the review</w:t>
      </w:r>
      <w:r w:rsidRPr="005060E0">
        <w:t xml:space="preserve">, and the existing </w:t>
      </w:r>
      <w:r w:rsidR="00284327" w:rsidRPr="005060E0">
        <w:t xml:space="preserve">AAQ </w:t>
      </w:r>
      <w:r w:rsidRPr="005060E0">
        <w:t xml:space="preserve">NEPM standards, are shown in </w:t>
      </w:r>
      <w:r w:rsidRPr="005060E0">
        <w:fldChar w:fldCharType="begin"/>
      </w:r>
      <w:r w:rsidRPr="005060E0">
        <w:instrText xml:space="preserve"> REF _Ref504375231 \h  \* MERGEFORMAT </w:instrText>
      </w:r>
      <w:r w:rsidRPr="005060E0">
        <w:fldChar w:fldCharType="separate"/>
      </w:r>
      <w:r w:rsidR="00F2067C" w:rsidRPr="00F2067C">
        <w:rPr>
          <w:rStyle w:val="PBTablecaptionChar"/>
          <w:rFonts w:eastAsiaTheme="minorHAnsi"/>
          <w:sz w:val="20"/>
          <w:szCs w:val="20"/>
        </w:rPr>
        <w:t xml:space="preserve">Table </w:t>
      </w:r>
      <w:r w:rsidR="00F2067C" w:rsidRPr="00F2067C">
        <w:rPr>
          <w:rStyle w:val="PBTablecaptionChar"/>
          <w:rFonts w:eastAsiaTheme="minorHAnsi"/>
          <w:noProof/>
          <w:sz w:val="20"/>
          <w:szCs w:val="20"/>
        </w:rPr>
        <w:t>7</w:t>
      </w:r>
      <w:r w:rsidR="00F2067C" w:rsidRPr="00F2067C">
        <w:rPr>
          <w:rStyle w:val="PBTablecaptionChar"/>
          <w:rFonts w:eastAsiaTheme="minorHAnsi"/>
          <w:noProof/>
          <w:sz w:val="20"/>
          <w:szCs w:val="20"/>
        </w:rPr>
        <w:noBreakHyphen/>
        <w:t>4</w:t>
      </w:r>
      <w:r w:rsidRPr="005060E0">
        <w:fldChar w:fldCharType="end"/>
      </w:r>
      <w:r w:rsidRPr="005060E0">
        <w:t xml:space="preserve">. </w:t>
      </w:r>
      <w:r w:rsidR="00284327" w:rsidRPr="005060E0">
        <w:rPr>
          <w:szCs w:val="20"/>
        </w:rPr>
        <w:t xml:space="preserve">The proposed standards were all lower than the existing AAQ NEPM standards, to reflect both the recent health evidence and the more stringent standards in place in </w:t>
      </w:r>
      <w:r w:rsidR="007116E3" w:rsidRPr="005060E0">
        <w:rPr>
          <w:szCs w:val="20"/>
        </w:rPr>
        <w:t>other leading countries</w:t>
      </w:r>
      <w:r w:rsidR="00284327" w:rsidRPr="005060E0">
        <w:rPr>
          <w:szCs w:val="20"/>
        </w:rPr>
        <w:t>.</w:t>
      </w:r>
    </w:p>
    <w:p w14:paraId="4CDF41B1" w14:textId="35864DA9" w:rsidR="003172C0" w:rsidRPr="005060E0" w:rsidRDefault="003172C0" w:rsidP="003172C0">
      <w:pPr>
        <w:pStyle w:val="PBTablecaption"/>
      </w:pPr>
      <w:bookmarkStart w:id="167" w:name="_Ref504375231"/>
      <w:bookmarkStart w:id="168" w:name="_Toc508305371"/>
      <w:r w:rsidRPr="005060E0">
        <w:rPr>
          <w:rStyle w:val="PBTablecaptionChar"/>
        </w:rPr>
        <w:t xml:space="preserve">Table </w:t>
      </w:r>
      <w:r w:rsidRPr="005060E0">
        <w:rPr>
          <w:rStyle w:val="PBTablecaptionChar"/>
          <w:bCs/>
        </w:rPr>
        <w:fldChar w:fldCharType="begin"/>
      </w:r>
      <w:r w:rsidRPr="005060E0">
        <w:rPr>
          <w:rStyle w:val="PBTablecaptionChar"/>
        </w:rPr>
        <w:instrText xml:space="preserve"> STYLEREF 1 \s </w:instrText>
      </w:r>
      <w:r w:rsidRPr="005060E0">
        <w:rPr>
          <w:rStyle w:val="PBTablecaptionChar"/>
          <w:bCs/>
        </w:rPr>
        <w:fldChar w:fldCharType="separate"/>
      </w:r>
      <w:r w:rsidR="00F2067C">
        <w:rPr>
          <w:rStyle w:val="PBTablecaptionChar"/>
          <w:noProof/>
        </w:rPr>
        <w:t>7</w:t>
      </w:r>
      <w:r w:rsidRPr="005060E0">
        <w:rPr>
          <w:rStyle w:val="PBTablecaptionChar"/>
          <w:bCs/>
        </w:rPr>
        <w:fldChar w:fldCharType="end"/>
      </w:r>
      <w:r w:rsidRPr="005060E0">
        <w:rPr>
          <w:rStyle w:val="PBTablecaptionChar"/>
        </w:rPr>
        <w:noBreakHyphen/>
      </w:r>
      <w:r w:rsidRPr="005060E0">
        <w:rPr>
          <w:rStyle w:val="PBTablecaptionChar"/>
          <w:bCs/>
        </w:rPr>
        <w:fldChar w:fldCharType="begin"/>
      </w:r>
      <w:r w:rsidRPr="005060E0">
        <w:rPr>
          <w:rStyle w:val="PBTablecaptionChar"/>
        </w:rPr>
        <w:instrText xml:space="preserve"> SEQ Table \* ARABIC \s 1 </w:instrText>
      </w:r>
      <w:r w:rsidRPr="005060E0">
        <w:rPr>
          <w:rStyle w:val="PBTablecaptionChar"/>
          <w:bCs/>
        </w:rPr>
        <w:fldChar w:fldCharType="separate"/>
      </w:r>
      <w:r w:rsidR="00F2067C">
        <w:rPr>
          <w:rStyle w:val="PBTablecaptionChar"/>
          <w:noProof/>
        </w:rPr>
        <w:t>4</w:t>
      </w:r>
      <w:r w:rsidRPr="005060E0">
        <w:rPr>
          <w:rStyle w:val="PBTablecaptionChar"/>
          <w:bCs/>
        </w:rPr>
        <w:fldChar w:fldCharType="end"/>
      </w:r>
      <w:bookmarkEnd w:id="167"/>
      <w:r w:rsidRPr="005060E0">
        <w:rPr>
          <w:rStyle w:val="PBTablecaptionChar"/>
        </w:rPr>
        <w:t>: Current</w:t>
      </w:r>
      <w:r w:rsidRPr="005060E0">
        <w:t xml:space="preserve"> </w:t>
      </w:r>
      <w:r w:rsidR="00FE23DB" w:rsidRPr="005060E0">
        <w:t>AAQ NEPM</w:t>
      </w:r>
      <w:r w:rsidRPr="005060E0">
        <w:t xml:space="preserve"> standards and proposed standards </w:t>
      </w:r>
      <w:r w:rsidR="00882FFC">
        <w:t xml:space="preserve">for </w:t>
      </w:r>
      <w:r w:rsidRPr="005060E0">
        <w:t>NO</w:t>
      </w:r>
      <w:r w:rsidRPr="005060E0">
        <w:rPr>
          <w:vertAlign w:val="subscript"/>
        </w:rPr>
        <w:t>2</w:t>
      </w:r>
      <w:bookmarkEnd w:id="168"/>
    </w:p>
    <w:tbl>
      <w:tblPr>
        <w:tblStyle w:val="ListTable3-Accent11"/>
        <w:tblW w:w="5000" w:type="pct"/>
        <w:tblBorders>
          <w:top w:val="single" w:sz="4" w:space="0" w:color="0076C0" w:themeColor="accent1"/>
          <w:left w:val="single" w:sz="4" w:space="0" w:color="0076C0" w:themeColor="accent1"/>
          <w:bottom w:val="single" w:sz="4" w:space="0" w:color="0076C0" w:themeColor="accent1"/>
          <w:right w:val="single" w:sz="4" w:space="0" w:color="0076C0" w:themeColor="accent1"/>
          <w:insideH w:val="single" w:sz="4" w:space="0" w:color="0076C0" w:themeColor="accent1"/>
        </w:tblBorders>
        <w:tblLook w:val="04A0" w:firstRow="1" w:lastRow="0" w:firstColumn="1" w:lastColumn="0" w:noHBand="0" w:noVBand="1"/>
      </w:tblPr>
      <w:tblGrid>
        <w:gridCol w:w="1574"/>
        <w:gridCol w:w="2105"/>
        <w:gridCol w:w="2609"/>
        <w:gridCol w:w="3341"/>
      </w:tblGrid>
      <w:tr w:rsidR="003172C0" w:rsidRPr="005060E0" w14:paraId="29405587" w14:textId="77777777" w:rsidTr="00D35C2D">
        <w:trPr>
          <w:cnfStyle w:val="100000000000" w:firstRow="1" w:lastRow="0" w:firstColumn="0" w:lastColumn="0" w:oddVBand="0" w:evenVBand="0" w:oddHBand="0" w:evenHBand="0" w:firstRowFirstColumn="0" w:firstRowLastColumn="0" w:lastRowFirstColumn="0" w:lastRowLastColumn="0"/>
          <w:trHeight w:hRule="exact" w:val="510"/>
          <w:tblHeader/>
        </w:trPr>
        <w:tc>
          <w:tcPr>
            <w:cnfStyle w:val="001000000100" w:firstRow="0" w:lastRow="0" w:firstColumn="1" w:lastColumn="0" w:oddVBand="0" w:evenVBand="0" w:oddHBand="0" w:evenHBand="0" w:firstRowFirstColumn="1" w:firstRowLastColumn="0" w:lastRowFirstColumn="0" w:lastRowLastColumn="0"/>
            <w:tcW w:w="817" w:type="pct"/>
            <w:tcBorders>
              <w:top w:val="single" w:sz="4" w:space="0" w:color="606072"/>
              <w:left w:val="single" w:sz="4" w:space="0" w:color="606072"/>
              <w:bottom w:val="single" w:sz="4" w:space="0" w:color="606072"/>
              <w:right w:val="single" w:sz="4" w:space="0" w:color="606072"/>
            </w:tcBorders>
            <w:shd w:val="clear" w:color="auto" w:fill="606072"/>
            <w:vAlign w:val="center"/>
          </w:tcPr>
          <w:p w14:paraId="2BE80695" w14:textId="77777777" w:rsidR="003172C0" w:rsidRPr="005060E0" w:rsidRDefault="003172C0" w:rsidP="00A36219">
            <w:pPr>
              <w:spacing w:after="0" w:line="240" w:lineRule="auto"/>
              <w:jc w:val="center"/>
              <w:rPr>
                <w:rFonts w:cs="Arial"/>
                <w:b w:val="0"/>
                <w:color w:val="FFFFFF" w:themeColor="background1"/>
                <w:sz w:val="16"/>
                <w:szCs w:val="16"/>
              </w:rPr>
            </w:pPr>
            <w:r w:rsidRPr="005060E0">
              <w:rPr>
                <w:rFonts w:cs="Arial"/>
                <w:b w:val="0"/>
                <w:color w:val="FFFFFF" w:themeColor="background1"/>
                <w:sz w:val="16"/>
                <w:szCs w:val="16"/>
              </w:rPr>
              <w:t>Pollutant</w:t>
            </w:r>
          </w:p>
        </w:tc>
        <w:tc>
          <w:tcPr>
            <w:tcW w:w="1093" w:type="pct"/>
            <w:tcBorders>
              <w:top w:val="single" w:sz="4" w:space="0" w:color="606072"/>
              <w:left w:val="single" w:sz="4" w:space="0" w:color="606072"/>
              <w:bottom w:val="single" w:sz="4" w:space="0" w:color="606072"/>
              <w:right w:val="single" w:sz="4" w:space="0" w:color="606072"/>
            </w:tcBorders>
            <w:shd w:val="clear" w:color="auto" w:fill="606072"/>
            <w:vAlign w:val="center"/>
          </w:tcPr>
          <w:p w14:paraId="7F514F74" w14:textId="77777777" w:rsidR="003172C0" w:rsidRPr="005060E0" w:rsidRDefault="003172C0" w:rsidP="00A362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cs="Arial"/>
                <w:b w:val="0"/>
                <w:color w:val="FFFFFF" w:themeColor="background1"/>
                <w:sz w:val="16"/>
                <w:szCs w:val="16"/>
              </w:rPr>
              <w:t>Averaging period</w:t>
            </w:r>
          </w:p>
        </w:tc>
        <w:tc>
          <w:tcPr>
            <w:tcW w:w="1355" w:type="pct"/>
            <w:tcBorders>
              <w:top w:val="single" w:sz="4" w:space="0" w:color="606072"/>
              <w:left w:val="single" w:sz="4" w:space="0" w:color="606072"/>
              <w:bottom w:val="single" w:sz="4" w:space="0" w:color="606072"/>
              <w:right w:val="single" w:sz="4" w:space="0" w:color="606072"/>
            </w:tcBorders>
            <w:shd w:val="clear" w:color="auto" w:fill="606072"/>
            <w:vAlign w:val="center"/>
          </w:tcPr>
          <w:p w14:paraId="6D62005C" w14:textId="77777777" w:rsidR="003172C0" w:rsidRPr="005060E0" w:rsidRDefault="003172C0" w:rsidP="00A362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cs="Arial"/>
                <w:b w:val="0"/>
                <w:color w:val="FFFFFF" w:themeColor="background1"/>
                <w:sz w:val="16"/>
                <w:szCs w:val="16"/>
              </w:rPr>
              <w:t>Concentration (ppb)</w:t>
            </w:r>
            <w:r w:rsidRPr="005060E0">
              <w:rPr>
                <w:rFonts w:cs="Arial"/>
                <w:b w:val="0"/>
                <w:color w:val="FFFFFF" w:themeColor="background1"/>
                <w:sz w:val="16"/>
                <w:szCs w:val="16"/>
                <w:vertAlign w:val="superscript"/>
              </w:rPr>
              <w:t>(a)</w:t>
            </w:r>
          </w:p>
        </w:tc>
        <w:tc>
          <w:tcPr>
            <w:tcW w:w="1735" w:type="pct"/>
            <w:tcBorders>
              <w:top w:val="single" w:sz="4" w:space="0" w:color="606072"/>
              <w:left w:val="single" w:sz="4" w:space="0" w:color="606072"/>
              <w:bottom w:val="single" w:sz="4" w:space="0" w:color="606072"/>
              <w:right w:val="single" w:sz="4" w:space="0" w:color="606072"/>
            </w:tcBorders>
            <w:shd w:val="clear" w:color="auto" w:fill="606072"/>
            <w:vAlign w:val="center"/>
          </w:tcPr>
          <w:p w14:paraId="63B4C6ED" w14:textId="77777777" w:rsidR="003172C0" w:rsidRPr="005060E0" w:rsidRDefault="003172C0" w:rsidP="00A362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cs="Arial"/>
                <w:b w:val="0"/>
                <w:color w:val="FFFFFF" w:themeColor="background1"/>
                <w:sz w:val="16"/>
                <w:szCs w:val="16"/>
              </w:rPr>
              <w:t>Source</w:t>
            </w:r>
          </w:p>
        </w:tc>
      </w:tr>
      <w:tr w:rsidR="003172C0" w:rsidRPr="005060E0" w14:paraId="05E7F638" w14:textId="77777777" w:rsidTr="00284327">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817" w:type="pct"/>
            <w:vMerge w:val="restart"/>
            <w:tcBorders>
              <w:top w:val="single" w:sz="4" w:space="0" w:color="606072"/>
              <w:left w:val="single" w:sz="4" w:space="0" w:color="606072"/>
              <w:right w:val="single" w:sz="4" w:space="0" w:color="606072"/>
            </w:tcBorders>
            <w:vAlign w:val="center"/>
          </w:tcPr>
          <w:p w14:paraId="241DF74F" w14:textId="77777777" w:rsidR="003172C0" w:rsidRPr="005060E0" w:rsidRDefault="003172C0" w:rsidP="00A36219">
            <w:pPr>
              <w:spacing w:after="0" w:line="240" w:lineRule="auto"/>
              <w:jc w:val="center"/>
              <w:rPr>
                <w:rFonts w:cs="Arial"/>
                <w:b w:val="0"/>
                <w:sz w:val="16"/>
                <w:szCs w:val="16"/>
              </w:rPr>
            </w:pPr>
            <w:r w:rsidRPr="005060E0">
              <w:rPr>
                <w:rFonts w:cs="Arial"/>
                <w:b w:val="0"/>
                <w:sz w:val="16"/>
                <w:szCs w:val="16"/>
              </w:rPr>
              <w:t>NO</w:t>
            </w:r>
            <w:r w:rsidRPr="005060E0">
              <w:rPr>
                <w:rFonts w:cs="Arial"/>
                <w:b w:val="0"/>
                <w:sz w:val="16"/>
                <w:szCs w:val="16"/>
                <w:vertAlign w:val="subscript"/>
              </w:rPr>
              <w:t>2</w:t>
            </w:r>
          </w:p>
        </w:tc>
        <w:tc>
          <w:tcPr>
            <w:tcW w:w="1093" w:type="pct"/>
            <w:vMerge w:val="restart"/>
            <w:tcBorders>
              <w:top w:val="single" w:sz="4" w:space="0" w:color="606072"/>
              <w:left w:val="single" w:sz="4" w:space="0" w:color="606072"/>
              <w:right w:val="single" w:sz="4" w:space="0" w:color="606072"/>
            </w:tcBorders>
            <w:vAlign w:val="center"/>
          </w:tcPr>
          <w:p w14:paraId="2CA54E51" w14:textId="77777777" w:rsidR="003172C0" w:rsidRPr="005060E0" w:rsidRDefault="003172C0"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1-hour</w:t>
            </w:r>
          </w:p>
        </w:tc>
        <w:tc>
          <w:tcPr>
            <w:tcW w:w="1355" w:type="pct"/>
            <w:tcBorders>
              <w:top w:val="single" w:sz="4" w:space="0" w:color="606072"/>
              <w:left w:val="single" w:sz="4" w:space="0" w:color="606072"/>
              <w:bottom w:val="dotted" w:sz="4" w:space="0" w:color="606072"/>
              <w:right w:val="single" w:sz="4" w:space="0" w:color="606072"/>
            </w:tcBorders>
            <w:vAlign w:val="center"/>
          </w:tcPr>
          <w:p w14:paraId="5CBA513E" w14:textId="77777777" w:rsidR="003172C0" w:rsidRPr="005060E0" w:rsidRDefault="003172C0"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40</w:t>
            </w:r>
          </w:p>
        </w:tc>
        <w:tc>
          <w:tcPr>
            <w:tcW w:w="1735" w:type="pct"/>
            <w:tcBorders>
              <w:top w:val="single" w:sz="4" w:space="0" w:color="606072"/>
              <w:left w:val="single" w:sz="4" w:space="0" w:color="606072"/>
              <w:bottom w:val="dotted" w:sz="4" w:space="0" w:color="606072"/>
              <w:right w:val="single" w:sz="4" w:space="0" w:color="606072"/>
            </w:tcBorders>
            <w:vAlign w:val="center"/>
          </w:tcPr>
          <w:p w14:paraId="72CB8CDD" w14:textId="3A3BA094" w:rsidR="003172C0" w:rsidRPr="005060E0" w:rsidRDefault="00971E5B"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Air TOG</w:t>
            </w:r>
          </w:p>
        </w:tc>
      </w:tr>
      <w:tr w:rsidR="003172C0" w:rsidRPr="005060E0" w14:paraId="1D856FCD" w14:textId="77777777" w:rsidTr="00284327">
        <w:trPr>
          <w:trHeight w:hRule="exact" w:val="340"/>
        </w:trPr>
        <w:tc>
          <w:tcPr>
            <w:cnfStyle w:val="001000000000" w:firstRow="0" w:lastRow="0" w:firstColumn="1" w:lastColumn="0" w:oddVBand="0" w:evenVBand="0" w:oddHBand="0" w:evenHBand="0" w:firstRowFirstColumn="0" w:firstRowLastColumn="0" w:lastRowFirstColumn="0" w:lastRowLastColumn="0"/>
            <w:tcW w:w="817" w:type="pct"/>
            <w:vMerge/>
            <w:tcBorders>
              <w:left w:val="single" w:sz="4" w:space="0" w:color="606072"/>
              <w:right w:val="single" w:sz="4" w:space="0" w:color="606072"/>
            </w:tcBorders>
            <w:vAlign w:val="center"/>
          </w:tcPr>
          <w:p w14:paraId="2EDD869B" w14:textId="77777777" w:rsidR="003172C0" w:rsidRPr="005060E0" w:rsidRDefault="003172C0" w:rsidP="00A36219">
            <w:pPr>
              <w:spacing w:after="0" w:line="240" w:lineRule="auto"/>
              <w:jc w:val="center"/>
              <w:rPr>
                <w:rFonts w:cs="Arial"/>
                <w:b w:val="0"/>
                <w:sz w:val="16"/>
                <w:szCs w:val="16"/>
              </w:rPr>
            </w:pPr>
          </w:p>
        </w:tc>
        <w:tc>
          <w:tcPr>
            <w:tcW w:w="1093" w:type="pct"/>
            <w:vMerge/>
            <w:tcBorders>
              <w:left w:val="single" w:sz="4" w:space="0" w:color="606072"/>
              <w:right w:val="single" w:sz="4" w:space="0" w:color="606072"/>
            </w:tcBorders>
            <w:vAlign w:val="center"/>
          </w:tcPr>
          <w:p w14:paraId="0381ADFF" w14:textId="77777777" w:rsidR="003172C0" w:rsidRPr="005060E0" w:rsidRDefault="003172C0"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55" w:type="pct"/>
            <w:tcBorders>
              <w:top w:val="dotted" w:sz="4" w:space="0" w:color="606072"/>
              <w:left w:val="single" w:sz="4" w:space="0" w:color="606072"/>
              <w:bottom w:val="dotted" w:sz="4" w:space="0" w:color="606072"/>
              <w:right w:val="single" w:sz="4" w:space="0" w:color="606072"/>
            </w:tcBorders>
            <w:vAlign w:val="center"/>
          </w:tcPr>
          <w:p w14:paraId="20FCC044" w14:textId="77777777" w:rsidR="003172C0" w:rsidRPr="005060E0" w:rsidRDefault="003172C0"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80</w:t>
            </w:r>
          </w:p>
        </w:tc>
        <w:tc>
          <w:tcPr>
            <w:tcW w:w="1735" w:type="pct"/>
            <w:tcBorders>
              <w:top w:val="dotted" w:sz="4" w:space="0" w:color="606072"/>
              <w:left w:val="single" w:sz="4" w:space="0" w:color="606072"/>
              <w:bottom w:val="dotted" w:sz="4" w:space="0" w:color="606072"/>
              <w:right w:val="single" w:sz="4" w:space="0" w:color="606072"/>
            </w:tcBorders>
            <w:vAlign w:val="center"/>
          </w:tcPr>
          <w:p w14:paraId="1B68C620" w14:textId="2C697844" w:rsidR="003172C0" w:rsidRPr="005060E0" w:rsidRDefault="00971E5B"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Air TOG</w:t>
            </w:r>
          </w:p>
        </w:tc>
      </w:tr>
      <w:tr w:rsidR="003172C0" w:rsidRPr="005060E0" w14:paraId="1E0E76B6" w14:textId="77777777" w:rsidTr="00284327">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817" w:type="pct"/>
            <w:vMerge/>
            <w:tcBorders>
              <w:left w:val="single" w:sz="4" w:space="0" w:color="606072"/>
              <w:right w:val="single" w:sz="4" w:space="0" w:color="606072"/>
            </w:tcBorders>
            <w:vAlign w:val="center"/>
          </w:tcPr>
          <w:p w14:paraId="231ECB77" w14:textId="77777777" w:rsidR="003172C0" w:rsidRPr="005060E0" w:rsidRDefault="003172C0" w:rsidP="00A36219">
            <w:pPr>
              <w:spacing w:after="0" w:line="240" w:lineRule="auto"/>
              <w:jc w:val="center"/>
              <w:rPr>
                <w:rFonts w:cs="Arial"/>
                <w:b w:val="0"/>
                <w:sz w:val="16"/>
                <w:szCs w:val="16"/>
              </w:rPr>
            </w:pPr>
          </w:p>
        </w:tc>
        <w:tc>
          <w:tcPr>
            <w:tcW w:w="1093" w:type="pct"/>
            <w:vMerge/>
            <w:tcBorders>
              <w:left w:val="single" w:sz="4" w:space="0" w:color="606072"/>
              <w:right w:val="single" w:sz="4" w:space="0" w:color="606072"/>
            </w:tcBorders>
            <w:vAlign w:val="center"/>
          </w:tcPr>
          <w:p w14:paraId="6F704C59" w14:textId="77777777" w:rsidR="003172C0" w:rsidRPr="005060E0" w:rsidRDefault="003172C0"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55" w:type="pct"/>
            <w:tcBorders>
              <w:top w:val="dotted" w:sz="4" w:space="0" w:color="606072"/>
              <w:left w:val="single" w:sz="4" w:space="0" w:color="606072"/>
              <w:bottom w:val="dotted" w:sz="4" w:space="0" w:color="606072"/>
              <w:right w:val="single" w:sz="4" w:space="0" w:color="606072"/>
            </w:tcBorders>
            <w:vAlign w:val="center"/>
          </w:tcPr>
          <w:p w14:paraId="422DF468" w14:textId="77777777" w:rsidR="003172C0" w:rsidRPr="005060E0" w:rsidRDefault="003172C0"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97</w:t>
            </w:r>
          </w:p>
        </w:tc>
        <w:tc>
          <w:tcPr>
            <w:tcW w:w="1735" w:type="pct"/>
            <w:tcBorders>
              <w:top w:val="dotted" w:sz="4" w:space="0" w:color="606072"/>
              <w:left w:val="single" w:sz="4" w:space="0" w:color="606072"/>
              <w:bottom w:val="dotted" w:sz="4" w:space="0" w:color="606072"/>
              <w:right w:val="single" w:sz="4" w:space="0" w:color="606072"/>
            </w:tcBorders>
            <w:vAlign w:val="center"/>
          </w:tcPr>
          <w:p w14:paraId="78062035" w14:textId="18A9F940" w:rsidR="003172C0" w:rsidRPr="005060E0" w:rsidRDefault="00971E5B"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Air TOG</w:t>
            </w:r>
          </w:p>
        </w:tc>
      </w:tr>
      <w:tr w:rsidR="003172C0" w:rsidRPr="005060E0" w14:paraId="0CD6EB77" w14:textId="77777777" w:rsidTr="005D5AFF">
        <w:trPr>
          <w:trHeight w:hRule="exact" w:val="340"/>
        </w:trPr>
        <w:tc>
          <w:tcPr>
            <w:cnfStyle w:val="001000000000" w:firstRow="0" w:lastRow="0" w:firstColumn="1" w:lastColumn="0" w:oddVBand="0" w:evenVBand="0" w:oddHBand="0" w:evenHBand="0" w:firstRowFirstColumn="0" w:firstRowLastColumn="0" w:lastRowFirstColumn="0" w:lastRowLastColumn="0"/>
            <w:tcW w:w="817" w:type="pct"/>
            <w:vMerge/>
            <w:tcBorders>
              <w:left w:val="single" w:sz="4" w:space="0" w:color="606072"/>
              <w:right w:val="single" w:sz="4" w:space="0" w:color="606072"/>
            </w:tcBorders>
            <w:vAlign w:val="center"/>
          </w:tcPr>
          <w:p w14:paraId="2BECD57F" w14:textId="77777777" w:rsidR="003172C0" w:rsidRPr="005060E0" w:rsidRDefault="003172C0" w:rsidP="00A36219">
            <w:pPr>
              <w:spacing w:after="0" w:line="240" w:lineRule="auto"/>
              <w:jc w:val="center"/>
              <w:rPr>
                <w:rFonts w:cs="Arial"/>
                <w:b w:val="0"/>
                <w:sz w:val="16"/>
                <w:szCs w:val="16"/>
              </w:rPr>
            </w:pPr>
          </w:p>
        </w:tc>
        <w:tc>
          <w:tcPr>
            <w:tcW w:w="1093" w:type="pct"/>
            <w:vMerge/>
            <w:tcBorders>
              <w:left w:val="single" w:sz="4" w:space="0" w:color="606072"/>
              <w:bottom w:val="single" w:sz="4" w:space="0" w:color="606072"/>
              <w:right w:val="single" w:sz="4" w:space="0" w:color="606072"/>
            </w:tcBorders>
            <w:vAlign w:val="center"/>
          </w:tcPr>
          <w:p w14:paraId="37C73783" w14:textId="77777777" w:rsidR="003172C0" w:rsidRPr="005060E0" w:rsidRDefault="003172C0"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55"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70A97647" w14:textId="77777777" w:rsidR="003172C0" w:rsidRPr="005060E0" w:rsidRDefault="003172C0"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120</w:t>
            </w:r>
          </w:p>
        </w:tc>
        <w:tc>
          <w:tcPr>
            <w:tcW w:w="1735" w:type="pct"/>
            <w:tcBorders>
              <w:top w:val="dotted" w:sz="4" w:space="0" w:color="606072"/>
              <w:left w:val="single" w:sz="4" w:space="0" w:color="606072"/>
              <w:bottom w:val="single" w:sz="4" w:space="0" w:color="606072"/>
              <w:right w:val="single" w:sz="4" w:space="0" w:color="606072"/>
            </w:tcBorders>
            <w:vAlign w:val="center"/>
          </w:tcPr>
          <w:p w14:paraId="302B6BE5" w14:textId="77777777" w:rsidR="003172C0" w:rsidRPr="005060E0" w:rsidRDefault="003172C0"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AAQ NEPM</w:t>
            </w:r>
          </w:p>
        </w:tc>
      </w:tr>
      <w:tr w:rsidR="003172C0" w:rsidRPr="005060E0" w14:paraId="22437CA9" w14:textId="77777777" w:rsidTr="00284327">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817" w:type="pct"/>
            <w:vMerge/>
            <w:tcBorders>
              <w:left w:val="single" w:sz="4" w:space="0" w:color="606072"/>
              <w:right w:val="single" w:sz="4" w:space="0" w:color="606072"/>
            </w:tcBorders>
            <w:vAlign w:val="center"/>
          </w:tcPr>
          <w:p w14:paraId="2C13DB58" w14:textId="77777777" w:rsidR="003172C0" w:rsidRPr="005060E0" w:rsidRDefault="003172C0" w:rsidP="00A36219">
            <w:pPr>
              <w:spacing w:after="0" w:line="240" w:lineRule="auto"/>
              <w:jc w:val="center"/>
              <w:rPr>
                <w:rFonts w:cs="Arial"/>
                <w:b w:val="0"/>
                <w:sz w:val="16"/>
                <w:szCs w:val="16"/>
              </w:rPr>
            </w:pPr>
          </w:p>
        </w:tc>
        <w:tc>
          <w:tcPr>
            <w:tcW w:w="1093" w:type="pct"/>
            <w:vMerge w:val="restart"/>
            <w:tcBorders>
              <w:top w:val="single" w:sz="4" w:space="0" w:color="606072"/>
              <w:left w:val="single" w:sz="4" w:space="0" w:color="606072"/>
              <w:right w:val="single" w:sz="4" w:space="0" w:color="606072"/>
            </w:tcBorders>
            <w:vAlign w:val="center"/>
          </w:tcPr>
          <w:p w14:paraId="10D291C5" w14:textId="77777777" w:rsidR="003172C0" w:rsidRPr="005060E0" w:rsidRDefault="003172C0"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Annual</w:t>
            </w:r>
          </w:p>
        </w:tc>
        <w:tc>
          <w:tcPr>
            <w:tcW w:w="1355" w:type="pct"/>
            <w:tcBorders>
              <w:top w:val="single" w:sz="4" w:space="0" w:color="606072"/>
              <w:left w:val="single" w:sz="4" w:space="0" w:color="606072"/>
              <w:bottom w:val="dotted" w:sz="4" w:space="0" w:color="606072"/>
              <w:right w:val="single" w:sz="4" w:space="0" w:color="606072"/>
            </w:tcBorders>
            <w:vAlign w:val="center"/>
          </w:tcPr>
          <w:p w14:paraId="792EDB06" w14:textId="77777777" w:rsidR="003172C0" w:rsidRPr="005060E0" w:rsidRDefault="003172C0"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10</w:t>
            </w:r>
          </w:p>
        </w:tc>
        <w:tc>
          <w:tcPr>
            <w:tcW w:w="1735" w:type="pct"/>
            <w:tcBorders>
              <w:top w:val="single" w:sz="4" w:space="0" w:color="606072"/>
              <w:left w:val="single" w:sz="4" w:space="0" w:color="606072"/>
              <w:bottom w:val="dotted" w:sz="4" w:space="0" w:color="606072"/>
              <w:right w:val="single" w:sz="4" w:space="0" w:color="606072"/>
            </w:tcBorders>
            <w:vAlign w:val="center"/>
          </w:tcPr>
          <w:p w14:paraId="159578AF" w14:textId="5AEB539F" w:rsidR="003172C0" w:rsidRPr="005060E0" w:rsidRDefault="00971E5B"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Air TOG</w:t>
            </w:r>
          </w:p>
        </w:tc>
      </w:tr>
      <w:tr w:rsidR="003172C0" w:rsidRPr="005060E0" w14:paraId="3AAC6885" w14:textId="77777777" w:rsidTr="00284327">
        <w:trPr>
          <w:trHeight w:hRule="exact" w:val="340"/>
        </w:trPr>
        <w:tc>
          <w:tcPr>
            <w:cnfStyle w:val="001000000000" w:firstRow="0" w:lastRow="0" w:firstColumn="1" w:lastColumn="0" w:oddVBand="0" w:evenVBand="0" w:oddHBand="0" w:evenHBand="0" w:firstRowFirstColumn="0" w:firstRowLastColumn="0" w:lastRowFirstColumn="0" w:lastRowLastColumn="0"/>
            <w:tcW w:w="817" w:type="pct"/>
            <w:vMerge/>
            <w:tcBorders>
              <w:left w:val="single" w:sz="4" w:space="0" w:color="606072"/>
              <w:bottom w:val="single" w:sz="4" w:space="0" w:color="606072"/>
              <w:right w:val="single" w:sz="4" w:space="0" w:color="606072"/>
            </w:tcBorders>
            <w:vAlign w:val="center"/>
          </w:tcPr>
          <w:p w14:paraId="121223E2" w14:textId="77777777" w:rsidR="003172C0" w:rsidRPr="005060E0" w:rsidRDefault="003172C0" w:rsidP="00A36219">
            <w:pPr>
              <w:spacing w:after="0" w:line="240" w:lineRule="auto"/>
              <w:jc w:val="center"/>
              <w:rPr>
                <w:rFonts w:cs="Arial"/>
                <w:b w:val="0"/>
                <w:sz w:val="16"/>
                <w:szCs w:val="16"/>
              </w:rPr>
            </w:pPr>
          </w:p>
        </w:tc>
        <w:tc>
          <w:tcPr>
            <w:tcW w:w="1093" w:type="pct"/>
            <w:vMerge/>
            <w:tcBorders>
              <w:left w:val="single" w:sz="4" w:space="0" w:color="606072"/>
              <w:bottom w:val="single" w:sz="4" w:space="0" w:color="606072"/>
              <w:right w:val="single" w:sz="4" w:space="0" w:color="606072"/>
            </w:tcBorders>
            <w:vAlign w:val="center"/>
          </w:tcPr>
          <w:p w14:paraId="5CF74953" w14:textId="77777777" w:rsidR="003172C0" w:rsidRPr="005060E0" w:rsidRDefault="003172C0"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55" w:type="pct"/>
            <w:tcBorders>
              <w:top w:val="dotted" w:sz="4" w:space="0" w:color="606072"/>
              <w:left w:val="single" w:sz="4" w:space="0" w:color="606072"/>
              <w:bottom w:val="single" w:sz="4" w:space="0" w:color="606072"/>
              <w:right w:val="single" w:sz="4" w:space="0" w:color="606072"/>
            </w:tcBorders>
            <w:shd w:val="clear" w:color="auto" w:fill="auto"/>
            <w:vAlign w:val="center"/>
          </w:tcPr>
          <w:p w14:paraId="15C4E626" w14:textId="77777777" w:rsidR="003172C0" w:rsidRPr="005060E0" w:rsidRDefault="003172C0"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19</w:t>
            </w:r>
          </w:p>
        </w:tc>
        <w:tc>
          <w:tcPr>
            <w:tcW w:w="1735" w:type="pct"/>
            <w:tcBorders>
              <w:top w:val="dotted" w:sz="4" w:space="0" w:color="606072"/>
              <w:left w:val="single" w:sz="4" w:space="0" w:color="606072"/>
              <w:bottom w:val="single" w:sz="4" w:space="0" w:color="606072"/>
              <w:right w:val="single" w:sz="4" w:space="0" w:color="606072"/>
            </w:tcBorders>
            <w:vAlign w:val="center"/>
          </w:tcPr>
          <w:p w14:paraId="3DBDEFFC" w14:textId="5C59E904" w:rsidR="003172C0" w:rsidRPr="005060E0" w:rsidRDefault="00971E5B"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sz w:val="16"/>
                <w:szCs w:val="16"/>
              </w:rPr>
            </w:pPr>
            <w:r w:rsidRPr="005060E0">
              <w:rPr>
                <w:rFonts w:cs="Arial"/>
                <w:sz w:val="16"/>
                <w:szCs w:val="16"/>
              </w:rPr>
              <w:t>Air TOG</w:t>
            </w:r>
          </w:p>
        </w:tc>
      </w:tr>
      <w:tr w:rsidR="003172C0" w:rsidRPr="005060E0" w14:paraId="2953BBC8" w14:textId="77777777" w:rsidTr="005D5AFF">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817" w:type="pct"/>
            <w:vMerge/>
            <w:tcBorders>
              <w:left w:val="single" w:sz="4" w:space="0" w:color="606072"/>
              <w:bottom w:val="single" w:sz="4" w:space="0" w:color="606072"/>
              <w:right w:val="single" w:sz="4" w:space="0" w:color="606072"/>
            </w:tcBorders>
            <w:vAlign w:val="center"/>
          </w:tcPr>
          <w:p w14:paraId="03328538" w14:textId="77777777" w:rsidR="003172C0" w:rsidRPr="005060E0" w:rsidRDefault="003172C0" w:rsidP="00A36219">
            <w:pPr>
              <w:spacing w:after="0" w:line="240" w:lineRule="auto"/>
              <w:jc w:val="center"/>
              <w:rPr>
                <w:rFonts w:cs="Arial"/>
                <w:b w:val="0"/>
                <w:sz w:val="16"/>
                <w:szCs w:val="16"/>
              </w:rPr>
            </w:pPr>
          </w:p>
        </w:tc>
        <w:tc>
          <w:tcPr>
            <w:tcW w:w="1093" w:type="pct"/>
            <w:vMerge/>
            <w:tcBorders>
              <w:left w:val="single" w:sz="4" w:space="0" w:color="606072"/>
              <w:bottom w:val="single" w:sz="4" w:space="0" w:color="606072"/>
              <w:right w:val="single" w:sz="4" w:space="0" w:color="606072"/>
            </w:tcBorders>
            <w:vAlign w:val="center"/>
          </w:tcPr>
          <w:p w14:paraId="442D7316" w14:textId="77777777" w:rsidR="003172C0" w:rsidRPr="005060E0" w:rsidRDefault="003172C0"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55"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1EA4E03F" w14:textId="77777777" w:rsidR="003172C0" w:rsidRPr="005060E0" w:rsidRDefault="003172C0"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30</w:t>
            </w:r>
          </w:p>
        </w:tc>
        <w:tc>
          <w:tcPr>
            <w:tcW w:w="1735" w:type="pct"/>
            <w:tcBorders>
              <w:top w:val="dotted" w:sz="4" w:space="0" w:color="606072"/>
              <w:left w:val="single" w:sz="4" w:space="0" w:color="606072"/>
              <w:bottom w:val="single" w:sz="4" w:space="0" w:color="606072"/>
              <w:right w:val="single" w:sz="4" w:space="0" w:color="606072"/>
            </w:tcBorders>
            <w:vAlign w:val="center"/>
          </w:tcPr>
          <w:p w14:paraId="363BA5C8" w14:textId="77777777" w:rsidR="003172C0" w:rsidRPr="005060E0" w:rsidRDefault="003172C0"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AAQ NEPM</w:t>
            </w:r>
          </w:p>
        </w:tc>
      </w:tr>
    </w:tbl>
    <w:p w14:paraId="0C579E22" w14:textId="61BBC237" w:rsidR="003172C0" w:rsidRPr="005060E0" w:rsidRDefault="003172C0" w:rsidP="00CB3A58">
      <w:pPr>
        <w:pStyle w:val="ListParagraph"/>
        <w:numPr>
          <w:ilvl w:val="0"/>
          <w:numId w:val="31"/>
        </w:numPr>
        <w:spacing w:before="120" w:after="0" w:line="240" w:lineRule="auto"/>
        <w:ind w:left="426"/>
        <w:rPr>
          <w:sz w:val="16"/>
          <w:szCs w:val="16"/>
        </w:rPr>
      </w:pPr>
      <w:r w:rsidRPr="005060E0">
        <w:rPr>
          <w:sz w:val="16"/>
          <w:szCs w:val="16"/>
        </w:rPr>
        <w:t xml:space="preserve">Current </w:t>
      </w:r>
      <w:r w:rsidR="00FE23DB" w:rsidRPr="005060E0">
        <w:rPr>
          <w:sz w:val="16"/>
          <w:szCs w:val="16"/>
        </w:rPr>
        <w:t>AAQ NEPM</w:t>
      </w:r>
      <w:r w:rsidRPr="005060E0">
        <w:rPr>
          <w:sz w:val="16"/>
          <w:szCs w:val="16"/>
        </w:rPr>
        <w:t xml:space="preserve"> s</w:t>
      </w:r>
      <w:r w:rsidR="00284327" w:rsidRPr="005060E0">
        <w:rPr>
          <w:sz w:val="16"/>
          <w:szCs w:val="16"/>
        </w:rPr>
        <w:t>tandards are highlighted with</w:t>
      </w:r>
      <w:r w:rsidR="007260A8" w:rsidRPr="005060E0">
        <w:rPr>
          <w:sz w:val="16"/>
          <w:szCs w:val="16"/>
        </w:rPr>
        <w:t xml:space="preserve"> light blue</w:t>
      </w:r>
      <w:r w:rsidR="00284327" w:rsidRPr="005060E0">
        <w:rPr>
          <w:sz w:val="16"/>
          <w:szCs w:val="16"/>
        </w:rPr>
        <w:t xml:space="preserve"> shading</w:t>
      </w:r>
      <w:r w:rsidRPr="005060E0">
        <w:rPr>
          <w:sz w:val="16"/>
          <w:szCs w:val="16"/>
        </w:rPr>
        <w:t>.</w:t>
      </w:r>
    </w:p>
    <w:p w14:paraId="73820930" w14:textId="2DF49006" w:rsidR="00B556A1" w:rsidRPr="005060E0" w:rsidRDefault="0016386C" w:rsidP="00882FFC">
      <w:pPr>
        <w:pStyle w:val="Heading2"/>
        <w:spacing w:before="600"/>
      </w:pPr>
      <w:bookmarkStart w:id="169" w:name="_Toc3278970"/>
      <w:r w:rsidRPr="005060E0">
        <w:t>Concentrations and exceedances</w:t>
      </w:r>
      <w:bookmarkEnd w:id="169"/>
    </w:p>
    <w:p w14:paraId="3B91D926" w14:textId="77777777" w:rsidR="0016386C" w:rsidRPr="005060E0" w:rsidRDefault="0016386C" w:rsidP="000B3B3D">
      <w:pPr>
        <w:pStyle w:val="Heading3"/>
      </w:pPr>
      <w:r w:rsidRPr="005060E0">
        <w:t>Historical trends</w:t>
      </w:r>
    </w:p>
    <w:p w14:paraId="6A49C3CC" w14:textId="50B5676B" w:rsidR="00C521A0" w:rsidRPr="005060E0" w:rsidRDefault="00C521A0" w:rsidP="00C521A0">
      <w:pPr>
        <w:rPr>
          <w:szCs w:val="20"/>
        </w:rPr>
      </w:pPr>
      <w:r w:rsidRPr="005060E0">
        <w:rPr>
          <w:szCs w:val="20"/>
        </w:rPr>
        <w:t>Appendix A, Section 2.3 presents an analysis of the NO</w:t>
      </w:r>
      <w:r w:rsidRPr="005060E0">
        <w:rPr>
          <w:szCs w:val="20"/>
          <w:vertAlign w:val="subscript"/>
        </w:rPr>
        <w:t>2</w:t>
      </w:r>
      <w:r w:rsidRPr="005060E0">
        <w:rPr>
          <w:szCs w:val="20"/>
        </w:rPr>
        <w:t xml:space="preserve"> monitoring data from the AAQ NEPM monitoring stations in each jurisdiction over the period 2003</w:t>
      </w:r>
      <w:r w:rsidR="00DF4D3A" w:rsidRPr="005060E0">
        <w:rPr>
          <w:szCs w:val="20"/>
        </w:rPr>
        <w:t>–20</w:t>
      </w:r>
      <w:r w:rsidRPr="005060E0">
        <w:rPr>
          <w:szCs w:val="20"/>
        </w:rPr>
        <w:t xml:space="preserve">16. </w:t>
      </w:r>
    </w:p>
    <w:p w14:paraId="42B914F7" w14:textId="625A9469" w:rsidR="00C521A0" w:rsidRPr="005060E0" w:rsidRDefault="00C521A0" w:rsidP="00C521A0">
      <w:pPr>
        <w:rPr>
          <w:rFonts w:cs="Arial"/>
        </w:rPr>
      </w:pPr>
      <w:r w:rsidRPr="005060E0">
        <w:rPr>
          <w:rFonts w:cs="Arial"/>
        </w:rPr>
        <w:t>As with SO</w:t>
      </w:r>
      <w:r w:rsidRPr="005060E0">
        <w:rPr>
          <w:rFonts w:cs="Arial"/>
          <w:vertAlign w:val="subscript"/>
        </w:rPr>
        <w:t>2</w:t>
      </w:r>
      <w:r w:rsidRPr="005060E0">
        <w:rPr>
          <w:rFonts w:cs="Arial"/>
        </w:rPr>
        <w:t>, there were no strong trends in the data between 2003 and 2016. In recent years (2010</w:t>
      </w:r>
      <w:r w:rsidR="00DF4D3A" w:rsidRPr="005060E0">
        <w:rPr>
          <w:rFonts w:cs="Arial"/>
        </w:rPr>
        <w:t>–20</w:t>
      </w:r>
      <w:r w:rsidRPr="005060E0">
        <w:rPr>
          <w:rFonts w:cs="Arial"/>
        </w:rPr>
        <w:t>16) NO</w:t>
      </w:r>
      <w:r w:rsidRPr="005060E0">
        <w:rPr>
          <w:rFonts w:cs="Arial"/>
          <w:vertAlign w:val="subscript"/>
        </w:rPr>
        <w:t>2</w:t>
      </w:r>
      <w:r w:rsidRPr="005060E0">
        <w:rPr>
          <w:rFonts w:cs="Arial"/>
        </w:rPr>
        <w:t xml:space="preserve"> concentrations in all jurisdictions have been relatively stable. The maximum 1-hour NO</w:t>
      </w:r>
      <w:r w:rsidRPr="005060E0">
        <w:rPr>
          <w:rFonts w:cs="Arial"/>
          <w:vertAlign w:val="subscript"/>
        </w:rPr>
        <w:t>2</w:t>
      </w:r>
      <w:r w:rsidRPr="005060E0">
        <w:rPr>
          <w:rFonts w:cs="Arial"/>
        </w:rPr>
        <w:t xml:space="preserve"> concentrations in the regional centres were generally lower than those in the major cities. This is probably indicative of the impact of motor vehicle emissions on ambient NO</w:t>
      </w:r>
      <w:r w:rsidRPr="005060E0">
        <w:rPr>
          <w:rFonts w:cs="Arial"/>
          <w:vertAlign w:val="subscript"/>
        </w:rPr>
        <w:t>2</w:t>
      </w:r>
      <w:r w:rsidRPr="005060E0">
        <w:rPr>
          <w:rFonts w:cs="Arial"/>
        </w:rPr>
        <w:t xml:space="preserve"> concentrations.</w:t>
      </w:r>
    </w:p>
    <w:p w14:paraId="4C9771F8" w14:textId="2D1A7707" w:rsidR="00C521A0" w:rsidRPr="005060E0" w:rsidRDefault="00C521A0" w:rsidP="00AB79EC">
      <w:pPr>
        <w:spacing w:after="480"/>
        <w:rPr>
          <w:rFonts w:cs="Arial"/>
        </w:rPr>
      </w:pPr>
      <w:r w:rsidRPr="005060E0">
        <w:rPr>
          <w:rFonts w:cs="Arial"/>
        </w:rPr>
        <w:t>The exceedances of the current and proposed NO</w:t>
      </w:r>
      <w:r w:rsidRPr="005060E0">
        <w:rPr>
          <w:rFonts w:cs="Arial"/>
          <w:vertAlign w:val="subscript"/>
        </w:rPr>
        <w:t>2</w:t>
      </w:r>
      <w:r w:rsidRPr="005060E0">
        <w:rPr>
          <w:rFonts w:cs="Arial"/>
        </w:rPr>
        <w:t xml:space="preserve"> standards in the major cities and regional centres are summarised in </w:t>
      </w:r>
      <w:r w:rsidRPr="005060E0">
        <w:rPr>
          <w:rFonts w:cs="Arial"/>
        </w:rPr>
        <w:fldChar w:fldCharType="begin"/>
      </w:r>
      <w:r w:rsidRPr="005060E0">
        <w:rPr>
          <w:rFonts w:cs="Arial"/>
        </w:rPr>
        <w:instrText xml:space="preserve"> REF _Ref508445843 \h </w:instrText>
      </w:r>
      <w:r w:rsidRPr="005060E0">
        <w:rPr>
          <w:rFonts w:cs="Arial"/>
        </w:rPr>
      </w:r>
      <w:r w:rsidRPr="005060E0">
        <w:rPr>
          <w:rFonts w:cs="Arial"/>
        </w:rPr>
        <w:fldChar w:fldCharType="separate"/>
      </w:r>
      <w:r w:rsidR="00F2067C" w:rsidRPr="005060E0">
        <w:rPr>
          <w:rFonts w:cs="Arial"/>
        </w:rPr>
        <w:t xml:space="preserve">Table </w:t>
      </w:r>
      <w:r w:rsidR="00F2067C">
        <w:rPr>
          <w:rFonts w:cs="Arial"/>
          <w:noProof/>
        </w:rPr>
        <w:t>7</w:t>
      </w:r>
      <w:r w:rsidR="00F2067C" w:rsidRPr="005060E0">
        <w:rPr>
          <w:rFonts w:cs="Arial"/>
        </w:rPr>
        <w:noBreakHyphen/>
      </w:r>
      <w:r w:rsidR="00F2067C">
        <w:rPr>
          <w:rFonts w:cs="Arial"/>
          <w:noProof/>
        </w:rPr>
        <w:t>5</w:t>
      </w:r>
      <w:r w:rsidRPr="005060E0">
        <w:rPr>
          <w:rFonts w:cs="Arial"/>
        </w:rPr>
        <w:fldChar w:fldCharType="end"/>
      </w:r>
      <w:r w:rsidRPr="005060E0">
        <w:rPr>
          <w:rFonts w:cs="Arial"/>
        </w:rPr>
        <w:t xml:space="preserve"> and </w:t>
      </w:r>
      <w:r w:rsidRPr="005060E0">
        <w:rPr>
          <w:rFonts w:cs="Arial"/>
        </w:rPr>
        <w:fldChar w:fldCharType="begin"/>
      </w:r>
      <w:r w:rsidRPr="005060E0">
        <w:rPr>
          <w:rFonts w:cs="Arial"/>
        </w:rPr>
        <w:instrText xml:space="preserve"> REF _Ref508445849 \h </w:instrText>
      </w:r>
      <w:r w:rsidRPr="005060E0">
        <w:rPr>
          <w:rFonts w:cs="Arial"/>
        </w:rPr>
      </w:r>
      <w:r w:rsidRPr="005060E0">
        <w:rPr>
          <w:rFonts w:cs="Arial"/>
        </w:rPr>
        <w:fldChar w:fldCharType="separate"/>
      </w:r>
      <w:r w:rsidR="00F2067C" w:rsidRPr="005060E0">
        <w:rPr>
          <w:rFonts w:cs="Arial"/>
        </w:rPr>
        <w:t xml:space="preserve">Table </w:t>
      </w:r>
      <w:r w:rsidR="00F2067C">
        <w:rPr>
          <w:rFonts w:cs="Arial"/>
          <w:noProof/>
        </w:rPr>
        <w:t>7</w:t>
      </w:r>
      <w:r w:rsidR="00F2067C" w:rsidRPr="005060E0">
        <w:rPr>
          <w:rFonts w:cs="Arial"/>
        </w:rPr>
        <w:noBreakHyphen/>
      </w:r>
      <w:r w:rsidR="00F2067C">
        <w:rPr>
          <w:rFonts w:cs="Arial"/>
          <w:noProof/>
        </w:rPr>
        <w:t>6</w:t>
      </w:r>
      <w:r w:rsidRPr="005060E0">
        <w:rPr>
          <w:rFonts w:cs="Arial"/>
        </w:rPr>
        <w:fldChar w:fldCharType="end"/>
      </w:r>
      <w:r w:rsidRPr="005060E0">
        <w:rPr>
          <w:rFonts w:cs="Arial"/>
        </w:rPr>
        <w:t xml:space="preserve"> respectively. All measured NO</w:t>
      </w:r>
      <w:r w:rsidRPr="005060E0">
        <w:rPr>
          <w:rFonts w:cs="Arial"/>
          <w:vertAlign w:val="subscript"/>
        </w:rPr>
        <w:t xml:space="preserve">2 </w:t>
      </w:r>
      <w:r w:rsidRPr="005060E0">
        <w:rPr>
          <w:rFonts w:cs="Arial"/>
        </w:rPr>
        <w:t>concentrations in both the major cities and regional centres were below the current AAQ NEPM standards (120 ppb for the 1-hour average, and 30 ppb for the annual average).</w:t>
      </w:r>
    </w:p>
    <w:p w14:paraId="265A4F88" w14:textId="6E7B48E5" w:rsidR="0016386C" w:rsidRPr="005060E0" w:rsidRDefault="0016386C" w:rsidP="0016386C">
      <w:pPr>
        <w:pStyle w:val="PBTablecaption"/>
        <w:rPr>
          <w:rFonts w:eastAsia="Arial"/>
        </w:rPr>
      </w:pPr>
      <w:bookmarkStart w:id="170" w:name="_Ref508445843"/>
      <w:r w:rsidRPr="005060E0">
        <w:rPr>
          <w:rFonts w:cs="Arial"/>
        </w:rPr>
        <w:t xml:space="preserve">Table </w:t>
      </w:r>
      <w:r w:rsidRPr="005060E0">
        <w:rPr>
          <w:rFonts w:cs="Arial"/>
        </w:rPr>
        <w:fldChar w:fldCharType="begin"/>
      </w:r>
      <w:r w:rsidRPr="005060E0">
        <w:rPr>
          <w:rFonts w:cs="Arial"/>
        </w:rPr>
        <w:instrText xml:space="preserve"> STYLEREF 1 \s </w:instrText>
      </w:r>
      <w:r w:rsidRPr="005060E0">
        <w:rPr>
          <w:rFonts w:cs="Arial"/>
        </w:rPr>
        <w:fldChar w:fldCharType="separate"/>
      </w:r>
      <w:r w:rsidR="00F2067C">
        <w:rPr>
          <w:rFonts w:cs="Arial"/>
          <w:noProof/>
        </w:rPr>
        <w:t>7</w:t>
      </w:r>
      <w:r w:rsidRPr="005060E0">
        <w:rPr>
          <w:rFonts w:cs="Arial"/>
        </w:rPr>
        <w:fldChar w:fldCharType="end"/>
      </w:r>
      <w:r w:rsidRPr="005060E0">
        <w:rPr>
          <w:rFonts w:cs="Arial"/>
        </w:rPr>
        <w:noBreakHyphen/>
      </w:r>
      <w:r w:rsidRPr="005060E0">
        <w:rPr>
          <w:rFonts w:cs="Arial"/>
        </w:rPr>
        <w:fldChar w:fldCharType="begin"/>
      </w:r>
      <w:r w:rsidRPr="005060E0">
        <w:rPr>
          <w:rFonts w:cs="Arial"/>
        </w:rPr>
        <w:instrText xml:space="preserve"> SEQ Table \* ARABIC \s 1 </w:instrText>
      </w:r>
      <w:r w:rsidRPr="005060E0">
        <w:rPr>
          <w:rFonts w:cs="Arial"/>
        </w:rPr>
        <w:fldChar w:fldCharType="separate"/>
      </w:r>
      <w:r w:rsidR="00F2067C">
        <w:rPr>
          <w:rFonts w:cs="Arial"/>
          <w:noProof/>
        </w:rPr>
        <w:t>5</w:t>
      </w:r>
      <w:r w:rsidRPr="005060E0">
        <w:rPr>
          <w:rFonts w:cs="Arial"/>
        </w:rPr>
        <w:fldChar w:fldCharType="end"/>
      </w:r>
      <w:bookmarkEnd w:id="170"/>
      <w:r w:rsidRPr="005060E0">
        <w:rPr>
          <w:rFonts w:cs="Arial"/>
        </w:rPr>
        <w:t xml:space="preserve">: </w:t>
      </w:r>
      <w:r w:rsidR="005C5828" w:rsidRPr="005060E0">
        <w:rPr>
          <w:rFonts w:eastAsia="Arial" w:cs="Arial"/>
        </w:rPr>
        <w:t>Historical e</w:t>
      </w:r>
      <w:r w:rsidRPr="005060E0">
        <w:rPr>
          <w:rFonts w:eastAsia="Arial" w:cs="Arial"/>
        </w:rPr>
        <w:t>xceedance</w:t>
      </w:r>
      <w:r w:rsidR="00B274F5" w:rsidRPr="005060E0">
        <w:rPr>
          <w:rFonts w:eastAsia="Arial" w:cs="Arial"/>
        </w:rPr>
        <w:t>s of</w:t>
      </w:r>
      <w:r w:rsidRPr="005060E0">
        <w:rPr>
          <w:rFonts w:eastAsia="Arial" w:cs="Arial"/>
        </w:rPr>
        <w:t xml:space="preserve"> current and proposed NO</w:t>
      </w:r>
      <w:r w:rsidRPr="005060E0">
        <w:rPr>
          <w:rFonts w:eastAsia="Arial" w:cs="Arial"/>
          <w:vertAlign w:val="subscript"/>
        </w:rPr>
        <w:t>2</w:t>
      </w:r>
      <w:r w:rsidRPr="005060E0">
        <w:rPr>
          <w:rFonts w:eastAsia="Arial" w:cs="Arial"/>
        </w:rPr>
        <w:t xml:space="preserve"> standards in major cities</w:t>
      </w:r>
    </w:p>
    <w:tbl>
      <w:tblPr>
        <w:tblStyle w:val="ListTable3-Accent13"/>
        <w:tblW w:w="5000" w:type="pct"/>
        <w:tblCellMar>
          <w:left w:w="28" w:type="dxa"/>
          <w:right w:w="28" w:type="dxa"/>
        </w:tblCellMar>
        <w:tblLook w:val="04A0" w:firstRow="1" w:lastRow="0" w:firstColumn="1" w:lastColumn="0" w:noHBand="0" w:noVBand="1"/>
      </w:tblPr>
      <w:tblGrid>
        <w:gridCol w:w="1000"/>
        <w:gridCol w:w="555"/>
        <w:gridCol w:w="1046"/>
        <w:gridCol w:w="1196"/>
        <w:gridCol w:w="1333"/>
        <w:gridCol w:w="1123"/>
        <w:gridCol w:w="1123"/>
        <w:gridCol w:w="1123"/>
        <w:gridCol w:w="1130"/>
      </w:tblGrid>
      <w:tr w:rsidR="0016386C" w:rsidRPr="005060E0" w14:paraId="39FC9D73" w14:textId="77777777" w:rsidTr="007444E2">
        <w:trPr>
          <w:cnfStyle w:val="100000000000" w:firstRow="1" w:lastRow="0" w:firstColumn="0" w:lastColumn="0" w:oddVBand="0" w:evenVBand="0" w:oddHBand="0" w:evenHBand="0" w:firstRowFirstColumn="0" w:firstRowLastColumn="0" w:lastRowFirstColumn="0" w:lastRowLastColumn="0"/>
          <w:trHeight w:hRule="exact" w:val="283"/>
          <w:tblHeader/>
        </w:trPr>
        <w:tc>
          <w:tcPr>
            <w:cnfStyle w:val="001000000100" w:firstRow="0" w:lastRow="0" w:firstColumn="1" w:lastColumn="0" w:oddVBand="0" w:evenVBand="0" w:oddHBand="0" w:evenHBand="0" w:firstRowFirstColumn="1" w:firstRowLastColumn="0" w:lastRowFirstColumn="0" w:lastRowLastColumn="0"/>
            <w:tcW w:w="520" w:type="pct"/>
            <w:vMerge w:val="restart"/>
            <w:tcBorders>
              <w:top w:val="single" w:sz="4" w:space="0" w:color="606072"/>
              <w:left w:val="single" w:sz="4" w:space="0" w:color="606072"/>
              <w:bottom w:val="single" w:sz="4" w:space="0" w:color="606072"/>
            </w:tcBorders>
            <w:shd w:val="clear" w:color="auto" w:fill="606072"/>
            <w:vAlign w:val="center"/>
            <w:hideMark/>
          </w:tcPr>
          <w:p w14:paraId="71A9D1B2" w14:textId="77777777" w:rsidR="0016386C" w:rsidRPr="005060E0" w:rsidRDefault="0016386C" w:rsidP="007A3B2D">
            <w:pPr>
              <w:spacing w:after="0" w:line="240" w:lineRule="auto"/>
              <w:jc w:val="center"/>
              <w:rPr>
                <w:rFonts w:cs="Arial"/>
                <w:b w:val="0"/>
                <w:color w:val="FFFFFF" w:themeColor="background1"/>
                <w:sz w:val="16"/>
                <w:szCs w:val="16"/>
              </w:rPr>
            </w:pPr>
            <w:r w:rsidRPr="005060E0">
              <w:rPr>
                <w:rFonts w:cs="Arial"/>
                <w:b w:val="0"/>
                <w:color w:val="FFFFFF" w:themeColor="background1"/>
                <w:sz w:val="16"/>
                <w:szCs w:val="16"/>
              </w:rPr>
              <w:t>Standard</w:t>
            </w:r>
          </w:p>
        </w:tc>
        <w:tc>
          <w:tcPr>
            <w:tcW w:w="288" w:type="pct"/>
            <w:tcBorders>
              <w:top w:val="single" w:sz="4" w:space="0" w:color="606072"/>
              <w:left w:val="nil"/>
              <w:bottom w:val="single" w:sz="4" w:space="0" w:color="606072"/>
              <w:right w:val="nil"/>
            </w:tcBorders>
            <w:shd w:val="clear" w:color="auto" w:fill="606072"/>
          </w:tcPr>
          <w:p w14:paraId="1ADE89D6" w14:textId="77777777" w:rsidR="0016386C" w:rsidRPr="005060E0" w:rsidRDefault="0016386C" w:rsidP="007A3B2D">
            <w:pPr>
              <w:spacing w:after="0" w:line="240" w:lineRule="auto"/>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szCs w:val="16"/>
              </w:rPr>
            </w:pPr>
          </w:p>
        </w:tc>
        <w:tc>
          <w:tcPr>
            <w:tcW w:w="4192" w:type="pct"/>
            <w:gridSpan w:val="7"/>
            <w:tcBorders>
              <w:top w:val="single" w:sz="4" w:space="0" w:color="606072"/>
              <w:left w:val="nil"/>
              <w:bottom w:val="single" w:sz="4" w:space="0" w:color="606072"/>
              <w:right w:val="single" w:sz="4" w:space="0" w:color="606072"/>
            </w:tcBorders>
            <w:shd w:val="clear" w:color="auto" w:fill="606072"/>
            <w:vAlign w:val="center"/>
            <w:hideMark/>
          </w:tcPr>
          <w:p w14:paraId="665A8712" w14:textId="370F2A7A" w:rsidR="0016386C" w:rsidRPr="005060E0" w:rsidRDefault="005C5828" w:rsidP="007A3B2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cs="Arial"/>
                <w:b w:val="0"/>
                <w:color w:val="FFFFFF" w:themeColor="background1"/>
                <w:sz w:val="16"/>
                <w:szCs w:val="16"/>
              </w:rPr>
              <w:t>E</w:t>
            </w:r>
            <w:r w:rsidR="00B274F5" w:rsidRPr="005060E0">
              <w:rPr>
                <w:rFonts w:cs="Arial"/>
                <w:b w:val="0"/>
                <w:color w:val="FFFFFF" w:themeColor="background1"/>
                <w:sz w:val="16"/>
                <w:szCs w:val="16"/>
              </w:rPr>
              <w:t xml:space="preserve">xceedances </w:t>
            </w:r>
            <w:r w:rsidR="0016386C" w:rsidRPr="005060E0">
              <w:rPr>
                <w:rFonts w:cs="Arial"/>
                <w:b w:val="0"/>
                <w:color w:val="FFFFFF" w:themeColor="background1"/>
                <w:sz w:val="16"/>
                <w:szCs w:val="16"/>
              </w:rPr>
              <w:t>between 2003 and 2016 (2010</w:t>
            </w:r>
            <w:r w:rsidR="00DF4D3A" w:rsidRPr="005060E0">
              <w:rPr>
                <w:rFonts w:cs="Arial"/>
                <w:b w:val="0"/>
                <w:color w:val="FFFFFF" w:themeColor="background1"/>
                <w:sz w:val="16"/>
                <w:szCs w:val="16"/>
              </w:rPr>
              <w:t>–20</w:t>
            </w:r>
            <w:r w:rsidR="0016386C" w:rsidRPr="005060E0">
              <w:rPr>
                <w:rFonts w:cs="Arial"/>
                <w:b w:val="0"/>
                <w:color w:val="FFFFFF" w:themeColor="background1"/>
                <w:sz w:val="16"/>
                <w:szCs w:val="16"/>
              </w:rPr>
              <w:t>14 in brackets)</w:t>
            </w:r>
          </w:p>
        </w:tc>
      </w:tr>
      <w:tr w:rsidR="00BF7BF2" w:rsidRPr="005060E0" w14:paraId="30DDD103" w14:textId="77777777" w:rsidTr="007444E2">
        <w:trPr>
          <w:cnfStyle w:val="100000000000" w:firstRow="1" w:lastRow="0" w:firstColumn="0" w:lastColumn="0" w:oddVBand="0" w:evenVBand="0" w:oddHBand="0" w:evenHBand="0" w:firstRowFirstColumn="0" w:firstRowLastColumn="0" w:lastRowFirstColumn="0" w:lastRowLastColumn="0"/>
          <w:trHeight w:hRule="exact" w:val="510"/>
          <w:tblHeader/>
        </w:trPr>
        <w:tc>
          <w:tcPr>
            <w:cnfStyle w:val="001000000100" w:firstRow="0" w:lastRow="0" w:firstColumn="1" w:lastColumn="0" w:oddVBand="0" w:evenVBand="0" w:oddHBand="0" w:evenHBand="0" w:firstRowFirstColumn="1" w:firstRowLastColumn="0" w:lastRowFirstColumn="0" w:lastRowLastColumn="0"/>
            <w:tcW w:w="0" w:type="auto"/>
            <w:vMerge/>
            <w:tcBorders>
              <w:top w:val="single" w:sz="4" w:space="0" w:color="606072"/>
              <w:left w:val="single" w:sz="4" w:space="0" w:color="606072"/>
              <w:bottom w:val="single" w:sz="4" w:space="0" w:color="606072"/>
            </w:tcBorders>
            <w:vAlign w:val="center"/>
            <w:hideMark/>
          </w:tcPr>
          <w:p w14:paraId="2B310B70" w14:textId="77777777" w:rsidR="0016386C" w:rsidRPr="005060E0" w:rsidRDefault="0016386C" w:rsidP="007A3B2D">
            <w:pPr>
              <w:spacing w:after="0" w:line="240" w:lineRule="auto"/>
              <w:rPr>
                <w:rFonts w:cs="Arial"/>
                <w:color w:val="FFFFFF" w:themeColor="background1"/>
                <w:sz w:val="16"/>
                <w:szCs w:val="16"/>
              </w:rPr>
            </w:pPr>
          </w:p>
        </w:tc>
        <w:tc>
          <w:tcPr>
            <w:tcW w:w="288" w:type="pct"/>
            <w:tcBorders>
              <w:top w:val="single" w:sz="4" w:space="0" w:color="606072"/>
              <w:left w:val="nil"/>
              <w:bottom w:val="single" w:sz="4" w:space="0" w:color="606072"/>
              <w:right w:val="nil"/>
            </w:tcBorders>
            <w:shd w:val="clear" w:color="auto" w:fill="606072"/>
          </w:tcPr>
          <w:p w14:paraId="1390862E" w14:textId="77777777" w:rsidR="0016386C" w:rsidRPr="005060E0" w:rsidRDefault="0016386C" w:rsidP="007A3B2D">
            <w:pPr>
              <w:spacing w:after="0" w:line="240" w:lineRule="auto"/>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szCs w:val="16"/>
              </w:rPr>
            </w:pPr>
          </w:p>
        </w:tc>
        <w:tc>
          <w:tcPr>
            <w:tcW w:w="543" w:type="pct"/>
            <w:tcBorders>
              <w:top w:val="single" w:sz="4" w:space="0" w:color="606072"/>
              <w:left w:val="nil"/>
              <w:bottom w:val="single" w:sz="4" w:space="0" w:color="606072"/>
              <w:right w:val="nil"/>
            </w:tcBorders>
            <w:shd w:val="clear" w:color="auto" w:fill="606072"/>
            <w:vAlign w:val="center"/>
            <w:hideMark/>
          </w:tcPr>
          <w:p w14:paraId="2A7858EC" w14:textId="77777777" w:rsidR="0016386C" w:rsidRPr="005060E0" w:rsidRDefault="0016386C" w:rsidP="007A3B2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1"/>
                <w:sz w:val="16"/>
                <w:szCs w:val="16"/>
                <w:lang w:eastAsia="en-AU"/>
              </w:rPr>
            </w:pPr>
            <w:r w:rsidRPr="005060E0">
              <w:rPr>
                <w:rFonts w:eastAsia="Times New Roman" w:cs="Arial"/>
                <w:b w:val="0"/>
                <w:color w:val="FFFFFF" w:themeColor="background1"/>
                <w:sz w:val="16"/>
                <w:szCs w:val="16"/>
                <w:lang w:eastAsia="en-AU"/>
              </w:rPr>
              <w:t>NSW:</w:t>
            </w:r>
          </w:p>
          <w:p w14:paraId="65F810C7" w14:textId="77777777" w:rsidR="0016386C" w:rsidRPr="005060E0" w:rsidRDefault="0016386C" w:rsidP="007A3B2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Sydney</w:t>
            </w:r>
          </w:p>
        </w:tc>
        <w:tc>
          <w:tcPr>
            <w:tcW w:w="621" w:type="pct"/>
            <w:tcBorders>
              <w:top w:val="single" w:sz="4" w:space="0" w:color="606072"/>
              <w:left w:val="nil"/>
              <w:bottom w:val="single" w:sz="4" w:space="0" w:color="606072"/>
              <w:right w:val="nil"/>
            </w:tcBorders>
            <w:shd w:val="clear" w:color="auto" w:fill="606072"/>
            <w:vAlign w:val="center"/>
            <w:hideMark/>
          </w:tcPr>
          <w:p w14:paraId="78A88139" w14:textId="77777777" w:rsidR="0016386C" w:rsidRPr="005060E0" w:rsidRDefault="0016386C" w:rsidP="007A3B2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VIC: Port Phillip Region</w:t>
            </w:r>
          </w:p>
        </w:tc>
        <w:tc>
          <w:tcPr>
            <w:tcW w:w="692" w:type="pct"/>
            <w:tcBorders>
              <w:top w:val="single" w:sz="4" w:space="0" w:color="606072"/>
              <w:left w:val="nil"/>
              <w:bottom w:val="single" w:sz="4" w:space="0" w:color="606072"/>
              <w:right w:val="nil"/>
            </w:tcBorders>
            <w:shd w:val="clear" w:color="auto" w:fill="606072"/>
            <w:vAlign w:val="center"/>
            <w:hideMark/>
          </w:tcPr>
          <w:p w14:paraId="73726D3A" w14:textId="77777777" w:rsidR="0016386C" w:rsidRPr="005060E0" w:rsidRDefault="0016386C" w:rsidP="007A3B2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QLD: S-E Queensland</w:t>
            </w:r>
          </w:p>
        </w:tc>
        <w:tc>
          <w:tcPr>
            <w:tcW w:w="583" w:type="pct"/>
            <w:tcBorders>
              <w:top w:val="single" w:sz="4" w:space="0" w:color="606072"/>
              <w:left w:val="nil"/>
              <w:bottom w:val="single" w:sz="4" w:space="0" w:color="606072"/>
              <w:right w:val="nil"/>
            </w:tcBorders>
            <w:shd w:val="clear" w:color="auto" w:fill="606072"/>
            <w:vAlign w:val="center"/>
            <w:hideMark/>
          </w:tcPr>
          <w:p w14:paraId="07D53E4A" w14:textId="77777777" w:rsidR="0016386C" w:rsidRPr="005060E0" w:rsidRDefault="0016386C" w:rsidP="007A3B2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SA: Adelaide</w:t>
            </w:r>
          </w:p>
        </w:tc>
        <w:tc>
          <w:tcPr>
            <w:tcW w:w="583" w:type="pct"/>
            <w:tcBorders>
              <w:top w:val="single" w:sz="4" w:space="0" w:color="606072"/>
              <w:left w:val="nil"/>
              <w:bottom w:val="single" w:sz="4" w:space="0" w:color="606072"/>
              <w:right w:val="nil"/>
            </w:tcBorders>
            <w:shd w:val="clear" w:color="auto" w:fill="606072"/>
            <w:vAlign w:val="center"/>
            <w:hideMark/>
          </w:tcPr>
          <w:p w14:paraId="1AC345DF" w14:textId="77777777" w:rsidR="0016386C" w:rsidRPr="005060E0" w:rsidRDefault="0016386C" w:rsidP="007A3B2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WA: Perth</w:t>
            </w:r>
          </w:p>
        </w:tc>
        <w:tc>
          <w:tcPr>
            <w:tcW w:w="583" w:type="pct"/>
            <w:tcBorders>
              <w:top w:val="single" w:sz="4" w:space="0" w:color="606072"/>
              <w:left w:val="nil"/>
              <w:bottom w:val="single" w:sz="4" w:space="0" w:color="606072"/>
              <w:right w:val="nil"/>
            </w:tcBorders>
            <w:shd w:val="clear" w:color="auto" w:fill="606072"/>
            <w:vAlign w:val="center"/>
            <w:hideMark/>
          </w:tcPr>
          <w:p w14:paraId="505C3D33" w14:textId="77777777" w:rsidR="0016386C" w:rsidRPr="005060E0" w:rsidRDefault="0016386C" w:rsidP="007A3B2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NT: Darwin</w:t>
            </w:r>
          </w:p>
        </w:tc>
        <w:tc>
          <w:tcPr>
            <w:tcW w:w="586" w:type="pct"/>
            <w:tcBorders>
              <w:top w:val="single" w:sz="4" w:space="0" w:color="606072"/>
              <w:left w:val="nil"/>
              <w:bottom w:val="single" w:sz="4" w:space="0" w:color="606072"/>
              <w:right w:val="single" w:sz="4" w:space="0" w:color="606072"/>
            </w:tcBorders>
            <w:shd w:val="clear" w:color="auto" w:fill="606072"/>
            <w:vAlign w:val="center"/>
            <w:hideMark/>
          </w:tcPr>
          <w:p w14:paraId="7DA4A869" w14:textId="77777777" w:rsidR="0016386C" w:rsidRPr="005060E0" w:rsidRDefault="0016386C" w:rsidP="007A3B2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ACT: Canberra</w:t>
            </w:r>
          </w:p>
        </w:tc>
      </w:tr>
      <w:tr w:rsidR="00B274F5" w:rsidRPr="005060E0" w14:paraId="6A3787AA" w14:textId="77777777" w:rsidTr="00B274F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20" w:type="pct"/>
            <w:vMerge w:val="restart"/>
            <w:tcBorders>
              <w:top w:val="single" w:sz="4" w:space="0" w:color="606072"/>
              <w:left w:val="single" w:sz="4" w:space="0" w:color="606072"/>
            </w:tcBorders>
            <w:vAlign w:val="center"/>
          </w:tcPr>
          <w:p w14:paraId="362C5974" w14:textId="43BC012E" w:rsidR="00B274F5" w:rsidRPr="005060E0" w:rsidRDefault="00B274F5" w:rsidP="00C521A0">
            <w:pPr>
              <w:spacing w:after="0" w:line="240" w:lineRule="auto"/>
              <w:jc w:val="center"/>
              <w:rPr>
                <w:rFonts w:cs="Arial"/>
                <w:b w:val="0"/>
                <w:sz w:val="16"/>
                <w:szCs w:val="16"/>
              </w:rPr>
            </w:pPr>
            <w:r w:rsidRPr="005060E0">
              <w:rPr>
                <w:rFonts w:cs="Arial"/>
                <w:b w:val="0"/>
                <w:sz w:val="16"/>
                <w:szCs w:val="16"/>
              </w:rPr>
              <w:t>1-hour</w:t>
            </w:r>
          </w:p>
        </w:tc>
        <w:tc>
          <w:tcPr>
            <w:tcW w:w="288" w:type="pct"/>
            <w:tcBorders>
              <w:top w:val="single" w:sz="4" w:space="0" w:color="606072"/>
              <w:left w:val="nil"/>
              <w:bottom w:val="single" w:sz="4" w:space="0" w:color="808080" w:themeColor="background1" w:themeShade="80"/>
              <w:right w:val="single" w:sz="4" w:space="0" w:color="808080" w:themeColor="background1" w:themeShade="80"/>
            </w:tcBorders>
            <w:vAlign w:val="center"/>
          </w:tcPr>
          <w:p w14:paraId="5E708A89" w14:textId="77777777" w:rsidR="00B274F5" w:rsidRPr="005060E0" w:rsidRDefault="00B274F5"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92" w:type="pct"/>
            <w:gridSpan w:val="7"/>
            <w:tcBorders>
              <w:top w:val="single" w:sz="4" w:space="0" w:color="606072"/>
              <w:left w:val="single" w:sz="4" w:space="0" w:color="808080" w:themeColor="background1" w:themeShade="80"/>
              <w:bottom w:val="single" w:sz="4" w:space="0" w:color="808080" w:themeColor="background1" w:themeShade="80"/>
              <w:right w:val="single" w:sz="4" w:space="0" w:color="606072"/>
            </w:tcBorders>
            <w:shd w:val="clear" w:color="auto" w:fill="BFBFBF" w:themeFill="background1" w:themeFillShade="BF"/>
            <w:vAlign w:val="center"/>
          </w:tcPr>
          <w:p w14:paraId="4F256F9C" w14:textId="408AC2E2" w:rsidR="00B274F5" w:rsidRPr="005060E0" w:rsidRDefault="00B274F5" w:rsidP="004D2712">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n-AU"/>
              </w:rPr>
            </w:pPr>
            <w:r w:rsidRPr="005060E0">
              <w:rPr>
                <w:rFonts w:cs="Arial"/>
                <w:sz w:val="16"/>
                <w:szCs w:val="16"/>
              </w:rPr>
              <w:t>Total number of unique exceedance days</w:t>
            </w:r>
          </w:p>
        </w:tc>
      </w:tr>
      <w:tr w:rsidR="00B274F5" w:rsidRPr="005060E0" w14:paraId="78CBD088" w14:textId="77777777" w:rsidTr="00B274F5">
        <w:trPr>
          <w:trHeight w:hRule="exact" w:val="340"/>
        </w:trPr>
        <w:tc>
          <w:tcPr>
            <w:cnfStyle w:val="001000000000" w:firstRow="0" w:lastRow="0" w:firstColumn="1" w:lastColumn="0" w:oddVBand="0" w:evenVBand="0" w:oddHBand="0" w:evenHBand="0" w:firstRowFirstColumn="0" w:firstRowLastColumn="0" w:lastRowFirstColumn="0" w:lastRowLastColumn="0"/>
            <w:tcW w:w="520" w:type="pct"/>
            <w:vMerge/>
            <w:tcBorders>
              <w:left w:val="single" w:sz="4" w:space="0" w:color="606072"/>
            </w:tcBorders>
            <w:vAlign w:val="center"/>
            <w:hideMark/>
          </w:tcPr>
          <w:p w14:paraId="48A82626" w14:textId="6B840B8D" w:rsidR="00B274F5" w:rsidRPr="005060E0" w:rsidRDefault="00B274F5" w:rsidP="00C521A0">
            <w:pPr>
              <w:spacing w:after="0" w:line="240" w:lineRule="auto"/>
              <w:jc w:val="center"/>
              <w:rPr>
                <w:rFonts w:cs="Arial"/>
                <w:b w:val="0"/>
                <w:sz w:val="16"/>
                <w:szCs w:val="16"/>
              </w:rPr>
            </w:pPr>
          </w:p>
        </w:tc>
        <w:tc>
          <w:tcPr>
            <w:tcW w:w="288" w:type="pct"/>
            <w:tcBorders>
              <w:top w:val="single" w:sz="4" w:space="0" w:color="808080" w:themeColor="background1" w:themeShade="80"/>
              <w:left w:val="nil"/>
              <w:bottom w:val="dotted" w:sz="4" w:space="0" w:color="606072"/>
              <w:right w:val="single" w:sz="4" w:space="0" w:color="606072"/>
            </w:tcBorders>
            <w:vAlign w:val="center"/>
          </w:tcPr>
          <w:p w14:paraId="75CC5346" w14:textId="2A109B23" w:rsidR="00B274F5" w:rsidRPr="005060E0" w:rsidRDefault="00B274F5" w:rsidP="00C521A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40</w:t>
            </w:r>
          </w:p>
        </w:tc>
        <w:tc>
          <w:tcPr>
            <w:tcW w:w="543" w:type="pct"/>
            <w:tcBorders>
              <w:top w:val="single" w:sz="4" w:space="0" w:color="808080" w:themeColor="background1" w:themeShade="80"/>
              <w:left w:val="single" w:sz="4" w:space="0" w:color="606072"/>
              <w:bottom w:val="dotted" w:sz="4" w:space="0" w:color="606072"/>
              <w:right w:val="single" w:sz="4" w:space="0" w:color="606072"/>
            </w:tcBorders>
            <w:vAlign w:val="center"/>
          </w:tcPr>
          <w:p w14:paraId="3AA38B9B" w14:textId="5A1C63F5" w:rsidR="00B274F5" w:rsidRPr="00AB79EC" w:rsidRDefault="00B274F5" w:rsidP="00C521A0">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060E0">
              <w:rPr>
                <w:rFonts w:eastAsia="Times New Roman" w:cs="Arial"/>
                <w:color w:val="000000"/>
                <w:sz w:val="16"/>
                <w:szCs w:val="16"/>
                <w:lang w:eastAsia="en-AU"/>
              </w:rPr>
              <w:t>376 (106)</w:t>
            </w:r>
          </w:p>
        </w:tc>
        <w:tc>
          <w:tcPr>
            <w:tcW w:w="621" w:type="pct"/>
            <w:tcBorders>
              <w:top w:val="single" w:sz="4" w:space="0" w:color="808080" w:themeColor="background1" w:themeShade="80"/>
              <w:left w:val="single" w:sz="4" w:space="0" w:color="606072"/>
              <w:bottom w:val="dotted" w:sz="4" w:space="0" w:color="606072"/>
              <w:right w:val="single" w:sz="4" w:space="0" w:color="606072"/>
            </w:tcBorders>
            <w:vAlign w:val="center"/>
          </w:tcPr>
          <w:p w14:paraId="2F2F97CB" w14:textId="0E338A78" w:rsidR="00B274F5" w:rsidRPr="00AB79EC" w:rsidRDefault="00B274F5" w:rsidP="00C521A0">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060E0">
              <w:rPr>
                <w:rFonts w:eastAsia="Times New Roman" w:cs="Arial"/>
                <w:color w:val="000000"/>
                <w:sz w:val="16"/>
                <w:szCs w:val="16"/>
                <w:lang w:eastAsia="en-AU"/>
              </w:rPr>
              <w:t>267 (46)</w:t>
            </w:r>
          </w:p>
        </w:tc>
        <w:tc>
          <w:tcPr>
            <w:tcW w:w="692" w:type="pct"/>
            <w:tcBorders>
              <w:top w:val="single" w:sz="4" w:space="0" w:color="808080" w:themeColor="background1" w:themeShade="80"/>
              <w:left w:val="single" w:sz="4" w:space="0" w:color="606072"/>
              <w:bottom w:val="dotted" w:sz="4" w:space="0" w:color="606072"/>
              <w:right w:val="single" w:sz="4" w:space="0" w:color="606072"/>
            </w:tcBorders>
            <w:vAlign w:val="center"/>
          </w:tcPr>
          <w:p w14:paraId="4FDF2275" w14:textId="6A53D69D" w:rsidR="00B274F5" w:rsidRPr="00AB79EC" w:rsidRDefault="00B274F5" w:rsidP="00C521A0">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060E0">
              <w:rPr>
                <w:rFonts w:eastAsia="Times New Roman" w:cs="Arial"/>
                <w:color w:val="000000"/>
                <w:sz w:val="16"/>
                <w:szCs w:val="16"/>
                <w:lang w:eastAsia="en-AU"/>
              </w:rPr>
              <w:t>73 (16)</w:t>
            </w:r>
          </w:p>
        </w:tc>
        <w:tc>
          <w:tcPr>
            <w:tcW w:w="583" w:type="pct"/>
            <w:tcBorders>
              <w:top w:val="single" w:sz="4" w:space="0" w:color="808080" w:themeColor="background1" w:themeShade="80"/>
              <w:left w:val="single" w:sz="4" w:space="0" w:color="606072"/>
              <w:bottom w:val="dotted" w:sz="4" w:space="0" w:color="606072"/>
              <w:right w:val="single" w:sz="4" w:space="0" w:color="606072"/>
            </w:tcBorders>
            <w:vAlign w:val="center"/>
          </w:tcPr>
          <w:p w14:paraId="3E39C8EE" w14:textId="2D5D27A4" w:rsidR="00B274F5" w:rsidRPr="00AB79EC" w:rsidRDefault="00B274F5" w:rsidP="00C521A0">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060E0">
              <w:rPr>
                <w:rFonts w:eastAsia="Times New Roman" w:cs="Arial"/>
                <w:color w:val="000000"/>
                <w:sz w:val="16"/>
                <w:szCs w:val="16"/>
                <w:lang w:eastAsia="en-AU"/>
              </w:rPr>
              <w:t>40 (14)</w:t>
            </w:r>
          </w:p>
        </w:tc>
        <w:tc>
          <w:tcPr>
            <w:tcW w:w="583" w:type="pct"/>
            <w:tcBorders>
              <w:top w:val="single" w:sz="4" w:space="0" w:color="808080" w:themeColor="background1" w:themeShade="80"/>
              <w:left w:val="single" w:sz="4" w:space="0" w:color="606072"/>
              <w:bottom w:val="dotted" w:sz="4" w:space="0" w:color="606072"/>
              <w:right w:val="single" w:sz="4" w:space="0" w:color="606072"/>
            </w:tcBorders>
            <w:vAlign w:val="center"/>
          </w:tcPr>
          <w:p w14:paraId="49DE37EA" w14:textId="69C699EA" w:rsidR="00B274F5" w:rsidRPr="00AB79EC" w:rsidRDefault="00B274F5" w:rsidP="00C521A0">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060E0">
              <w:rPr>
                <w:rFonts w:eastAsia="Times New Roman" w:cs="Arial"/>
                <w:color w:val="000000"/>
                <w:sz w:val="16"/>
                <w:szCs w:val="16"/>
                <w:lang w:eastAsia="en-AU"/>
              </w:rPr>
              <w:t>78 (19)</w:t>
            </w:r>
          </w:p>
        </w:tc>
        <w:tc>
          <w:tcPr>
            <w:tcW w:w="583" w:type="pct"/>
            <w:tcBorders>
              <w:top w:val="single" w:sz="4" w:space="0" w:color="808080" w:themeColor="background1" w:themeShade="80"/>
              <w:left w:val="single" w:sz="4" w:space="0" w:color="606072"/>
              <w:bottom w:val="dotted" w:sz="4" w:space="0" w:color="606072"/>
              <w:right w:val="single" w:sz="4" w:space="0" w:color="606072"/>
            </w:tcBorders>
            <w:vAlign w:val="center"/>
          </w:tcPr>
          <w:p w14:paraId="6D13E399" w14:textId="030B8FF6" w:rsidR="00B274F5" w:rsidRPr="00AB79EC" w:rsidRDefault="00B274F5" w:rsidP="00C521A0">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060E0">
              <w:rPr>
                <w:rFonts w:eastAsia="Times New Roman" w:cs="Arial"/>
                <w:color w:val="000000"/>
                <w:sz w:val="16"/>
                <w:szCs w:val="16"/>
                <w:lang w:eastAsia="en-AU"/>
              </w:rPr>
              <w:t>1 (1)</w:t>
            </w:r>
          </w:p>
        </w:tc>
        <w:tc>
          <w:tcPr>
            <w:tcW w:w="586" w:type="pct"/>
            <w:tcBorders>
              <w:top w:val="single" w:sz="4" w:space="0" w:color="808080" w:themeColor="background1" w:themeShade="80"/>
              <w:left w:val="single" w:sz="4" w:space="0" w:color="606072"/>
              <w:bottom w:val="dotted" w:sz="4" w:space="0" w:color="606072"/>
              <w:right w:val="single" w:sz="4" w:space="0" w:color="606072"/>
            </w:tcBorders>
            <w:vAlign w:val="center"/>
          </w:tcPr>
          <w:p w14:paraId="2F0F4B63" w14:textId="6D9E7DB2" w:rsidR="00B274F5" w:rsidRPr="00AB79EC" w:rsidRDefault="00B274F5" w:rsidP="00C521A0">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060E0">
              <w:rPr>
                <w:rFonts w:eastAsia="Times New Roman" w:cs="Arial"/>
                <w:color w:val="000000"/>
                <w:sz w:val="16"/>
                <w:szCs w:val="16"/>
                <w:lang w:eastAsia="en-AU"/>
              </w:rPr>
              <w:t>30 (3)</w:t>
            </w:r>
          </w:p>
        </w:tc>
      </w:tr>
      <w:tr w:rsidR="00B274F5" w:rsidRPr="005060E0" w14:paraId="5BF71C71" w14:textId="77777777" w:rsidTr="00B274F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tcBorders>
            <w:vAlign w:val="center"/>
            <w:hideMark/>
          </w:tcPr>
          <w:p w14:paraId="3E0BDAC2" w14:textId="77777777" w:rsidR="00B274F5" w:rsidRPr="005060E0" w:rsidRDefault="00B274F5" w:rsidP="00C521A0">
            <w:pPr>
              <w:spacing w:after="0" w:line="240" w:lineRule="auto"/>
              <w:rPr>
                <w:rFonts w:cs="Arial"/>
                <w:sz w:val="16"/>
                <w:szCs w:val="16"/>
              </w:rPr>
            </w:pPr>
          </w:p>
        </w:tc>
        <w:tc>
          <w:tcPr>
            <w:tcW w:w="288" w:type="pct"/>
            <w:tcBorders>
              <w:top w:val="dotted" w:sz="4" w:space="0" w:color="606072"/>
              <w:left w:val="nil"/>
              <w:bottom w:val="dotted" w:sz="4" w:space="0" w:color="606072"/>
              <w:right w:val="single" w:sz="4" w:space="0" w:color="606072"/>
            </w:tcBorders>
            <w:vAlign w:val="center"/>
          </w:tcPr>
          <w:p w14:paraId="67D406F0" w14:textId="744911BF" w:rsidR="00B274F5" w:rsidRPr="005060E0" w:rsidRDefault="00B274F5"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80</w:t>
            </w:r>
          </w:p>
        </w:tc>
        <w:tc>
          <w:tcPr>
            <w:tcW w:w="543" w:type="pct"/>
            <w:tcBorders>
              <w:top w:val="dotted" w:sz="4" w:space="0" w:color="606072"/>
              <w:left w:val="single" w:sz="4" w:space="0" w:color="606072"/>
              <w:bottom w:val="dotted" w:sz="4" w:space="0" w:color="606072"/>
              <w:right w:val="single" w:sz="4" w:space="0" w:color="606072"/>
            </w:tcBorders>
            <w:vAlign w:val="center"/>
          </w:tcPr>
          <w:p w14:paraId="4C1B0372" w14:textId="54014454" w:rsidR="00B274F5" w:rsidRPr="00AB79EC" w:rsidRDefault="00B274F5"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5060E0">
              <w:rPr>
                <w:rFonts w:eastAsia="Times New Roman" w:cs="Arial"/>
                <w:color w:val="000000"/>
                <w:sz w:val="16"/>
                <w:szCs w:val="16"/>
                <w:lang w:eastAsia="en-AU"/>
              </w:rPr>
              <w:t>1 (</w:t>
            </w:r>
            <w:r w:rsidR="00AB79EC">
              <w:rPr>
                <w:rFonts w:eastAsia="Times New Roman" w:cs="Arial"/>
                <w:color w:val="000000"/>
                <w:sz w:val="16"/>
                <w:szCs w:val="16"/>
                <w:lang w:eastAsia="en-AU"/>
              </w:rPr>
              <w:t>–</w:t>
            </w:r>
            <w:r w:rsidRPr="005060E0">
              <w:rPr>
                <w:rFonts w:eastAsia="Times New Roman" w:cs="Arial"/>
                <w:color w:val="000000"/>
                <w:sz w:val="16"/>
                <w:szCs w:val="16"/>
                <w:lang w:eastAsia="en-AU"/>
              </w:rPr>
              <w:t>)</w:t>
            </w:r>
          </w:p>
        </w:tc>
        <w:tc>
          <w:tcPr>
            <w:tcW w:w="621" w:type="pct"/>
            <w:tcBorders>
              <w:top w:val="dotted" w:sz="4" w:space="0" w:color="606072"/>
              <w:left w:val="single" w:sz="4" w:space="0" w:color="606072"/>
              <w:bottom w:val="dotted" w:sz="4" w:space="0" w:color="606072"/>
              <w:right w:val="single" w:sz="4" w:space="0" w:color="606072"/>
            </w:tcBorders>
            <w:vAlign w:val="center"/>
          </w:tcPr>
          <w:p w14:paraId="43601996" w14:textId="43162A93" w:rsidR="00B274F5" w:rsidRPr="00AB79EC" w:rsidRDefault="00AB79EC"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c>
          <w:tcPr>
            <w:tcW w:w="692" w:type="pct"/>
            <w:tcBorders>
              <w:top w:val="dotted" w:sz="4" w:space="0" w:color="606072"/>
              <w:left w:val="single" w:sz="4" w:space="0" w:color="606072"/>
              <w:bottom w:val="dotted" w:sz="4" w:space="0" w:color="606072"/>
              <w:right w:val="single" w:sz="4" w:space="0" w:color="606072"/>
            </w:tcBorders>
            <w:vAlign w:val="center"/>
          </w:tcPr>
          <w:p w14:paraId="58C25BEB" w14:textId="4FE5EE7C" w:rsidR="00B274F5" w:rsidRPr="00AB79EC" w:rsidRDefault="00AB79EC"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dotted" w:sz="4" w:space="0" w:color="606072"/>
              <w:right w:val="single" w:sz="4" w:space="0" w:color="606072"/>
            </w:tcBorders>
            <w:vAlign w:val="center"/>
          </w:tcPr>
          <w:p w14:paraId="334D2AB4" w14:textId="2DCCCE68" w:rsidR="00B274F5" w:rsidRPr="00AB79EC" w:rsidRDefault="00B274F5"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5060E0">
              <w:rPr>
                <w:rFonts w:eastAsia="Times New Roman" w:cs="Arial"/>
                <w:color w:val="000000"/>
                <w:sz w:val="16"/>
                <w:szCs w:val="16"/>
                <w:lang w:eastAsia="en-AU"/>
              </w:rPr>
              <w:t>1 (</w:t>
            </w:r>
            <w:r w:rsidR="00AB79EC">
              <w:rPr>
                <w:rFonts w:eastAsia="Times New Roman" w:cs="Arial"/>
                <w:color w:val="000000"/>
                <w:sz w:val="16"/>
                <w:szCs w:val="16"/>
                <w:lang w:eastAsia="en-AU"/>
              </w:rPr>
              <w:t>–</w:t>
            </w:r>
            <w:r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dotted" w:sz="4" w:space="0" w:color="606072"/>
              <w:right w:val="single" w:sz="4" w:space="0" w:color="606072"/>
            </w:tcBorders>
            <w:vAlign w:val="center"/>
          </w:tcPr>
          <w:p w14:paraId="326BF72F" w14:textId="7FD3EF3E" w:rsidR="00B274F5" w:rsidRPr="00AB79EC" w:rsidRDefault="00AB79EC"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dotted" w:sz="4" w:space="0" w:color="606072"/>
              <w:right w:val="single" w:sz="4" w:space="0" w:color="606072"/>
            </w:tcBorders>
            <w:vAlign w:val="center"/>
          </w:tcPr>
          <w:p w14:paraId="72F69DF6" w14:textId="46328F4B" w:rsidR="00B274F5" w:rsidRPr="00AB79EC" w:rsidRDefault="00AB79EC"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c>
          <w:tcPr>
            <w:tcW w:w="586" w:type="pct"/>
            <w:tcBorders>
              <w:top w:val="dotted" w:sz="4" w:space="0" w:color="606072"/>
              <w:left w:val="single" w:sz="4" w:space="0" w:color="606072"/>
              <w:bottom w:val="dotted" w:sz="4" w:space="0" w:color="606072"/>
              <w:right w:val="single" w:sz="4" w:space="0" w:color="606072"/>
            </w:tcBorders>
            <w:vAlign w:val="center"/>
          </w:tcPr>
          <w:p w14:paraId="7A16E90A" w14:textId="25C81EF6" w:rsidR="00B274F5" w:rsidRPr="00AB79EC" w:rsidRDefault="00B274F5"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5060E0">
              <w:rPr>
                <w:rFonts w:eastAsia="Times New Roman" w:cs="Arial"/>
                <w:color w:val="000000"/>
                <w:sz w:val="16"/>
                <w:szCs w:val="16"/>
                <w:lang w:eastAsia="en-AU"/>
              </w:rPr>
              <w:t>3 (</w:t>
            </w:r>
            <w:r w:rsidR="00AB79EC">
              <w:rPr>
                <w:rFonts w:eastAsia="Times New Roman" w:cs="Arial"/>
                <w:color w:val="000000"/>
                <w:sz w:val="16"/>
                <w:szCs w:val="16"/>
                <w:lang w:eastAsia="en-AU"/>
              </w:rPr>
              <w:t>–</w:t>
            </w:r>
            <w:r w:rsidRPr="005060E0">
              <w:rPr>
                <w:rFonts w:eastAsia="Times New Roman" w:cs="Arial"/>
                <w:color w:val="000000"/>
                <w:sz w:val="16"/>
                <w:szCs w:val="16"/>
                <w:lang w:eastAsia="en-AU"/>
              </w:rPr>
              <w:t>)</w:t>
            </w:r>
          </w:p>
        </w:tc>
      </w:tr>
      <w:tr w:rsidR="00B274F5" w:rsidRPr="005060E0" w14:paraId="5B0F0F56" w14:textId="77777777" w:rsidTr="00B274F5">
        <w:trPr>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tcBorders>
            <w:vAlign w:val="center"/>
            <w:hideMark/>
          </w:tcPr>
          <w:p w14:paraId="320B05FA" w14:textId="77777777" w:rsidR="00B274F5" w:rsidRPr="005060E0" w:rsidRDefault="00B274F5" w:rsidP="00C521A0">
            <w:pPr>
              <w:spacing w:after="0" w:line="240" w:lineRule="auto"/>
              <w:rPr>
                <w:rFonts w:cs="Arial"/>
                <w:sz w:val="16"/>
                <w:szCs w:val="16"/>
              </w:rPr>
            </w:pPr>
          </w:p>
        </w:tc>
        <w:tc>
          <w:tcPr>
            <w:tcW w:w="288" w:type="pct"/>
            <w:tcBorders>
              <w:top w:val="dotted" w:sz="4" w:space="0" w:color="606072"/>
              <w:left w:val="nil"/>
              <w:bottom w:val="dotted" w:sz="4" w:space="0" w:color="606072"/>
              <w:right w:val="single" w:sz="4" w:space="0" w:color="606072"/>
            </w:tcBorders>
            <w:vAlign w:val="center"/>
          </w:tcPr>
          <w:p w14:paraId="6BF10303" w14:textId="449E42A2" w:rsidR="00B274F5" w:rsidRPr="005060E0" w:rsidRDefault="00B274F5" w:rsidP="00C521A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97</w:t>
            </w:r>
          </w:p>
        </w:tc>
        <w:tc>
          <w:tcPr>
            <w:tcW w:w="543" w:type="pct"/>
            <w:tcBorders>
              <w:top w:val="dotted" w:sz="4" w:space="0" w:color="606072"/>
              <w:left w:val="single" w:sz="4" w:space="0" w:color="606072"/>
              <w:bottom w:val="dotted" w:sz="4" w:space="0" w:color="606072"/>
              <w:right w:val="single" w:sz="4" w:space="0" w:color="606072"/>
            </w:tcBorders>
            <w:vAlign w:val="center"/>
          </w:tcPr>
          <w:p w14:paraId="180D76F7" w14:textId="34063404" w:rsidR="00B274F5" w:rsidRPr="00AB79EC" w:rsidRDefault="00AB79EC" w:rsidP="00C521A0">
            <w:pPr>
              <w:spacing w:after="0" w:line="240" w:lineRule="auto"/>
              <w:jc w:val="center"/>
              <w:cnfStyle w:val="000000000000" w:firstRow="0" w:lastRow="0" w:firstColumn="0" w:lastColumn="0" w:oddVBand="0" w:evenVBand="0" w:oddHBand="0"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c>
          <w:tcPr>
            <w:tcW w:w="621" w:type="pct"/>
            <w:tcBorders>
              <w:top w:val="dotted" w:sz="4" w:space="0" w:color="606072"/>
              <w:left w:val="single" w:sz="4" w:space="0" w:color="606072"/>
              <w:bottom w:val="dotted" w:sz="4" w:space="0" w:color="606072"/>
              <w:right w:val="single" w:sz="4" w:space="0" w:color="606072"/>
            </w:tcBorders>
            <w:vAlign w:val="center"/>
          </w:tcPr>
          <w:p w14:paraId="5799925C" w14:textId="35C0C61C" w:rsidR="00B274F5" w:rsidRPr="00AB79EC" w:rsidRDefault="00AB79EC" w:rsidP="00C521A0">
            <w:pPr>
              <w:spacing w:after="0" w:line="240" w:lineRule="auto"/>
              <w:jc w:val="center"/>
              <w:cnfStyle w:val="000000000000" w:firstRow="0" w:lastRow="0" w:firstColumn="0" w:lastColumn="0" w:oddVBand="0" w:evenVBand="0" w:oddHBand="0"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c>
          <w:tcPr>
            <w:tcW w:w="692" w:type="pct"/>
            <w:tcBorders>
              <w:top w:val="dotted" w:sz="4" w:space="0" w:color="606072"/>
              <w:left w:val="single" w:sz="4" w:space="0" w:color="606072"/>
              <w:bottom w:val="dotted" w:sz="4" w:space="0" w:color="606072"/>
              <w:right w:val="single" w:sz="4" w:space="0" w:color="606072"/>
            </w:tcBorders>
            <w:vAlign w:val="center"/>
          </w:tcPr>
          <w:p w14:paraId="3990A8D7" w14:textId="79DB2648" w:rsidR="00B274F5" w:rsidRPr="00AB79EC" w:rsidRDefault="00AB79EC" w:rsidP="00C521A0">
            <w:pPr>
              <w:spacing w:after="0" w:line="240" w:lineRule="auto"/>
              <w:jc w:val="center"/>
              <w:cnfStyle w:val="000000000000" w:firstRow="0" w:lastRow="0" w:firstColumn="0" w:lastColumn="0" w:oddVBand="0" w:evenVBand="0" w:oddHBand="0"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dotted" w:sz="4" w:space="0" w:color="606072"/>
              <w:right w:val="single" w:sz="4" w:space="0" w:color="606072"/>
            </w:tcBorders>
            <w:vAlign w:val="center"/>
          </w:tcPr>
          <w:p w14:paraId="7DAA1CA3" w14:textId="4D750C2F" w:rsidR="00B274F5" w:rsidRPr="00AB79EC" w:rsidRDefault="00B274F5" w:rsidP="00C521A0">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060E0">
              <w:rPr>
                <w:rFonts w:eastAsia="Times New Roman" w:cs="Arial"/>
                <w:color w:val="000000"/>
                <w:sz w:val="16"/>
                <w:szCs w:val="16"/>
                <w:lang w:eastAsia="en-AU"/>
              </w:rPr>
              <w:t>1 (</w:t>
            </w:r>
            <w:r w:rsidR="00AB79EC">
              <w:rPr>
                <w:rFonts w:eastAsia="Times New Roman" w:cs="Arial"/>
                <w:color w:val="000000"/>
                <w:sz w:val="16"/>
                <w:szCs w:val="16"/>
                <w:lang w:eastAsia="en-AU"/>
              </w:rPr>
              <w:t>–</w:t>
            </w:r>
            <w:r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dotted" w:sz="4" w:space="0" w:color="606072"/>
              <w:right w:val="single" w:sz="4" w:space="0" w:color="606072"/>
            </w:tcBorders>
            <w:vAlign w:val="center"/>
          </w:tcPr>
          <w:p w14:paraId="0219A5EF" w14:textId="50FF867E" w:rsidR="00B274F5" w:rsidRPr="00AB79EC" w:rsidRDefault="00AB79EC" w:rsidP="00C521A0">
            <w:pPr>
              <w:spacing w:after="0" w:line="240" w:lineRule="auto"/>
              <w:jc w:val="center"/>
              <w:cnfStyle w:val="000000000000" w:firstRow="0" w:lastRow="0" w:firstColumn="0" w:lastColumn="0" w:oddVBand="0" w:evenVBand="0" w:oddHBand="0"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dotted" w:sz="4" w:space="0" w:color="606072"/>
              <w:right w:val="single" w:sz="4" w:space="0" w:color="606072"/>
            </w:tcBorders>
            <w:vAlign w:val="center"/>
          </w:tcPr>
          <w:p w14:paraId="2CFF7A19" w14:textId="348840F0" w:rsidR="00B274F5" w:rsidRPr="00AB79EC" w:rsidRDefault="00AB79EC" w:rsidP="00C521A0">
            <w:pPr>
              <w:spacing w:after="0" w:line="240" w:lineRule="auto"/>
              <w:jc w:val="center"/>
              <w:cnfStyle w:val="000000000000" w:firstRow="0" w:lastRow="0" w:firstColumn="0" w:lastColumn="0" w:oddVBand="0" w:evenVBand="0" w:oddHBand="0"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c>
          <w:tcPr>
            <w:tcW w:w="586" w:type="pct"/>
            <w:tcBorders>
              <w:top w:val="dotted" w:sz="4" w:space="0" w:color="606072"/>
              <w:left w:val="single" w:sz="4" w:space="0" w:color="606072"/>
              <w:bottom w:val="dotted" w:sz="4" w:space="0" w:color="606072"/>
              <w:right w:val="single" w:sz="4" w:space="0" w:color="606072"/>
            </w:tcBorders>
            <w:vAlign w:val="center"/>
          </w:tcPr>
          <w:p w14:paraId="5FFBD45E" w14:textId="52463CFD" w:rsidR="00B274F5" w:rsidRPr="00AB79EC" w:rsidRDefault="00B274F5" w:rsidP="00C521A0">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060E0">
              <w:rPr>
                <w:rFonts w:eastAsia="Times New Roman" w:cs="Arial"/>
                <w:color w:val="000000"/>
                <w:sz w:val="16"/>
                <w:szCs w:val="16"/>
                <w:lang w:eastAsia="en-AU"/>
              </w:rPr>
              <w:t>1 (</w:t>
            </w:r>
            <w:r w:rsidR="00AB79EC">
              <w:rPr>
                <w:rFonts w:eastAsia="Times New Roman" w:cs="Arial"/>
                <w:color w:val="000000"/>
                <w:sz w:val="16"/>
                <w:szCs w:val="16"/>
                <w:lang w:eastAsia="en-AU"/>
              </w:rPr>
              <w:t>–</w:t>
            </w:r>
            <w:r w:rsidRPr="005060E0">
              <w:rPr>
                <w:rFonts w:eastAsia="Times New Roman" w:cs="Arial"/>
                <w:color w:val="000000"/>
                <w:sz w:val="16"/>
                <w:szCs w:val="16"/>
                <w:lang w:eastAsia="en-AU"/>
              </w:rPr>
              <w:t>)</w:t>
            </w:r>
          </w:p>
        </w:tc>
      </w:tr>
      <w:tr w:rsidR="00BF7BF2" w:rsidRPr="005060E0" w14:paraId="2BB84B82" w14:textId="77777777" w:rsidTr="005D5AFF">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bottom w:val="single" w:sz="4" w:space="0" w:color="808080" w:themeColor="background1" w:themeShade="80"/>
            </w:tcBorders>
            <w:vAlign w:val="center"/>
            <w:hideMark/>
          </w:tcPr>
          <w:p w14:paraId="6BCC3360" w14:textId="77777777" w:rsidR="00B274F5" w:rsidRPr="005060E0" w:rsidRDefault="00B274F5" w:rsidP="00C521A0">
            <w:pPr>
              <w:spacing w:after="0" w:line="240" w:lineRule="auto"/>
              <w:rPr>
                <w:rFonts w:cs="Arial"/>
                <w:sz w:val="16"/>
                <w:szCs w:val="16"/>
              </w:rPr>
            </w:pPr>
          </w:p>
        </w:tc>
        <w:tc>
          <w:tcPr>
            <w:tcW w:w="288" w:type="pct"/>
            <w:tcBorders>
              <w:top w:val="dotted" w:sz="4" w:space="0" w:color="606072"/>
              <w:left w:val="nil"/>
              <w:bottom w:val="single" w:sz="4" w:space="0" w:color="808080" w:themeColor="background1" w:themeShade="80"/>
              <w:right w:val="single" w:sz="4" w:space="0" w:color="606072"/>
            </w:tcBorders>
            <w:shd w:val="clear" w:color="auto" w:fill="D5E5FF"/>
            <w:vAlign w:val="center"/>
          </w:tcPr>
          <w:p w14:paraId="13DBE19D" w14:textId="5EE17132" w:rsidR="00B274F5" w:rsidRPr="005060E0" w:rsidRDefault="00B274F5"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120</w:t>
            </w:r>
          </w:p>
        </w:tc>
        <w:tc>
          <w:tcPr>
            <w:tcW w:w="543" w:type="pct"/>
            <w:tcBorders>
              <w:top w:val="dotted" w:sz="4" w:space="0" w:color="606072"/>
              <w:left w:val="single" w:sz="4" w:space="0" w:color="606072"/>
              <w:bottom w:val="single" w:sz="4" w:space="0" w:color="808080" w:themeColor="background1" w:themeShade="80"/>
              <w:right w:val="single" w:sz="4" w:space="0" w:color="606072"/>
            </w:tcBorders>
            <w:shd w:val="clear" w:color="auto" w:fill="D5E5FF"/>
            <w:vAlign w:val="center"/>
          </w:tcPr>
          <w:p w14:paraId="756B01B3" w14:textId="6E155BEF" w:rsidR="00B274F5" w:rsidRPr="00AB79EC" w:rsidRDefault="00AB79EC"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c>
          <w:tcPr>
            <w:tcW w:w="621" w:type="pct"/>
            <w:tcBorders>
              <w:top w:val="dotted" w:sz="4" w:space="0" w:color="606072"/>
              <w:left w:val="single" w:sz="4" w:space="0" w:color="606072"/>
              <w:bottom w:val="single" w:sz="4" w:space="0" w:color="808080" w:themeColor="background1" w:themeShade="80"/>
              <w:right w:val="single" w:sz="4" w:space="0" w:color="606072"/>
            </w:tcBorders>
            <w:shd w:val="clear" w:color="auto" w:fill="D5E5FF"/>
            <w:vAlign w:val="center"/>
          </w:tcPr>
          <w:p w14:paraId="252D1CAD" w14:textId="08C49919" w:rsidR="00B274F5" w:rsidRPr="00AB79EC" w:rsidRDefault="00AB79EC"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c>
          <w:tcPr>
            <w:tcW w:w="692" w:type="pct"/>
            <w:tcBorders>
              <w:top w:val="dotted" w:sz="4" w:space="0" w:color="606072"/>
              <w:left w:val="single" w:sz="4" w:space="0" w:color="606072"/>
              <w:bottom w:val="single" w:sz="4" w:space="0" w:color="808080" w:themeColor="background1" w:themeShade="80"/>
              <w:right w:val="single" w:sz="4" w:space="0" w:color="606072"/>
            </w:tcBorders>
            <w:shd w:val="clear" w:color="auto" w:fill="D5E5FF"/>
            <w:vAlign w:val="center"/>
          </w:tcPr>
          <w:p w14:paraId="4EB1DB02" w14:textId="0B8E0700" w:rsidR="00B274F5" w:rsidRPr="00AB79EC" w:rsidRDefault="00AB79EC"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single" w:sz="4" w:space="0" w:color="808080" w:themeColor="background1" w:themeShade="80"/>
              <w:right w:val="single" w:sz="4" w:space="0" w:color="606072"/>
            </w:tcBorders>
            <w:shd w:val="clear" w:color="auto" w:fill="D5E5FF"/>
            <w:vAlign w:val="center"/>
          </w:tcPr>
          <w:p w14:paraId="182BC47B" w14:textId="24ED081D" w:rsidR="00B274F5" w:rsidRPr="00AB79EC" w:rsidRDefault="00AB79EC"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single" w:sz="4" w:space="0" w:color="808080" w:themeColor="background1" w:themeShade="80"/>
              <w:right w:val="single" w:sz="4" w:space="0" w:color="606072"/>
            </w:tcBorders>
            <w:shd w:val="clear" w:color="auto" w:fill="D5E5FF"/>
            <w:vAlign w:val="center"/>
          </w:tcPr>
          <w:p w14:paraId="621D539C" w14:textId="31724D65" w:rsidR="00B274F5" w:rsidRPr="00AB79EC" w:rsidRDefault="00AB79EC"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single" w:sz="4" w:space="0" w:color="808080" w:themeColor="background1" w:themeShade="80"/>
              <w:right w:val="single" w:sz="4" w:space="0" w:color="606072"/>
            </w:tcBorders>
            <w:shd w:val="clear" w:color="auto" w:fill="D5E5FF"/>
            <w:vAlign w:val="center"/>
          </w:tcPr>
          <w:p w14:paraId="1A1D78F7" w14:textId="06E853C0" w:rsidR="00B274F5" w:rsidRPr="00AB79EC" w:rsidRDefault="00AB79EC"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c>
          <w:tcPr>
            <w:tcW w:w="586"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77B667C8" w14:textId="691D6CC0" w:rsidR="00B274F5" w:rsidRPr="00AB79EC" w:rsidRDefault="00AB79EC"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r>
      <w:tr w:rsidR="00B274F5" w:rsidRPr="005060E0" w14:paraId="65B023AC" w14:textId="77777777" w:rsidTr="00B274F5">
        <w:trPr>
          <w:trHeight w:hRule="exact" w:val="340"/>
        </w:trPr>
        <w:tc>
          <w:tcPr>
            <w:cnfStyle w:val="001000000000" w:firstRow="0" w:lastRow="0" w:firstColumn="1" w:lastColumn="0" w:oddVBand="0" w:evenVBand="0" w:oddHBand="0" w:evenHBand="0" w:firstRowFirstColumn="0" w:firstRowLastColumn="0" w:lastRowFirstColumn="0" w:lastRowLastColumn="0"/>
            <w:tcW w:w="520" w:type="pct"/>
            <w:vMerge w:val="restart"/>
            <w:tcBorders>
              <w:top w:val="single" w:sz="4" w:space="0" w:color="808080" w:themeColor="background1" w:themeShade="80"/>
              <w:left w:val="single" w:sz="4" w:space="0" w:color="606072"/>
            </w:tcBorders>
            <w:vAlign w:val="center"/>
          </w:tcPr>
          <w:p w14:paraId="1F0AD0D2" w14:textId="20D4510D" w:rsidR="00B274F5" w:rsidRPr="005060E0" w:rsidRDefault="00B274F5" w:rsidP="00C521A0">
            <w:pPr>
              <w:spacing w:after="0" w:line="240" w:lineRule="auto"/>
              <w:jc w:val="center"/>
              <w:rPr>
                <w:rFonts w:cs="Arial"/>
                <w:b w:val="0"/>
                <w:sz w:val="16"/>
                <w:szCs w:val="16"/>
              </w:rPr>
            </w:pPr>
            <w:r w:rsidRPr="005060E0">
              <w:rPr>
                <w:rFonts w:cs="Arial"/>
                <w:b w:val="0"/>
                <w:sz w:val="16"/>
                <w:szCs w:val="16"/>
              </w:rPr>
              <w:t>Annual</w:t>
            </w:r>
          </w:p>
        </w:tc>
        <w:tc>
          <w:tcPr>
            <w:tcW w:w="288"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CF9C37B" w14:textId="77777777" w:rsidR="00B274F5" w:rsidRPr="005060E0" w:rsidRDefault="00B274F5" w:rsidP="00C521A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92" w:type="pct"/>
            <w:gridSpan w:val="7"/>
            <w:tcBorders>
              <w:top w:val="single" w:sz="4" w:space="0" w:color="808080" w:themeColor="background1" w:themeShade="80"/>
              <w:left w:val="single" w:sz="4" w:space="0" w:color="808080" w:themeColor="background1" w:themeShade="80"/>
              <w:bottom w:val="dotted" w:sz="4" w:space="0" w:color="606072"/>
              <w:right w:val="single" w:sz="4" w:space="0" w:color="606072"/>
            </w:tcBorders>
            <w:shd w:val="clear" w:color="auto" w:fill="BFBFBF" w:themeFill="background1" w:themeFillShade="BF"/>
            <w:vAlign w:val="center"/>
          </w:tcPr>
          <w:p w14:paraId="6D18A649" w14:textId="0FB71D38" w:rsidR="00B274F5" w:rsidRPr="005060E0" w:rsidRDefault="005C5828" w:rsidP="004D271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5060E0">
              <w:rPr>
                <w:rFonts w:eastAsia="Times New Roman" w:cs="Arial"/>
                <w:color w:val="000000"/>
                <w:sz w:val="16"/>
                <w:szCs w:val="16"/>
                <w:lang w:eastAsia="en-AU"/>
              </w:rPr>
              <w:t>Total n</w:t>
            </w:r>
            <w:r w:rsidR="00B274F5" w:rsidRPr="005060E0">
              <w:rPr>
                <w:rFonts w:eastAsia="Times New Roman" w:cs="Arial"/>
                <w:color w:val="000000"/>
                <w:sz w:val="16"/>
                <w:szCs w:val="16"/>
                <w:lang w:eastAsia="en-AU"/>
              </w:rPr>
              <w:t>umber of monitoring stations exceeding standard</w:t>
            </w:r>
          </w:p>
        </w:tc>
      </w:tr>
      <w:tr w:rsidR="00B274F5" w:rsidRPr="005060E0" w14:paraId="17023C03" w14:textId="77777777" w:rsidTr="00B274F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20" w:type="pct"/>
            <w:vMerge/>
            <w:tcBorders>
              <w:left w:val="single" w:sz="4" w:space="0" w:color="606072"/>
            </w:tcBorders>
            <w:vAlign w:val="center"/>
            <w:hideMark/>
          </w:tcPr>
          <w:p w14:paraId="4D51F1BC" w14:textId="0C93E567" w:rsidR="00B274F5" w:rsidRPr="005060E0" w:rsidRDefault="00B274F5" w:rsidP="00C521A0">
            <w:pPr>
              <w:spacing w:after="0" w:line="240" w:lineRule="auto"/>
              <w:jc w:val="center"/>
              <w:rPr>
                <w:rFonts w:cs="Arial"/>
                <w:b w:val="0"/>
                <w:sz w:val="16"/>
                <w:szCs w:val="16"/>
              </w:rPr>
            </w:pPr>
          </w:p>
        </w:tc>
        <w:tc>
          <w:tcPr>
            <w:tcW w:w="288" w:type="pct"/>
            <w:tcBorders>
              <w:top w:val="single" w:sz="4" w:space="0" w:color="808080" w:themeColor="background1" w:themeShade="80"/>
              <w:left w:val="nil"/>
              <w:bottom w:val="dotted" w:sz="4" w:space="0" w:color="606072"/>
              <w:right w:val="single" w:sz="4" w:space="0" w:color="606072"/>
            </w:tcBorders>
            <w:vAlign w:val="center"/>
          </w:tcPr>
          <w:p w14:paraId="5BB396BB" w14:textId="2AB8821E" w:rsidR="00B274F5" w:rsidRPr="005060E0" w:rsidRDefault="00B274F5"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10</w:t>
            </w:r>
          </w:p>
        </w:tc>
        <w:tc>
          <w:tcPr>
            <w:tcW w:w="543" w:type="pct"/>
            <w:tcBorders>
              <w:top w:val="single" w:sz="4" w:space="0" w:color="808080" w:themeColor="background1" w:themeShade="80"/>
              <w:left w:val="single" w:sz="4" w:space="0" w:color="606072"/>
              <w:bottom w:val="dotted" w:sz="4" w:space="0" w:color="606072"/>
              <w:right w:val="single" w:sz="4" w:space="0" w:color="606072"/>
            </w:tcBorders>
            <w:vAlign w:val="center"/>
          </w:tcPr>
          <w:p w14:paraId="13AA712F" w14:textId="4C9C4882" w:rsidR="00B274F5" w:rsidRPr="00AB79EC" w:rsidRDefault="00B274F5"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5060E0">
              <w:rPr>
                <w:rFonts w:eastAsia="Times New Roman" w:cs="Arial"/>
                <w:color w:val="000000"/>
                <w:sz w:val="16"/>
                <w:szCs w:val="16"/>
                <w:lang w:eastAsia="en-AU"/>
              </w:rPr>
              <w:t>54 (18)</w:t>
            </w:r>
          </w:p>
        </w:tc>
        <w:tc>
          <w:tcPr>
            <w:tcW w:w="621" w:type="pct"/>
            <w:tcBorders>
              <w:top w:val="single" w:sz="4" w:space="0" w:color="606072"/>
              <w:left w:val="single" w:sz="4" w:space="0" w:color="606072"/>
              <w:bottom w:val="dotted" w:sz="4" w:space="0" w:color="606072"/>
              <w:right w:val="single" w:sz="4" w:space="0" w:color="606072"/>
            </w:tcBorders>
            <w:vAlign w:val="center"/>
          </w:tcPr>
          <w:p w14:paraId="0CC4C51C" w14:textId="5A5472CF" w:rsidR="00B274F5" w:rsidRPr="00AB79EC" w:rsidRDefault="00B274F5"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5060E0">
              <w:rPr>
                <w:rFonts w:eastAsia="Times New Roman" w:cs="Arial"/>
                <w:color w:val="000000"/>
                <w:sz w:val="16"/>
                <w:szCs w:val="16"/>
                <w:lang w:eastAsia="en-AU"/>
              </w:rPr>
              <w:t>25 (7)</w:t>
            </w:r>
          </w:p>
        </w:tc>
        <w:tc>
          <w:tcPr>
            <w:tcW w:w="692" w:type="pct"/>
            <w:tcBorders>
              <w:top w:val="single" w:sz="4" w:space="0" w:color="606072"/>
              <w:left w:val="single" w:sz="4" w:space="0" w:color="606072"/>
              <w:bottom w:val="dotted" w:sz="4" w:space="0" w:color="606072"/>
              <w:right w:val="single" w:sz="4" w:space="0" w:color="606072"/>
            </w:tcBorders>
            <w:vAlign w:val="center"/>
          </w:tcPr>
          <w:p w14:paraId="73CA7D04" w14:textId="29EF2498" w:rsidR="00B274F5" w:rsidRPr="00AB79EC" w:rsidRDefault="00AB79EC"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c>
          <w:tcPr>
            <w:tcW w:w="583" w:type="pct"/>
            <w:tcBorders>
              <w:top w:val="single" w:sz="4" w:space="0" w:color="606072"/>
              <w:left w:val="single" w:sz="4" w:space="0" w:color="606072"/>
              <w:bottom w:val="dotted" w:sz="4" w:space="0" w:color="606072"/>
              <w:right w:val="single" w:sz="4" w:space="0" w:color="606072"/>
            </w:tcBorders>
            <w:vAlign w:val="center"/>
          </w:tcPr>
          <w:p w14:paraId="3A2AE4FC" w14:textId="07CA0C40" w:rsidR="00B274F5" w:rsidRPr="00AB79EC" w:rsidRDefault="00AB79EC"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c>
          <w:tcPr>
            <w:tcW w:w="583" w:type="pct"/>
            <w:tcBorders>
              <w:top w:val="single" w:sz="4" w:space="0" w:color="606072"/>
              <w:left w:val="single" w:sz="4" w:space="0" w:color="606072"/>
              <w:bottom w:val="dotted" w:sz="4" w:space="0" w:color="606072"/>
              <w:right w:val="single" w:sz="4" w:space="0" w:color="606072"/>
            </w:tcBorders>
            <w:vAlign w:val="center"/>
          </w:tcPr>
          <w:p w14:paraId="1A9F6BFE" w14:textId="75FCC7E3" w:rsidR="00B274F5" w:rsidRPr="00AB79EC" w:rsidRDefault="00AB79EC"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c>
          <w:tcPr>
            <w:tcW w:w="583" w:type="pct"/>
            <w:tcBorders>
              <w:top w:val="single" w:sz="4" w:space="0" w:color="606072"/>
              <w:left w:val="single" w:sz="4" w:space="0" w:color="606072"/>
              <w:bottom w:val="dotted" w:sz="4" w:space="0" w:color="606072"/>
              <w:right w:val="single" w:sz="4" w:space="0" w:color="606072"/>
            </w:tcBorders>
            <w:vAlign w:val="center"/>
          </w:tcPr>
          <w:p w14:paraId="70FEBDF2" w14:textId="34DC7B0A" w:rsidR="00B274F5" w:rsidRPr="00AB79EC" w:rsidRDefault="00AB79EC"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c>
          <w:tcPr>
            <w:tcW w:w="586" w:type="pct"/>
            <w:tcBorders>
              <w:top w:val="single" w:sz="4" w:space="0" w:color="606072"/>
              <w:left w:val="single" w:sz="4" w:space="0" w:color="606072"/>
              <w:bottom w:val="dotted" w:sz="4" w:space="0" w:color="606072"/>
              <w:right w:val="single" w:sz="4" w:space="0" w:color="606072"/>
            </w:tcBorders>
            <w:vAlign w:val="center"/>
          </w:tcPr>
          <w:p w14:paraId="77C9E279" w14:textId="5F6660F3" w:rsidR="00B274F5" w:rsidRPr="00AB79EC" w:rsidRDefault="00AB79EC"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r>
      <w:tr w:rsidR="00B274F5" w:rsidRPr="005060E0" w14:paraId="6423A0D3" w14:textId="77777777" w:rsidTr="00B274F5">
        <w:trPr>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tcBorders>
            <w:vAlign w:val="center"/>
          </w:tcPr>
          <w:p w14:paraId="35863CED" w14:textId="77777777" w:rsidR="00B274F5" w:rsidRPr="005060E0" w:rsidRDefault="00B274F5" w:rsidP="00C521A0">
            <w:pPr>
              <w:spacing w:after="0" w:line="240" w:lineRule="auto"/>
              <w:rPr>
                <w:rFonts w:cs="Arial"/>
                <w:sz w:val="16"/>
                <w:szCs w:val="16"/>
              </w:rPr>
            </w:pPr>
          </w:p>
        </w:tc>
        <w:tc>
          <w:tcPr>
            <w:tcW w:w="288" w:type="pct"/>
            <w:tcBorders>
              <w:top w:val="dotted" w:sz="4" w:space="0" w:color="606072"/>
              <w:left w:val="nil"/>
              <w:bottom w:val="dotted" w:sz="4" w:space="0" w:color="606072"/>
              <w:right w:val="single" w:sz="4" w:space="0" w:color="606072"/>
            </w:tcBorders>
            <w:shd w:val="clear" w:color="auto" w:fill="auto"/>
            <w:vAlign w:val="center"/>
          </w:tcPr>
          <w:p w14:paraId="79DC219E" w14:textId="61121B22" w:rsidR="00B274F5" w:rsidRPr="005060E0" w:rsidRDefault="00B274F5" w:rsidP="00C521A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19</w:t>
            </w:r>
          </w:p>
        </w:tc>
        <w:tc>
          <w:tcPr>
            <w:tcW w:w="543" w:type="pct"/>
            <w:tcBorders>
              <w:top w:val="dotted" w:sz="4" w:space="0" w:color="606072"/>
              <w:left w:val="single" w:sz="4" w:space="0" w:color="606072"/>
              <w:bottom w:val="dotted" w:sz="4" w:space="0" w:color="606072"/>
              <w:right w:val="single" w:sz="4" w:space="0" w:color="606072"/>
            </w:tcBorders>
            <w:shd w:val="clear" w:color="auto" w:fill="auto"/>
            <w:vAlign w:val="center"/>
          </w:tcPr>
          <w:p w14:paraId="0D029C38" w14:textId="0F134168" w:rsidR="00B274F5" w:rsidRPr="00AB79EC" w:rsidRDefault="00AB79EC" w:rsidP="00C521A0">
            <w:pPr>
              <w:spacing w:after="0" w:line="240" w:lineRule="auto"/>
              <w:jc w:val="center"/>
              <w:cnfStyle w:val="000000000000" w:firstRow="0" w:lastRow="0" w:firstColumn="0" w:lastColumn="0" w:oddVBand="0" w:evenVBand="0" w:oddHBand="0"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c>
          <w:tcPr>
            <w:tcW w:w="621" w:type="pct"/>
            <w:tcBorders>
              <w:top w:val="dotted" w:sz="4" w:space="0" w:color="606072"/>
              <w:left w:val="single" w:sz="4" w:space="0" w:color="606072"/>
              <w:bottom w:val="dotted" w:sz="4" w:space="0" w:color="606072"/>
              <w:right w:val="single" w:sz="4" w:space="0" w:color="606072"/>
            </w:tcBorders>
            <w:shd w:val="clear" w:color="auto" w:fill="auto"/>
            <w:vAlign w:val="center"/>
          </w:tcPr>
          <w:p w14:paraId="382FC086" w14:textId="28C07368" w:rsidR="00B274F5" w:rsidRPr="00AB79EC" w:rsidRDefault="00AB79EC" w:rsidP="00C521A0">
            <w:pPr>
              <w:spacing w:after="0" w:line="240" w:lineRule="auto"/>
              <w:jc w:val="center"/>
              <w:cnfStyle w:val="000000000000" w:firstRow="0" w:lastRow="0" w:firstColumn="0" w:lastColumn="0" w:oddVBand="0" w:evenVBand="0" w:oddHBand="0"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c>
          <w:tcPr>
            <w:tcW w:w="692" w:type="pct"/>
            <w:tcBorders>
              <w:top w:val="dotted" w:sz="4" w:space="0" w:color="606072"/>
              <w:left w:val="single" w:sz="4" w:space="0" w:color="606072"/>
              <w:bottom w:val="dotted" w:sz="4" w:space="0" w:color="606072"/>
              <w:right w:val="single" w:sz="4" w:space="0" w:color="606072"/>
            </w:tcBorders>
            <w:shd w:val="clear" w:color="auto" w:fill="auto"/>
            <w:vAlign w:val="center"/>
          </w:tcPr>
          <w:p w14:paraId="1AF9A6A7" w14:textId="2B022DBD" w:rsidR="00B274F5" w:rsidRPr="00AB79EC" w:rsidRDefault="00AB79EC" w:rsidP="00C521A0">
            <w:pPr>
              <w:spacing w:after="0" w:line="240" w:lineRule="auto"/>
              <w:jc w:val="center"/>
              <w:cnfStyle w:val="000000000000" w:firstRow="0" w:lastRow="0" w:firstColumn="0" w:lastColumn="0" w:oddVBand="0" w:evenVBand="0" w:oddHBand="0"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dotted" w:sz="4" w:space="0" w:color="606072"/>
              <w:right w:val="single" w:sz="4" w:space="0" w:color="606072"/>
            </w:tcBorders>
            <w:shd w:val="clear" w:color="auto" w:fill="auto"/>
            <w:vAlign w:val="center"/>
          </w:tcPr>
          <w:p w14:paraId="767B2391" w14:textId="573897DF" w:rsidR="00B274F5" w:rsidRPr="00AB79EC" w:rsidRDefault="00AB79EC" w:rsidP="00C521A0">
            <w:pPr>
              <w:spacing w:after="0" w:line="240" w:lineRule="auto"/>
              <w:jc w:val="center"/>
              <w:cnfStyle w:val="000000000000" w:firstRow="0" w:lastRow="0" w:firstColumn="0" w:lastColumn="0" w:oddVBand="0" w:evenVBand="0" w:oddHBand="0"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dotted" w:sz="4" w:space="0" w:color="606072"/>
              <w:right w:val="single" w:sz="4" w:space="0" w:color="606072"/>
            </w:tcBorders>
            <w:shd w:val="clear" w:color="auto" w:fill="auto"/>
            <w:vAlign w:val="center"/>
          </w:tcPr>
          <w:p w14:paraId="6D1055C7" w14:textId="68F49ABF" w:rsidR="00B274F5" w:rsidRPr="00AB79EC" w:rsidRDefault="00AB79EC" w:rsidP="00C521A0">
            <w:pPr>
              <w:spacing w:after="0" w:line="240" w:lineRule="auto"/>
              <w:jc w:val="center"/>
              <w:cnfStyle w:val="000000000000" w:firstRow="0" w:lastRow="0" w:firstColumn="0" w:lastColumn="0" w:oddVBand="0" w:evenVBand="0" w:oddHBand="0"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dotted" w:sz="4" w:space="0" w:color="606072"/>
              <w:right w:val="single" w:sz="4" w:space="0" w:color="606072"/>
            </w:tcBorders>
            <w:shd w:val="clear" w:color="auto" w:fill="auto"/>
            <w:vAlign w:val="center"/>
          </w:tcPr>
          <w:p w14:paraId="26B7A6E9" w14:textId="521A33FE" w:rsidR="00B274F5" w:rsidRPr="00AB79EC" w:rsidRDefault="00AB79EC" w:rsidP="00C521A0">
            <w:pPr>
              <w:spacing w:after="0" w:line="240" w:lineRule="auto"/>
              <w:jc w:val="center"/>
              <w:cnfStyle w:val="000000000000" w:firstRow="0" w:lastRow="0" w:firstColumn="0" w:lastColumn="0" w:oddVBand="0" w:evenVBand="0" w:oddHBand="0"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c>
          <w:tcPr>
            <w:tcW w:w="586" w:type="pct"/>
            <w:tcBorders>
              <w:top w:val="dotted" w:sz="4" w:space="0" w:color="606072"/>
              <w:left w:val="single" w:sz="4" w:space="0" w:color="606072"/>
              <w:bottom w:val="dotted" w:sz="4" w:space="0" w:color="606072"/>
              <w:right w:val="single" w:sz="4" w:space="0" w:color="606072"/>
            </w:tcBorders>
            <w:shd w:val="clear" w:color="auto" w:fill="auto"/>
            <w:vAlign w:val="center"/>
          </w:tcPr>
          <w:p w14:paraId="6E8AF69C" w14:textId="04B04346" w:rsidR="00B274F5" w:rsidRPr="00AB79EC" w:rsidRDefault="00AB79EC" w:rsidP="00C521A0">
            <w:pPr>
              <w:spacing w:after="0" w:line="240" w:lineRule="auto"/>
              <w:jc w:val="center"/>
              <w:cnfStyle w:val="000000000000" w:firstRow="0" w:lastRow="0" w:firstColumn="0" w:lastColumn="0" w:oddVBand="0" w:evenVBand="0" w:oddHBand="0"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r>
      <w:tr w:rsidR="00BF7BF2" w:rsidRPr="005060E0" w14:paraId="4788ECD2" w14:textId="77777777" w:rsidTr="005D5AFF">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bottom w:val="single" w:sz="4" w:space="0" w:color="606072"/>
            </w:tcBorders>
            <w:vAlign w:val="center"/>
            <w:hideMark/>
          </w:tcPr>
          <w:p w14:paraId="4BC502E6" w14:textId="77777777" w:rsidR="00B274F5" w:rsidRPr="005060E0" w:rsidRDefault="00B274F5" w:rsidP="00C521A0">
            <w:pPr>
              <w:spacing w:after="0" w:line="240" w:lineRule="auto"/>
              <w:rPr>
                <w:rFonts w:cs="Arial"/>
                <w:sz w:val="16"/>
                <w:szCs w:val="16"/>
              </w:rPr>
            </w:pPr>
          </w:p>
        </w:tc>
        <w:tc>
          <w:tcPr>
            <w:tcW w:w="288" w:type="pct"/>
            <w:tcBorders>
              <w:top w:val="dotted" w:sz="4" w:space="0" w:color="606072"/>
              <w:left w:val="nil"/>
              <w:bottom w:val="single" w:sz="4" w:space="0" w:color="606072"/>
              <w:right w:val="single" w:sz="4" w:space="0" w:color="606072"/>
            </w:tcBorders>
            <w:shd w:val="clear" w:color="auto" w:fill="D5E5FF"/>
            <w:vAlign w:val="center"/>
          </w:tcPr>
          <w:p w14:paraId="600D1A27" w14:textId="0300456E" w:rsidR="00B274F5" w:rsidRPr="005060E0" w:rsidRDefault="00B274F5"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30</w:t>
            </w:r>
          </w:p>
        </w:tc>
        <w:tc>
          <w:tcPr>
            <w:tcW w:w="543"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71B139E2" w14:textId="4CC733D5" w:rsidR="00B274F5" w:rsidRPr="00AB79EC" w:rsidRDefault="00AB79EC"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c>
          <w:tcPr>
            <w:tcW w:w="621"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37068CA3" w14:textId="57E8BB17" w:rsidR="00B274F5" w:rsidRPr="00AB79EC" w:rsidRDefault="00AB79EC"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c>
          <w:tcPr>
            <w:tcW w:w="692"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114E14AC" w14:textId="41D7173A" w:rsidR="00B274F5" w:rsidRPr="00AB79EC" w:rsidRDefault="00AB79EC"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7B7BBA96" w14:textId="26099F20" w:rsidR="00B274F5" w:rsidRPr="00AB79EC" w:rsidRDefault="00AB79EC"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54B1FDDC" w14:textId="72232F49" w:rsidR="00B274F5" w:rsidRPr="00AB79EC" w:rsidRDefault="00AB79EC"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c>
          <w:tcPr>
            <w:tcW w:w="583"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4B64B404" w14:textId="1E5885BF" w:rsidR="00B274F5" w:rsidRPr="00AB79EC" w:rsidRDefault="00AB79EC"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c>
          <w:tcPr>
            <w:tcW w:w="586"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715AE826" w14:textId="22E3D2F0" w:rsidR="00B274F5" w:rsidRPr="00AB79EC" w:rsidRDefault="00AB79EC" w:rsidP="00C521A0">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B274F5"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B274F5" w:rsidRPr="005060E0">
              <w:rPr>
                <w:rFonts w:eastAsia="Times New Roman" w:cs="Arial"/>
                <w:color w:val="000000"/>
                <w:sz w:val="16"/>
                <w:szCs w:val="16"/>
                <w:lang w:eastAsia="en-AU"/>
              </w:rPr>
              <w:t>)</w:t>
            </w:r>
          </w:p>
        </w:tc>
      </w:tr>
    </w:tbl>
    <w:p w14:paraId="3D863AF9" w14:textId="77777777" w:rsidR="007444E2" w:rsidRPr="005060E0" w:rsidRDefault="007444E2" w:rsidP="00C521A0">
      <w:pPr>
        <w:pStyle w:val="ListBullet"/>
        <w:numPr>
          <w:ilvl w:val="0"/>
          <w:numId w:val="0"/>
        </w:numPr>
        <w:rPr>
          <w:rFonts w:cs="Arial"/>
        </w:rPr>
      </w:pPr>
    </w:p>
    <w:p w14:paraId="3488D9EA" w14:textId="54925DD9" w:rsidR="007444E2" w:rsidRPr="005060E0" w:rsidRDefault="007444E2" w:rsidP="007444E2">
      <w:pPr>
        <w:pStyle w:val="PBTablecaption"/>
        <w:rPr>
          <w:rFonts w:eastAsia="Arial"/>
        </w:rPr>
      </w:pPr>
      <w:bookmarkStart w:id="171" w:name="_Ref508445849"/>
      <w:r w:rsidRPr="005060E0">
        <w:rPr>
          <w:rFonts w:cs="Arial"/>
        </w:rPr>
        <w:t xml:space="preserve">Table </w:t>
      </w:r>
      <w:r w:rsidRPr="005060E0">
        <w:rPr>
          <w:rFonts w:cs="Arial"/>
        </w:rPr>
        <w:fldChar w:fldCharType="begin"/>
      </w:r>
      <w:r w:rsidRPr="005060E0">
        <w:rPr>
          <w:rFonts w:cs="Arial"/>
        </w:rPr>
        <w:instrText xml:space="preserve"> STYLEREF 1 \s </w:instrText>
      </w:r>
      <w:r w:rsidRPr="005060E0">
        <w:rPr>
          <w:rFonts w:cs="Arial"/>
        </w:rPr>
        <w:fldChar w:fldCharType="separate"/>
      </w:r>
      <w:r w:rsidR="00F2067C">
        <w:rPr>
          <w:rFonts w:cs="Arial"/>
          <w:noProof/>
        </w:rPr>
        <w:t>7</w:t>
      </w:r>
      <w:r w:rsidRPr="005060E0">
        <w:rPr>
          <w:rFonts w:cs="Arial"/>
          <w:noProof/>
        </w:rPr>
        <w:fldChar w:fldCharType="end"/>
      </w:r>
      <w:r w:rsidRPr="005060E0">
        <w:rPr>
          <w:rFonts w:cs="Arial"/>
        </w:rPr>
        <w:noBreakHyphen/>
      </w:r>
      <w:r w:rsidRPr="005060E0">
        <w:rPr>
          <w:rFonts w:cs="Arial"/>
        </w:rPr>
        <w:fldChar w:fldCharType="begin"/>
      </w:r>
      <w:r w:rsidRPr="005060E0">
        <w:rPr>
          <w:rFonts w:cs="Arial"/>
        </w:rPr>
        <w:instrText xml:space="preserve"> SEQ Table \* ARABIC \s 1 </w:instrText>
      </w:r>
      <w:r w:rsidRPr="005060E0">
        <w:rPr>
          <w:rFonts w:cs="Arial"/>
        </w:rPr>
        <w:fldChar w:fldCharType="separate"/>
      </w:r>
      <w:r w:rsidR="00F2067C">
        <w:rPr>
          <w:rFonts w:cs="Arial"/>
          <w:noProof/>
        </w:rPr>
        <w:t>6</w:t>
      </w:r>
      <w:r w:rsidRPr="005060E0">
        <w:rPr>
          <w:rFonts w:cs="Arial"/>
          <w:noProof/>
        </w:rPr>
        <w:fldChar w:fldCharType="end"/>
      </w:r>
      <w:bookmarkEnd w:id="171"/>
      <w:r w:rsidRPr="005060E0">
        <w:rPr>
          <w:rFonts w:cs="Arial"/>
        </w:rPr>
        <w:t xml:space="preserve">: </w:t>
      </w:r>
      <w:r w:rsidRPr="005060E0">
        <w:rPr>
          <w:rFonts w:eastAsia="Arial" w:cs="Arial"/>
        </w:rPr>
        <w:t>Historical exceedances of current and proposed NO</w:t>
      </w:r>
      <w:r w:rsidRPr="005060E0">
        <w:rPr>
          <w:rFonts w:eastAsia="Arial" w:cs="Arial"/>
          <w:vertAlign w:val="subscript"/>
        </w:rPr>
        <w:t>2</w:t>
      </w:r>
      <w:r w:rsidRPr="005060E0">
        <w:rPr>
          <w:rFonts w:eastAsia="Arial" w:cs="Arial"/>
        </w:rPr>
        <w:t xml:space="preserve"> standards in regional centres</w:t>
      </w:r>
    </w:p>
    <w:tbl>
      <w:tblPr>
        <w:tblStyle w:val="ListTable3-Accent13"/>
        <w:tblW w:w="5000" w:type="pct"/>
        <w:tblLook w:val="04A0" w:firstRow="1" w:lastRow="0" w:firstColumn="1" w:lastColumn="0" w:noHBand="0" w:noVBand="1"/>
      </w:tblPr>
      <w:tblGrid>
        <w:gridCol w:w="1043"/>
        <w:gridCol w:w="611"/>
        <w:gridCol w:w="1595"/>
        <w:gridCol w:w="1595"/>
        <w:gridCol w:w="1595"/>
        <w:gridCol w:w="1595"/>
        <w:gridCol w:w="1595"/>
      </w:tblGrid>
      <w:tr w:rsidR="007444E2" w:rsidRPr="005060E0" w14:paraId="529502DF" w14:textId="77777777" w:rsidTr="007444E2">
        <w:trPr>
          <w:cnfStyle w:val="100000000000" w:firstRow="1" w:lastRow="0" w:firstColumn="0" w:lastColumn="0" w:oddVBand="0" w:evenVBand="0" w:oddHBand="0" w:evenHBand="0" w:firstRowFirstColumn="0" w:firstRowLastColumn="0" w:lastRowFirstColumn="0" w:lastRowLastColumn="0"/>
          <w:trHeight w:hRule="exact" w:val="283"/>
          <w:tblHeader/>
        </w:trPr>
        <w:tc>
          <w:tcPr>
            <w:cnfStyle w:val="001000000100" w:firstRow="0" w:lastRow="0" w:firstColumn="1" w:lastColumn="0" w:oddVBand="0" w:evenVBand="0" w:oddHBand="0" w:evenHBand="0" w:firstRowFirstColumn="1" w:firstRowLastColumn="0" w:lastRowFirstColumn="0" w:lastRowLastColumn="0"/>
            <w:tcW w:w="542" w:type="pct"/>
            <w:vMerge w:val="restart"/>
            <w:tcBorders>
              <w:top w:val="single" w:sz="4" w:space="0" w:color="606072"/>
              <w:left w:val="single" w:sz="4" w:space="0" w:color="606072"/>
              <w:bottom w:val="single" w:sz="4" w:space="0" w:color="606072"/>
            </w:tcBorders>
            <w:shd w:val="clear" w:color="auto" w:fill="606072"/>
            <w:vAlign w:val="center"/>
            <w:hideMark/>
          </w:tcPr>
          <w:p w14:paraId="011CA3FA" w14:textId="77777777" w:rsidR="007444E2" w:rsidRPr="005060E0" w:rsidRDefault="007444E2" w:rsidP="00323767">
            <w:pPr>
              <w:spacing w:after="0" w:line="240" w:lineRule="auto"/>
              <w:jc w:val="center"/>
              <w:rPr>
                <w:rFonts w:cs="Arial"/>
                <w:b w:val="0"/>
                <w:color w:val="FFFFFF" w:themeColor="background1"/>
                <w:sz w:val="16"/>
                <w:szCs w:val="16"/>
              </w:rPr>
            </w:pPr>
            <w:r w:rsidRPr="005060E0">
              <w:rPr>
                <w:rFonts w:cs="Arial"/>
                <w:b w:val="0"/>
                <w:color w:val="FFFFFF" w:themeColor="background1"/>
                <w:sz w:val="16"/>
                <w:szCs w:val="16"/>
              </w:rPr>
              <w:t>Standard</w:t>
            </w:r>
          </w:p>
        </w:tc>
        <w:tc>
          <w:tcPr>
            <w:tcW w:w="318" w:type="pct"/>
            <w:tcBorders>
              <w:top w:val="single" w:sz="4" w:space="0" w:color="606072"/>
              <w:left w:val="nil"/>
              <w:bottom w:val="single" w:sz="4" w:space="0" w:color="606072"/>
              <w:right w:val="nil"/>
            </w:tcBorders>
            <w:shd w:val="clear" w:color="auto" w:fill="606072"/>
          </w:tcPr>
          <w:p w14:paraId="42CB699D" w14:textId="77777777" w:rsidR="007444E2" w:rsidRPr="005060E0" w:rsidRDefault="007444E2" w:rsidP="00323767">
            <w:pPr>
              <w:spacing w:after="0" w:line="240" w:lineRule="auto"/>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szCs w:val="16"/>
              </w:rPr>
            </w:pPr>
          </w:p>
        </w:tc>
        <w:tc>
          <w:tcPr>
            <w:tcW w:w="4140" w:type="pct"/>
            <w:gridSpan w:val="5"/>
            <w:tcBorders>
              <w:top w:val="single" w:sz="4" w:space="0" w:color="606072"/>
              <w:left w:val="nil"/>
              <w:bottom w:val="single" w:sz="4" w:space="0" w:color="606072"/>
              <w:right w:val="single" w:sz="4" w:space="0" w:color="606072"/>
            </w:tcBorders>
            <w:shd w:val="clear" w:color="auto" w:fill="606072"/>
            <w:vAlign w:val="center"/>
            <w:hideMark/>
          </w:tcPr>
          <w:p w14:paraId="109F83EE" w14:textId="58833D1E" w:rsidR="007444E2" w:rsidRPr="005060E0" w:rsidRDefault="007444E2" w:rsidP="003237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cs="Arial"/>
                <w:b w:val="0"/>
                <w:color w:val="FFFFFF" w:themeColor="background1"/>
                <w:sz w:val="16"/>
                <w:szCs w:val="16"/>
              </w:rPr>
              <w:t>Total exceedances between 2003 and 2016 (2010</w:t>
            </w:r>
            <w:r w:rsidR="00DF4D3A" w:rsidRPr="005060E0">
              <w:rPr>
                <w:rFonts w:cs="Arial"/>
                <w:b w:val="0"/>
                <w:color w:val="FFFFFF" w:themeColor="background1"/>
                <w:sz w:val="16"/>
                <w:szCs w:val="16"/>
              </w:rPr>
              <w:t>–20</w:t>
            </w:r>
            <w:r w:rsidRPr="005060E0">
              <w:rPr>
                <w:rFonts w:cs="Arial"/>
                <w:b w:val="0"/>
                <w:color w:val="FFFFFF" w:themeColor="background1"/>
                <w:sz w:val="16"/>
                <w:szCs w:val="16"/>
              </w:rPr>
              <w:t xml:space="preserve">14 in brackets) </w:t>
            </w:r>
          </w:p>
        </w:tc>
      </w:tr>
      <w:tr w:rsidR="007444E2" w:rsidRPr="005060E0" w14:paraId="1A0A3C6B" w14:textId="77777777" w:rsidTr="00AB79EC">
        <w:trPr>
          <w:cnfStyle w:val="100000000000" w:firstRow="1" w:lastRow="0" w:firstColumn="0" w:lastColumn="0" w:oddVBand="0" w:evenVBand="0" w:oddHBand="0" w:evenHBand="0" w:firstRowFirstColumn="0" w:firstRowLastColumn="0" w:lastRowFirstColumn="0" w:lastRowLastColumn="0"/>
          <w:trHeight w:hRule="exact" w:val="510"/>
          <w:tblHeader/>
        </w:trPr>
        <w:tc>
          <w:tcPr>
            <w:cnfStyle w:val="001000000100" w:firstRow="0" w:lastRow="0" w:firstColumn="1" w:lastColumn="0" w:oddVBand="0" w:evenVBand="0" w:oddHBand="0" w:evenHBand="0" w:firstRowFirstColumn="1" w:firstRowLastColumn="0" w:lastRowFirstColumn="0" w:lastRowLastColumn="0"/>
            <w:tcW w:w="0" w:type="auto"/>
            <w:vMerge/>
            <w:tcBorders>
              <w:top w:val="single" w:sz="4" w:space="0" w:color="606072"/>
              <w:left w:val="single" w:sz="4" w:space="0" w:color="606072"/>
              <w:bottom w:val="single" w:sz="4" w:space="0" w:color="606072"/>
            </w:tcBorders>
            <w:vAlign w:val="center"/>
            <w:hideMark/>
          </w:tcPr>
          <w:p w14:paraId="399C14CE" w14:textId="77777777" w:rsidR="007444E2" w:rsidRPr="005060E0" w:rsidRDefault="007444E2" w:rsidP="00323767">
            <w:pPr>
              <w:spacing w:after="0" w:line="240" w:lineRule="auto"/>
              <w:rPr>
                <w:rFonts w:cs="Arial"/>
                <w:color w:val="FFFFFF" w:themeColor="background1"/>
                <w:sz w:val="16"/>
                <w:szCs w:val="16"/>
              </w:rPr>
            </w:pPr>
          </w:p>
        </w:tc>
        <w:tc>
          <w:tcPr>
            <w:tcW w:w="318" w:type="pct"/>
            <w:tcBorders>
              <w:top w:val="single" w:sz="4" w:space="0" w:color="606072"/>
              <w:left w:val="nil"/>
              <w:bottom w:val="single" w:sz="4" w:space="0" w:color="606072"/>
              <w:right w:val="nil"/>
            </w:tcBorders>
            <w:shd w:val="clear" w:color="auto" w:fill="606072"/>
          </w:tcPr>
          <w:p w14:paraId="33D6FCFA" w14:textId="77777777" w:rsidR="007444E2" w:rsidRPr="005060E0" w:rsidRDefault="007444E2" w:rsidP="00323767">
            <w:pPr>
              <w:spacing w:after="0" w:line="240" w:lineRule="auto"/>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szCs w:val="16"/>
              </w:rPr>
            </w:pPr>
          </w:p>
        </w:tc>
        <w:tc>
          <w:tcPr>
            <w:tcW w:w="828" w:type="pct"/>
            <w:tcBorders>
              <w:top w:val="single" w:sz="4" w:space="0" w:color="606072"/>
              <w:left w:val="nil"/>
              <w:bottom w:val="single" w:sz="4" w:space="0" w:color="606072"/>
              <w:right w:val="nil"/>
            </w:tcBorders>
            <w:shd w:val="clear" w:color="auto" w:fill="606072"/>
            <w:vAlign w:val="center"/>
            <w:hideMark/>
          </w:tcPr>
          <w:p w14:paraId="59B3CA00" w14:textId="77777777" w:rsidR="007444E2" w:rsidRPr="005060E0" w:rsidRDefault="007444E2" w:rsidP="003237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1"/>
                <w:sz w:val="16"/>
                <w:szCs w:val="16"/>
                <w:lang w:eastAsia="en-AU"/>
              </w:rPr>
            </w:pPr>
            <w:r w:rsidRPr="005060E0">
              <w:rPr>
                <w:rFonts w:eastAsia="Times New Roman" w:cs="Arial"/>
                <w:b w:val="0"/>
                <w:color w:val="FFFFFF" w:themeColor="background1"/>
                <w:sz w:val="16"/>
                <w:szCs w:val="16"/>
                <w:lang w:eastAsia="en-AU"/>
              </w:rPr>
              <w:t>NSW:</w:t>
            </w:r>
          </w:p>
          <w:p w14:paraId="61595144" w14:textId="77777777" w:rsidR="007444E2" w:rsidRPr="005060E0" w:rsidRDefault="007444E2" w:rsidP="003237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Newcastle</w:t>
            </w:r>
          </w:p>
        </w:tc>
        <w:tc>
          <w:tcPr>
            <w:tcW w:w="828" w:type="pct"/>
            <w:tcBorders>
              <w:top w:val="single" w:sz="4" w:space="0" w:color="606072"/>
              <w:left w:val="nil"/>
              <w:bottom w:val="single" w:sz="4" w:space="0" w:color="606072"/>
              <w:right w:val="nil"/>
            </w:tcBorders>
            <w:shd w:val="clear" w:color="auto" w:fill="606072"/>
            <w:vAlign w:val="center"/>
            <w:hideMark/>
          </w:tcPr>
          <w:p w14:paraId="3A8F93CA" w14:textId="3975E71C" w:rsidR="007444E2" w:rsidRPr="005060E0" w:rsidRDefault="007444E2" w:rsidP="003237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 xml:space="preserve">NSW: </w:t>
            </w:r>
            <w:r w:rsidR="00AB79EC">
              <w:rPr>
                <w:rFonts w:eastAsia="Times New Roman" w:cs="Arial"/>
                <w:b w:val="0"/>
                <w:color w:val="FFFFFF" w:themeColor="background1"/>
                <w:sz w:val="16"/>
                <w:szCs w:val="16"/>
                <w:lang w:eastAsia="en-AU"/>
              </w:rPr>
              <w:br/>
            </w:r>
            <w:r w:rsidRPr="005060E0">
              <w:rPr>
                <w:rFonts w:eastAsia="Times New Roman" w:cs="Arial"/>
                <w:b w:val="0"/>
                <w:color w:val="FFFFFF" w:themeColor="background1"/>
                <w:sz w:val="16"/>
                <w:szCs w:val="16"/>
                <w:lang w:eastAsia="en-AU"/>
              </w:rPr>
              <w:t>Wollongong</w:t>
            </w:r>
          </w:p>
        </w:tc>
        <w:tc>
          <w:tcPr>
            <w:tcW w:w="828" w:type="pct"/>
            <w:tcBorders>
              <w:top w:val="single" w:sz="4" w:space="0" w:color="606072"/>
              <w:left w:val="nil"/>
              <w:bottom w:val="single" w:sz="4" w:space="0" w:color="606072"/>
              <w:right w:val="nil"/>
            </w:tcBorders>
            <w:shd w:val="clear" w:color="auto" w:fill="606072"/>
            <w:vAlign w:val="center"/>
            <w:hideMark/>
          </w:tcPr>
          <w:p w14:paraId="3125906A" w14:textId="5641E834" w:rsidR="007444E2" w:rsidRPr="005060E0" w:rsidRDefault="007444E2" w:rsidP="003237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 xml:space="preserve">VIC: </w:t>
            </w:r>
            <w:r w:rsidR="00AB79EC">
              <w:rPr>
                <w:rFonts w:eastAsia="Times New Roman" w:cs="Arial"/>
                <w:b w:val="0"/>
                <w:color w:val="FFFFFF" w:themeColor="background1"/>
                <w:sz w:val="16"/>
                <w:szCs w:val="16"/>
                <w:lang w:eastAsia="en-AU"/>
              </w:rPr>
              <w:br/>
            </w:r>
            <w:r w:rsidRPr="005060E0">
              <w:rPr>
                <w:rFonts w:eastAsia="Times New Roman" w:cs="Arial"/>
                <w:b w:val="0"/>
                <w:color w:val="FFFFFF" w:themeColor="background1"/>
                <w:sz w:val="16"/>
                <w:szCs w:val="16"/>
                <w:lang w:eastAsia="en-AU"/>
              </w:rPr>
              <w:t>Latrobe Valley</w:t>
            </w:r>
          </w:p>
        </w:tc>
        <w:tc>
          <w:tcPr>
            <w:tcW w:w="828" w:type="pct"/>
            <w:tcBorders>
              <w:top w:val="single" w:sz="4" w:space="0" w:color="606072"/>
              <w:left w:val="nil"/>
              <w:bottom w:val="single" w:sz="4" w:space="0" w:color="606072"/>
              <w:right w:val="nil"/>
            </w:tcBorders>
            <w:shd w:val="clear" w:color="auto" w:fill="606072"/>
            <w:vAlign w:val="center"/>
            <w:hideMark/>
          </w:tcPr>
          <w:p w14:paraId="0921F8CB" w14:textId="7B2FFD4D" w:rsidR="007444E2" w:rsidRPr="005060E0" w:rsidRDefault="007444E2" w:rsidP="003237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 xml:space="preserve">QLD: </w:t>
            </w:r>
            <w:r w:rsidR="00AB79EC">
              <w:rPr>
                <w:rFonts w:eastAsia="Times New Roman" w:cs="Arial"/>
                <w:b w:val="0"/>
                <w:color w:val="FFFFFF" w:themeColor="background1"/>
                <w:sz w:val="16"/>
                <w:szCs w:val="16"/>
                <w:lang w:eastAsia="en-AU"/>
              </w:rPr>
              <w:br/>
            </w:r>
            <w:r w:rsidRPr="005060E0">
              <w:rPr>
                <w:rFonts w:eastAsia="Times New Roman" w:cs="Arial"/>
                <w:b w:val="0"/>
                <w:color w:val="FFFFFF" w:themeColor="background1"/>
                <w:sz w:val="16"/>
                <w:szCs w:val="16"/>
                <w:lang w:eastAsia="en-AU"/>
              </w:rPr>
              <w:t>Townsville</w:t>
            </w:r>
          </w:p>
        </w:tc>
        <w:tc>
          <w:tcPr>
            <w:tcW w:w="828" w:type="pct"/>
            <w:tcBorders>
              <w:top w:val="single" w:sz="4" w:space="0" w:color="606072"/>
              <w:left w:val="nil"/>
              <w:bottom w:val="single" w:sz="4" w:space="0" w:color="606072"/>
              <w:right w:val="single" w:sz="4" w:space="0" w:color="606072"/>
            </w:tcBorders>
            <w:shd w:val="clear" w:color="auto" w:fill="606072"/>
            <w:vAlign w:val="center"/>
            <w:hideMark/>
          </w:tcPr>
          <w:p w14:paraId="775245C1" w14:textId="77777777" w:rsidR="007444E2" w:rsidRPr="005060E0" w:rsidRDefault="007444E2" w:rsidP="003237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1"/>
                <w:sz w:val="16"/>
                <w:szCs w:val="16"/>
                <w:lang w:eastAsia="en-AU"/>
              </w:rPr>
            </w:pPr>
            <w:r w:rsidRPr="005060E0">
              <w:rPr>
                <w:rFonts w:eastAsia="Times New Roman" w:cs="Arial"/>
                <w:b w:val="0"/>
                <w:color w:val="FFFFFF" w:themeColor="background1"/>
                <w:sz w:val="16"/>
                <w:szCs w:val="16"/>
                <w:lang w:eastAsia="en-AU"/>
              </w:rPr>
              <w:t>QLD:</w:t>
            </w:r>
          </w:p>
          <w:p w14:paraId="2A4AFE4B" w14:textId="77777777" w:rsidR="007444E2" w:rsidRPr="005060E0" w:rsidRDefault="007444E2" w:rsidP="003237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Gladstone</w:t>
            </w:r>
          </w:p>
        </w:tc>
      </w:tr>
      <w:tr w:rsidR="007444E2" w:rsidRPr="005060E0" w14:paraId="020F5AC8" w14:textId="77777777" w:rsidTr="00323767">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42" w:type="pct"/>
            <w:vMerge w:val="restart"/>
            <w:tcBorders>
              <w:top w:val="single" w:sz="4" w:space="0" w:color="606072"/>
              <w:left w:val="single" w:sz="4" w:space="0" w:color="606072"/>
            </w:tcBorders>
            <w:vAlign w:val="center"/>
          </w:tcPr>
          <w:p w14:paraId="15BC9F0E" w14:textId="77777777" w:rsidR="007444E2" w:rsidRPr="005060E0" w:rsidRDefault="007444E2" w:rsidP="00323767">
            <w:pPr>
              <w:spacing w:after="0" w:line="240" w:lineRule="auto"/>
              <w:jc w:val="center"/>
              <w:rPr>
                <w:rFonts w:cs="Arial"/>
                <w:b w:val="0"/>
                <w:sz w:val="16"/>
                <w:szCs w:val="16"/>
              </w:rPr>
            </w:pPr>
            <w:r w:rsidRPr="005060E0">
              <w:rPr>
                <w:rFonts w:cs="Arial"/>
                <w:b w:val="0"/>
                <w:sz w:val="16"/>
                <w:szCs w:val="16"/>
              </w:rPr>
              <w:t>1-hour</w:t>
            </w:r>
          </w:p>
        </w:tc>
        <w:tc>
          <w:tcPr>
            <w:tcW w:w="318" w:type="pct"/>
            <w:tcBorders>
              <w:top w:val="single" w:sz="4" w:space="0" w:color="606072"/>
              <w:left w:val="nil"/>
              <w:bottom w:val="single" w:sz="4" w:space="0" w:color="808080" w:themeColor="background1" w:themeShade="80"/>
              <w:right w:val="single" w:sz="4" w:space="0" w:color="808080" w:themeColor="background1" w:themeShade="80"/>
            </w:tcBorders>
            <w:vAlign w:val="center"/>
          </w:tcPr>
          <w:p w14:paraId="002E88D3" w14:textId="77777777" w:rsidR="007444E2" w:rsidRPr="005060E0" w:rsidRDefault="007444E2" w:rsidP="0032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40" w:type="pct"/>
            <w:gridSpan w:val="5"/>
            <w:tcBorders>
              <w:top w:val="single" w:sz="4" w:space="0" w:color="606072"/>
              <w:left w:val="single" w:sz="4" w:space="0" w:color="808080" w:themeColor="background1" w:themeShade="80"/>
              <w:bottom w:val="dotted" w:sz="4" w:space="0" w:color="606072"/>
              <w:right w:val="single" w:sz="4" w:space="0" w:color="606072"/>
            </w:tcBorders>
            <w:shd w:val="clear" w:color="auto" w:fill="BFBFBF" w:themeFill="background1" w:themeFillShade="BF"/>
            <w:vAlign w:val="center"/>
          </w:tcPr>
          <w:p w14:paraId="1443A4A0" w14:textId="77777777" w:rsidR="007444E2" w:rsidRPr="005060E0" w:rsidRDefault="007444E2" w:rsidP="0032376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en-AU"/>
              </w:rPr>
            </w:pPr>
            <w:r w:rsidRPr="005060E0">
              <w:rPr>
                <w:rFonts w:cs="Arial"/>
                <w:sz w:val="16"/>
                <w:szCs w:val="16"/>
              </w:rPr>
              <w:t>Total number of unique exceedance days</w:t>
            </w:r>
          </w:p>
        </w:tc>
      </w:tr>
      <w:tr w:rsidR="007444E2" w:rsidRPr="005060E0" w14:paraId="22BC6C06" w14:textId="77777777" w:rsidTr="00AB79EC">
        <w:trPr>
          <w:trHeight w:hRule="exact" w:val="340"/>
        </w:trPr>
        <w:tc>
          <w:tcPr>
            <w:cnfStyle w:val="001000000000" w:firstRow="0" w:lastRow="0" w:firstColumn="1" w:lastColumn="0" w:oddVBand="0" w:evenVBand="0" w:oddHBand="0" w:evenHBand="0" w:firstRowFirstColumn="0" w:firstRowLastColumn="0" w:lastRowFirstColumn="0" w:lastRowLastColumn="0"/>
            <w:tcW w:w="542" w:type="pct"/>
            <w:vMerge/>
            <w:tcBorders>
              <w:left w:val="single" w:sz="4" w:space="0" w:color="606072"/>
            </w:tcBorders>
            <w:vAlign w:val="center"/>
            <w:hideMark/>
          </w:tcPr>
          <w:p w14:paraId="221A6589" w14:textId="77777777" w:rsidR="007444E2" w:rsidRPr="005060E0" w:rsidRDefault="007444E2" w:rsidP="00323767">
            <w:pPr>
              <w:spacing w:after="0" w:line="240" w:lineRule="auto"/>
              <w:jc w:val="center"/>
              <w:rPr>
                <w:rFonts w:cs="Arial"/>
                <w:b w:val="0"/>
                <w:sz w:val="16"/>
                <w:szCs w:val="16"/>
              </w:rPr>
            </w:pPr>
          </w:p>
        </w:tc>
        <w:tc>
          <w:tcPr>
            <w:tcW w:w="318" w:type="pct"/>
            <w:tcBorders>
              <w:top w:val="single" w:sz="4" w:space="0" w:color="808080" w:themeColor="background1" w:themeShade="80"/>
              <w:left w:val="nil"/>
              <w:bottom w:val="dotted" w:sz="4" w:space="0" w:color="606072"/>
              <w:right w:val="single" w:sz="4" w:space="0" w:color="606072"/>
            </w:tcBorders>
            <w:vAlign w:val="center"/>
          </w:tcPr>
          <w:p w14:paraId="69B5EB41" w14:textId="77777777" w:rsidR="007444E2" w:rsidRPr="005060E0" w:rsidRDefault="007444E2" w:rsidP="003237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40</w:t>
            </w:r>
          </w:p>
        </w:tc>
        <w:tc>
          <w:tcPr>
            <w:tcW w:w="828" w:type="pct"/>
            <w:tcBorders>
              <w:top w:val="single" w:sz="4" w:space="0" w:color="808080" w:themeColor="background1" w:themeShade="80"/>
              <w:left w:val="single" w:sz="4" w:space="0" w:color="606072"/>
              <w:bottom w:val="dotted" w:sz="4" w:space="0" w:color="606072"/>
              <w:right w:val="single" w:sz="4" w:space="0" w:color="606072"/>
            </w:tcBorders>
            <w:vAlign w:val="center"/>
          </w:tcPr>
          <w:p w14:paraId="030EFF43" w14:textId="77777777" w:rsidR="007444E2" w:rsidRPr="00AB79EC" w:rsidRDefault="007444E2" w:rsidP="00323767">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060E0">
              <w:rPr>
                <w:rFonts w:eastAsia="Times New Roman" w:cs="Arial"/>
                <w:color w:val="000000"/>
                <w:sz w:val="16"/>
                <w:szCs w:val="16"/>
                <w:lang w:eastAsia="en-AU"/>
              </w:rPr>
              <w:t>17 (6)</w:t>
            </w:r>
          </w:p>
        </w:tc>
        <w:tc>
          <w:tcPr>
            <w:tcW w:w="828" w:type="pct"/>
            <w:tcBorders>
              <w:top w:val="single" w:sz="4" w:space="0" w:color="606072"/>
              <w:left w:val="single" w:sz="4" w:space="0" w:color="606072"/>
              <w:bottom w:val="dotted" w:sz="4" w:space="0" w:color="606072"/>
              <w:right w:val="single" w:sz="4" w:space="0" w:color="606072"/>
            </w:tcBorders>
            <w:vAlign w:val="center"/>
          </w:tcPr>
          <w:p w14:paraId="716352A7" w14:textId="77777777" w:rsidR="007444E2" w:rsidRPr="00AB79EC" w:rsidRDefault="007444E2" w:rsidP="00323767">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060E0">
              <w:rPr>
                <w:rFonts w:eastAsia="Times New Roman" w:cs="Arial"/>
                <w:color w:val="000000"/>
                <w:sz w:val="16"/>
                <w:szCs w:val="16"/>
                <w:lang w:eastAsia="en-AU"/>
              </w:rPr>
              <w:t>63 (18)</w:t>
            </w:r>
          </w:p>
        </w:tc>
        <w:tc>
          <w:tcPr>
            <w:tcW w:w="828" w:type="pct"/>
            <w:tcBorders>
              <w:top w:val="single" w:sz="4" w:space="0" w:color="606072"/>
              <w:left w:val="single" w:sz="4" w:space="0" w:color="606072"/>
              <w:bottom w:val="dotted" w:sz="4" w:space="0" w:color="606072"/>
              <w:right w:val="single" w:sz="4" w:space="0" w:color="606072"/>
            </w:tcBorders>
            <w:vAlign w:val="center"/>
          </w:tcPr>
          <w:p w14:paraId="0A66BC0C" w14:textId="7CA050E8" w:rsidR="007444E2" w:rsidRPr="00AB79EC" w:rsidRDefault="007444E2" w:rsidP="00323767">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060E0">
              <w:rPr>
                <w:rFonts w:eastAsia="Times New Roman" w:cs="Arial"/>
                <w:color w:val="000000"/>
                <w:sz w:val="16"/>
                <w:szCs w:val="16"/>
                <w:lang w:eastAsia="en-AU"/>
              </w:rPr>
              <w:t>3 (</w:t>
            </w:r>
            <w:r w:rsidR="00AB79EC">
              <w:rPr>
                <w:rFonts w:eastAsia="Times New Roman" w:cs="Arial"/>
                <w:color w:val="000000"/>
                <w:sz w:val="16"/>
                <w:szCs w:val="16"/>
                <w:lang w:eastAsia="en-AU"/>
              </w:rPr>
              <w:t>–</w:t>
            </w:r>
            <w:r w:rsidRPr="005060E0">
              <w:rPr>
                <w:rFonts w:eastAsia="Times New Roman" w:cs="Arial"/>
                <w:color w:val="000000"/>
                <w:sz w:val="16"/>
                <w:szCs w:val="16"/>
                <w:lang w:eastAsia="en-AU"/>
              </w:rPr>
              <w:t>)</w:t>
            </w:r>
          </w:p>
        </w:tc>
        <w:tc>
          <w:tcPr>
            <w:tcW w:w="828" w:type="pct"/>
            <w:tcBorders>
              <w:top w:val="single" w:sz="4" w:space="0" w:color="606072"/>
              <w:left w:val="single" w:sz="4" w:space="0" w:color="606072"/>
              <w:bottom w:val="dotted" w:sz="4" w:space="0" w:color="606072"/>
              <w:right w:val="single" w:sz="4" w:space="0" w:color="606072"/>
            </w:tcBorders>
            <w:vAlign w:val="center"/>
          </w:tcPr>
          <w:p w14:paraId="2248C7A4" w14:textId="77777777" w:rsidR="007444E2" w:rsidRPr="00AB79EC" w:rsidRDefault="007444E2" w:rsidP="00323767">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060E0">
              <w:rPr>
                <w:rFonts w:eastAsia="Times New Roman" w:cs="Arial"/>
                <w:color w:val="000000"/>
                <w:sz w:val="16"/>
                <w:szCs w:val="16"/>
                <w:lang w:eastAsia="en-AU"/>
              </w:rPr>
              <w:t>1 (1)</w:t>
            </w:r>
          </w:p>
        </w:tc>
        <w:tc>
          <w:tcPr>
            <w:tcW w:w="828" w:type="pct"/>
            <w:tcBorders>
              <w:top w:val="single" w:sz="4" w:space="0" w:color="606072"/>
              <w:left w:val="single" w:sz="4" w:space="0" w:color="606072"/>
              <w:bottom w:val="dotted" w:sz="4" w:space="0" w:color="606072"/>
              <w:right w:val="single" w:sz="4" w:space="0" w:color="606072"/>
            </w:tcBorders>
            <w:vAlign w:val="center"/>
          </w:tcPr>
          <w:p w14:paraId="5D1FA9A8" w14:textId="77777777" w:rsidR="007444E2" w:rsidRPr="00AB79EC" w:rsidRDefault="007444E2" w:rsidP="00323767">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5060E0">
              <w:rPr>
                <w:rFonts w:eastAsia="Times New Roman" w:cs="Arial"/>
                <w:color w:val="000000"/>
                <w:sz w:val="16"/>
                <w:szCs w:val="16"/>
                <w:lang w:eastAsia="en-AU"/>
              </w:rPr>
              <w:t>6 (4)</w:t>
            </w:r>
          </w:p>
        </w:tc>
      </w:tr>
      <w:tr w:rsidR="007444E2" w:rsidRPr="005060E0" w14:paraId="73CF8F43" w14:textId="77777777" w:rsidTr="00AB79E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tcBorders>
            <w:vAlign w:val="center"/>
            <w:hideMark/>
          </w:tcPr>
          <w:p w14:paraId="3188DB6D" w14:textId="77777777" w:rsidR="007444E2" w:rsidRPr="005060E0" w:rsidRDefault="007444E2" w:rsidP="00323767">
            <w:pPr>
              <w:spacing w:after="0" w:line="240" w:lineRule="auto"/>
              <w:rPr>
                <w:rFonts w:cs="Arial"/>
                <w:sz w:val="16"/>
                <w:szCs w:val="16"/>
              </w:rPr>
            </w:pPr>
          </w:p>
        </w:tc>
        <w:tc>
          <w:tcPr>
            <w:tcW w:w="318" w:type="pct"/>
            <w:tcBorders>
              <w:top w:val="dotted" w:sz="4" w:space="0" w:color="606072"/>
              <w:left w:val="nil"/>
              <w:bottom w:val="dotted" w:sz="4" w:space="0" w:color="606072"/>
              <w:right w:val="single" w:sz="4" w:space="0" w:color="606072"/>
            </w:tcBorders>
            <w:vAlign w:val="center"/>
          </w:tcPr>
          <w:p w14:paraId="6A56B5BE" w14:textId="77777777" w:rsidR="007444E2" w:rsidRPr="005060E0" w:rsidRDefault="007444E2" w:rsidP="0032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80</w:t>
            </w:r>
          </w:p>
        </w:tc>
        <w:tc>
          <w:tcPr>
            <w:tcW w:w="828" w:type="pct"/>
            <w:tcBorders>
              <w:top w:val="dotted" w:sz="4" w:space="0" w:color="606072"/>
              <w:left w:val="single" w:sz="4" w:space="0" w:color="606072"/>
              <w:bottom w:val="dotted" w:sz="4" w:space="0" w:color="606072"/>
              <w:right w:val="single" w:sz="4" w:space="0" w:color="606072"/>
            </w:tcBorders>
            <w:vAlign w:val="center"/>
          </w:tcPr>
          <w:p w14:paraId="1B872F5D" w14:textId="39B66633" w:rsidR="007444E2" w:rsidRPr="00AB79EC" w:rsidRDefault="00AB79EC" w:rsidP="00323767">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7444E2"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7444E2"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dotted" w:sz="4" w:space="0" w:color="606072"/>
              <w:right w:val="single" w:sz="4" w:space="0" w:color="606072"/>
            </w:tcBorders>
            <w:vAlign w:val="center"/>
          </w:tcPr>
          <w:p w14:paraId="2C30C77F" w14:textId="55CD4C3D" w:rsidR="007444E2" w:rsidRPr="00AB79EC" w:rsidRDefault="00AB79EC" w:rsidP="00323767">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7444E2"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7444E2"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dotted" w:sz="4" w:space="0" w:color="606072"/>
              <w:right w:val="single" w:sz="4" w:space="0" w:color="606072"/>
            </w:tcBorders>
            <w:vAlign w:val="center"/>
          </w:tcPr>
          <w:p w14:paraId="66621C44" w14:textId="50036A9F" w:rsidR="007444E2" w:rsidRPr="00AB79EC" w:rsidRDefault="00AB79EC" w:rsidP="00323767">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7444E2"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7444E2"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dotted" w:sz="4" w:space="0" w:color="606072"/>
              <w:right w:val="single" w:sz="4" w:space="0" w:color="606072"/>
            </w:tcBorders>
            <w:vAlign w:val="center"/>
          </w:tcPr>
          <w:p w14:paraId="5CE34155" w14:textId="4797E8AB" w:rsidR="007444E2" w:rsidRPr="00AB79EC" w:rsidRDefault="00AB79EC" w:rsidP="00323767">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7444E2"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7444E2"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dotted" w:sz="4" w:space="0" w:color="606072"/>
              <w:right w:val="single" w:sz="4" w:space="0" w:color="606072"/>
            </w:tcBorders>
            <w:vAlign w:val="center"/>
          </w:tcPr>
          <w:p w14:paraId="154E318C" w14:textId="1A25AE20" w:rsidR="007444E2" w:rsidRPr="00AB79EC" w:rsidRDefault="00AB79EC" w:rsidP="00323767">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7444E2"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7444E2" w:rsidRPr="005060E0">
              <w:rPr>
                <w:rFonts w:eastAsia="Times New Roman" w:cs="Arial"/>
                <w:color w:val="000000"/>
                <w:sz w:val="16"/>
                <w:szCs w:val="16"/>
                <w:lang w:eastAsia="en-AU"/>
              </w:rPr>
              <w:t>)</w:t>
            </w:r>
          </w:p>
        </w:tc>
      </w:tr>
      <w:tr w:rsidR="007444E2" w:rsidRPr="005060E0" w14:paraId="376AEEA4" w14:textId="77777777" w:rsidTr="00AB79EC">
        <w:trPr>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tcBorders>
            <w:vAlign w:val="center"/>
            <w:hideMark/>
          </w:tcPr>
          <w:p w14:paraId="7CB80183" w14:textId="77777777" w:rsidR="007444E2" w:rsidRPr="005060E0" w:rsidRDefault="007444E2" w:rsidP="00323767">
            <w:pPr>
              <w:spacing w:after="0" w:line="240" w:lineRule="auto"/>
              <w:rPr>
                <w:rFonts w:cs="Arial"/>
                <w:sz w:val="16"/>
                <w:szCs w:val="16"/>
              </w:rPr>
            </w:pPr>
          </w:p>
        </w:tc>
        <w:tc>
          <w:tcPr>
            <w:tcW w:w="318" w:type="pct"/>
            <w:tcBorders>
              <w:top w:val="dotted" w:sz="4" w:space="0" w:color="606072"/>
              <w:left w:val="nil"/>
              <w:bottom w:val="dotted" w:sz="4" w:space="0" w:color="606072"/>
              <w:right w:val="single" w:sz="4" w:space="0" w:color="606072"/>
            </w:tcBorders>
            <w:vAlign w:val="center"/>
          </w:tcPr>
          <w:p w14:paraId="3A1EE850" w14:textId="77777777" w:rsidR="007444E2" w:rsidRPr="005060E0" w:rsidRDefault="007444E2" w:rsidP="003237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97</w:t>
            </w:r>
          </w:p>
        </w:tc>
        <w:tc>
          <w:tcPr>
            <w:tcW w:w="828" w:type="pct"/>
            <w:tcBorders>
              <w:top w:val="dotted" w:sz="4" w:space="0" w:color="606072"/>
              <w:left w:val="single" w:sz="4" w:space="0" w:color="606072"/>
              <w:bottom w:val="dotted" w:sz="4" w:space="0" w:color="606072"/>
              <w:right w:val="single" w:sz="4" w:space="0" w:color="606072"/>
            </w:tcBorders>
            <w:vAlign w:val="center"/>
          </w:tcPr>
          <w:p w14:paraId="4EC32A4A" w14:textId="4AA60C47" w:rsidR="007444E2" w:rsidRPr="00AB79EC" w:rsidRDefault="00AB79EC" w:rsidP="00323767">
            <w:pPr>
              <w:spacing w:after="0" w:line="240" w:lineRule="auto"/>
              <w:jc w:val="center"/>
              <w:cnfStyle w:val="000000000000" w:firstRow="0" w:lastRow="0" w:firstColumn="0" w:lastColumn="0" w:oddVBand="0" w:evenVBand="0" w:oddHBand="0" w:evenHBand="0" w:firstRowFirstColumn="0" w:firstRowLastColumn="0" w:lastRowFirstColumn="0" w:lastRowLastColumn="0"/>
            </w:pPr>
            <w:r>
              <w:rPr>
                <w:rFonts w:eastAsia="Times New Roman" w:cs="Arial"/>
                <w:color w:val="000000"/>
                <w:sz w:val="16"/>
                <w:szCs w:val="16"/>
                <w:lang w:eastAsia="en-AU"/>
              </w:rPr>
              <w:t>–</w:t>
            </w:r>
            <w:r w:rsidR="007444E2"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7444E2"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dotted" w:sz="4" w:space="0" w:color="606072"/>
              <w:right w:val="single" w:sz="4" w:space="0" w:color="606072"/>
            </w:tcBorders>
            <w:vAlign w:val="center"/>
          </w:tcPr>
          <w:p w14:paraId="303A41EF" w14:textId="5499268C" w:rsidR="007444E2" w:rsidRPr="00AB79EC" w:rsidRDefault="00AB79EC" w:rsidP="00323767">
            <w:pPr>
              <w:spacing w:after="0" w:line="240" w:lineRule="auto"/>
              <w:jc w:val="center"/>
              <w:cnfStyle w:val="000000000000" w:firstRow="0" w:lastRow="0" w:firstColumn="0" w:lastColumn="0" w:oddVBand="0" w:evenVBand="0" w:oddHBand="0" w:evenHBand="0" w:firstRowFirstColumn="0" w:firstRowLastColumn="0" w:lastRowFirstColumn="0" w:lastRowLastColumn="0"/>
            </w:pPr>
            <w:r>
              <w:rPr>
                <w:rFonts w:eastAsia="Times New Roman" w:cs="Arial"/>
                <w:color w:val="000000"/>
                <w:sz w:val="16"/>
                <w:szCs w:val="16"/>
                <w:lang w:eastAsia="en-AU"/>
              </w:rPr>
              <w:t>–</w:t>
            </w:r>
            <w:r w:rsidR="007444E2"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7444E2"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dotted" w:sz="4" w:space="0" w:color="606072"/>
              <w:right w:val="single" w:sz="4" w:space="0" w:color="606072"/>
            </w:tcBorders>
            <w:vAlign w:val="center"/>
          </w:tcPr>
          <w:p w14:paraId="46003AA0" w14:textId="2C1B8C79" w:rsidR="007444E2" w:rsidRPr="00AB79EC" w:rsidRDefault="00AB79EC" w:rsidP="00323767">
            <w:pPr>
              <w:spacing w:after="0" w:line="240" w:lineRule="auto"/>
              <w:jc w:val="center"/>
              <w:cnfStyle w:val="000000000000" w:firstRow="0" w:lastRow="0" w:firstColumn="0" w:lastColumn="0" w:oddVBand="0" w:evenVBand="0" w:oddHBand="0" w:evenHBand="0" w:firstRowFirstColumn="0" w:firstRowLastColumn="0" w:lastRowFirstColumn="0" w:lastRowLastColumn="0"/>
            </w:pPr>
            <w:r>
              <w:rPr>
                <w:rFonts w:eastAsia="Times New Roman" w:cs="Arial"/>
                <w:color w:val="000000"/>
                <w:sz w:val="16"/>
                <w:szCs w:val="16"/>
                <w:lang w:eastAsia="en-AU"/>
              </w:rPr>
              <w:t>–</w:t>
            </w:r>
            <w:r w:rsidR="007444E2"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7444E2"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dotted" w:sz="4" w:space="0" w:color="606072"/>
              <w:right w:val="single" w:sz="4" w:space="0" w:color="606072"/>
            </w:tcBorders>
            <w:vAlign w:val="center"/>
          </w:tcPr>
          <w:p w14:paraId="11D5ECEF" w14:textId="407EF3B5" w:rsidR="007444E2" w:rsidRPr="00AB79EC" w:rsidRDefault="00AB79EC" w:rsidP="00323767">
            <w:pPr>
              <w:spacing w:after="0" w:line="240" w:lineRule="auto"/>
              <w:jc w:val="center"/>
              <w:cnfStyle w:val="000000000000" w:firstRow="0" w:lastRow="0" w:firstColumn="0" w:lastColumn="0" w:oddVBand="0" w:evenVBand="0" w:oddHBand="0" w:evenHBand="0" w:firstRowFirstColumn="0" w:firstRowLastColumn="0" w:lastRowFirstColumn="0" w:lastRowLastColumn="0"/>
            </w:pPr>
            <w:r>
              <w:rPr>
                <w:rFonts w:eastAsia="Times New Roman" w:cs="Arial"/>
                <w:color w:val="000000"/>
                <w:sz w:val="16"/>
                <w:szCs w:val="16"/>
                <w:lang w:eastAsia="en-AU"/>
              </w:rPr>
              <w:t>–</w:t>
            </w:r>
            <w:r w:rsidR="007444E2"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7444E2"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dotted" w:sz="4" w:space="0" w:color="606072"/>
              <w:right w:val="single" w:sz="4" w:space="0" w:color="606072"/>
            </w:tcBorders>
            <w:vAlign w:val="center"/>
          </w:tcPr>
          <w:p w14:paraId="56EF5A60" w14:textId="4DD0120D" w:rsidR="007444E2" w:rsidRPr="00AB79EC" w:rsidRDefault="00AB79EC" w:rsidP="00323767">
            <w:pPr>
              <w:spacing w:after="0" w:line="240" w:lineRule="auto"/>
              <w:jc w:val="center"/>
              <w:cnfStyle w:val="000000000000" w:firstRow="0" w:lastRow="0" w:firstColumn="0" w:lastColumn="0" w:oddVBand="0" w:evenVBand="0" w:oddHBand="0" w:evenHBand="0" w:firstRowFirstColumn="0" w:firstRowLastColumn="0" w:lastRowFirstColumn="0" w:lastRowLastColumn="0"/>
            </w:pPr>
            <w:r>
              <w:rPr>
                <w:rFonts w:eastAsia="Times New Roman" w:cs="Arial"/>
                <w:color w:val="000000"/>
                <w:sz w:val="16"/>
                <w:szCs w:val="16"/>
                <w:lang w:eastAsia="en-AU"/>
              </w:rPr>
              <w:t>–</w:t>
            </w:r>
            <w:r w:rsidR="007444E2"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7444E2" w:rsidRPr="005060E0">
              <w:rPr>
                <w:rFonts w:eastAsia="Times New Roman" w:cs="Arial"/>
                <w:color w:val="000000"/>
                <w:sz w:val="16"/>
                <w:szCs w:val="16"/>
                <w:lang w:eastAsia="en-AU"/>
              </w:rPr>
              <w:t>)</w:t>
            </w:r>
          </w:p>
        </w:tc>
      </w:tr>
      <w:tr w:rsidR="007444E2" w:rsidRPr="005060E0" w14:paraId="0FF767B8" w14:textId="77777777" w:rsidTr="00AB79E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bottom w:val="single" w:sz="4" w:space="0" w:color="808080" w:themeColor="background1" w:themeShade="80"/>
            </w:tcBorders>
            <w:vAlign w:val="center"/>
            <w:hideMark/>
          </w:tcPr>
          <w:p w14:paraId="1C51D449" w14:textId="77777777" w:rsidR="007444E2" w:rsidRPr="005060E0" w:rsidRDefault="007444E2" w:rsidP="00323767">
            <w:pPr>
              <w:spacing w:after="0" w:line="240" w:lineRule="auto"/>
              <w:rPr>
                <w:rFonts w:cs="Arial"/>
                <w:sz w:val="16"/>
                <w:szCs w:val="16"/>
              </w:rPr>
            </w:pPr>
          </w:p>
        </w:tc>
        <w:tc>
          <w:tcPr>
            <w:tcW w:w="318" w:type="pct"/>
            <w:tcBorders>
              <w:top w:val="dotted" w:sz="4" w:space="0" w:color="606072"/>
              <w:left w:val="nil"/>
              <w:bottom w:val="single" w:sz="4" w:space="0" w:color="808080" w:themeColor="background1" w:themeShade="80"/>
              <w:right w:val="single" w:sz="4" w:space="0" w:color="606072"/>
            </w:tcBorders>
            <w:shd w:val="clear" w:color="auto" w:fill="D5E5FF"/>
            <w:vAlign w:val="center"/>
          </w:tcPr>
          <w:p w14:paraId="0A49ABAC" w14:textId="77777777" w:rsidR="007444E2" w:rsidRPr="005060E0" w:rsidRDefault="007444E2" w:rsidP="0032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120</w:t>
            </w:r>
          </w:p>
        </w:tc>
        <w:tc>
          <w:tcPr>
            <w:tcW w:w="828" w:type="pct"/>
            <w:tcBorders>
              <w:top w:val="dotted" w:sz="4" w:space="0" w:color="606072"/>
              <w:left w:val="single" w:sz="4" w:space="0" w:color="606072"/>
              <w:bottom w:val="single" w:sz="4" w:space="0" w:color="808080" w:themeColor="background1" w:themeShade="80"/>
              <w:right w:val="single" w:sz="4" w:space="0" w:color="606072"/>
            </w:tcBorders>
            <w:shd w:val="clear" w:color="auto" w:fill="D5E5FF"/>
            <w:vAlign w:val="center"/>
          </w:tcPr>
          <w:p w14:paraId="474B8CF9" w14:textId="091FE7A0" w:rsidR="007444E2" w:rsidRPr="00AB79EC" w:rsidRDefault="00AB79EC" w:rsidP="00323767">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7444E2"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7444E2"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single" w:sz="4" w:space="0" w:color="808080" w:themeColor="background1" w:themeShade="80"/>
              <w:right w:val="single" w:sz="4" w:space="0" w:color="606072"/>
            </w:tcBorders>
            <w:shd w:val="clear" w:color="auto" w:fill="D5E5FF"/>
            <w:vAlign w:val="center"/>
          </w:tcPr>
          <w:p w14:paraId="386BFBBB" w14:textId="5A33F4D7" w:rsidR="007444E2" w:rsidRPr="00AB79EC" w:rsidRDefault="00AB79EC" w:rsidP="00323767">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7444E2"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7444E2"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single" w:sz="4" w:space="0" w:color="808080" w:themeColor="background1" w:themeShade="80"/>
              <w:right w:val="single" w:sz="4" w:space="0" w:color="606072"/>
            </w:tcBorders>
            <w:shd w:val="clear" w:color="auto" w:fill="D5E5FF"/>
            <w:vAlign w:val="center"/>
          </w:tcPr>
          <w:p w14:paraId="21A51585" w14:textId="0CBA9E2E" w:rsidR="007444E2" w:rsidRPr="00AB79EC" w:rsidRDefault="00AB79EC" w:rsidP="00323767">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7444E2"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7444E2"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single" w:sz="4" w:space="0" w:color="808080" w:themeColor="background1" w:themeShade="80"/>
              <w:right w:val="single" w:sz="4" w:space="0" w:color="606072"/>
            </w:tcBorders>
            <w:shd w:val="clear" w:color="auto" w:fill="D5E5FF"/>
            <w:vAlign w:val="center"/>
          </w:tcPr>
          <w:p w14:paraId="553747F6" w14:textId="7C5D816E" w:rsidR="007444E2" w:rsidRPr="00AB79EC" w:rsidRDefault="00AB79EC" w:rsidP="00323767">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7444E2"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7444E2"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44D08E7F" w14:textId="2BC8AAF0" w:rsidR="007444E2" w:rsidRPr="00AB79EC" w:rsidRDefault="00AB79EC" w:rsidP="00323767">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7444E2"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7444E2" w:rsidRPr="005060E0">
              <w:rPr>
                <w:rFonts w:eastAsia="Times New Roman" w:cs="Arial"/>
                <w:color w:val="000000"/>
                <w:sz w:val="16"/>
                <w:szCs w:val="16"/>
                <w:lang w:eastAsia="en-AU"/>
              </w:rPr>
              <w:t>)</w:t>
            </w:r>
          </w:p>
        </w:tc>
      </w:tr>
      <w:tr w:rsidR="007444E2" w:rsidRPr="005060E0" w14:paraId="088C48CE" w14:textId="77777777" w:rsidTr="00323767">
        <w:trPr>
          <w:trHeight w:hRule="exact" w:val="340"/>
        </w:trPr>
        <w:tc>
          <w:tcPr>
            <w:cnfStyle w:val="001000000000" w:firstRow="0" w:lastRow="0" w:firstColumn="1" w:lastColumn="0" w:oddVBand="0" w:evenVBand="0" w:oddHBand="0" w:evenHBand="0" w:firstRowFirstColumn="0" w:firstRowLastColumn="0" w:lastRowFirstColumn="0" w:lastRowLastColumn="0"/>
            <w:tcW w:w="542" w:type="pct"/>
            <w:vMerge w:val="restart"/>
            <w:tcBorders>
              <w:top w:val="single" w:sz="4" w:space="0" w:color="808080" w:themeColor="background1" w:themeShade="80"/>
              <w:left w:val="single" w:sz="4" w:space="0" w:color="606072"/>
            </w:tcBorders>
            <w:vAlign w:val="center"/>
          </w:tcPr>
          <w:p w14:paraId="2152BF8F" w14:textId="77777777" w:rsidR="007444E2" w:rsidRPr="005060E0" w:rsidRDefault="007444E2" w:rsidP="00323767">
            <w:pPr>
              <w:spacing w:after="0" w:line="240" w:lineRule="auto"/>
              <w:jc w:val="center"/>
              <w:rPr>
                <w:rFonts w:cs="Arial"/>
                <w:b w:val="0"/>
                <w:sz w:val="16"/>
                <w:szCs w:val="16"/>
              </w:rPr>
            </w:pPr>
            <w:r w:rsidRPr="005060E0">
              <w:rPr>
                <w:rFonts w:cs="Arial"/>
                <w:b w:val="0"/>
                <w:sz w:val="16"/>
                <w:szCs w:val="16"/>
              </w:rPr>
              <w:t>Annual</w:t>
            </w:r>
          </w:p>
        </w:tc>
        <w:tc>
          <w:tcPr>
            <w:tcW w:w="318"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E8B8FE3" w14:textId="77777777" w:rsidR="007444E2" w:rsidRPr="005060E0" w:rsidRDefault="007444E2" w:rsidP="003237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4140" w:type="pct"/>
            <w:gridSpan w:val="5"/>
            <w:tcBorders>
              <w:top w:val="single" w:sz="4" w:space="0" w:color="808080" w:themeColor="background1" w:themeShade="80"/>
              <w:left w:val="single" w:sz="4" w:space="0" w:color="808080" w:themeColor="background1" w:themeShade="80"/>
              <w:bottom w:val="dotted" w:sz="4" w:space="0" w:color="606072"/>
              <w:right w:val="single" w:sz="4" w:space="0" w:color="606072"/>
            </w:tcBorders>
            <w:shd w:val="clear" w:color="auto" w:fill="BFBFBF" w:themeFill="background1" w:themeFillShade="BF"/>
            <w:vAlign w:val="center"/>
          </w:tcPr>
          <w:p w14:paraId="4B1BE77B" w14:textId="77777777" w:rsidR="007444E2" w:rsidRPr="005060E0" w:rsidRDefault="007444E2" w:rsidP="0032376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n-AU"/>
              </w:rPr>
            </w:pPr>
            <w:r w:rsidRPr="005060E0">
              <w:rPr>
                <w:rFonts w:eastAsia="Times New Roman" w:cs="Arial"/>
                <w:color w:val="000000"/>
                <w:sz w:val="16"/>
                <w:szCs w:val="16"/>
                <w:lang w:eastAsia="en-AU"/>
              </w:rPr>
              <w:t>Total number of monitoring stations exceeding standard</w:t>
            </w:r>
          </w:p>
        </w:tc>
      </w:tr>
      <w:tr w:rsidR="007444E2" w:rsidRPr="005060E0" w14:paraId="47A17A7C" w14:textId="77777777" w:rsidTr="00AB79E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42" w:type="pct"/>
            <w:vMerge/>
            <w:tcBorders>
              <w:left w:val="single" w:sz="4" w:space="0" w:color="606072"/>
            </w:tcBorders>
            <w:vAlign w:val="center"/>
            <w:hideMark/>
          </w:tcPr>
          <w:p w14:paraId="08D1C8A0" w14:textId="77777777" w:rsidR="007444E2" w:rsidRPr="005060E0" w:rsidRDefault="007444E2" w:rsidP="00323767">
            <w:pPr>
              <w:spacing w:after="0" w:line="240" w:lineRule="auto"/>
              <w:jc w:val="center"/>
              <w:rPr>
                <w:rFonts w:cs="Arial"/>
                <w:b w:val="0"/>
                <w:sz w:val="16"/>
                <w:szCs w:val="16"/>
              </w:rPr>
            </w:pPr>
          </w:p>
        </w:tc>
        <w:tc>
          <w:tcPr>
            <w:tcW w:w="318" w:type="pct"/>
            <w:tcBorders>
              <w:top w:val="single" w:sz="4" w:space="0" w:color="808080" w:themeColor="background1" w:themeShade="80"/>
              <w:left w:val="nil"/>
              <w:bottom w:val="dotted" w:sz="4" w:space="0" w:color="606072"/>
              <w:right w:val="single" w:sz="4" w:space="0" w:color="606072"/>
            </w:tcBorders>
            <w:vAlign w:val="center"/>
          </w:tcPr>
          <w:p w14:paraId="730A6808" w14:textId="77777777" w:rsidR="007444E2" w:rsidRPr="005060E0" w:rsidRDefault="007444E2" w:rsidP="0032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10</w:t>
            </w:r>
          </w:p>
        </w:tc>
        <w:tc>
          <w:tcPr>
            <w:tcW w:w="828" w:type="pct"/>
            <w:tcBorders>
              <w:top w:val="single" w:sz="4" w:space="0" w:color="808080" w:themeColor="background1" w:themeShade="80"/>
              <w:left w:val="single" w:sz="4" w:space="0" w:color="606072"/>
              <w:bottom w:val="dotted" w:sz="4" w:space="0" w:color="606072"/>
              <w:right w:val="single" w:sz="4" w:space="0" w:color="606072"/>
            </w:tcBorders>
            <w:vAlign w:val="center"/>
          </w:tcPr>
          <w:p w14:paraId="7145E6CD" w14:textId="5922CC28" w:rsidR="007444E2" w:rsidRPr="00AB79EC" w:rsidRDefault="00AB79EC" w:rsidP="00323767">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7444E2"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7444E2" w:rsidRPr="005060E0">
              <w:rPr>
                <w:rFonts w:eastAsia="Times New Roman" w:cs="Arial"/>
                <w:color w:val="000000"/>
                <w:sz w:val="16"/>
                <w:szCs w:val="16"/>
                <w:lang w:eastAsia="en-AU"/>
              </w:rPr>
              <w:t>)</w:t>
            </w:r>
          </w:p>
        </w:tc>
        <w:tc>
          <w:tcPr>
            <w:tcW w:w="828" w:type="pct"/>
            <w:tcBorders>
              <w:top w:val="single" w:sz="4" w:space="0" w:color="606072"/>
              <w:left w:val="single" w:sz="4" w:space="0" w:color="606072"/>
              <w:bottom w:val="dotted" w:sz="4" w:space="0" w:color="606072"/>
              <w:right w:val="single" w:sz="4" w:space="0" w:color="606072"/>
            </w:tcBorders>
            <w:vAlign w:val="center"/>
          </w:tcPr>
          <w:p w14:paraId="21B435E5" w14:textId="1CF79D70" w:rsidR="007444E2" w:rsidRPr="00AB79EC" w:rsidRDefault="007221F3" w:rsidP="00323767">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5060E0">
              <w:rPr>
                <w:rFonts w:eastAsia="Times New Roman" w:cs="Arial"/>
                <w:color w:val="000000"/>
                <w:sz w:val="16"/>
                <w:szCs w:val="16"/>
                <w:lang w:eastAsia="en-AU"/>
              </w:rPr>
              <w:t>2</w:t>
            </w:r>
            <w:r w:rsidR="007444E2" w:rsidRPr="005060E0">
              <w:rPr>
                <w:rFonts w:eastAsia="Times New Roman" w:cs="Arial"/>
                <w:color w:val="000000"/>
                <w:sz w:val="16"/>
                <w:szCs w:val="16"/>
                <w:lang w:eastAsia="en-AU"/>
              </w:rPr>
              <w:t xml:space="preserve"> (</w:t>
            </w:r>
            <w:r w:rsidR="00AB79EC">
              <w:rPr>
                <w:rFonts w:eastAsia="Times New Roman" w:cs="Arial"/>
                <w:color w:val="000000"/>
                <w:sz w:val="16"/>
                <w:szCs w:val="16"/>
                <w:lang w:eastAsia="en-AU"/>
              </w:rPr>
              <w:t>–</w:t>
            </w:r>
            <w:r w:rsidR="007444E2" w:rsidRPr="005060E0">
              <w:rPr>
                <w:rFonts w:eastAsia="Times New Roman" w:cs="Arial"/>
                <w:color w:val="000000"/>
                <w:sz w:val="16"/>
                <w:szCs w:val="16"/>
                <w:lang w:eastAsia="en-AU"/>
              </w:rPr>
              <w:t>)</w:t>
            </w:r>
          </w:p>
        </w:tc>
        <w:tc>
          <w:tcPr>
            <w:tcW w:w="828" w:type="pct"/>
            <w:tcBorders>
              <w:top w:val="single" w:sz="4" w:space="0" w:color="606072"/>
              <w:left w:val="single" w:sz="4" w:space="0" w:color="606072"/>
              <w:bottom w:val="dotted" w:sz="4" w:space="0" w:color="606072"/>
              <w:right w:val="single" w:sz="4" w:space="0" w:color="606072"/>
            </w:tcBorders>
            <w:vAlign w:val="center"/>
          </w:tcPr>
          <w:p w14:paraId="19844991" w14:textId="4FAB3818" w:rsidR="007444E2" w:rsidRPr="00AB79EC" w:rsidRDefault="00AB79EC" w:rsidP="00323767">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7444E2"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7444E2" w:rsidRPr="005060E0">
              <w:rPr>
                <w:rFonts w:eastAsia="Times New Roman" w:cs="Arial"/>
                <w:color w:val="000000"/>
                <w:sz w:val="16"/>
                <w:szCs w:val="16"/>
                <w:lang w:eastAsia="en-AU"/>
              </w:rPr>
              <w:t>)</w:t>
            </w:r>
          </w:p>
        </w:tc>
        <w:tc>
          <w:tcPr>
            <w:tcW w:w="828" w:type="pct"/>
            <w:tcBorders>
              <w:top w:val="single" w:sz="4" w:space="0" w:color="606072"/>
              <w:left w:val="single" w:sz="4" w:space="0" w:color="606072"/>
              <w:bottom w:val="dotted" w:sz="4" w:space="0" w:color="606072"/>
              <w:right w:val="single" w:sz="4" w:space="0" w:color="606072"/>
            </w:tcBorders>
            <w:vAlign w:val="center"/>
          </w:tcPr>
          <w:p w14:paraId="0306FC12" w14:textId="5BA8A1A5" w:rsidR="007444E2" w:rsidRPr="00AB79EC" w:rsidRDefault="00AB79EC" w:rsidP="00323767">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7444E2"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7444E2" w:rsidRPr="005060E0">
              <w:rPr>
                <w:rFonts w:eastAsia="Times New Roman" w:cs="Arial"/>
                <w:color w:val="000000"/>
                <w:sz w:val="16"/>
                <w:szCs w:val="16"/>
                <w:lang w:eastAsia="en-AU"/>
              </w:rPr>
              <w:t>)</w:t>
            </w:r>
          </w:p>
        </w:tc>
        <w:tc>
          <w:tcPr>
            <w:tcW w:w="828" w:type="pct"/>
            <w:tcBorders>
              <w:top w:val="single" w:sz="4" w:space="0" w:color="606072"/>
              <w:left w:val="single" w:sz="4" w:space="0" w:color="606072"/>
              <w:bottom w:val="dotted" w:sz="4" w:space="0" w:color="606072"/>
              <w:right w:val="single" w:sz="4" w:space="0" w:color="606072"/>
            </w:tcBorders>
            <w:vAlign w:val="center"/>
          </w:tcPr>
          <w:p w14:paraId="3E010173" w14:textId="0CE8D46A" w:rsidR="007444E2" w:rsidRPr="00AB79EC" w:rsidRDefault="00AB79EC" w:rsidP="00323767">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7444E2"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7444E2" w:rsidRPr="005060E0">
              <w:rPr>
                <w:rFonts w:eastAsia="Times New Roman" w:cs="Arial"/>
                <w:color w:val="000000"/>
                <w:sz w:val="16"/>
                <w:szCs w:val="16"/>
                <w:lang w:eastAsia="en-AU"/>
              </w:rPr>
              <w:t>)</w:t>
            </w:r>
          </w:p>
        </w:tc>
      </w:tr>
      <w:tr w:rsidR="007444E2" w:rsidRPr="005060E0" w14:paraId="301DC9F5" w14:textId="77777777" w:rsidTr="00AB79EC">
        <w:trPr>
          <w:trHeight w:hRule="exact" w:val="340"/>
        </w:trPr>
        <w:tc>
          <w:tcPr>
            <w:cnfStyle w:val="001000000000" w:firstRow="0" w:lastRow="0" w:firstColumn="1" w:lastColumn="0" w:oddVBand="0" w:evenVBand="0" w:oddHBand="0" w:evenHBand="0" w:firstRowFirstColumn="0" w:firstRowLastColumn="0" w:lastRowFirstColumn="0" w:lastRowLastColumn="0"/>
            <w:tcW w:w="542" w:type="pct"/>
            <w:vMerge/>
            <w:tcBorders>
              <w:left w:val="single" w:sz="4" w:space="0" w:color="606072"/>
            </w:tcBorders>
            <w:vAlign w:val="center"/>
          </w:tcPr>
          <w:p w14:paraId="18E4D27F" w14:textId="77777777" w:rsidR="007444E2" w:rsidRPr="005060E0" w:rsidRDefault="007444E2" w:rsidP="00323767">
            <w:pPr>
              <w:spacing w:after="0" w:line="240" w:lineRule="auto"/>
              <w:jc w:val="center"/>
              <w:rPr>
                <w:rFonts w:cs="Arial"/>
                <w:b w:val="0"/>
                <w:sz w:val="16"/>
                <w:szCs w:val="16"/>
              </w:rPr>
            </w:pPr>
          </w:p>
        </w:tc>
        <w:tc>
          <w:tcPr>
            <w:tcW w:w="318" w:type="pct"/>
            <w:tcBorders>
              <w:top w:val="dotted" w:sz="4" w:space="0" w:color="606072"/>
              <w:left w:val="nil"/>
              <w:bottom w:val="dotted" w:sz="4" w:space="0" w:color="606072"/>
              <w:right w:val="single" w:sz="4" w:space="0" w:color="606072"/>
            </w:tcBorders>
            <w:vAlign w:val="center"/>
          </w:tcPr>
          <w:p w14:paraId="1D6C17BF" w14:textId="77777777" w:rsidR="007444E2" w:rsidRPr="005060E0" w:rsidRDefault="007444E2" w:rsidP="003237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19</w:t>
            </w:r>
          </w:p>
        </w:tc>
        <w:tc>
          <w:tcPr>
            <w:tcW w:w="828" w:type="pct"/>
            <w:tcBorders>
              <w:top w:val="dotted" w:sz="4" w:space="0" w:color="606072"/>
              <w:left w:val="single" w:sz="4" w:space="0" w:color="606072"/>
              <w:bottom w:val="dotted" w:sz="4" w:space="0" w:color="606072"/>
              <w:right w:val="single" w:sz="4" w:space="0" w:color="606072"/>
            </w:tcBorders>
            <w:vAlign w:val="center"/>
          </w:tcPr>
          <w:p w14:paraId="56D7CA69" w14:textId="5BAA35D1" w:rsidR="007444E2" w:rsidRPr="00AB79EC" w:rsidRDefault="00AB79EC" w:rsidP="00323767">
            <w:pPr>
              <w:spacing w:after="0" w:line="240" w:lineRule="auto"/>
              <w:jc w:val="center"/>
              <w:cnfStyle w:val="000000000000" w:firstRow="0" w:lastRow="0" w:firstColumn="0" w:lastColumn="0" w:oddVBand="0" w:evenVBand="0" w:oddHBand="0" w:evenHBand="0" w:firstRowFirstColumn="0" w:firstRowLastColumn="0" w:lastRowFirstColumn="0" w:lastRowLastColumn="0"/>
            </w:pPr>
            <w:r>
              <w:rPr>
                <w:rFonts w:eastAsia="Times New Roman" w:cs="Arial"/>
                <w:color w:val="000000"/>
                <w:sz w:val="16"/>
                <w:szCs w:val="16"/>
                <w:lang w:eastAsia="en-AU"/>
              </w:rPr>
              <w:t>–</w:t>
            </w:r>
            <w:r w:rsidR="007444E2"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7444E2"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dotted" w:sz="4" w:space="0" w:color="606072"/>
              <w:right w:val="single" w:sz="4" w:space="0" w:color="606072"/>
            </w:tcBorders>
            <w:vAlign w:val="center"/>
          </w:tcPr>
          <w:p w14:paraId="2F7CF7AF" w14:textId="608AE800" w:rsidR="007444E2" w:rsidRPr="00AB79EC" w:rsidRDefault="00AB79EC" w:rsidP="00323767">
            <w:pPr>
              <w:spacing w:after="0" w:line="240" w:lineRule="auto"/>
              <w:jc w:val="center"/>
              <w:cnfStyle w:val="000000000000" w:firstRow="0" w:lastRow="0" w:firstColumn="0" w:lastColumn="0" w:oddVBand="0" w:evenVBand="0" w:oddHBand="0" w:evenHBand="0" w:firstRowFirstColumn="0" w:firstRowLastColumn="0" w:lastRowFirstColumn="0" w:lastRowLastColumn="0"/>
            </w:pPr>
            <w:r>
              <w:rPr>
                <w:rFonts w:eastAsia="Times New Roman" w:cs="Arial"/>
                <w:color w:val="000000"/>
                <w:sz w:val="16"/>
                <w:szCs w:val="16"/>
                <w:lang w:eastAsia="en-AU"/>
              </w:rPr>
              <w:t>–</w:t>
            </w:r>
            <w:r w:rsidR="007444E2"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7444E2"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dotted" w:sz="4" w:space="0" w:color="606072"/>
              <w:right w:val="single" w:sz="4" w:space="0" w:color="606072"/>
            </w:tcBorders>
            <w:vAlign w:val="center"/>
          </w:tcPr>
          <w:p w14:paraId="6836D0BC" w14:textId="6039171F" w:rsidR="007444E2" w:rsidRPr="00AB79EC" w:rsidRDefault="00AB79EC" w:rsidP="00323767">
            <w:pPr>
              <w:spacing w:after="0" w:line="240" w:lineRule="auto"/>
              <w:jc w:val="center"/>
              <w:cnfStyle w:val="000000000000" w:firstRow="0" w:lastRow="0" w:firstColumn="0" w:lastColumn="0" w:oddVBand="0" w:evenVBand="0" w:oddHBand="0" w:evenHBand="0" w:firstRowFirstColumn="0" w:firstRowLastColumn="0" w:lastRowFirstColumn="0" w:lastRowLastColumn="0"/>
            </w:pPr>
            <w:r>
              <w:rPr>
                <w:rFonts w:eastAsia="Times New Roman" w:cs="Arial"/>
                <w:color w:val="000000"/>
                <w:sz w:val="16"/>
                <w:szCs w:val="16"/>
                <w:lang w:eastAsia="en-AU"/>
              </w:rPr>
              <w:t>–</w:t>
            </w:r>
            <w:r w:rsidR="007444E2"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7444E2"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dotted" w:sz="4" w:space="0" w:color="606072"/>
              <w:right w:val="single" w:sz="4" w:space="0" w:color="606072"/>
            </w:tcBorders>
            <w:vAlign w:val="center"/>
          </w:tcPr>
          <w:p w14:paraId="19F2A62C" w14:textId="411C6332" w:rsidR="007444E2" w:rsidRPr="00AB79EC" w:rsidRDefault="00AB79EC" w:rsidP="00323767">
            <w:pPr>
              <w:spacing w:after="0" w:line="240" w:lineRule="auto"/>
              <w:jc w:val="center"/>
              <w:cnfStyle w:val="000000000000" w:firstRow="0" w:lastRow="0" w:firstColumn="0" w:lastColumn="0" w:oddVBand="0" w:evenVBand="0" w:oddHBand="0" w:evenHBand="0" w:firstRowFirstColumn="0" w:firstRowLastColumn="0" w:lastRowFirstColumn="0" w:lastRowLastColumn="0"/>
            </w:pPr>
            <w:r>
              <w:rPr>
                <w:rFonts w:eastAsia="Times New Roman" w:cs="Arial"/>
                <w:color w:val="000000"/>
                <w:sz w:val="16"/>
                <w:szCs w:val="16"/>
                <w:lang w:eastAsia="en-AU"/>
              </w:rPr>
              <w:t>–</w:t>
            </w:r>
            <w:r w:rsidR="007444E2"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7444E2"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dotted" w:sz="4" w:space="0" w:color="606072"/>
              <w:right w:val="single" w:sz="4" w:space="0" w:color="606072"/>
            </w:tcBorders>
            <w:vAlign w:val="center"/>
          </w:tcPr>
          <w:p w14:paraId="0CDDB2B7" w14:textId="5C4C1748" w:rsidR="007444E2" w:rsidRPr="00AB79EC" w:rsidRDefault="00AB79EC" w:rsidP="00323767">
            <w:pPr>
              <w:spacing w:after="0" w:line="240" w:lineRule="auto"/>
              <w:jc w:val="center"/>
              <w:cnfStyle w:val="000000000000" w:firstRow="0" w:lastRow="0" w:firstColumn="0" w:lastColumn="0" w:oddVBand="0" w:evenVBand="0" w:oddHBand="0" w:evenHBand="0" w:firstRowFirstColumn="0" w:firstRowLastColumn="0" w:lastRowFirstColumn="0" w:lastRowLastColumn="0"/>
            </w:pPr>
            <w:r>
              <w:rPr>
                <w:rFonts w:eastAsia="Times New Roman" w:cs="Arial"/>
                <w:color w:val="000000"/>
                <w:sz w:val="16"/>
                <w:szCs w:val="16"/>
                <w:lang w:eastAsia="en-AU"/>
              </w:rPr>
              <w:t>–</w:t>
            </w:r>
            <w:r w:rsidR="007444E2"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7444E2" w:rsidRPr="005060E0">
              <w:rPr>
                <w:rFonts w:eastAsia="Times New Roman" w:cs="Arial"/>
                <w:color w:val="000000"/>
                <w:sz w:val="16"/>
                <w:szCs w:val="16"/>
                <w:lang w:eastAsia="en-AU"/>
              </w:rPr>
              <w:t>)</w:t>
            </w:r>
          </w:p>
        </w:tc>
      </w:tr>
      <w:tr w:rsidR="007444E2" w:rsidRPr="005060E0" w14:paraId="2DD56645" w14:textId="77777777" w:rsidTr="00AB79E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bottom w:val="single" w:sz="4" w:space="0" w:color="606072"/>
            </w:tcBorders>
            <w:vAlign w:val="center"/>
            <w:hideMark/>
          </w:tcPr>
          <w:p w14:paraId="01D98DAE" w14:textId="77777777" w:rsidR="007444E2" w:rsidRPr="005060E0" w:rsidRDefault="007444E2" w:rsidP="00323767">
            <w:pPr>
              <w:spacing w:after="0" w:line="240" w:lineRule="auto"/>
              <w:rPr>
                <w:rFonts w:cs="Arial"/>
                <w:sz w:val="16"/>
                <w:szCs w:val="16"/>
              </w:rPr>
            </w:pPr>
          </w:p>
        </w:tc>
        <w:tc>
          <w:tcPr>
            <w:tcW w:w="318" w:type="pct"/>
            <w:tcBorders>
              <w:top w:val="dotted" w:sz="4" w:space="0" w:color="606072"/>
              <w:left w:val="nil"/>
              <w:bottom w:val="single" w:sz="4" w:space="0" w:color="606072"/>
              <w:right w:val="single" w:sz="4" w:space="0" w:color="606072"/>
            </w:tcBorders>
            <w:shd w:val="clear" w:color="auto" w:fill="D5E5FF"/>
            <w:vAlign w:val="center"/>
          </w:tcPr>
          <w:p w14:paraId="121CFF3E" w14:textId="77777777" w:rsidR="007444E2" w:rsidRPr="005060E0" w:rsidRDefault="007444E2" w:rsidP="003237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30</w:t>
            </w:r>
          </w:p>
        </w:tc>
        <w:tc>
          <w:tcPr>
            <w:tcW w:w="828"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7D789562" w14:textId="4C2435EB" w:rsidR="007444E2" w:rsidRPr="00AB79EC" w:rsidRDefault="00AB79EC" w:rsidP="00323767">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7444E2"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7444E2"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1607D9B9" w14:textId="551FD468" w:rsidR="007444E2" w:rsidRPr="00AB79EC" w:rsidRDefault="00AB79EC" w:rsidP="00323767">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7444E2"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7444E2"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46385145" w14:textId="242BCAC2" w:rsidR="007444E2" w:rsidRPr="00AB79EC" w:rsidRDefault="00AB79EC" w:rsidP="00323767">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7444E2"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7444E2"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79928D58" w14:textId="02044EE3" w:rsidR="007444E2" w:rsidRPr="00AB79EC" w:rsidRDefault="00AB79EC" w:rsidP="00323767">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7444E2"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7444E2" w:rsidRPr="005060E0">
              <w:rPr>
                <w:rFonts w:eastAsia="Times New Roman" w:cs="Arial"/>
                <w:color w:val="000000"/>
                <w:sz w:val="16"/>
                <w:szCs w:val="16"/>
                <w:lang w:eastAsia="en-AU"/>
              </w:rPr>
              <w:t>)</w:t>
            </w:r>
          </w:p>
        </w:tc>
        <w:tc>
          <w:tcPr>
            <w:tcW w:w="828"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06455B8A" w14:textId="2E6B7DD4" w:rsidR="007444E2" w:rsidRPr="00AB79EC" w:rsidRDefault="00AB79EC" w:rsidP="00323767">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sz w:val="16"/>
                <w:szCs w:val="16"/>
                <w:lang w:eastAsia="en-AU"/>
              </w:rPr>
              <w:t>–</w:t>
            </w:r>
            <w:r w:rsidR="007444E2" w:rsidRPr="005060E0">
              <w:rPr>
                <w:rFonts w:eastAsia="Times New Roman" w:cs="Arial"/>
                <w:color w:val="000000"/>
                <w:sz w:val="16"/>
                <w:szCs w:val="16"/>
                <w:lang w:eastAsia="en-AU"/>
              </w:rPr>
              <w:t xml:space="preserve"> (</w:t>
            </w:r>
            <w:r>
              <w:rPr>
                <w:rFonts w:eastAsia="Times New Roman" w:cs="Arial"/>
                <w:color w:val="000000"/>
                <w:sz w:val="16"/>
                <w:szCs w:val="16"/>
                <w:lang w:eastAsia="en-AU"/>
              </w:rPr>
              <w:t>–</w:t>
            </w:r>
            <w:r w:rsidR="007444E2" w:rsidRPr="005060E0">
              <w:rPr>
                <w:rFonts w:eastAsia="Times New Roman" w:cs="Arial"/>
                <w:color w:val="000000"/>
                <w:sz w:val="16"/>
                <w:szCs w:val="16"/>
                <w:lang w:eastAsia="en-AU"/>
              </w:rPr>
              <w:t>)</w:t>
            </w:r>
          </w:p>
        </w:tc>
      </w:tr>
    </w:tbl>
    <w:p w14:paraId="70733E02" w14:textId="77777777" w:rsidR="008F2559" w:rsidRPr="005060E0" w:rsidRDefault="008F2559" w:rsidP="00C521A0">
      <w:pPr>
        <w:pStyle w:val="ListBullet"/>
        <w:numPr>
          <w:ilvl w:val="0"/>
          <w:numId w:val="0"/>
        </w:numPr>
        <w:rPr>
          <w:rFonts w:cs="Arial"/>
        </w:rPr>
      </w:pPr>
    </w:p>
    <w:p w14:paraId="50E1C672" w14:textId="14E69E10" w:rsidR="00C521A0" w:rsidRPr="005060E0" w:rsidRDefault="00C521A0" w:rsidP="00C521A0">
      <w:pPr>
        <w:pStyle w:val="ListBullet"/>
        <w:numPr>
          <w:ilvl w:val="0"/>
          <w:numId w:val="0"/>
        </w:numPr>
        <w:rPr>
          <w:rFonts w:eastAsia="Arial" w:cs="Arial"/>
          <w:szCs w:val="20"/>
        </w:rPr>
      </w:pPr>
      <w:r w:rsidRPr="005060E0">
        <w:rPr>
          <w:rFonts w:cs="Arial"/>
        </w:rPr>
        <w:t>Under existing conditions, the results indicate that for most urbanise</w:t>
      </w:r>
      <w:r w:rsidR="00704BAC" w:rsidRPr="005060E0">
        <w:rPr>
          <w:rFonts w:cs="Arial"/>
        </w:rPr>
        <w:t>d airsheds it will be a</w:t>
      </w:r>
      <w:r w:rsidRPr="005060E0">
        <w:rPr>
          <w:rFonts w:cs="Arial"/>
        </w:rPr>
        <w:t xml:space="preserve"> challenge to comply</w:t>
      </w:r>
      <w:r w:rsidR="00BE5933" w:rsidRPr="005060E0">
        <w:rPr>
          <w:rFonts w:cs="Arial"/>
        </w:rPr>
        <w:t xml:space="preserve"> in future years</w:t>
      </w:r>
      <w:r w:rsidRPr="005060E0">
        <w:rPr>
          <w:rFonts w:cs="Arial"/>
        </w:rPr>
        <w:t xml:space="preserve"> with the proposed 1-hour</w:t>
      </w:r>
      <w:r w:rsidR="00BE5933">
        <w:rPr>
          <w:rFonts w:cs="Arial"/>
          <w:vertAlign w:val="subscript"/>
        </w:rPr>
        <w:t xml:space="preserve"> </w:t>
      </w:r>
      <w:r w:rsidRPr="005060E0">
        <w:rPr>
          <w:rFonts w:cs="Arial"/>
        </w:rPr>
        <w:t>standard for NO</w:t>
      </w:r>
      <w:r w:rsidRPr="005060E0">
        <w:rPr>
          <w:rFonts w:cs="Arial"/>
          <w:vertAlign w:val="subscript"/>
        </w:rPr>
        <w:t>2</w:t>
      </w:r>
      <w:r w:rsidRPr="005060E0">
        <w:rPr>
          <w:rFonts w:cs="Arial"/>
        </w:rPr>
        <w:t xml:space="preserve"> of 40 ppb. Compliance with the proposed standards of 80 ppb and 97 ppb should generally be possible in all airsheds. All jurisdictions would be likely to achieve continued compliance with </w:t>
      </w:r>
      <w:r w:rsidR="00C22FF7" w:rsidRPr="005060E0">
        <w:rPr>
          <w:rFonts w:cs="Arial"/>
          <w:szCs w:val="20"/>
        </w:rPr>
        <w:t>the current 120 ppb standard.</w:t>
      </w:r>
    </w:p>
    <w:p w14:paraId="43E7A6CA" w14:textId="3B442895" w:rsidR="00C22FF7" w:rsidRPr="005060E0" w:rsidRDefault="00C22FF7" w:rsidP="00C521A0">
      <w:pPr>
        <w:pStyle w:val="ListBullet"/>
        <w:numPr>
          <w:ilvl w:val="0"/>
          <w:numId w:val="0"/>
        </w:numPr>
        <w:rPr>
          <w:rFonts w:eastAsia="Arial" w:cs="Arial"/>
          <w:szCs w:val="20"/>
        </w:rPr>
      </w:pPr>
      <w:r w:rsidRPr="005060E0">
        <w:rPr>
          <w:rFonts w:eastAsia="Arial" w:cs="Arial"/>
          <w:szCs w:val="20"/>
        </w:rPr>
        <w:t>For annual mean NO</w:t>
      </w:r>
      <w:r w:rsidRPr="005060E0">
        <w:rPr>
          <w:rFonts w:eastAsia="Arial" w:cs="Arial"/>
          <w:szCs w:val="20"/>
          <w:vertAlign w:val="subscript"/>
        </w:rPr>
        <w:t>2</w:t>
      </w:r>
      <w:r w:rsidRPr="005060E0">
        <w:rPr>
          <w:rFonts w:eastAsia="Arial" w:cs="Arial"/>
          <w:szCs w:val="20"/>
        </w:rPr>
        <w:t xml:space="preserve"> there have been no exceedances of the proposed standard of 19 ppb</w:t>
      </w:r>
      <w:r w:rsidR="00BE5933">
        <w:rPr>
          <w:rFonts w:eastAsia="Arial" w:cs="Arial"/>
          <w:szCs w:val="20"/>
        </w:rPr>
        <w:t>;</w:t>
      </w:r>
      <w:r w:rsidRPr="005060E0">
        <w:rPr>
          <w:rFonts w:eastAsia="Arial" w:cs="Arial"/>
          <w:szCs w:val="20"/>
        </w:rPr>
        <w:t xml:space="preserve"> </w:t>
      </w:r>
      <w:r w:rsidR="00BE5933">
        <w:rPr>
          <w:rFonts w:eastAsia="Arial" w:cs="Arial"/>
          <w:szCs w:val="20"/>
        </w:rPr>
        <w:t>h</w:t>
      </w:r>
      <w:r w:rsidRPr="005060E0">
        <w:rPr>
          <w:rFonts w:eastAsia="Arial" w:cs="Arial"/>
          <w:szCs w:val="20"/>
        </w:rPr>
        <w:t>owever, in Sydney and the Port Phillip Region there have been exceedances of the proposed standard of 10 ppb at multiple stations and in multiple years.</w:t>
      </w:r>
    </w:p>
    <w:p w14:paraId="12C2AB39" w14:textId="77777777" w:rsidR="00C521A0" w:rsidRPr="005060E0" w:rsidRDefault="00C521A0" w:rsidP="000B3B3D">
      <w:pPr>
        <w:pStyle w:val="Heading3"/>
      </w:pPr>
      <w:r w:rsidRPr="005060E0">
        <w:t>Future projections</w:t>
      </w:r>
    </w:p>
    <w:p w14:paraId="6570402C" w14:textId="40D5A389" w:rsidR="00AA0AD8" w:rsidRPr="005060E0" w:rsidRDefault="00AA0AD8" w:rsidP="00AA0AD8">
      <w:r w:rsidRPr="005060E0">
        <w:rPr>
          <w:szCs w:val="20"/>
        </w:rPr>
        <w:t>In the BAU scenario, maximum 1-hour NO</w:t>
      </w:r>
      <w:r w:rsidRPr="005060E0">
        <w:rPr>
          <w:szCs w:val="20"/>
          <w:vertAlign w:val="subscript"/>
        </w:rPr>
        <w:t>2</w:t>
      </w:r>
      <w:r w:rsidRPr="005060E0">
        <w:rPr>
          <w:szCs w:val="20"/>
        </w:rPr>
        <w:t xml:space="preserve"> concentrations are predicted to remain relatively stable in the future in all </w:t>
      </w:r>
      <w:r w:rsidR="00BE5933">
        <w:rPr>
          <w:szCs w:val="20"/>
        </w:rPr>
        <w:t xml:space="preserve">the </w:t>
      </w:r>
      <w:r w:rsidRPr="005060E0">
        <w:rPr>
          <w:szCs w:val="20"/>
        </w:rPr>
        <w:t>modelled airsheds except the Port Phillip Region. The Port Phillip Region is predicted to have</w:t>
      </w:r>
      <w:r w:rsidRPr="005060E0">
        <w:t xml:space="preserve"> a reduction in peak concentrations until 2031, when they begin to increase again. In general, the Abatement Package resulted in relatively small reductions in maximum NO</w:t>
      </w:r>
      <w:r w:rsidRPr="005060E0">
        <w:rPr>
          <w:vertAlign w:val="subscript"/>
        </w:rPr>
        <w:t>2</w:t>
      </w:r>
      <w:r w:rsidRPr="005060E0">
        <w:t xml:space="preserve"> concentrations by 2040. For Newcastle the Abatement Package had a more noticeable impact on reducing maximum NO</w:t>
      </w:r>
      <w:r w:rsidRPr="005060E0">
        <w:rPr>
          <w:vertAlign w:val="subscript"/>
        </w:rPr>
        <w:t>2</w:t>
      </w:r>
      <w:r w:rsidRPr="005060E0">
        <w:t xml:space="preserve"> concentrations.</w:t>
      </w:r>
    </w:p>
    <w:p w14:paraId="475C325A" w14:textId="77777777" w:rsidR="00AA0AD8" w:rsidRPr="005060E0" w:rsidRDefault="00AA0AD8" w:rsidP="00AA0AD8">
      <w:r w:rsidRPr="005060E0">
        <w:t>The maximum annual mean concentrations in Sydney were reduced noticeably in the Abatement Package scenario. In the other airsheds the reductions were quite small.</w:t>
      </w:r>
    </w:p>
    <w:p w14:paraId="37047FDC" w14:textId="77777777" w:rsidR="00AA0AD8" w:rsidRPr="005060E0" w:rsidRDefault="00AA0AD8" w:rsidP="00AA0AD8">
      <w:r w:rsidRPr="005060E0">
        <w:t>It is worth noting that several of the measures in the Abatement Package were industry-based. These measures, in particular those relating to power stations and cement and metal industries, lead to large reductions in emissions, but they are located outside major urban areas. Whilst they are likely to lead to improvements in peak concentrations in the local area, they are unlikely to significantly affect larger populations further away (i.e. in cities).</w:t>
      </w:r>
    </w:p>
    <w:p w14:paraId="7EDC56AD" w14:textId="74D4DA43" w:rsidR="00AA0AD8" w:rsidRPr="005060E0" w:rsidRDefault="005C2AB3" w:rsidP="00AA0AD8">
      <w:pPr>
        <w:pStyle w:val="ListBullet"/>
        <w:numPr>
          <w:ilvl w:val="0"/>
          <w:numId w:val="0"/>
        </w:numPr>
        <w:rPr>
          <w:rFonts w:cs="Arial"/>
        </w:rPr>
      </w:pPr>
      <w:r w:rsidRPr="005060E0">
        <w:rPr>
          <w:rFonts w:cs="Arial"/>
        </w:rPr>
        <w:t>For NO</w:t>
      </w:r>
      <w:r w:rsidRPr="005060E0">
        <w:rPr>
          <w:rFonts w:cs="Arial"/>
          <w:vertAlign w:val="subscript"/>
        </w:rPr>
        <w:t>2</w:t>
      </w:r>
      <w:r w:rsidRPr="005060E0">
        <w:rPr>
          <w:rFonts w:cs="Arial"/>
        </w:rPr>
        <w:t xml:space="preserve"> in NSW the projected unique exceedance days in the BAU and Abatement Package scenarios are shown in </w:t>
      </w:r>
      <w:r w:rsidRPr="005060E0">
        <w:rPr>
          <w:rFonts w:cs="Arial"/>
        </w:rPr>
        <w:fldChar w:fldCharType="begin"/>
      </w:r>
      <w:r w:rsidRPr="005060E0">
        <w:rPr>
          <w:rFonts w:cs="Arial"/>
        </w:rPr>
        <w:instrText xml:space="preserve"> REF _Ref507507353 \h  \* MERGEFORMAT </w:instrText>
      </w:r>
      <w:r w:rsidRPr="005060E0">
        <w:rPr>
          <w:rFonts w:cs="Arial"/>
        </w:rPr>
      </w:r>
      <w:r w:rsidRPr="005060E0">
        <w:rPr>
          <w:rFonts w:cs="Arial"/>
        </w:rPr>
        <w:fldChar w:fldCharType="separate"/>
      </w:r>
      <w:r w:rsidR="00F2067C" w:rsidRPr="005060E0">
        <w:rPr>
          <w:rFonts w:cs="Arial"/>
        </w:rPr>
        <w:t xml:space="preserve">Table </w:t>
      </w:r>
      <w:r w:rsidR="00F2067C">
        <w:rPr>
          <w:rFonts w:cs="Arial"/>
          <w:noProof/>
        </w:rPr>
        <w:t>7</w:t>
      </w:r>
      <w:r w:rsidR="00F2067C" w:rsidRPr="005060E0">
        <w:rPr>
          <w:rFonts w:cs="Arial"/>
          <w:noProof/>
        </w:rPr>
        <w:noBreakHyphen/>
      </w:r>
      <w:r w:rsidR="00F2067C">
        <w:rPr>
          <w:rFonts w:cs="Arial"/>
          <w:noProof/>
        </w:rPr>
        <w:t>7</w:t>
      </w:r>
      <w:r w:rsidRPr="005060E0">
        <w:rPr>
          <w:rFonts w:cs="Arial"/>
        </w:rPr>
        <w:fldChar w:fldCharType="end"/>
      </w:r>
      <w:r w:rsidRPr="005060E0">
        <w:rPr>
          <w:rFonts w:cs="Arial"/>
        </w:rPr>
        <w:t xml:space="preserve"> and </w:t>
      </w:r>
      <w:r w:rsidRPr="005060E0">
        <w:rPr>
          <w:rFonts w:cs="Arial"/>
        </w:rPr>
        <w:fldChar w:fldCharType="begin"/>
      </w:r>
      <w:r w:rsidRPr="005060E0">
        <w:rPr>
          <w:rFonts w:cs="Arial"/>
        </w:rPr>
        <w:instrText xml:space="preserve"> REF _Ref507507355 \h  \* MERGEFORMAT </w:instrText>
      </w:r>
      <w:r w:rsidRPr="005060E0">
        <w:rPr>
          <w:rFonts w:cs="Arial"/>
        </w:rPr>
      </w:r>
      <w:r w:rsidRPr="005060E0">
        <w:rPr>
          <w:rFonts w:cs="Arial"/>
        </w:rPr>
        <w:fldChar w:fldCharType="separate"/>
      </w:r>
      <w:r w:rsidR="00F2067C" w:rsidRPr="005060E0">
        <w:rPr>
          <w:rFonts w:cs="Arial"/>
        </w:rPr>
        <w:t xml:space="preserve">Table </w:t>
      </w:r>
      <w:r w:rsidR="00F2067C">
        <w:rPr>
          <w:rFonts w:cs="Arial"/>
          <w:noProof/>
        </w:rPr>
        <w:t>7</w:t>
      </w:r>
      <w:r w:rsidR="00F2067C" w:rsidRPr="005060E0">
        <w:rPr>
          <w:rFonts w:cs="Arial"/>
          <w:noProof/>
        </w:rPr>
        <w:noBreakHyphen/>
      </w:r>
      <w:r w:rsidR="00F2067C">
        <w:rPr>
          <w:rFonts w:cs="Arial"/>
          <w:noProof/>
        </w:rPr>
        <w:t>8</w:t>
      </w:r>
      <w:r w:rsidRPr="005060E0">
        <w:rPr>
          <w:rFonts w:cs="Arial"/>
        </w:rPr>
        <w:fldChar w:fldCharType="end"/>
      </w:r>
      <w:r w:rsidRPr="005060E0">
        <w:rPr>
          <w:rFonts w:cs="Arial"/>
        </w:rPr>
        <w:t xml:space="preserve"> respectively. The corresponding results for Victoria are shown in </w:t>
      </w:r>
      <w:r w:rsidRPr="005060E0">
        <w:rPr>
          <w:rFonts w:cs="Arial"/>
        </w:rPr>
        <w:fldChar w:fldCharType="begin"/>
      </w:r>
      <w:r w:rsidRPr="005060E0">
        <w:rPr>
          <w:rFonts w:cs="Arial"/>
        </w:rPr>
        <w:instrText xml:space="preserve"> REF _Ref507507374 \h  \* MERGEFORMAT </w:instrText>
      </w:r>
      <w:r w:rsidRPr="005060E0">
        <w:rPr>
          <w:rFonts w:cs="Arial"/>
        </w:rPr>
      </w:r>
      <w:r w:rsidRPr="005060E0">
        <w:rPr>
          <w:rFonts w:cs="Arial"/>
        </w:rPr>
        <w:fldChar w:fldCharType="separate"/>
      </w:r>
      <w:r w:rsidR="00F2067C" w:rsidRPr="005060E0">
        <w:rPr>
          <w:rFonts w:cs="Arial"/>
        </w:rPr>
        <w:t xml:space="preserve">Table </w:t>
      </w:r>
      <w:r w:rsidR="00F2067C">
        <w:rPr>
          <w:rFonts w:cs="Arial"/>
          <w:noProof/>
        </w:rPr>
        <w:t>7</w:t>
      </w:r>
      <w:r w:rsidR="00F2067C" w:rsidRPr="005060E0">
        <w:rPr>
          <w:rFonts w:cs="Arial"/>
          <w:noProof/>
        </w:rPr>
        <w:noBreakHyphen/>
      </w:r>
      <w:r w:rsidR="00F2067C">
        <w:rPr>
          <w:rFonts w:cs="Arial"/>
          <w:noProof/>
        </w:rPr>
        <w:t>9</w:t>
      </w:r>
      <w:r w:rsidRPr="005060E0">
        <w:rPr>
          <w:rFonts w:cs="Arial"/>
        </w:rPr>
        <w:fldChar w:fldCharType="end"/>
      </w:r>
      <w:r w:rsidRPr="005060E0">
        <w:rPr>
          <w:rFonts w:cs="Arial"/>
        </w:rPr>
        <w:t xml:space="preserve"> and </w:t>
      </w:r>
      <w:r w:rsidRPr="005060E0">
        <w:rPr>
          <w:rFonts w:cs="Arial"/>
        </w:rPr>
        <w:fldChar w:fldCharType="begin"/>
      </w:r>
      <w:r w:rsidRPr="005060E0">
        <w:rPr>
          <w:rFonts w:cs="Arial"/>
        </w:rPr>
        <w:instrText xml:space="preserve"> REF _Ref507507376 \h  \* MERGEFORMAT </w:instrText>
      </w:r>
      <w:r w:rsidRPr="005060E0">
        <w:rPr>
          <w:rFonts w:cs="Arial"/>
        </w:rPr>
      </w:r>
      <w:r w:rsidRPr="005060E0">
        <w:rPr>
          <w:rFonts w:cs="Arial"/>
        </w:rPr>
        <w:fldChar w:fldCharType="separate"/>
      </w:r>
      <w:r w:rsidR="00F2067C" w:rsidRPr="005060E0">
        <w:rPr>
          <w:rFonts w:cs="Arial"/>
        </w:rPr>
        <w:t xml:space="preserve">Table </w:t>
      </w:r>
      <w:r w:rsidR="00F2067C">
        <w:rPr>
          <w:rFonts w:cs="Arial"/>
          <w:noProof/>
        </w:rPr>
        <w:t>7</w:t>
      </w:r>
      <w:r w:rsidR="00F2067C" w:rsidRPr="005060E0">
        <w:rPr>
          <w:rFonts w:cs="Arial"/>
          <w:noProof/>
        </w:rPr>
        <w:noBreakHyphen/>
      </w:r>
      <w:r w:rsidR="00F2067C">
        <w:rPr>
          <w:rFonts w:cs="Arial"/>
          <w:noProof/>
        </w:rPr>
        <w:t>10</w:t>
      </w:r>
      <w:r w:rsidRPr="005060E0">
        <w:rPr>
          <w:rFonts w:cs="Arial"/>
        </w:rPr>
        <w:fldChar w:fldCharType="end"/>
      </w:r>
      <w:r w:rsidR="00844B36" w:rsidRPr="005060E0">
        <w:rPr>
          <w:rFonts w:cs="Arial"/>
        </w:rPr>
        <w:t xml:space="preserve">. </w:t>
      </w:r>
      <w:r w:rsidR="00AA0AD8" w:rsidRPr="005060E0">
        <w:rPr>
          <w:rFonts w:cs="Arial"/>
        </w:rPr>
        <w:t>There were exceedances of the 40 ppb standard, but only in Sydney and Newcastle.</w:t>
      </w:r>
    </w:p>
    <w:p w14:paraId="65F62D85" w14:textId="77777777" w:rsidR="00AA0AD8" w:rsidRPr="005060E0" w:rsidRDefault="00AA0AD8" w:rsidP="00AA0AD8">
      <w:pPr>
        <w:pStyle w:val="ListBullet"/>
        <w:numPr>
          <w:ilvl w:val="0"/>
          <w:numId w:val="0"/>
        </w:numPr>
        <w:rPr>
          <w:rFonts w:cs="Arial"/>
        </w:rPr>
      </w:pPr>
      <w:r w:rsidRPr="005060E0">
        <w:rPr>
          <w:rFonts w:cs="Arial"/>
        </w:rPr>
        <w:t>The Abatement Package was predicted to slightly reduce the number of exceedances in Newcastle in 2031 and 2040.</w:t>
      </w:r>
    </w:p>
    <w:p w14:paraId="631D09EC" w14:textId="77777777" w:rsidR="00C521A0" w:rsidRDefault="00C521A0" w:rsidP="0016386C">
      <w:pPr>
        <w:rPr>
          <w:rFonts w:cs="Arial"/>
        </w:rPr>
      </w:pPr>
    </w:p>
    <w:p w14:paraId="6BBF2FB1" w14:textId="6060229F" w:rsidR="00954940" w:rsidRPr="005060E0" w:rsidRDefault="00954940" w:rsidP="0016386C">
      <w:pPr>
        <w:rPr>
          <w:rFonts w:cs="Arial"/>
        </w:rPr>
        <w:sectPr w:rsidR="00954940" w:rsidRPr="005060E0" w:rsidSect="00C521A0">
          <w:headerReference w:type="default" r:id="rId29"/>
          <w:pgSz w:w="11906" w:h="16838"/>
          <w:pgMar w:top="1418" w:right="1133" w:bottom="1560" w:left="1134" w:header="709" w:footer="0" w:gutter="0"/>
          <w:cols w:space="708"/>
          <w:docGrid w:linePitch="360"/>
        </w:sectPr>
      </w:pPr>
    </w:p>
    <w:p w14:paraId="35C8D07C" w14:textId="7A5054EB" w:rsidR="005C2AB3" w:rsidRPr="005060E0" w:rsidRDefault="005C2AB3" w:rsidP="005C2AB3">
      <w:pPr>
        <w:pStyle w:val="PBTablecaption"/>
        <w:rPr>
          <w:rFonts w:eastAsia="Arial" w:cs="Arial"/>
        </w:rPr>
      </w:pPr>
      <w:bookmarkStart w:id="172" w:name="_Ref507507353"/>
      <w:r w:rsidRPr="005060E0">
        <w:rPr>
          <w:rFonts w:cs="Arial"/>
        </w:rPr>
        <w:t xml:space="preserve">Table </w:t>
      </w:r>
      <w:r w:rsidRPr="005060E0">
        <w:rPr>
          <w:rFonts w:cs="Arial"/>
        </w:rPr>
        <w:fldChar w:fldCharType="begin"/>
      </w:r>
      <w:r w:rsidRPr="005060E0">
        <w:rPr>
          <w:rFonts w:cs="Arial"/>
        </w:rPr>
        <w:instrText xml:space="preserve"> STYLEREF 1 \s </w:instrText>
      </w:r>
      <w:r w:rsidRPr="005060E0">
        <w:rPr>
          <w:rFonts w:cs="Arial"/>
        </w:rPr>
        <w:fldChar w:fldCharType="separate"/>
      </w:r>
      <w:r w:rsidR="00F2067C">
        <w:rPr>
          <w:rFonts w:cs="Arial"/>
          <w:noProof/>
        </w:rPr>
        <w:t>7</w:t>
      </w:r>
      <w:r w:rsidRPr="005060E0">
        <w:rPr>
          <w:rFonts w:cs="Arial"/>
          <w:noProof/>
        </w:rPr>
        <w:fldChar w:fldCharType="end"/>
      </w:r>
      <w:r w:rsidRPr="005060E0">
        <w:rPr>
          <w:rFonts w:cs="Arial"/>
        </w:rPr>
        <w:noBreakHyphen/>
      </w:r>
      <w:r w:rsidRPr="005060E0">
        <w:rPr>
          <w:rFonts w:cs="Arial"/>
        </w:rPr>
        <w:fldChar w:fldCharType="begin"/>
      </w:r>
      <w:r w:rsidRPr="005060E0">
        <w:rPr>
          <w:rFonts w:cs="Arial"/>
        </w:rPr>
        <w:instrText xml:space="preserve"> SEQ Table \* ARABIC \s 1 </w:instrText>
      </w:r>
      <w:r w:rsidRPr="005060E0">
        <w:rPr>
          <w:rFonts w:cs="Arial"/>
        </w:rPr>
        <w:fldChar w:fldCharType="separate"/>
      </w:r>
      <w:r w:rsidR="00F2067C">
        <w:rPr>
          <w:rFonts w:cs="Arial"/>
          <w:noProof/>
        </w:rPr>
        <w:t>7</w:t>
      </w:r>
      <w:r w:rsidRPr="005060E0">
        <w:rPr>
          <w:rFonts w:cs="Arial"/>
          <w:noProof/>
        </w:rPr>
        <w:fldChar w:fldCharType="end"/>
      </w:r>
      <w:bookmarkEnd w:id="172"/>
      <w:r w:rsidRPr="005060E0">
        <w:rPr>
          <w:rFonts w:cs="Arial"/>
        </w:rPr>
        <w:t>: Projected</w:t>
      </w:r>
      <w:r w:rsidR="00CE5917" w:rsidRPr="005060E0">
        <w:rPr>
          <w:rFonts w:eastAsia="Arial" w:cs="Arial"/>
        </w:rPr>
        <w:t xml:space="preserve"> exceedances of current and proposed</w:t>
      </w:r>
      <w:r w:rsidRPr="005060E0">
        <w:rPr>
          <w:rFonts w:eastAsia="Arial" w:cs="Arial"/>
        </w:rPr>
        <w:t xml:space="preserve"> NO</w:t>
      </w:r>
      <w:r w:rsidRPr="005060E0">
        <w:rPr>
          <w:rFonts w:eastAsia="Arial" w:cs="Arial"/>
          <w:vertAlign w:val="subscript"/>
        </w:rPr>
        <w:t>2</w:t>
      </w:r>
      <w:r w:rsidRPr="005060E0">
        <w:rPr>
          <w:rFonts w:eastAsia="Arial" w:cs="Arial"/>
        </w:rPr>
        <w:t xml:space="preserve"> standards (BAU scenario, NSW)</w:t>
      </w:r>
    </w:p>
    <w:tbl>
      <w:tblPr>
        <w:tblStyle w:val="ListTable3-Accent17"/>
        <w:tblW w:w="14029" w:type="dxa"/>
        <w:jc w:val="center"/>
        <w:tblLayout w:type="fixed"/>
        <w:tblLook w:val="04A0" w:firstRow="1" w:lastRow="0" w:firstColumn="1" w:lastColumn="0" w:noHBand="0" w:noVBand="1"/>
      </w:tblPr>
      <w:tblGrid>
        <w:gridCol w:w="846"/>
        <w:gridCol w:w="850"/>
        <w:gridCol w:w="567"/>
        <w:gridCol w:w="851"/>
        <w:gridCol w:w="850"/>
        <w:gridCol w:w="851"/>
        <w:gridCol w:w="709"/>
        <w:gridCol w:w="850"/>
        <w:gridCol w:w="851"/>
        <w:gridCol w:w="850"/>
        <w:gridCol w:w="709"/>
        <w:gridCol w:w="709"/>
        <w:gridCol w:w="708"/>
        <w:gridCol w:w="851"/>
        <w:gridCol w:w="850"/>
        <w:gridCol w:w="709"/>
        <w:gridCol w:w="709"/>
        <w:gridCol w:w="709"/>
      </w:tblGrid>
      <w:tr w:rsidR="005C2AB3" w:rsidRPr="005060E0" w14:paraId="650ADF31" w14:textId="77777777" w:rsidTr="00D35C2D">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100" w:firstRow="0" w:lastRow="0" w:firstColumn="1" w:lastColumn="0" w:oddVBand="0" w:evenVBand="0" w:oddHBand="0" w:evenHBand="0" w:firstRowFirstColumn="1" w:firstRowLastColumn="0" w:lastRowFirstColumn="0" w:lastRowLastColumn="0"/>
            <w:tcW w:w="846" w:type="dxa"/>
            <w:vMerge w:val="restar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73F3003B" w14:textId="77777777" w:rsidR="005C2AB3" w:rsidRPr="005060E0" w:rsidRDefault="005C2AB3" w:rsidP="007A3B2D">
            <w:pPr>
              <w:widowControl w:val="0"/>
              <w:spacing w:after="0" w:line="240" w:lineRule="auto"/>
              <w:jc w:val="center"/>
              <w:rPr>
                <w:rFonts w:cs="Arial"/>
                <w:b w:val="0"/>
                <w:color w:val="FFFFFF" w:themeColor="background1"/>
                <w:sz w:val="15"/>
                <w:szCs w:val="15"/>
              </w:rPr>
            </w:pPr>
            <w:r w:rsidRPr="005060E0">
              <w:rPr>
                <w:rFonts w:cs="Arial"/>
                <w:b w:val="0"/>
                <w:color w:val="FFFFFF" w:themeColor="background1"/>
                <w:sz w:val="15"/>
                <w:szCs w:val="15"/>
              </w:rPr>
              <w:t>Period</w:t>
            </w:r>
          </w:p>
        </w:tc>
        <w:tc>
          <w:tcPr>
            <w:tcW w:w="850" w:type="dxa"/>
            <w:vMerge w:val="restar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4C5CD9CF"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Standard (ppb)</w:t>
            </w:r>
          </w:p>
        </w:tc>
        <w:tc>
          <w:tcPr>
            <w:tcW w:w="567" w:type="dxa"/>
            <w:vMerge w:val="restar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211CB623" w14:textId="77777777" w:rsidR="005C2AB3" w:rsidRPr="005060E0" w:rsidRDefault="005C2AB3" w:rsidP="007A3B2D">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p>
        </w:tc>
        <w:tc>
          <w:tcPr>
            <w:tcW w:w="4111" w:type="dxa"/>
            <w:gridSpan w:val="5"/>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658431AE" w14:textId="77777777" w:rsidR="005C2AB3" w:rsidRPr="005060E0" w:rsidRDefault="005C2AB3" w:rsidP="007A3B2D">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NSW: Sydney</w:t>
            </w:r>
          </w:p>
        </w:tc>
        <w:tc>
          <w:tcPr>
            <w:tcW w:w="3827" w:type="dxa"/>
            <w:gridSpan w:val="5"/>
            <w:tcBorders>
              <w:top w:val="single" w:sz="4" w:space="0" w:color="606072"/>
              <w:left w:val="single" w:sz="4" w:space="0" w:color="606072"/>
              <w:bottom w:val="single" w:sz="4" w:space="0" w:color="606072"/>
              <w:right w:val="single" w:sz="4" w:space="0" w:color="606072"/>
            </w:tcBorders>
            <w:shd w:val="clear" w:color="auto" w:fill="606072"/>
            <w:vAlign w:val="center"/>
          </w:tcPr>
          <w:p w14:paraId="1B72DFAB" w14:textId="77777777" w:rsidR="005C2AB3" w:rsidRPr="005060E0" w:rsidRDefault="005C2AB3" w:rsidP="007A3B2D">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NSW: Newcastle</w:t>
            </w:r>
          </w:p>
        </w:tc>
        <w:tc>
          <w:tcPr>
            <w:tcW w:w="3828" w:type="dxa"/>
            <w:gridSpan w:val="5"/>
            <w:tcBorders>
              <w:top w:val="single" w:sz="4" w:space="0" w:color="606072"/>
              <w:left w:val="single" w:sz="4" w:space="0" w:color="606072"/>
              <w:bottom w:val="single" w:sz="4" w:space="0" w:color="606072"/>
              <w:right w:val="single" w:sz="4" w:space="0" w:color="606072"/>
            </w:tcBorders>
            <w:shd w:val="clear" w:color="auto" w:fill="606072"/>
            <w:vAlign w:val="center"/>
          </w:tcPr>
          <w:p w14:paraId="20FB557A" w14:textId="77777777" w:rsidR="005C2AB3" w:rsidRPr="005060E0" w:rsidRDefault="005C2AB3" w:rsidP="007A3B2D">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NSW: Wollongong</w:t>
            </w:r>
          </w:p>
        </w:tc>
      </w:tr>
      <w:tr w:rsidR="00BF7BF2" w:rsidRPr="005060E0" w14:paraId="42EC02DE" w14:textId="77777777" w:rsidTr="00D35C2D">
        <w:tblPrEx>
          <w:tblBorders>
            <w:top w:val="single" w:sz="2" w:space="0" w:color="0076C0"/>
            <w:left w:val="single" w:sz="2" w:space="0" w:color="0076C0"/>
            <w:bottom w:val="single" w:sz="2" w:space="0" w:color="0076C0"/>
            <w:right w:val="single" w:sz="2" w:space="0" w:color="0076C0"/>
          </w:tblBorders>
          <w:tblCellMar>
            <w:left w:w="41" w:type="dxa"/>
            <w:right w:w="41" w:type="dxa"/>
          </w:tblCellMar>
        </w:tblPrEx>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100" w:firstRow="0" w:lastRow="0" w:firstColumn="1" w:lastColumn="0" w:oddVBand="0" w:evenVBand="0" w:oddHBand="0" w:evenHBand="0" w:firstRowFirstColumn="1" w:firstRowLastColumn="0" w:lastRowFirstColumn="0" w:lastRowLastColumn="0"/>
            <w:tcW w:w="846" w:type="dxa"/>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6D214BA4" w14:textId="77777777" w:rsidR="005C2AB3" w:rsidRPr="005060E0" w:rsidRDefault="005C2AB3" w:rsidP="007A3B2D">
            <w:pPr>
              <w:widowControl w:val="0"/>
              <w:spacing w:after="0" w:line="240" w:lineRule="auto"/>
              <w:rPr>
                <w:rFonts w:cs="Arial"/>
                <w:b w:val="0"/>
                <w:color w:val="FFFFFF" w:themeColor="background1"/>
                <w:sz w:val="15"/>
                <w:szCs w:val="15"/>
              </w:rPr>
            </w:pPr>
          </w:p>
        </w:tc>
        <w:tc>
          <w:tcPr>
            <w:tcW w:w="850" w:type="dxa"/>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315FC18C" w14:textId="77777777" w:rsidR="005C2AB3" w:rsidRPr="005060E0" w:rsidRDefault="005C2AB3" w:rsidP="007A3B2D">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p>
        </w:tc>
        <w:tc>
          <w:tcPr>
            <w:tcW w:w="567" w:type="dxa"/>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4190F226"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p>
        </w:tc>
        <w:tc>
          <w:tcPr>
            <w:tcW w:w="851" w:type="dxa"/>
            <w:tcBorders>
              <w:top w:val="single" w:sz="4" w:space="0" w:color="606072"/>
              <w:left w:val="single" w:sz="4" w:space="0" w:color="606072"/>
              <w:bottom w:val="single" w:sz="4" w:space="0" w:color="606072"/>
              <w:right w:val="single" w:sz="4" w:space="0" w:color="606072"/>
            </w:tcBorders>
            <w:shd w:val="clear" w:color="auto" w:fill="828284" w:themeFill="text1" w:themeFillTint="A6"/>
            <w:tcMar>
              <w:left w:w="28" w:type="dxa"/>
              <w:right w:w="28" w:type="dxa"/>
            </w:tcMar>
            <w:vAlign w:val="center"/>
          </w:tcPr>
          <w:p w14:paraId="70A670EC"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i/>
                <w:color w:val="FFFFFF" w:themeColor="background1"/>
                <w:sz w:val="15"/>
                <w:szCs w:val="15"/>
              </w:rPr>
            </w:pPr>
            <w:r w:rsidRPr="005060E0">
              <w:rPr>
                <w:rFonts w:cs="Arial"/>
                <w:b w:val="0"/>
                <w:i/>
                <w:color w:val="FFFFFF" w:themeColor="background1"/>
                <w:sz w:val="15"/>
                <w:szCs w:val="15"/>
              </w:rPr>
              <w:t>Measured</w:t>
            </w:r>
          </w:p>
        </w:tc>
        <w:tc>
          <w:tcPr>
            <w:tcW w:w="3260" w:type="dxa"/>
            <w:gridSpan w:val="4"/>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3C46F4C3" w14:textId="41468A6A" w:rsidR="005C2AB3" w:rsidRPr="005060E0" w:rsidRDefault="00CE5917"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Projected</w:t>
            </w:r>
          </w:p>
        </w:tc>
        <w:tc>
          <w:tcPr>
            <w:tcW w:w="851" w:type="dxa"/>
            <w:tcBorders>
              <w:top w:val="single" w:sz="4" w:space="0" w:color="606072"/>
              <w:left w:val="single" w:sz="4" w:space="0" w:color="606072"/>
              <w:bottom w:val="single" w:sz="4" w:space="0" w:color="606072"/>
              <w:right w:val="single" w:sz="4" w:space="0" w:color="606072"/>
            </w:tcBorders>
            <w:shd w:val="clear" w:color="auto" w:fill="828284" w:themeFill="text1" w:themeFillTint="A6"/>
            <w:tcMar>
              <w:left w:w="28" w:type="dxa"/>
              <w:right w:w="28" w:type="dxa"/>
            </w:tcMar>
            <w:vAlign w:val="center"/>
          </w:tcPr>
          <w:p w14:paraId="0928AD64"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i/>
                <w:color w:val="FFFFFF" w:themeColor="background1"/>
                <w:sz w:val="15"/>
                <w:szCs w:val="15"/>
              </w:rPr>
            </w:pPr>
            <w:r w:rsidRPr="005060E0">
              <w:rPr>
                <w:rFonts w:cs="Arial"/>
                <w:b w:val="0"/>
                <w:i/>
                <w:color w:val="FFFFFF" w:themeColor="background1"/>
                <w:sz w:val="15"/>
                <w:szCs w:val="15"/>
              </w:rPr>
              <w:t>Measured</w:t>
            </w:r>
          </w:p>
        </w:tc>
        <w:tc>
          <w:tcPr>
            <w:tcW w:w="2976" w:type="dxa"/>
            <w:gridSpan w:val="4"/>
            <w:tcBorders>
              <w:top w:val="single" w:sz="4" w:space="0" w:color="606072"/>
              <w:left w:val="single" w:sz="4" w:space="0" w:color="606072"/>
              <w:bottom w:val="single" w:sz="4" w:space="0" w:color="606072"/>
              <w:right w:val="single" w:sz="4" w:space="0" w:color="606072"/>
            </w:tcBorders>
            <w:shd w:val="clear" w:color="auto" w:fill="606072"/>
            <w:vAlign w:val="center"/>
          </w:tcPr>
          <w:p w14:paraId="789092EB" w14:textId="6F5F47C7" w:rsidR="005C2AB3" w:rsidRPr="005060E0" w:rsidRDefault="00CE5917"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Projected</w:t>
            </w:r>
          </w:p>
        </w:tc>
        <w:tc>
          <w:tcPr>
            <w:tcW w:w="851" w:type="dxa"/>
            <w:tcBorders>
              <w:top w:val="single" w:sz="4" w:space="0" w:color="606072"/>
              <w:left w:val="single" w:sz="4" w:space="0" w:color="606072"/>
              <w:bottom w:val="single" w:sz="4" w:space="0" w:color="606072"/>
              <w:right w:val="single" w:sz="4" w:space="0" w:color="606072"/>
            </w:tcBorders>
            <w:shd w:val="clear" w:color="auto" w:fill="828284" w:themeFill="text1" w:themeFillTint="A6"/>
            <w:tcMar>
              <w:left w:w="28" w:type="dxa"/>
              <w:right w:w="28" w:type="dxa"/>
            </w:tcMar>
            <w:vAlign w:val="center"/>
          </w:tcPr>
          <w:p w14:paraId="5D61270C"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i/>
                <w:color w:val="FFFFFF" w:themeColor="background1"/>
                <w:sz w:val="15"/>
                <w:szCs w:val="15"/>
              </w:rPr>
            </w:pPr>
            <w:r w:rsidRPr="005060E0">
              <w:rPr>
                <w:rFonts w:cs="Arial"/>
                <w:b w:val="0"/>
                <w:i/>
                <w:color w:val="FFFFFF" w:themeColor="background1"/>
                <w:sz w:val="15"/>
                <w:szCs w:val="15"/>
              </w:rPr>
              <w:t>Measured</w:t>
            </w:r>
          </w:p>
        </w:tc>
        <w:tc>
          <w:tcPr>
            <w:tcW w:w="2977" w:type="dxa"/>
            <w:gridSpan w:val="4"/>
            <w:tcBorders>
              <w:top w:val="single" w:sz="4" w:space="0" w:color="606072"/>
              <w:left w:val="single" w:sz="4" w:space="0" w:color="606072"/>
              <w:bottom w:val="single" w:sz="4" w:space="0" w:color="606072"/>
              <w:right w:val="single" w:sz="4" w:space="0" w:color="606072"/>
            </w:tcBorders>
            <w:shd w:val="clear" w:color="auto" w:fill="606072"/>
            <w:vAlign w:val="center"/>
          </w:tcPr>
          <w:p w14:paraId="7323E3ED" w14:textId="27A2C50F" w:rsidR="005C2AB3" w:rsidRPr="005060E0" w:rsidRDefault="00CE5917"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Projected</w:t>
            </w:r>
          </w:p>
        </w:tc>
      </w:tr>
      <w:tr w:rsidR="007F77AB" w:rsidRPr="005060E0" w14:paraId="184213D6" w14:textId="77777777" w:rsidTr="00D35C2D">
        <w:tblPrEx>
          <w:tblBorders>
            <w:top w:val="single" w:sz="2" w:space="0" w:color="0076C0"/>
            <w:left w:val="single" w:sz="2" w:space="0" w:color="0076C0"/>
            <w:bottom w:val="single" w:sz="2" w:space="0" w:color="0076C0"/>
            <w:right w:val="single" w:sz="2" w:space="0" w:color="0076C0"/>
          </w:tblBorders>
          <w:tblCellMar>
            <w:left w:w="41" w:type="dxa"/>
            <w:right w:w="41" w:type="dxa"/>
          </w:tblCellMar>
        </w:tblPrEx>
        <w:trPr>
          <w:cnfStyle w:val="100000000000" w:firstRow="1" w:lastRow="0" w:firstColumn="0" w:lastColumn="0" w:oddVBand="0" w:evenVBand="0" w:oddHBand="0" w:evenHBand="0" w:firstRowFirstColumn="0" w:firstRowLastColumn="0" w:lastRowFirstColumn="0" w:lastRowLastColumn="0"/>
          <w:trHeight w:val="817"/>
          <w:tblHeader/>
          <w:jc w:val="center"/>
        </w:trPr>
        <w:tc>
          <w:tcPr>
            <w:cnfStyle w:val="001000000100" w:firstRow="0" w:lastRow="0" w:firstColumn="1" w:lastColumn="0" w:oddVBand="0" w:evenVBand="0" w:oddHBand="0" w:evenHBand="0" w:firstRowFirstColumn="1" w:firstRowLastColumn="0" w:lastRowFirstColumn="0" w:lastRowLastColumn="0"/>
            <w:tcW w:w="846" w:type="dxa"/>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7336DD94" w14:textId="77777777" w:rsidR="005C2AB3" w:rsidRPr="005060E0" w:rsidRDefault="005C2AB3" w:rsidP="007A3B2D">
            <w:pPr>
              <w:widowControl w:val="0"/>
              <w:spacing w:after="0" w:line="240" w:lineRule="auto"/>
              <w:rPr>
                <w:rFonts w:cs="Arial"/>
                <w:b w:val="0"/>
                <w:color w:val="FFFFFF" w:themeColor="background1"/>
                <w:sz w:val="15"/>
                <w:szCs w:val="15"/>
              </w:rPr>
            </w:pPr>
          </w:p>
        </w:tc>
        <w:tc>
          <w:tcPr>
            <w:tcW w:w="850" w:type="dxa"/>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1ADF7C4A" w14:textId="77777777" w:rsidR="005C2AB3" w:rsidRPr="005060E0" w:rsidRDefault="005C2AB3" w:rsidP="007A3B2D">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p>
        </w:tc>
        <w:tc>
          <w:tcPr>
            <w:tcW w:w="567" w:type="dxa"/>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0AAFF0BD"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p>
        </w:tc>
        <w:tc>
          <w:tcPr>
            <w:tcW w:w="851" w:type="dxa"/>
            <w:tcBorders>
              <w:top w:val="single" w:sz="4" w:space="0" w:color="606072"/>
              <w:left w:val="single" w:sz="4" w:space="0" w:color="606072"/>
              <w:bottom w:val="single" w:sz="4" w:space="0" w:color="606072"/>
              <w:right w:val="single" w:sz="4" w:space="0" w:color="606072"/>
            </w:tcBorders>
            <w:shd w:val="clear" w:color="auto" w:fill="808080" w:themeFill="background1" w:themeFillShade="80"/>
            <w:tcMar>
              <w:left w:w="28" w:type="dxa"/>
              <w:right w:w="28" w:type="dxa"/>
            </w:tcMar>
            <w:vAlign w:val="center"/>
          </w:tcPr>
          <w:p w14:paraId="1AB32B93" w14:textId="36D08DDD"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i/>
                <w:color w:val="FFFFFF" w:themeColor="background1"/>
                <w:sz w:val="15"/>
                <w:szCs w:val="15"/>
              </w:rPr>
            </w:pPr>
            <w:r w:rsidRPr="005060E0">
              <w:rPr>
                <w:rFonts w:cs="Arial"/>
                <w:b w:val="0"/>
                <w:i/>
                <w:color w:val="FFFFFF" w:themeColor="background1"/>
                <w:sz w:val="15"/>
                <w:szCs w:val="15"/>
              </w:rPr>
              <w:t>2010</w:t>
            </w:r>
            <w:r w:rsidR="00954940">
              <w:rPr>
                <w:rFonts w:cs="Arial"/>
                <w:b w:val="0"/>
                <w:i/>
                <w:color w:val="FFFFFF" w:themeColor="background1"/>
                <w:sz w:val="15"/>
                <w:szCs w:val="15"/>
              </w:rPr>
              <w:t>–</w:t>
            </w:r>
          </w:p>
          <w:p w14:paraId="669B609F" w14:textId="47BCEE37" w:rsidR="005C2AB3" w:rsidRPr="005060E0" w:rsidRDefault="004D2712"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i/>
                <w:color w:val="FFFFFF" w:themeColor="background1"/>
                <w:sz w:val="15"/>
                <w:szCs w:val="15"/>
              </w:rPr>
            </w:pPr>
            <w:r w:rsidRPr="005060E0">
              <w:rPr>
                <w:rFonts w:cs="Arial"/>
                <w:b w:val="0"/>
                <w:i/>
                <w:color w:val="FFFFFF" w:themeColor="background1"/>
                <w:sz w:val="15"/>
                <w:szCs w:val="15"/>
              </w:rPr>
              <w:t>2014 annual</w:t>
            </w:r>
            <w:r w:rsidR="005C2AB3" w:rsidRPr="005060E0">
              <w:rPr>
                <w:rFonts w:cs="Arial"/>
                <w:b w:val="0"/>
                <w:i/>
                <w:color w:val="FFFFFF" w:themeColor="background1"/>
                <w:sz w:val="15"/>
                <w:szCs w:val="15"/>
              </w:rPr>
              <w:t xml:space="preserve"> average</w:t>
            </w:r>
            <w:r w:rsidR="005C2AB3" w:rsidRPr="005060E0">
              <w:rPr>
                <w:rFonts w:cs="Arial"/>
                <w:b w:val="0"/>
                <w:i/>
                <w:color w:val="FFFFFF" w:themeColor="background1"/>
                <w:sz w:val="15"/>
                <w:szCs w:val="15"/>
                <w:vertAlign w:val="superscript"/>
              </w:rPr>
              <w:t>(a)</w:t>
            </w:r>
          </w:p>
        </w:tc>
        <w:tc>
          <w:tcPr>
            <w:tcW w:w="850" w:type="dxa"/>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71D692C5"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2016</w:t>
            </w:r>
          </w:p>
        </w:tc>
        <w:tc>
          <w:tcPr>
            <w:tcW w:w="851" w:type="dxa"/>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4FC975B1"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2021</w:t>
            </w:r>
          </w:p>
        </w:tc>
        <w:tc>
          <w:tcPr>
            <w:tcW w:w="709" w:type="dxa"/>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7EB4F751"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2031</w:t>
            </w:r>
          </w:p>
        </w:tc>
        <w:tc>
          <w:tcPr>
            <w:tcW w:w="850" w:type="dxa"/>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7F80CD77"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2040</w:t>
            </w:r>
          </w:p>
        </w:tc>
        <w:tc>
          <w:tcPr>
            <w:tcW w:w="851" w:type="dxa"/>
            <w:tcBorders>
              <w:top w:val="single" w:sz="4" w:space="0" w:color="606072"/>
              <w:left w:val="single" w:sz="4" w:space="0" w:color="606072"/>
              <w:bottom w:val="single" w:sz="4" w:space="0" w:color="606072"/>
              <w:right w:val="single" w:sz="4" w:space="0" w:color="606072"/>
            </w:tcBorders>
            <w:shd w:val="clear" w:color="auto" w:fill="808080" w:themeFill="background1" w:themeFillShade="80"/>
            <w:tcMar>
              <w:left w:w="28" w:type="dxa"/>
              <w:right w:w="28" w:type="dxa"/>
            </w:tcMar>
            <w:vAlign w:val="center"/>
          </w:tcPr>
          <w:p w14:paraId="0B5755EE" w14:textId="025B2B14"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i/>
                <w:color w:val="FFFFFF" w:themeColor="background1"/>
                <w:sz w:val="15"/>
                <w:szCs w:val="15"/>
              </w:rPr>
            </w:pPr>
            <w:r w:rsidRPr="005060E0">
              <w:rPr>
                <w:rFonts w:cs="Arial"/>
                <w:b w:val="0"/>
                <w:i/>
                <w:color w:val="FFFFFF" w:themeColor="background1"/>
                <w:sz w:val="15"/>
                <w:szCs w:val="15"/>
              </w:rPr>
              <w:t>2010</w:t>
            </w:r>
            <w:r w:rsidR="00954940">
              <w:rPr>
                <w:rFonts w:cs="Arial"/>
                <w:b w:val="0"/>
                <w:i/>
                <w:color w:val="FFFFFF" w:themeColor="background1"/>
                <w:sz w:val="15"/>
                <w:szCs w:val="15"/>
              </w:rPr>
              <w:t>–</w:t>
            </w:r>
          </w:p>
          <w:p w14:paraId="30883D24"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i/>
                <w:color w:val="FFFFFF" w:themeColor="background1"/>
                <w:sz w:val="15"/>
                <w:szCs w:val="15"/>
              </w:rPr>
            </w:pPr>
            <w:r w:rsidRPr="005060E0">
              <w:rPr>
                <w:rFonts w:cs="Arial"/>
                <w:b w:val="0"/>
                <w:i/>
                <w:color w:val="FFFFFF" w:themeColor="background1"/>
                <w:sz w:val="15"/>
                <w:szCs w:val="15"/>
              </w:rPr>
              <w:t>2014</w:t>
            </w:r>
          </w:p>
          <w:p w14:paraId="759E51F6" w14:textId="3A982062" w:rsidR="005C2AB3" w:rsidRPr="005060E0" w:rsidRDefault="004D2712"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i/>
                <w:color w:val="FFFFFF" w:themeColor="background1"/>
                <w:sz w:val="15"/>
                <w:szCs w:val="15"/>
              </w:rPr>
            </w:pPr>
            <w:r w:rsidRPr="005060E0">
              <w:rPr>
                <w:rFonts w:cs="Arial"/>
                <w:b w:val="0"/>
                <w:i/>
                <w:color w:val="FFFFFF" w:themeColor="background1"/>
                <w:sz w:val="15"/>
                <w:szCs w:val="15"/>
              </w:rPr>
              <w:t>annual</w:t>
            </w:r>
            <w:r w:rsidR="005C2AB3" w:rsidRPr="005060E0">
              <w:rPr>
                <w:rFonts w:cs="Arial"/>
                <w:b w:val="0"/>
                <w:i/>
                <w:color w:val="FFFFFF" w:themeColor="background1"/>
                <w:sz w:val="15"/>
                <w:szCs w:val="15"/>
              </w:rPr>
              <w:t xml:space="preserve"> average</w:t>
            </w:r>
            <w:r w:rsidR="005C2AB3" w:rsidRPr="005060E0">
              <w:rPr>
                <w:rFonts w:cs="Arial"/>
                <w:b w:val="0"/>
                <w:i/>
                <w:color w:val="FFFFFF" w:themeColor="background1"/>
                <w:sz w:val="15"/>
                <w:szCs w:val="15"/>
                <w:vertAlign w:val="superscript"/>
              </w:rPr>
              <w:t>(a)</w:t>
            </w:r>
          </w:p>
        </w:tc>
        <w:tc>
          <w:tcPr>
            <w:tcW w:w="850"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55BB39EF"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2016</w:t>
            </w:r>
          </w:p>
        </w:tc>
        <w:tc>
          <w:tcPr>
            <w:tcW w:w="709" w:type="dxa"/>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0AAA7180"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2021</w:t>
            </w:r>
          </w:p>
        </w:tc>
        <w:tc>
          <w:tcPr>
            <w:tcW w:w="709" w:type="dxa"/>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47D0EFA6"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2031</w:t>
            </w:r>
          </w:p>
        </w:tc>
        <w:tc>
          <w:tcPr>
            <w:tcW w:w="708" w:type="dxa"/>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35869D54"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2040</w:t>
            </w:r>
          </w:p>
        </w:tc>
        <w:tc>
          <w:tcPr>
            <w:tcW w:w="851" w:type="dxa"/>
            <w:tcBorders>
              <w:top w:val="single" w:sz="4" w:space="0" w:color="606072"/>
              <w:left w:val="single" w:sz="4" w:space="0" w:color="606072"/>
              <w:bottom w:val="single" w:sz="4" w:space="0" w:color="606072"/>
              <w:right w:val="single" w:sz="4" w:space="0" w:color="606072"/>
            </w:tcBorders>
            <w:shd w:val="clear" w:color="auto" w:fill="808080" w:themeFill="background1" w:themeFillShade="80"/>
            <w:tcMar>
              <w:left w:w="28" w:type="dxa"/>
              <w:right w:w="28" w:type="dxa"/>
            </w:tcMar>
            <w:vAlign w:val="center"/>
          </w:tcPr>
          <w:p w14:paraId="084E7A2F" w14:textId="7F805002"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i/>
                <w:color w:val="FFFFFF" w:themeColor="background1"/>
                <w:sz w:val="15"/>
                <w:szCs w:val="15"/>
              </w:rPr>
            </w:pPr>
            <w:r w:rsidRPr="005060E0">
              <w:rPr>
                <w:rFonts w:cs="Arial"/>
                <w:b w:val="0"/>
                <w:bCs w:val="0"/>
                <w:i/>
                <w:color w:val="FFFFFF" w:themeColor="background1"/>
                <w:sz w:val="15"/>
                <w:szCs w:val="15"/>
              </w:rPr>
              <w:t>2010</w:t>
            </w:r>
            <w:r w:rsidR="00954940">
              <w:rPr>
                <w:rFonts w:cs="Arial"/>
                <w:b w:val="0"/>
                <w:bCs w:val="0"/>
                <w:i/>
                <w:color w:val="FFFFFF" w:themeColor="background1"/>
                <w:sz w:val="15"/>
                <w:szCs w:val="15"/>
              </w:rPr>
              <w:t>–</w:t>
            </w:r>
          </w:p>
          <w:p w14:paraId="45B2084F" w14:textId="7810CF89" w:rsidR="005C2AB3" w:rsidRPr="005060E0" w:rsidRDefault="004D2712"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i/>
                <w:color w:val="FFFFFF" w:themeColor="background1"/>
                <w:sz w:val="15"/>
                <w:szCs w:val="15"/>
              </w:rPr>
            </w:pPr>
            <w:r w:rsidRPr="005060E0">
              <w:rPr>
                <w:rFonts w:cs="Arial"/>
                <w:b w:val="0"/>
                <w:bCs w:val="0"/>
                <w:i/>
                <w:color w:val="FFFFFF" w:themeColor="background1"/>
                <w:sz w:val="15"/>
                <w:szCs w:val="15"/>
              </w:rPr>
              <w:t xml:space="preserve">2014 annual </w:t>
            </w:r>
            <w:r w:rsidR="005C2AB3" w:rsidRPr="005060E0">
              <w:rPr>
                <w:rFonts w:cs="Arial"/>
                <w:b w:val="0"/>
                <w:bCs w:val="0"/>
                <w:i/>
                <w:color w:val="FFFFFF" w:themeColor="background1"/>
                <w:sz w:val="15"/>
                <w:szCs w:val="15"/>
              </w:rPr>
              <w:t>average</w:t>
            </w:r>
            <w:r w:rsidR="005C2AB3" w:rsidRPr="005060E0">
              <w:rPr>
                <w:rFonts w:cs="Arial"/>
                <w:b w:val="0"/>
                <w:i/>
                <w:color w:val="FFFFFF" w:themeColor="background1"/>
                <w:sz w:val="15"/>
                <w:szCs w:val="15"/>
                <w:vertAlign w:val="superscript"/>
              </w:rPr>
              <w:t>(a)</w:t>
            </w:r>
          </w:p>
        </w:tc>
        <w:tc>
          <w:tcPr>
            <w:tcW w:w="850"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59F5911E"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2016</w:t>
            </w:r>
          </w:p>
        </w:tc>
        <w:tc>
          <w:tcPr>
            <w:tcW w:w="709" w:type="dxa"/>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3CCD249C"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15"/>
                <w:szCs w:val="15"/>
              </w:rPr>
            </w:pPr>
            <w:r w:rsidRPr="005060E0">
              <w:rPr>
                <w:rFonts w:cs="Arial"/>
                <w:b w:val="0"/>
                <w:color w:val="FFFFFF" w:themeColor="background1"/>
                <w:sz w:val="15"/>
                <w:szCs w:val="15"/>
              </w:rPr>
              <w:t>2021</w:t>
            </w:r>
          </w:p>
        </w:tc>
        <w:tc>
          <w:tcPr>
            <w:tcW w:w="709" w:type="dxa"/>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2502400D"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15"/>
                <w:szCs w:val="15"/>
              </w:rPr>
            </w:pPr>
            <w:r w:rsidRPr="005060E0">
              <w:rPr>
                <w:rFonts w:cs="Arial"/>
                <w:b w:val="0"/>
                <w:color w:val="FFFFFF" w:themeColor="background1"/>
                <w:sz w:val="15"/>
                <w:szCs w:val="15"/>
              </w:rPr>
              <w:t>2031</w:t>
            </w:r>
          </w:p>
        </w:tc>
        <w:tc>
          <w:tcPr>
            <w:tcW w:w="709" w:type="dxa"/>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62600238"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2040</w:t>
            </w:r>
          </w:p>
        </w:tc>
      </w:tr>
      <w:tr w:rsidR="004D2712" w:rsidRPr="005060E0" w14:paraId="6F94AE98" w14:textId="77777777" w:rsidTr="00D35C2D">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1000000000" w:firstRow="0" w:lastRow="0" w:firstColumn="1" w:lastColumn="0" w:oddVBand="0" w:evenVBand="0" w:oddHBand="0" w:evenHBand="0" w:firstRowFirstColumn="0" w:firstRowLastColumn="0" w:lastRowFirstColumn="0" w:lastRowLastColumn="0"/>
            <w:tcW w:w="14029" w:type="dxa"/>
            <w:gridSpan w:val="18"/>
            <w:tcBorders>
              <w:top w:val="single" w:sz="4" w:space="0" w:color="606072"/>
              <w:left w:val="single" w:sz="4" w:space="0" w:color="606072"/>
              <w:bottom w:val="single" w:sz="4" w:space="0" w:color="606072"/>
              <w:right w:val="single" w:sz="4" w:space="0" w:color="606072"/>
            </w:tcBorders>
            <w:shd w:val="clear" w:color="auto" w:fill="BFBFBF" w:themeFill="background1" w:themeFillShade="BF"/>
            <w:tcMar>
              <w:left w:w="28" w:type="dxa"/>
              <w:right w:w="28" w:type="dxa"/>
            </w:tcMar>
            <w:vAlign w:val="center"/>
          </w:tcPr>
          <w:p w14:paraId="740B464B" w14:textId="519F6C47" w:rsidR="004D2712" w:rsidRPr="005060E0" w:rsidRDefault="004D2712" w:rsidP="004D2712">
            <w:pPr>
              <w:widowControl w:val="0"/>
              <w:spacing w:after="0" w:line="240" w:lineRule="auto"/>
              <w:rPr>
                <w:rFonts w:cs="Arial"/>
                <w:b w:val="0"/>
                <w:sz w:val="15"/>
                <w:szCs w:val="15"/>
              </w:rPr>
            </w:pPr>
            <w:r w:rsidRPr="005060E0">
              <w:rPr>
                <w:rFonts w:cs="Arial"/>
                <w:b w:val="0"/>
                <w:sz w:val="15"/>
                <w:szCs w:val="15"/>
              </w:rPr>
              <w:t>Total number of unique exceedance days</w:t>
            </w:r>
          </w:p>
        </w:tc>
      </w:tr>
      <w:tr w:rsidR="007F77AB" w:rsidRPr="005060E0" w14:paraId="6037B926" w14:textId="77777777" w:rsidTr="00D35C2D">
        <w:trPr>
          <w:trHeight w:hRule="exact" w:val="255"/>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39FFA507" w14:textId="77777777" w:rsidR="004D2712" w:rsidRPr="005060E0" w:rsidRDefault="004D2712" w:rsidP="004D2712">
            <w:pPr>
              <w:widowControl w:val="0"/>
              <w:spacing w:after="0" w:line="240" w:lineRule="auto"/>
              <w:jc w:val="center"/>
              <w:rPr>
                <w:rFonts w:cs="Arial"/>
                <w:b w:val="0"/>
                <w:sz w:val="15"/>
                <w:szCs w:val="15"/>
              </w:rPr>
            </w:pPr>
            <w:r w:rsidRPr="005060E0">
              <w:rPr>
                <w:rFonts w:cs="Arial"/>
                <w:b w:val="0"/>
                <w:sz w:val="15"/>
                <w:szCs w:val="15"/>
              </w:rPr>
              <w:t>1-hour</w:t>
            </w:r>
          </w:p>
        </w:tc>
        <w:tc>
          <w:tcPr>
            <w:tcW w:w="850" w:type="dxa"/>
            <w:tcBorders>
              <w:top w:val="single" w:sz="4" w:space="0" w:color="606072"/>
              <w:left w:val="dotted" w:sz="4" w:space="0" w:color="606372" w:themeColor="text2"/>
              <w:bottom w:val="dotted" w:sz="4" w:space="0" w:color="606072"/>
              <w:right w:val="single" w:sz="4" w:space="0" w:color="606372" w:themeColor="text2"/>
            </w:tcBorders>
            <w:shd w:val="clear" w:color="auto" w:fill="DEDFE3" w:themeFill="text2" w:themeFillTint="33"/>
            <w:tcMar>
              <w:left w:w="28" w:type="dxa"/>
              <w:right w:w="28" w:type="dxa"/>
            </w:tcMar>
            <w:vAlign w:val="center"/>
          </w:tcPr>
          <w:p w14:paraId="1F6ABE6F" w14:textId="77777777" w:rsidR="004D2712" w:rsidRPr="005060E0" w:rsidRDefault="004D2712"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40</w:t>
            </w:r>
          </w:p>
        </w:tc>
        <w:tc>
          <w:tcPr>
            <w:tcW w:w="567" w:type="dxa"/>
            <w:tcBorders>
              <w:top w:val="single" w:sz="4" w:space="0" w:color="606072"/>
              <w:left w:val="single" w:sz="4" w:space="0" w:color="606372" w:themeColor="text2"/>
              <w:bottom w:val="nil"/>
              <w:right w:val="single" w:sz="4" w:space="0" w:color="606072"/>
            </w:tcBorders>
            <w:shd w:val="clear" w:color="auto" w:fill="auto"/>
            <w:tcMar>
              <w:left w:w="28" w:type="dxa"/>
              <w:right w:w="28" w:type="dxa"/>
            </w:tcMar>
            <w:vAlign w:val="center"/>
          </w:tcPr>
          <w:p w14:paraId="5D186756" w14:textId="77777777" w:rsidR="004D2712" w:rsidRPr="005060E0" w:rsidRDefault="004D2712"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851" w:type="dxa"/>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0C41453B" w14:textId="77777777" w:rsidR="004D2712" w:rsidRPr="005060E0" w:rsidRDefault="004D2712"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sidRPr="005060E0">
              <w:rPr>
                <w:rFonts w:eastAsia="Times New Roman" w:cs="Arial"/>
                <w:i/>
                <w:color w:val="000000"/>
                <w:sz w:val="15"/>
                <w:szCs w:val="15"/>
                <w:lang w:eastAsia="en-AU"/>
              </w:rPr>
              <w:t>21</w:t>
            </w:r>
          </w:p>
        </w:tc>
        <w:tc>
          <w:tcPr>
            <w:tcW w:w="850" w:type="dxa"/>
            <w:tcBorders>
              <w:top w:val="single" w:sz="4" w:space="0" w:color="606072"/>
              <w:left w:val="dotted" w:sz="4" w:space="0" w:color="606072"/>
              <w:bottom w:val="dotted" w:sz="4" w:space="0" w:color="606072"/>
              <w:right w:val="dotted" w:sz="4" w:space="0" w:color="606072"/>
            </w:tcBorders>
            <w:tcMar>
              <w:left w:w="28" w:type="dxa"/>
              <w:right w:w="28" w:type="dxa"/>
            </w:tcMar>
            <w:vAlign w:val="center"/>
          </w:tcPr>
          <w:p w14:paraId="3F09ACFE" w14:textId="5FA14561" w:rsidR="004D2712" w:rsidRPr="005060E0" w:rsidRDefault="00812125"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6</w:t>
            </w:r>
          </w:p>
        </w:tc>
        <w:tc>
          <w:tcPr>
            <w:tcW w:w="851"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713E6DD4" w14:textId="1C8CDAF9" w:rsidR="004D2712" w:rsidRPr="005060E0" w:rsidRDefault="00812125"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6</w:t>
            </w:r>
          </w:p>
        </w:tc>
        <w:tc>
          <w:tcPr>
            <w:tcW w:w="709"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03084AE4" w14:textId="1CE5F45E" w:rsidR="004D2712" w:rsidRPr="005060E0" w:rsidRDefault="00812125"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6</w:t>
            </w:r>
          </w:p>
        </w:tc>
        <w:tc>
          <w:tcPr>
            <w:tcW w:w="850" w:type="dxa"/>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702DBD74" w14:textId="14120B37" w:rsidR="004D2712" w:rsidRPr="005060E0" w:rsidRDefault="00812125"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6</w:t>
            </w:r>
          </w:p>
        </w:tc>
        <w:tc>
          <w:tcPr>
            <w:tcW w:w="851" w:type="dxa"/>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25CA06ED" w14:textId="77777777" w:rsidR="004D2712" w:rsidRPr="005060E0" w:rsidRDefault="004D2712"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sidRPr="005060E0">
              <w:rPr>
                <w:rFonts w:eastAsia="Times New Roman" w:cs="Arial"/>
                <w:i/>
                <w:color w:val="000000"/>
                <w:sz w:val="15"/>
                <w:szCs w:val="15"/>
                <w:lang w:eastAsia="en-AU"/>
              </w:rPr>
              <w:t>1</w:t>
            </w:r>
          </w:p>
        </w:tc>
        <w:tc>
          <w:tcPr>
            <w:tcW w:w="850" w:type="dxa"/>
            <w:tcBorders>
              <w:top w:val="single" w:sz="4" w:space="0" w:color="606072"/>
              <w:left w:val="dotted" w:sz="4" w:space="0" w:color="606072"/>
              <w:bottom w:val="dotted" w:sz="4" w:space="0" w:color="606072"/>
              <w:right w:val="dotted" w:sz="4" w:space="0" w:color="606072"/>
            </w:tcBorders>
            <w:vAlign w:val="center"/>
          </w:tcPr>
          <w:p w14:paraId="52787F59" w14:textId="0E52E571" w:rsidR="004D2712" w:rsidRPr="005060E0" w:rsidRDefault="00812125"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2</w:t>
            </w:r>
          </w:p>
        </w:tc>
        <w:tc>
          <w:tcPr>
            <w:tcW w:w="709"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73BA5D95" w14:textId="714E9DF6" w:rsidR="004D2712" w:rsidRPr="005060E0" w:rsidRDefault="00812125"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2</w:t>
            </w:r>
          </w:p>
        </w:tc>
        <w:tc>
          <w:tcPr>
            <w:tcW w:w="709"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4FA51EAE" w14:textId="7EF1F134" w:rsidR="004D2712" w:rsidRPr="005060E0" w:rsidRDefault="00812125"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2</w:t>
            </w:r>
          </w:p>
        </w:tc>
        <w:tc>
          <w:tcPr>
            <w:tcW w:w="708" w:type="dxa"/>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0C96D54D" w14:textId="579E4675" w:rsidR="004D2712" w:rsidRPr="005060E0" w:rsidRDefault="00812125"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2</w:t>
            </w:r>
          </w:p>
        </w:tc>
        <w:tc>
          <w:tcPr>
            <w:tcW w:w="851" w:type="dxa"/>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1181A785" w14:textId="77777777" w:rsidR="004D2712" w:rsidRPr="005060E0" w:rsidRDefault="004D2712"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sidRPr="005060E0">
              <w:rPr>
                <w:rFonts w:eastAsia="Times New Roman" w:cs="Arial"/>
                <w:i/>
                <w:color w:val="000000"/>
                <w:sz w:val="15"/>
                <w:szCs w:val="15"/>
                <w:lang w:eastAsia="en-AU"/>
              </w:rPr>
              <w:t>4</w:t>
            </w:r>
          </w:p>
        </w:tc>
        <w:tc>
          <w:tcPr>
            <w:tcW w:w="850" w:type="dxa"/>
            <w:tcBorders>
              <w:top w:val="single" w:sz="4" w:space="0" w:color="606072"/>
              <w:left w:val="dotted" w:sz="4" w:space="0" w:color="606072"/>
              <w:bottom w:val="dotted" w:sz="4" w:space="0" w:color="606072"/>
              <w:right w:val="dotted" w:sz="4" w:space="0" w:color="606072"/>
            </w:tcBorders>
            <w:vAlign w:val="center"/>
          </w:tcPr>
          <w:p w14:paraId="360443CD" w14:textId="6DDFB66E"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9"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5CA9E8F0" w14:textId="0D23CFC9"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9"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7D5A1461" w14:textId="05B99719"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9" w:type="dxa"/>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03CCBB3D" w14:textId="0E56CBD2"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r>
      <w:tr w:rsidR="007F77AB" w:rsidRPr="005060E0" w14:paraId="2A5C97DE" w14:textId="77777777" w:rsidTr="00D35C2D">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54C6C42A" w14:textId="77777777" w:rsidR="004D2712" w:rsidRPr="005060E0" w:rsidRDefault="004D2712" w:rsidP="004D2712">
            <w:pPr>
              <w:widowControl w:val="0"/>
              <w:spacing w:after="0" w:line="240" w:lineRule="auto"/>
              <w:jc w:val="center"/>
              <w:rPr>
                <w:rFonts w:cs="Arial"/>
                <w:b w:val="0"/>
                <w:sz w:val="15"/>
                <w:szCs w:val="15"/>
              </w:rPr>
            </w:pPr>
          </w:p>
        </w:tc>
        <w:tc>
          <w:tcPr>
            <w:tcW w:w="850" w:type="dxa"/>
            <w:tcBorders>
              <w:top w:val="dotted" w:sz="4" w:space="0" w:color="606072"/>
              <w:left w:val="dotted" w:sz="4" w:space="0" w:color="606372" w:themeColor="text2"/>
              <w:bottom w:val="dotted" w:sz="4" w:space="0" w:color="606072"/>
              <w:right w:val="single" w:sz="4" w:space="0" w:color="606372" w:themeColor="text2"/>
            </w:tcBorders>
            <w:shd w:val="clear" w:color="auto" w:fill="DEDFE3" w:themeFill="text2" w:themeFillTint="33"/>
            <w:tcMar>
              <w:left w:w="28" w:type="dxa"/>
              <w:right w:w="28" w:type="dxa"/>
            </w:tcMar>
            <w:vAlign w:val="center"/>
          </w:tcPr>
          <w:p w14:paraId="68606588" w14:textId="77777777" w:rsidR="004D2712" w:rsidRPr="005060E0" w:rsidRDefault="004D2712"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80</w:t>
            </w:r>
          </w:p>
        </w:tc>
        <w:tc>
          <w:tcPr>
            <w:tcW w:w="567" w:type="dxa"/>
            <w:tcBorders>
              <w:top w:val="nil"/>
              <w:left w:val="single" w:sz="4" w:space="0" w:color="606372" w:themeColor="text2"/>
              <w:bottom w:val="nil"/>
              <w:right w:val="single" w:sz="4" w:space="0" w:color="606072"/>
            </w:tcBorders>
            <w:shd w:val="clear" w:color="auto" w:fill="auto"/>
            <w:tcMar>
              <w:left w:w="28" w:type="dxa"/>
              <w:right w:w="28" w:type="dxa"/>
            </w:tcMar>
            <w:vAlign w:val="center"/>
          </w:tcPr>
          <w:p w14:paraId="55241049" w14:textId="77777777" w:rsidR="004D2712" w:rsidRPr="005060E0" w:rsidRDefault="004D2712"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p>
        </w:tc>
        <w:tc>
          <w:tcPr>
            <w:tcW w:w="851" w:type="dxa"/>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6391A05A" w14:textId="55A47B77"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Pr>
                <w:rFonts w:cs="Arial"/>
                <w:i/>
                <w:sz w:val="15"/>
                <w:szCs w:val="15"/>
              </w:rPr>
              <w:t>–</w:t>
            </w:r>
          </w:p>
        </w:tc>
        <w:tc>
          <w:tcPr>
            <w:tcW w:w="850" w:type="dxa"/>
            <w:tcBorders>
              <w:top w:val="dotted" w:sz="4" w:space="0" w:color="606072"/>
              <w:left w:val="dotted" w:sz="4" w:space="0" w:color="606072"/>
              <w:bottom w:val="dotted" w:sz="4" w:space="0" w:color="606072"/>
              <w:right w:val="dotted" w:sz="4" w:space="0" w:color="606072"/>
            </w:tcBorders>
            <w:tcMar>
              <w:left w:w="28" w:type="dxa"/>
              <w:right w:w="28" w:type="dxa"/>
            </w:tcMar>
            <w:vAlign w:val="center"/>
          </w:tcPr>
          <w:p w14:paraId="64C182BF" w14:textId="7844A620"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1"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6EC1C25C" w14:textId="0B538A87"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1A4A2F9F" w14:textId="61070E6F"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0" w:type="dxa"/>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2B11A554" w14:textId="2F1638A2"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1" w:type="dxa"/>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5F0054B1" w14:textId="1F7C0F03"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Pr>
                <w:rFonts w:cs="Arial"/>
                <w:i/>
                <w:sz w:val="15"/>
                <w:szCs w:val="15"/>
              </w:rPr>
              <w:t>–</w:t>
            </w:r>
          </w:p>
        </w:tc>
        <w:tc>
          <w:tcPr>
            <w:tcW w:w="850" w:type="dxa"/>
            <w:tcBorders>
              <w:top w:val="dotted" w:sz="4" w:space="0" w:color="606072"/>
              <w:left w:val="dotted" w:sz="4" w:space="0" w:color="606072"/>
              <w:bottom w:val="dotted" w:sz="4" w:space="0" w:color="606072"/>
              <w:right w:val="dotted" w:sz="4" w:space="0" w:color="606072"/>
            </w:tcBorders>
            <w:vAlign w:val="center"/>
          </w:tcPr>
          <w:p w14:paraId="2ABDE797" w14:textId="6774C565"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526A44CD" w14:textId="094BCFA1"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51DE481C" w14:textId="26482BDE"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8" w:type="dxa"/>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578139A1" w14:textId="3B815B54"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1" w:type="dxa"/>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138CBF11" w14:textId="574A5CA5"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Pr>
                <w:rFonts w:cs="Arial"/>
                <w:i/>
                <w:sz w:val="15"/>
                <w:szCs w:val="15"/>
              </w:rPr>
              <w:t>–</w:t>
            </w:r>
          </w:p>
        </w:tc>
        <w:tc>
          <w:tcPr>
            <w:tcW w:w="850" w:type="dxa"/>
            <w:tcBorders>
              <w:top w:val="dotted" w:sz="4" w:space="0" w:color="606072"/>
              <w:left w:val="dotted" w:sz="4" w:space="0" w:color="606072"/>
              <w:bottom w:val="dotted" w:sz="4" w:space="0" w:color="606072"/>
              <w:right w:val="dotted" w:sz="4" w:space="0" w:color="606072"/>
            </w:tcBorders>
            <w:vAlign w:val="center"/>
          </w:tcPr>
          <w:p w14:paraId="198AA008" w14:textId="1F58E8AD"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762A16DD" w14:textId="0CA9C1CF"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47BC12D2" w14:textId="3D0109CB"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152AE9EB" w14:textId="4638320B"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r>
      <w:tr w:rsidR="007F77AB" w:rsidRPr="005060E0" w14:paraId="02942B00" w14:textId="77777777" w:rsidTr="00D35C2D">
        <w:trPr>
          <w:trHeight w:hRule="exact" w:val="255"/>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3D3ADBAB" w14:textId="77777777" w:rsidR="004D2712" w:rsidRPr="005060E0" w:rsidRDefault="004D2712" w:rsidP="004D2712">
            <w:pPr>
              <w:widowControl w:val="0"/>
              <w:spacing w:after="0" w:line="240" w:lineRule="auto"/>
              <w:jc w:val="center"/>
              <w:rPr>
                <w:rFonts w:cs="Arial"/>
                <w:b w:val="0"/>
                <w:sz w:val="15"/>
                <w:szCs w:val="15"/>
              </w:rPr>
            </w:pPr>
          </w:p>
        </w:tc>
        <w:tc>
          <w:tcPr>
            <w:tcW w:w="850" w:type="dxa"/>
            <w:tcBorders>
              <w:top w:val="dotted" w:sz="4" w:space="0" w:color="606072"/>
              <w:left w:val="dotted" w:sz="4" w:space="0" w:color="606372" w:themeColor="text2"/>
              <w:bottom w:val="dotted" w:sz="4" w:space="0" w:color="606072"/>
              <w:right w:val="single" w:sz="4" w:space="0" w:color="606372" w:themeColor="text2"/>
            </w:tcBorders>
            <w:shd w:val="clear" w:color="auto" w:fill="DEDFE3" w:themeFill="text2" w:themeFillTint="33"/>
            <w:tcMar>
              <w:left w:w="28" w:type="dxa"/>
              <w:right w:w="28" w:type="dxa"/>
            </w:tcMar>
            <w:vAlign w:val="center"/>
          </w:tcPr>
          <w:p w14:paraId="1609F58E" w14:textId="77777777" w:rsidR="004D2712" w:rsidRPr="005060E0" w:rsidRDefault="004D2712"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97</w:t>
            </w:r>
          </w:p>
        </w:tc>
        <w:tc>
          <w:tcPr>
            <w:tcW w:w="567" w:type="dxa"/>
            <w:tcBorders>
              <w:top w:val="nil"/>
              <w:left w:val="single" w:sz="4" w:space="0" w:color="606372" w:themeColor="text2"/>
              <w:bottom w:val="nil"/>
              <w:right w:val="single" w:sz="4" w:space="0" w:color="606072"/>
            </w:tcBorders>
            <w:shd w:val="clear" w:color="auto" w:fill="auto"/>
            <w:tcMar>
              <w:left w:w="28" w:type="dxa"/>
              <w:right w:w="28" w:type="dxa"/>
            </w:tcMar>
            <w:vAlign w:val="center"/>
          </w:tcPr>
          <w:p w14:paraId="171E188A" w14:textId="77777777" w:rsidR="004D2712" w:rsidRPr="005060E0" w:rsidRDefault="004D2712"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851" w:type="dxa"/>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78A01256" w14:textId="048ABA73"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Pr>
                <w:rFonts w:cs="Arial"/>
                <w:i/>
                <w:sz w:val="15"/>
                <w:szCs w:val="15"/>
              </w:rPr>
              <w:t>–</w:t>
            </w:r>
          </w:p>
        </w:tc>
        <w:tc>
          <w:tcPr>
            <w:tcW w:w="850" w:type="dxa"/>
            <w:tcBorders>
              <w:top w:val="dotted" w:sz="4" w:space="0" w:color="606072"/>
              <w:left w:val="dotted" w:sz="4" w:space="0" w:color="606072"/>
              <w:bottom w:val="dotted" w:sz="4" w:space="0" w:color="606072"/>
              <w:right w:val="dotted" w:sz="4" w:space="0" w:color="606072"/>
            </w:tcBorders>
            <w:tcMar>
              <w:left w:w="28" w:type="dxa"/>
              <w:right w:w="28" w:type="dxa"/>
            </w:tcMar>
            <w:vAlign w:val="center"/>
          </w:tcPr>
          <w:p w14:paraId="2FEC73E4" w14:textId="2AED526C"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851"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1D26B50B" w14:textId="58F7326C"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70FC17D9" w14:textId="6D849F77"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850" w:type="dxa"/>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122BCA29" w14:textId="1027EF70"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851" w:type="dxa"/>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34F730C8" w14:textId="50C83263"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Pr>
                <w:rFonts w:cs="Arial"/>
                <w:i/>
                <w:sz w:val="15"/>
                <w:szCs w:val="15"/>
              </w:rPr>
              <w:t>–</w:t>
            </w:r>
          </w:p>
        </w:tc>
        <w:tc>
          <w:tcPr>
            <w:tcW w:w="850" w:type="dxa"/>
            <w:tcBorders>
              <w:top w:val="dotted" w:sz="4" w:space="0" w:color="606072"/>
              <w:left w:val="dotted" w:sz="4" w:space="0" w:color="606072"/>
              <w:bottom w:val="dotted" w:sz="4" w:space="0" w:color="606072"/>
              <w:right w:val="dotted" w:sz="4" w:space="0" w:color="606072"/>
            </w:tcBorders>
            <w:vAlign w:val="center"/>
          </w:tcPr>
          <w:p w14:paraId="0A1730BE" w14:textId="1878A392"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36B59276" w14:textId="7EE21FA9"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6EC07D80" w14:textId="5B47CC76"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8" w:type="dxa"/>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699B8006" w14:textId="600592EE"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851" w:type="dxa"/>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0D8B4F02" w14:textId="22178801"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Pr>
                <w:rFonts w:cs="Arial"/>
                <w:i/>
                <w:sz w:val="15"/>
                <w:szCs w:val="15"/>
              </w:rPr>
              <w:t>–</w:t>
            </w:r>
          </w:p>
        </w:tc>
        <w:tc>
          <w:tcPr>
            <w:tcW w:w="850" w:type="dxa"/>
            <w:tcBorders>
              <w:top w:val="dotted" w:sz="4" w:space="0" w:color="606072"/>
              <w:left w:val="dotted" w:sz="4" w:space="0" w:color="606072"/>
              <w:bottom w:val="dotted" w:sz="4" w:space="0" w:color="606072"/>
              <w:right w:val="dotted" w:sz="4" w:space="0" w:color="606072"/>
            </w:tcBorders>
            <w:vAlign w:val="center"/>
          </w:tcPr>
          <w:p w14:paraId="3462B7A0" w14:textId="753A0C64"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4A2B3BEF" w14:textId="759625FA"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77A70C3F" w14:textId="40862868"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5E8DD794" w14:textId="3BBBEA52"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r>
      <w:tr w:rsidR="007F77AB" w:rsidRPr="005060E0" w14:paraId="51B3311C" w14:textId="77777777" w:rsidTr="00D35C2D">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09425780" w14:textId="77777777" w:rsidR="004D2712" w:rsidRPr="005060E0" w:rsidRDefault="004D2712" w:rsidP="004D2712">
            <w:pPr>
              <w:widowControl w:val="0"/>
              <w:spacing w:after="0" w:line="240" w:lineRule="auto"/>
              <w:jc w:val="center"/>
              <w:rPr>
                <w:rFonts w:cs="Arial"/>
                <w:b w:val="0"/>
                <w:sz w:val="15"/>
                <w:szCs w:val="15"/>
              </w:rPr>
            </w:pPr>
          </w:p>
        </w:tc>
        <w:tc>
          <w:tcPr>
            <w:tcW w:w="850" w:type="dxa"/>
            <w:tcBorders>
              <w:top w:val="dotted" w:sz="4" w:space="0" w:color="606072"/>
              <w:left w:val="dotted" w:sz="4" w:space="0" w:color="606372" w:themeColor="text2"/>
              <w:bottom w:val="single" w:sz="4" w:space="0" w:color="606072"/>
              <w:right w:val="single" w:sz="4" w:space="0" w:color="606372" w:themeColor="text2"/>
            </w:tcBorders>
            <w:shd w:val="clear" w:color="auto" w:fill="D5E5FF"/>
            <w:tcMar>
              <w:left w:w="28" w:type="dxa"/>
              <w:right w:w="28" w:type="dxa"/>
            </w:tcMar>
            <w:vAlign w:val="center"/>
          </w:tcPr>
          <w:p w14:paraId="51237B54" w14:textId="77777777" w:rsidR="004D2712" w:rsidRPr="005060E0" w:rsidRDefault="004D2712"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120</w:t>
            </w:r>
          </w:p>
        </w:tc>
        <w:tc>
          <w:tcPr>
            <w:tcW w:w="567" w:type="dxa"/>
            <w:tcBorders>
              <w:top w:val="nil"/>
              <w:left w:val="single" w:sz="4" w:space="0" w:color="606372" w:themeColor="text2"/>
              <w:bottom w:val="single" w:sz="4" w:space="0" w:color="606072"/>
              <w:right w:val="single" w:sz="4" w:space="0" w:color="606072"/>
            </w:tcBorders>
            <w:shd w:val="clear" w:color="auto" w:fill="auto"/>
            <w:tcMar>
              <w:left w:w="28" w:type="dxa"/>
              <w:right w:w="28" w:type="dxa"/>
            </w:tcMar>
            <w:vAlign w:val="center"/>
          </w:tcPr>
          <w:p w14:paraId="593F2E54" w14:textId="77777777" w:rsidR="004D2712" w:rsidRPr="005060E0" w:rsidRDefault="004D2712"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p>
        </w:tc>
        <w:tc>
          <w:tcPr>
            <w:tcW w:w="851" w:type="dxa"/>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67E141DA" w14:textId="6497BC3F"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Pr>
                <w:rFonts w:cs="Arial"/>
                <w:i/>
                <w:sz w:val="15"/>
                <w:szCs w:val="15"/>
              </w:rPr>
              <w:t>–</w:t>
            </w:r>
          </w:p>
        </w:tc>
        <w:tc>
          <w:tcPr>
            <w:tcW w:w="850"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47A83345" w14:textId="0AEEF869"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1"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1AC3A733" w14:textId="3A355335"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5EF20DCB" w14:textId="053BE789"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0" w:type="dxa"/>
            <w:tcBorders>
              <w:top w:val="dotted" w:sz="4" w:space="0" w:color="606072"/>
              <w:left w:val="dotted" w:sz="4" w:space="0" w:color="606072"/>
              <w:bottom w:val="single" w:sz="4" w:space="0" w:color="606072"/>
              <w:right w:val="single" w:sz="4" w:space="0" w:color="606072"/>
            </w:tcBorders>
            <w:shd w:val="clear" w:color="auto" w:fill="D5E5FF"/>
            <w:tcMar>
              <w:left w:w="28" w:type="dxa"/>
              <w:right w:w="28" w:type="dxa"/>
            </w:tcMar>
            <w:vAlign w:val="center"/>
          </w:tcPr>
          <w:p w14:paraId="0707FC6A" w14:textId="12D75810"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1" w:type="dxa"/>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586B35EA" w14:textId="1D980713"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Pr>
                <w:rFonts w:cs="Arial"/>
                <w:i/>
                <w:sz w:val="15"/>
                <w:szCs w:val="15"/>
              </w:rPr>
              <w:t>–</w:t>
            </w:r>
          </w:p>
        </w:tc>
        <w:tc>
          <w:tcPr>
            <w:tcW w:w="850"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24002FD2" w14:textId="70D278C1"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36374EA7" w14:textId="2E79941C"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02D11B76" w14:textId="22CB7FC2"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8" w:type="dxa"/>
            <w:tcBorders>
              <w:top w:val="dotted" w:sz="4" w:space="0" w:color="606072"/>
              <w:left w:val="dotted" w:sz="4" w:space="0" w:color="606072"/>
              <w:bottom w:val="single" w:sz="4" w:space="0" w:color="606072"/>
              <w:right w:val="single" w:sz="4" w:space="0" w:color="606072"/>
            </w:tcBorders>
            <w:shd w:val="clear" w:color="auto" w:fill="D5E5FF"/>
            <w:tcMar>
              <w:left w:w="28" w:type="dxa"/>
              <w:right w:w="28" w:type="dxa"/>
            </w:tcMar>
            <w:vAlign w:val="center"/>
          </w:tcPr>
          <w:p w14:paraId="2B173996" w14:textId="7CD5026C"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1" w:type="dxa"/>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3509006B" w14:textId="0A2E64AF"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Pr>
                <w:rFonts w:cs="Arial"/>
                <w:i/>
                <w:sz w:val="15"/>
                <w:szCs w:val="15"/>
              </w:rPr>
              <w:t>–</w:t>
            </w:r>
          </w:p>
        </w:tc>
        <w:tc>
          <w:tcPr>
            <w:tcW w:w="850"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3561D9F2" w14:textId="1A3F7A49"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05F2E0ED" w14:textId="7459E401"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51AB8690" w14:textId="34111A0C"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single" w:sz="4" w:space="0" w:color="606072"/>
              <w:right w:val="single" w:sz="4" w:space="0" w:color="606072"/>
            </w:tcBorders>
            <w:shd w:val="clear" w:color="auto" w:fill="D5E5FF"/>
            <w:tcMar>
              <w:left w:w="28" w:type="dxa"/>
              <w:right w:w="28" w:type="dxa"/>
            </w:tcMar>
            <w:vAlign w:val="center"/>
          </w:tcPr>
          <w:p w14:paraId="3C56316F" w14:textId="7F408105"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r>
      <w:tr w:rsidR="004D2712" w:rsidRPr="005060E0" w14:paraId="670687D1" w14:textId="77777777" w:rsidTr="00D35C2D">
        <w:trPr>
          <w:trHeight w:hRule="exact" w:val="255"/>
          <w:jc w:val="center"/>
        </w:trPr>
        <w:tc>
          <w:tcPr>
            <w:cnfStyle w:val="001000000000" w:firstRow="0" w:lastRow="0" w:firstColumn="1" w:lastColumn="0" w:oddVBand="0" w:evenVBand="0" w:oddHBand="0" w:evenHBand="0" w:firstRowFirstColumn="0" w:firstRowLastColumn="0" w:lastRowFirstColumn="0" w:lastRowLastColumn="0"/>
            <w:tcW w:w="14029" w:type="dxa"/>
            <w:gridSpan w:val="18"/>
            <w:tcBorders>
              <w:top w:val="single" w:sz="4" w:space="0" w:color="606072"/>
              <w:left w:val="single" w:sz="4" w:space="0" w:color="606072"/>
              <w:bottom w:val="single" w:sz="4" w:space="0" w:color="606072"/>
              <w:right w:val="single" w:sz="4" w:space="0" w:color="606072"/>
            </w:tcBorders>
            <w:shd w:val="clear" w:color="auto" w:fill="BFBFBF" w:themeFill="background1" w:themeFillShade="BF"/>
            <w:tcMar>
              <w:left w:w="28" w:type="dxa"/>
              <w:right w:w="28" w:type="dxa"/>
            </w:tcMar>
            <w:vAlign w:val="center"/>
          </w:tcPr>
          <w:p w14:paraId="73CBA85A" w14:textId="367382EF" w:rsidR="004D2712" w:rsidRPr="005060E0" w:rsidRDefault="004D2712" w:rsidP="004D2712">
            <w:pPr>
              <w:widowControl w:val="0"/>
              <w:spacing w:after="0" w:line="240" w:lineRule="auto"/>
              <w:rPr>
                <w:rFonts w:cs="Arial"/>
                <w:b w:val="0"/>
                <w:sz w:val="15"/>
                <w:szCs w:val="15"/>
              </w:rPr>
            </w:pPr>
            <w:r w:rsidRPr="005060E0">
              <w:rPr>
                <w:rFonts w:eastAsia="Times New Roman" w:cs="Arial"/>
                <w:b w:val="0"/>
                <w:color w:val="000000"/>
                <w:sz w:val="15"/>
                <w:szCs w:val="15"/>
                <w:lang w:eastAsia="en-AU"/>
              </w:rPr>
              <w:t>Total number of monitoring stations exceeding standard</w:t>
            </w:r>
          </w:p>
        </w:tc>
      </w:tr>
      <w:tr w:rsidR="007F77AB" w:rsidRPr="005060E0" w14:paraId="5DE097E5" w14:textId="77777777" w:rsidTr="00D35C2D">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626FEB71" w14:textId="77777777" w:rsidR="004D2712" w:rsidRPr="005060E0" w:rsidRDefault="004D2712" w:rsidP="004D2712">
            <w:pPr>
              <w:widowControl w:val="0"/>
              <w:spacing w:after="0" w:line="240" w:lineRule="auto"/>
              <w:jc w:val="center"/>
              <w:rPr>
                <w:rFonts w:cs="Arial"/>
                <w:b w:val="0"/>
                <w:sz w:val="15"/>
                <w:szCs w:val="15"/>
              </w:rPr>
            </w:pPr>
            <w:r w:rsidRPr="005060E0">
              <w:rPr>
                <w:rFonts w:cs="Arial"/>
                <w:b w:val="0"/>
                <w:sz w:val="15"/>
                <w:szCs w:val="15"/>
              </w:rPr>
              <w:t>Annual</w:t>
            </w:r>
          </w:p>
        </w:tc>
        <w:tc>
          <w:tcPr>
            <w:tcW w:w="850" w:type="dxa"/>
            <w:tcBorders>
              <w:top w:val="single" w:sz="4" w:space="0" w:color="606072"/>
              <w:left w:val="dotted" w:sz="4" w:space="0" w:color="606372" w:themeColor="text2"/>
              <w:bottom w:val="dotted" w:sz="4" w:space="0" w:color="606072"/>
              <w:right w:val="single" w:sz="4" w:space="0" w:color="606372" w:themeColor="text2"/>
            </w:tcBorders>
            <w:shd w:val="clear" w:color="auto" w:fill="DEDFE3" w:themeFill="text2" w:themeFillTint="33"/>
            <w:tcMar>
              <w:left w:w="28" w:type="dxa"/>
              <w:right w:w="28" w:type="dxa"/>
            </w:tcMar>
            <w:vAlign w:val="center"/>
          </w:tcPr>
          <w:p w14:paraId="7AA839F2" w14:textId="77777777" w:rsidR="004D2712" w:rsidRPr="005060E0" w:rsidRDefault="004D2712"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10</w:t>
            </w:r>
          </w:p>
        </w:tc>
        <w:tc>
          <w:tcPr>
            <w:tcW w:w="567" w:type="dxa"/>
            <w:tcBorders>
              <w:top w:val="single" w:sz="4" w:space="0" w:color="606072"/>
              <w:left w:val="single" w:sz="4" w:space="0" w:color="606372" w:themeColor="text2"/>
              <w:bottom w:val="nil"/>
              <w:right w:val="single" w:sz="4" w:space="0" w:color="606072"/>
            </w:tcBorders>
            <w:shd w:val="clear" w:color="auto" w:fill="auto"/>
            <w:tcMar>
              <w:left w:w="28" w:type="dxa"/>
              <w:right w:w="28" w:type="dxa"/>
            </w:tcMar>
            <w:vAlign w:val="center"/>
          </w:tcPr>
          <w:p w14:paraId="22C3E856" w14:textId="77777777" w:rsidR="004D2712" w:rsidRPr="005060E0" w:rsidRDefault="004D2712"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p>
        </w:tc>
        <w:tc>
          <w:tcPr>
            <w:tcW w:w="851" w:type="dxa"/>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50B4E29D" w14:textId="370A9529" w:rsidR="004D2712" w:rsidRPr="005060E0" w:rsidRDefault="00CA273F"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sidRPr="005060E0">
              <w:rPr>
                <w:rFonts w:cs="Arial"/>
                <w:i/>
                <w:sz w:val="15"/>
                <w:szCs w:val="15"/>
              </w:rPr>
              <w:t>4</w:t>
            </w:r>
          </w:p>
        </w:tc>
        <w:tc>
          <w:tcPr>
            <w:tcW w:w="850" w:type="dxa"/>
            <w:tcBorders>
              <w:top w:val="single" w:sz="4" w:space="0" w:color="606072"/>
              <w:left w:val="dotted" w:sz="4" w:space="0" w:color="606072"/>
              <w:bottom w:val="dotted" w:sz="4" w:space="0" w:color="606072"/>
              <w:right w:val="dotted" w:sz="4" w:space="0" w:color="606072"/>
            </w:tcBorders>
            <w:tcMar>
              <w:left w:w="28" w:type="dxa"/>
              <w:right w:w="28" w:type="dxa"/>
            </w:tcMar>
            <w:vAlign w:val="center"/>
          </w:tcPr>
          <w:p w14:paraId="466683CA" w14:textId="1EE7AF4E" w:rsidR="004D2712" w:rsidRPr="005060E0" w:rsidRDefault="00812125"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1</w:t>
            </w:r>
          </w:p>
        </w:tc>
        <w:tc>
          <w:tcPr>
            <w:tcW w:w="851"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65DAC5A8" w14:textId="47164646" w:rsidR="004D2712" w:rsidRPr="005060E0" w:rsidRDefault="00812125"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1</w:t>
            </w:r>
          </w:p>
        </w:tc>
        <w:tc>
          <w:tcPr>
            <w:tcW w:w="709"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14DD9FBE" w14:textId="429C6CE9"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0" w:type="dxa"/>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1545EA1B" w14:textId="5E7F2430" w:rsidR="004D2712" w:rsidRPr="005060E0" w:rsidRDefault="00812125"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1</w:t>
            </w:r>
          </w:p>
        </w:tc>
        <w:tc>
          <w:tcPr>
            <w:tcW w:w="851" w:type="dxa"/>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3632DC7C" w14:textId="6D7219FC"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Pr>
                <w:rFonts w:cs="Arial"/>
                <w:i/>
                <w:sz w:val="15"/>
                <w:szCs w:val="15"/>
              </w:rPr>
              <w:t>–</w:t>
            </w:r>
          </w:p>
        </w:tc>
        <w:tc>
          <w:tcPr>
            <w:tcW w:w="850" w:type="dxa"/>
            <w:tcBorders>
              <w:top w:val="single" w:sz="4" w:space="0" w:color="606072"/>
              <w:left w:val="dotted" w:sz="4" w:space="0" w:color="606072"/>
              <w:bottom w:val="dotted" w:sz="4" w:space="0" w:color="606072"/>
              <w:right w:val="dotted" w:sz="4" w:space="0" w:color="606072"/>
            </w:tcBorders>
            <w:vAlign w:val="center"/>
          </w:tcPr>
          <w:p w14:paraId="5841503F" w14:textId="578E6FCF"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5CB05A80" w14:textId="36A986BE"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748CC3A1" w14:textId="27DDD60A"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8" w:type="dxa"/>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5739DD3D" w14:textId="492D2E63"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1" w:type="dxa"/>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61E960C6" w14:textId="425BF5EB" w:rsidR="004D2712" w:rsidRPr="005060E0" w:rsidRDefault="00CA273F"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sidRPr="005060E0">
              <w:rPr>
                <w:rFonts w:cs="Arial"/>
                <w:i/>
                <w:sz w:val="15"/>
                <w:szCs w:val="15"/>
              </w:rPr>
              <w:t>1</w:t>
            </w:r>
          </w:p>
        </w:tc>
        <w:tc>
          <w:tcPr>
            <w:tcW w:w="850" w:type="dxa"/>
            <w:tcBorders>
              <w:top w:val="single" w:sz="4" w:space="0" w:color="606072"/>
              <w:left w:val="dotted" w:sz="4" w:space="0" w:color="606072"/>
              <w:bottom w:val="dotted" w:sz="4" w:space="0" w:color="606072"/>
              <w:right w:val="dotted" w:sz="4" w:space="0" w:color="606072"/>
            </w:tcBorders>
            <w:vAlign w:val="center"/>
          </w:tcPr>
          <w:p w14:paraId="5132702F" w14:textId="3155C500"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17069644" w14:textId="6032B326"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72BF6459" w14:textId="351D6E3E"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3379ACA2" w14:textId="3B08DC62"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r>
      <w:tr w:rsidR="007F77AB" w:rsidRPr="005060E0" w14:paraId="0A53BD32" w14:textId="77777777" w:rsidTr="00D35C2D">
        <w:trPr>
          <w:trHeight w:hRule="exact" w:val="255"/>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0C300C41" w14:textId="77777777" w:rsidR="004D2712" w:rsidRPr="005060E0" w:rsidRDefault="004D2712" w:rsidP="004D2712">
            <w:pPr>
              <w:widowControl w:val="0"/>
              <w:spacing w:after="0" w:line="240" w:lineRule="auto"/>
              <w:jc w:val="center"/>
              <w:rPr>
                <w:rFonts w:cs="Arial"/>
                <w:sz w:val="15"/>
                <w:szCs w:val="15"/>
              </w:rPr>
            </w:pPr>
          </w:p>
        </w:tc>
        <w:tc>
          <w:tcPr>
            <w:tcW w:w="850" w:type="dxa"/>
            <w:tcBorders>
              <w:top w:val="dotted" w:sz="4" w:space="0" w:color="606072"/>
              <w:left w:val="dotted" w:sz="4" w:space="0" w:color="606372" w:themeColor="text2"/>
              <w:bottom w:val="dotted" w:sz="4" w:space="0" w:color="606072"/>
              <w:right w:val="single" w:sz="4" w:space="0" w:color="606372" w:themeColor="text2"/>
            </w:tcBorders>
            <w:shd w:val="clear" w:color="auto" w:fill="DEDFE3" w:themeFill="text2" w:themeFillTint="33"/>
            <w:tcMar>
              <w:left w:w="28" w:type="dxa"/>
              <w:right w:w="28" w:type="dxa"/>
            </w:tcMar>
            <w:vAlign w:val="center"/>
          </w:tcPr>
          <w:p w14:paraId="2A52C7D8" w14:textId="77777777" w:rsidR="004D2712" w:rsidRPr="005060E0" w:rsidRDefault="004D2712"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19</w:t>
            </w:r>
          </w:p>
        </w:tc>
        <w:tc>
          <w:tcPr>
            <w:tcW w:w="567" w:type="dxa"/>
            <w:tcBorders>
              <w:top w:val="nil"/>
              <w:left w:val="single" w:sz="4" w:space="0" w:color="606372" w:themeColor="text2"/>
              <w:bottom w:val="nil"/>
              <w:right w:val="single" w:sz="4" w:space="0" w:color="606072"/>
            </w:tcBorders>
            <w:shd w:val="clear" w:color="auto" w:fill="auto"/>
            <w:tcMar>
              <w:left w:w="28" w:type="dxa"/>
              <w:right w:w="28" w:type="dxa"/>
            </w:tcMar>
            <w:vAlign w:val="center"/>
          </w:tcPr>
          <w:p w14:paraId="44C98615" w14:textId="77777777" w:rsidR="004D2712" w:rsidRPr="005060E0" w:rsidRDefault="004D2712"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851" w:type="dxa"/>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02299A97" w14:textId="0F62C96E"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Pr>
                <w:rFonts w:cs="Arial"/>
                <w:i/>
                <w:sz w:val="15"/>
                <w:szCs w:val="15"/>
              </w:rPr>
              <w:t>–</w:t>
            </w:r>
          </w:p>
        </w:tc>
        <w:tc>
          <w:tcPr>
            <w:tcW w:w="850" w:type="dxa"/>
            <w:tcBorders>
              <w:top w:val="dotted" w:sz="4" w:space="0" w:color="606072"/>
              <w:left w:val="dotted" w:sz="4" w:space="0" w:color="606072"/>
              <w:bottom w:val="dotted" w:sz="4" w:space="0" w:color="606072"/>
              <w:right w:val="dotted" w:sz="4" w:space="0" w:color="606072"/>
            </w:tcBorders>
            <w:tcMar>
              <w:left w:w="28" w:type="dxa"/>
              <w:right w:w="28" w:type="dxa"/>
            </w:tcMar>
            <w:vAlign w:val="center"/>
          </w:tcPr>
          <w:p w14:paraId="111C46DC" w14:textId="4375A08F"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851"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04D71BA7" w14:textId="3A926E57"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4B4C82D9" w14:textId="76824F48"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850" w:type="dxa"/>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5144ACFA" w14:textId="28A68EE7"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851" w:type="dxa"/>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52ACCD1C" w14:textId="580FE9AB"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Pr>
                <w:rFonts w:cs="Arial"/>
                <w:i/>
                <w:sz w:val="15"/>
                <w:szCs w:val="15"/>
              </w:rPr>
              <w:t>–</w:t>
            </w:r>
          </w:p>
        </w:tc>
        <w:tc>
          <w:tcPr>
            <w:tcW w:w="850" w:type="dxa"/>
            <w:tcBorders>
              <w:top w:val="dotted" w:sz="4" w:space="0" w:color="606072"/>
              <w:left w:val="dotted" w:sz="4" w:space="0" w:color="606072"/>
              <w:bottom w:val="dotted" w:sz="4" w:space="0" w:color="606072"/>
              <w:right w:val="dotted" w:sz="4" w:space="0" w:color="606072"/>
            </w:tcBorders>
            <w:vAlign w:val="center"/>
          </w:tcPr>
          <w:p w14:paraId="4A45804A" w14:textId="68067C26"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67577DE8" w14:textId="3151AB20"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2286241F" w14:textId="25F13719"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8" w:type="dxa"/>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0F246FE3" w14:textId="4C5CBDB9"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851" w:type="dxa"/>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03E51AE8" w14:textId="6BEC4191"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Pr>
                <w:rFonts w:cs="Arial"/>
                <w:i/>
                <w:sz w:val="15"/>
                <w:szCs w:val="15"/>
              </w:rPr>
              <w:t>–</w:t>
            </w:r>
          </w:p>
        </w:tc>
        <w:tc>
          <w:tcPr>
            <w:tcW w:w="850" w:type="dxa"/>
            <w:tcBorders>
              <w:top w:val="dotted" w:sz="4" w:space="0" w:color="606072"/>
              <w:left w:val="dotted" w:sz="4" w:space="0" w:color="606072"/>
              <w:bottom w:val="dotted" w:sz="4" w:space="0" w:color="606072"/>
              <w:right w:val="dotted" w:sz="4" w:space="0" w:color="606072"/>
            </w:tcBorders>
            <w:vAlign w:val="center"/>
          </w:tcPr>
          <w:p w14:paraId="0745D5AE" w14:textId="433DC302"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1D232BCF" w14:textId="41423508"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6954757F" w14:textId="2FEBB5C1"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682C660C" w14:textId="5D03282A" w:rsidR="004D2712" w:rsidRPr="005060E0" w:rsidRDefault="00954940" w:rsidP="004D271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r>
      <w:tr w:rsidR="007F77AB" w:rsidRPr="005060E0" w14:paraId="02DD11C8" w14:textId="77777777" w:rsidTr="00D35C2D">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498DCAAE" w14:textId="77777777" w:rsidR="004D2712" w:rsidRPr="005060E0" w:rsidRDefault="004D2712" w:rsidP="004D2712">
            <w:pPr>
              <w:widowControl w:val="0"/>
              <w:spacing w:after="0" w:line="240" w:lineRule="auto"/>
              <w:jc w:val="center"/>
              <w:rPr>
                <w:rFonts w:cs="Arial"/>
                <w:sz w:val="15"/>
                <w:szCs w:val="15"/>
              </w:rPr>
            </w:pPr>
          </w:p>
        </w:tc>
        <w:tc>
          <w:tcPr>
            <w:tcW w:w="850" w:type="dxa"/>
            <w:tcBorders>
              <w:top w:val="dotted" w:sz="4" w:space="0" w:color="606072"/>
              <w:left w:val="dotted" w:sz="4" w:space="0" w:color="606372" w:themeColor="text2"/>
              <w:bottom w:val="single" w:sz="4" w:space="0" w:color="606072"/>
              <w:right w:val="single" w:sz="4" w:space="0" w:color="606372" w:themeColor="text2"/>
            </w:tcBorders>
            <w:shd w:val="clear" w:color="auto" w:fill="D5E5FF"/>
            <w:tcMar>
              <w:left w:w="28" w:type="dxa"/>
              <w:right w:w="28" w:type="dxa"/>
            </w:tcMar>
            <w:vAlign w:val="center"/>
          </w:tcPr>
          <w:p w14:paraId="5FA552CB" w14:textId="77777777" w:rsidR="004D2712" w:rsidRPr="005060E0" w:rsidRDefault="004D2712"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30</w:t>
            </w:r>
          </w:p>
        </w:tc>
        <w:tc>
          <w:tcPr>
            <w:tcW w:w="567" w:type="dxa"/>
            <w:tcBorders>
              <w:top w:val="nil"/>
              <w:left w:val="single" w:sz="4" w:space="0" w:color="606372" w:themeColor="text2"/>
              <w:bottom w:val="single" w:sz="4" w:space="0" w:color="606072"/>
              <w:right w:val="single" w:sz="4" w:space="0" w:color="606072"/>
            </w:tcBorders>
            <w:shd w:val="clear" w:color="auto" w:fill="auto"/>
            <w:tcMar>
              <w:left w:w="28" w:type="dxa"/>
              <w:right w:w="28" w:type="dxa"/>
            </w:tcMar>
            <w:vAlign w:val="center"/>
          </w:tcPr>
          <w:p w14:paraId="646630ED" w14:textId="77777777" w:rsidR="004D2712" w:rsidRPr="005060E0" w:rsidRDefault="004D2712"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p>
        </w:tc>
        <w:tc>
          <w:tcPr>
            <w:tcW w:w="851" w:type="dxa"/>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3F6FE59D" w14:textId="7DCA469A"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Pr>
                <w:rFonts w:cs="Arial"/>
                <w:i/>
                <w:sz w:val="15"/>
                <w:szCs w:val="15"/>
              </w:rPr>
              <w:t>–</w:t>
            </w:r>
          </w:p>
        </w:tc>
        <w:tc>
          <w:tcPr>
            <w:tcW w:w="850"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42C898FE" w14:textId="2393D559"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1"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24A223C3" w14:textId="54AB3AEC"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7B42C15C" w14:textId="5126FAA3"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0" w:type="dxa"/>
            <w:tcBorders>
              <w:top w:val="dotted" w:sz="4" w:space="0" w:color="606072"/>
              <w:left w:val="dotted" w:sz="4" w:space="0" w:color="606072"/>
              <w:bottom w:val="single" w:sz="4" w:space="0" w:color="606072"/>
              <w:right w:val="single" w:sz="4" w:space="0" w:color="606072"/>
            </w:tcBorders>
            <w:shd w:val="clear" w:color="auto" w:fill="D5E5FF"/>
            <w:tcMar>
              <w:left w:w="28" w:type="dxa"/>
              <w:right w:w="28" w:type="dxa"/>
            </w:tcMar>
            <w:vAlign w:val="center"/>
          </w:tcPr>
          <w:p w14:paraId="4B00D83D" w14:textId="07805B08"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1" w:type="dxa"/>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7A7472B3" w14:textId="0E05A276"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Pr>
                <w:rFonts w:cs="Arial"/>
                <w:i/>
                <w:sz w:val="15"/>
                <w:szCs w:val="15"/>
              </w:rPr>
              <w:t>–</w:t>
            </w:r>
          </w:p>
        </w:tc>
        <w:tc>
          <w:tcPr>
            <w:tcW w:w="850"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6061355C" w14:textId="03F1A866"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0C48FFD7" w14:textId="75C363B6"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678B806B" w14:textId="07BDB79B"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8" w:type="dxa"/>
            <w:tcBorders>
              <w:top w:val="dotted" w:sz="4" w:space="0" w:color="606072"/>
              <w:left w:val="dotted" w:sz="4" w:space="0" w:color="606072"/>
              <w:bottom w:val="single" w:sz="4" w:space="0" w:color="606072"/>
              <w:right w:val="single" w:sz="4" w:space="0" w:color="606072"/>
            </w:tcBorders>
            <w:shd w:val="clear" w:color="auto" w:fill="D5E5FF"/>
            <w:tcMar>
              <w:left w:w="28" w:type="dxa"/>
              <w:right w:w="28" w:type="dxa"/>
            </w:tcMar>
            <w:vAlign w:val="center"/>
          </w:tcPr>
          <w:p w14:paraId="6DCA743E" w14:textId="7BEB3C5E"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1" w:type="dxa"/>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0ADA5388" w14:textId="311CEBEF"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Pr>
                <w:rFonts w:cs="Arial"/>
                <w:i/>
                <w:sz w:val="15"/>
                <w:szCs w:val="15"/>
              </w:rPr>
              <w:t>–</w:t>
            </w:r>
          </w:p>
        </w:tc>
        <w:tc>
          <w:tcPr>
            <w:tcW w:w="850"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74C3362F" w14:textId="708ECF98"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0002A89B" w14:textId="05E4BB0F"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010AFBC8" w14:textId="29C8C2F0"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single" w:sz="4" w:space="0" w:color="606072"/>
              <w:right w:val="single" w:sz="4" w:space="0" w:color="606072"/>
            </w:tcBorders>
            <w:shd w:val="clear" w:color="auto" w:fill="D5E5FF"/>
            <w:tcMar>
              <w:left w:w="28" w:type="dxa"/>
              <w:right w:w="28" w:type="dxa"/>
            </w:tcMar>
            <w:vAlign w:val="center"/>
          </w:tcPr>
          <w:p w14:paraId="1D69E759" w14:textId="7B4EA3E1" w:rsidR="004D2712" w:rsidRPr="005060E0" w:rsidRDefault="00954940" w:rsidP="004D271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r>
    </w:tbl>
    <w:p w14:paraId="75FFE05C" w14:textId="77777777" w:rsidR="005C2AB3" w:rsidRPr="005060E0" w:rsidRDefault="005C2AB3" w:rsidP="00CB3A58">
      <w:pPr>
        <w:pStyle w:val="ListParagraph"/>
        <w:numPr>
          <w:ilvl w:val="0"/>
          <w:numId w:val="51"/>
        </w:numPr>
        <w:ind w:left="0"/>
        <w:rPr>
          <w:rFonts w:cs="Arial"/>
          <w:sz w:val="16"/>
          <w:szCs w:val="16"/>
        </w:rPr>
      </w:pPr>
      <w:r w:rsidRPr="005060E0">
        <w:rPr>
          <w:rFonts w:cs="Arial"/>
          <w:sz w:val="16"/>
          <w:szCs w:val="16"/>
        </w:rPr>
        <w:t>Rounded to nearest integer.</w:t>
      </w:r>
    </w:p>
    <w:p w14:paraId="1AED2410" w14:textId="7C68743D" w:rsidR="005C2AB3" w:rsidRPr="005060E0" w:rsidRDefault="005C2AB3" w:rsidP="00805D1C">
      <w:pPr>
        <w:pStyle w:val="PBTablecaption"/>
        <w:spacing w:before="600"/>
        <w:rPr>
          <w:rFonts w:cs="Arial"/>
        </w:rPr>
      </w:pPr>
      <w:bookmarkStart w:id="173" w:name="_Ref507507355"/>
      <w:r w:rsidRPr="005060E0">
        <w:rPr>
          <w:rFonts w:cs="Arial"/>
        </w:rPr>
        <w:t xml:space="preserve">Table </w:t>
      </w:r>
      <w:r w:rsidRPr="005060E0">
        <w:rPr>
          <w:rFonts w:cs="Arial"/>
        </w:rPr>
        <w:fldChar w:fldCharType="begin"/>
      </w:r>
      <w:r w:rsidRPr="005060E0">
        <w:rPr>
          <w:rFonts w:cs="Arial"/>
        </w:rPr>
        <w:instrText xml:space="preserve"> STYLEREF 1 \s </w:instrText>
      </w:r>
      <w:r w:rsidRPr="005060E0">
        <w:rPr>
          <w:rFonts w:cs="Arial"/>
        </w:rPr>
        <w:fldChar w:fldCharType="separate"/>
      </w:r>
      <w:r w:rsidR="00F2067C">
        <w:rPr>
          <w:rFonts w:cs="Arial"/>
          <w:noProof/>
        </w:rPr>
        <w:t>7</w:t>
      </w:r>
      <w:r w:rsidRPr="005060E0">
        <w:rPr>
          <w:rFonts w:cs="Arial"/>
          <w:noProof/>
        </w:rPr>
        <w:fldChar w:fldCharType="end"/>
      </w:r>
      <w:r w:rsidRPr="005060E0">
        <w:rPr>
          <w:rFonts w:cs="Arial"/>
        </w:rPr>
        <w:noBreakHyphen/>
      </w:r>
      <w:r w:rsidRPr="005060E0">
        <w:rPr>
          <w:rFonts w:cs="Arial"/>
        </w:rPr>
        <w:fldChar w:fldCharType="begin"/>
      </w:r>
      <w:r w:rsidRPr="005060E0">
        <w:rPr>
          <w:rFonts w:cs="Arial"/>
        </w:rPr>
        <w:instrText xml:space="preserve"> SEQ Table \* ARABIC \s 1 </w:instrText>
      </w:r>
      <w:r w:rsidRPr="005060E0">
        <w:rPr>
          <w:rFonts w:cs="Arial"/>
        </w:rPr>
        <w:fldChar w:fldCharType="separate"/>
      </w:r>
      <w:r w:rsidR="00F2067C">
        <w:rPr>
          <w:rFonts w:cs="Arial"/>
          <w:noProof/>
        </w:rPr>
        <w:t>8</w:t>
      </w:r>
      <w:r w:rsidRPr="005060E0">
        <w:rPr>
          <w:rFonts w:cs="Arial"/>
          <w:noProof/>
        </w:rPr>
        <w:fldChar w:fldCharType="end"/>
      </w:r>
      <w:bookmarkEnd w:id="173"/>
      <w:r w:rsidRPr="005060E0">
        <w:rPr>
          <w:rFonts w:cs="Arial"/>
        </w:rPr>
        <w:t>: Projected</w:t>
      </w:r>
      <w:r w:rsidR="00CE5917" w:rsidRPr="005060E0">
        <w:rPr>
          <w:rFonts w:eastAsia="Arial" w:cs="Arial"/>
          <w:iCs/>
        </w:rPr>
        <w:t xml:space="preserve"> e</w:t>
      </w:r>
      <w:r w:rsidRPr="005060E0">
        <w:rPr>
          <w:rFonts w:eastAsia="Arial" w:cs="Arial"/>
          <w:iCs/>
        </w:rPr>
        <w:t>xceeda</w:t>
      </w:r>
      <w:r w:rsidR="00CE5917" w:rsidRPr="005060E0">
        <w:rPr>
          <w:rFonts w:eastAsia="Arial" w:cs="Arial"/>
          <w:iCs/>
        </w:rPr>
        <w:t>nce</w:t>
      </w:r>
      <w:r w:rsidRPr="005060E0">
        <w:rPr>
          <w:rFonts w:eastAsia="Arial" w:cs="Arial"/>
          <w:iCs/>
        </w:rPr>
        <w:t>s</w:t>
      </w:r>
      <w:r w:rsidR="00CE5917" w:rsidRPr="005060E0">
        <w:rPr>
          <w:rFonts w:cs="Arial"/>
        </w:rPr>
        <w:t xml:space="preserve"> of current and proposed</w:t>
      </w:r>
      <w:r w:rsidRPr="005060E0">
        <w:rPr>
          <w:rFonts w:cs="Arial"/>
        </w:rPr>
        <w:t xml:space="preserve"> NO</w:t>
      </w:r>
      <w:r w:rsidRPr="005060E0">
        <w:rPr>
          <w:rFonts w:cs="Arial"/>
          <w:vertAlign w:val="subscript"/>
        </w:rPr>
        <w:t>2</w:t>
      </w:r>
      <w:r w:rsidRPr="005060E0">
        <w:rPr>
          <w:rFonts w:cs="Arial"/>
        </w:rPr>
        <w:t xml:space="preserve"> standards (Abatement Package scenario, NSW)</w:t>
      </w:r>
    </w:p>
    <w:tbl>
      <w:tblPr>
        <w:tblStyle w:val="ListTable3-Accent12"/>
        <w:tblW w:w="9403" w:type="dxa"/>
        <w:jc w:val="center"/>
        <w:tblLayout w:type="fixed"/>
        <w:tblLook w:val="04A0" w:firstRow="1" w:lastRow="0" w:firstColumn="1" w:lastColumn="0" w:noHBand="0" w:noVBand="1"/>
      </w:tblPr>
      <w:tblGrid>
        <w:gridCol w:w="851"/>
        <w:gridCol w:w="977"/>
        <w:gridCol w:w="616"/>
        <w:gridCol w:w="631"/>
        <w:gridCol w:w="631"/>
        <w:gridCol w:w="632"/>
        <w:gridCol w:w="12"/>
        <w:gridCol w:w="621"/>
        <w:gridCol w:w="632"/>
        <w:gridCol w:w="632"/>
        <w:gridCol w:w="633"/>
        <w:gridCol w:w="8"/>
        <w:gridCol w:w="624"/>
        <w:gridCol w:w="632"/>
        <w:gridCol w:w="633"/>
        <w:gridCol w:w="632"/>
        <w:gridCol w:w="6"/>
      </w:tblGrid>
      <w:tr w:rsidR="005C2AB3" w:rsidRPr="005060E0" w14:paraId="6CD0B4B2" w14:textId="77777777" w:rsidTr="007A3B2D">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100" w:firstRow="0" w:lastRow="0" w:firstColumn="1" w:lastColumn="0" w:oddVBand="0" w:evenVBand="0" w:oddHBand="0" w:evenHBand="0" w:firstRowFirstColumn="1" w:firstRowLastColumn="0" w:lastRowFirstColumn="0" w:lastRowLastColumn="0"/>
            <w:tcW w:w="851" w:type="dxa"/>
            <w:vMerge w:val="restart"/>
            <w:tcBorders>
              <w:top w:val="single" w:sz="4" w:space="0" w:color="606072"/>
              <w:left w:val="single" w:sz="4" w:space="0" w:color="606072"/>
              <w:bottom w:val="single" w:sz="4" w:space="0" w:color="606072"/>
              <w:right w:val="single" w:sz="4" w:space="0" w:color="606072"/>
            </w:tcBorders>
            <w:shd w:val="clear" w:color="auto" w:fill="606072"/>
            <w:vAlign w:val="center"/>
          </w:tcPr>
          <w:p w14:paraId="168D2D24" w14:textId="77777777" w:rsidR="005C2AB3" w:rsidRPr="005060E0" w:rsidRDefault="005C2AB3" w:rsidP="007A3B2D">
            <w:pPr>
              <w:pStyle w:val="BodyText"/>
              <w:spacing w:after="0" w:line="240" w:lineRule="auto"/>
              <w:jc w:val="center"/>
              <w:rPr>
                <w:b w:val="0"/>
                <w:color w:val="FFFFFF" w:themeColor="background1"/>
                <w:sz w:val="15"/>
                <w:szCs w:val="15"/>
              </w:rPr>
            </w:pPr>
            <w:r w:rsidRPr="005060E0">
              <w:rPr>
                <w:b w:val="0"/>
                <w:color w:val="FFFFFF" w:themeColor="background1"/>
                <w:sz w:val="15"/>
                <w:szCs w:val="15"/>
              </w:rPr>
              <w:t>Period</w:t>
            </w:r>
          </w:p>
        </w:tc>
        <w:tc>
          <w:tcPr>
            <w:tcW w:w="977" w:type="dxa"/>
            <w:vMerge w:val="restart"/>
            <w:tcBorders>
              <w:top w:val="single" w:sz="4" w:space="0" w:color="606072"/>
              <w:left w:val="single" w:sz="4" w:space="0" w:color="606072"/>
              <w:bottom w:val="single" w:sz="4" w:space="0" w:color="606072"/>
              <w:right w:val="single" w:sz="4" w:space="0" w:color="606072"/>
            </w:tcBorders>
            <w:shd w:val="clear" w:color="auto" w:fill="606072"/>
            <w:vAlign w:val="center"/>
          </w:tcPr>
          <w:p w14:paraId="410981D0" w14:textId="77777777" w:rsidR="005C2AB3" w:rsidRPr="005060E0" w:rsidRDefault="005C2AB3" w:rsidP="007A3B2D">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Standard (ppb)</w:t>
            </w:r>
          </w:p>
        </w:tc>
        <w:tc>
          <w:tcPr>
            <w:tcW w:w="2522" w:type="dxa"/>
            <w:gridSpan w:val="5"/>
            <w:tcBorders>
              <w:top w:val="single" w:sz="4" w:space="0" w:color="606072"/>
              <w:left w:val="single" w:sz="4" w:space="0" w:color="606072"/>
              <w:bottom w:val="single" w:sz="4" w:space="0" w:color="606072"/>
              <w:right w:val="single" w:sz="4" w:space="0" w:color="606072"/>
            </w:tcBorders>
            <w:shd w:val="clear" w:color="auto" w:fill="606072"/>
            <w:vAlign w:val="center"/>
          </w:tcPr>
          <w:p w14:paraId="24C5EA32" w14:textId="77777777" w:rsidR="005C2AB3" w:rsidRPr="005060E0" w:rsidRDefault="005C2AB3" w:rsidP="007A3B2D">
            <w:pPr>
              <w:pStyle w:val="BodyText"/>
              <w:spacing w:after="0" w:line="240" w:lineRule="auto"/>
              <w:ind w:left="-92"/>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 xml:space="preserve">   NSW: Sydney </w:t>
            </w:r>
          </w:p>
        </w:tc>
        <w:tc>
          <w:tcPr>
            <w:tcW w:w="2526" w:type="dxa"/>
            <w:gridSpan w:val="5"/>
            <w:tcBorders>
              <w:top w:val="single" w:sz="4" w:space="0" w:color="606072"/>
              <w:left w:val="single" w:sz="4" w:space="0" w:color="606072"/>
              <w:bottom w:val="single" w:sz="4" w:space="0" w:color="606072"/>
              <w:right w:val="single" w:sz="4" w:space="0" w:color="606072"/>
            </w:tcBorders>
            <w:shd w:val="clear" w:color="auto" w:fill="606072"/>
            <w:vAlign w:val="center"/>
          </w:tcPr>
          <w:p w14:paraId="57B64DA4" w14:textId="77777777" w:rsidR="005C2AB3" w:rsidRPr="005060E0" w:rsidRDefault="005C2AB3" w:rsidP="007A3B2D">
            <w:pPr>
              <w:pStyle w:val="BodyText"/>
              <w:spacing w:after="0" w:line="240" w:lineRule="auto"/>
              <w:ind w:left="-61"/>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 xml:space="preserve"> NSW: Newcastle</w:t>
            </w:r>
          </w:p>
        </w:tc>
        <w:tc>
          <w:tcPr>
            <w:tcW w:w="2527" w:type="dxa"/>
            <w:gridSpan w:val="5"/>
            <w:tcBorders>
              <w:top w:val="single" w:sz="4" w:space="0" w:color="606072"/>
              <w:left w:val="single" w:sz="4" w:space="0" w:color="606072"/>
              <w:bottom w:val="single" w:sz="4" w:space="0" w:color="606072"/>
              <w:right w:val="single" w:sz="4" w:space="0" w:color="606072"/>
            </w:tcBorders>
            <w:shd w:val="clear" w:color="auto" w:fill="606072"/>
            <w:vAlign w:val="center"/>
          </w:tcPr>
          <w:p w14:paraId="07CD5F61" w14:textId="77777777" w:rsidR="005C2AB3" w:rsidRPr="005060E0" w:rsidRDefault="005C2AB3" w:rsidP="007A3B2D">
            <w:pPr>
              <w:pStyle w:val="BodyText"/>
              <w:spacing w:after="0" w:line="240" w:lineRule="auto"/>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NSW: Wollongong</w:t>
            </w:r>
          </w:p>
        </w:tc>
      </w:tr>
      <w:tr w:rsidR="00BF7BF2" w:rsidRPr="005060E0" w14:paraId="7B65BA85" w14:textId="77777777" w:rsidTr="007A3B2D">
        <w:tblPrEx>
          <w:tblBorders>
            <w:top w:val="single" w:sz="2" w:space="0" w:color="0076C0" w:themeColor="accent1"/>
            <w:left w:val="single" w:sz="2" w:space="0" w:color="0076C0" w:themeColor="accent1"/>
            <w:bottom w:val="single" w:sz="2" w:space="0" w:color="0076C0" w:themeColor="accent1"/>
            <w:right w:val="single" w:sz="2" w:space="0" w:color="0076C0" w:themeColor="accent1"/>
          </w:tblBorders>
          <w:tblCellMar>
            <w:left w:w="41" w:type="dxa"/>
            <w:right w:w="41" w:type="dxa"/>
          </w:tblCellMar>
        </w:tblPrEx>
        <w:trPr>
          <w:gridAfter w:val="1"/>
          <w:cnfStyle w:val="100000000000" w:firstRow="1" w:lastRow="0" w:firstColumn="0" w:lastColumn="0" w:oddVBand="0" w:evenVBand="0" w:oddHBand="0" w:evenHBand="0" w:firstRowFirstColumn="0" w:firstRowLastColumn="0" w:lastRowFirstColumn="0" w:lastRowLastColumn="0"/>
          <w:wAfter w:w="6" w:type="dxa"/>
          <w:trHeight w:hRule="exact" w:val="284"/>
          <w:tblHeader/>
          <w:jc w:val="center"/>
        </w:trPr>
        <w:tc>
          <w:tcPr>
            <w:cnfStyle w:val="001000000100" w:firstRow="0" w:lastRow="0" w:firstColumn="1" w:lastColumn="0" w:oddVBand="0" w:evenVBand="0" w:oddHBand="0" w:evenHBand="0" w:firstRowFirstColumn="1" w:firstRowLastColumn="0" w:lastRowFirstColumn="0" w:lastRowLastColumn="0"/>
            <w:tcW w:w="851" w:type="dxa"/>
            <w:vMerge/>
            <w:tcBorders>
              <w:top w:val="single" w:sz="4" w:space="0" w:color="606072"/>
              <w:left w:val="single" w:sz="4" w:space="0" w:color="606072"/>
              <w:bottom w:val="single" w:sz="4" w:space="0" w:color="606072"/>
              <w:right w:val="single" w:sz="4" w:space="0" w:color="606072"/>
            </w:tcBorders>
            <w:shd w:val="clear" w:color="auto" w:fill="606072"/>
            <w:vAlign w:val="center"/>
          </w:tcPr>
          <w:p w14:paraId="1DB1142A" w14:textId="77777777" w:rsidR="005C2AB3" w:rsidRPr="005060E0" w:rsidRDefault="005C2AB3" w:rsidP="007A3B2D">
            <w:pPr>
              <w:pStyle w:val="BodyText"/>
              <w:spacing w:after="0" w:line="240" w:lineRule="auto"/>
              <w:rPr>
                <w:b w:val="0"/>
                <w:color w:val="FFFFFF" w:themeColor="background1"/>
                <w:sz w:val="15"/>
                <w:szCs w:val="15"/>
              </w:rPr>
            </w:pPr>
          </w:p>
        </w:tc>
        <w:tc>
          <w:tcPr>
            <w:tcW w:w="977" w:type="dxa"/>
            <w:vMerge/>
            <w:tcBorders>
              <w:top w:val="single" w:sz="4" w:space="0" w:color="606072"/>
              <w:left w:val="single" w:sz="4" w:space="0" w:color="606072"/>
              <w:bottom w:val="single" w:sz="4" w:space="0" w:color="606072"/>
              <w:right w:val="single" w:sz="4" w:space="0" w:color="606072"/>
            </w:tcBorders>
            <w:shd w:val="clear" w:color="auto" w:fill="606072"/>
            <w:vAlign w:val="center"/>
          </w:tcPr>
          <w:p w14:paraId="2D5F60B5" w14:textId="77777777" w:rsidR="005C2AB3" w:rsidRPr="005060E0" w:rsidRDefault="005C2AB3" w:rsidP="007A3B2D">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p>
        </w:tc>
        <w:tc>
          <w:tcPr>
            <w:tcW w:w="616"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3F0DC43D" w14:textId="77777777" w:rsidR="005C2AB3" w:rsidRPr="005060E0" w:rsidRDefault="005C2AB3" w:rsidP="007A3B2D">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2016</w:t>
            </w:r>
          </w:p>
        </w:tc>
        <w:tc>
          <w:tcPr>
            <w:tcW w:w="631"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0E2E32C0" w14:textId="77777777" w:rsidR="005C2AB3" w:rsidRPr="005060E0" w:rsidRDefault="005C2AB3" w:rsidP="007A3B2D">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2021</w:t>
            </w:r>
          </w:p>
        </w:tc>
        <w:tc>
          <w:tcPr>
            <w:tcW w:w="631"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1D5DBA62" w14:textId="77777777" w:rsidR="005C2AB3" w:rsidRPr="005060E0" w:rsidRDefault="005C2AB3" w:rsidP="007A3B2D">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2031</w:t>
            </w:r>
          </w:p>
        </w:tc>
        <w:tc>
          <w:tcPr>
            <w:tcW w:w="632"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2FC3F1C8" w14:textId="77777777" w:rsidR="005C2AB3" w:rsidRPr="005060E0" w:rsidRDefault="005C2AB3" w:rsidP="007A3B2D">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2040</w:t>
            </w:r>
          </w:p>
        </w:tc>
        <w:tc>
          <w:tcPr>
            <w:tcW w:w="633" w:type="dxa"/>
            <w:gridSpan w:val="2"/>
            <w:tcBorders>
              <w:top w:val="single" w:sz="4" w:space="0" w:color="606072"/>
              <w:left w:val="single" w:sz="4" w:space="0" w:color="606072"/>
              <w:bottom w:val="single" w:sz="4" w:space="0" w:color="606072"/>
              <w:right w:val="single" w:sz="4" w:space="0" w:color="606072"/>
            </w:tcBorders>
            <w:shd w:val="clear" w:color="auto" w:fill="606072"/>
            <w:vAlign w:val="center"/>
          </w:tcPr>
          <w:p w14:paraId="0B1F57A2" w14:textId="77777777" w:rsidR="005C2AB3" w:rsidRPr="005060E0" w:rsidRDefault="005C2AB3" w:rsidP="007A3B2D">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2016</w:t>
            </w:r>
          </w:p>
        </w:tc>
        <w:tc>
          <w:tcPr>
            <w:tcW w:w="632"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4C718A63" w14:textId="77777777" w:rsidR="005C2AB3" w:rsidRPr="005060E0" w:rsidRDefault="005C2AB3" w:rsidP="007A3B2D">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2021</w:t>
            </w:r>
          </w:p>
        </w:tc>
        <w:tc>
          <w:tcPr>
            <w:tcW w:w="632"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3AD6DC12" w14:textId="77777777" w:rsidR="005C2AB3" w:rsidRPr="005060E0" w:rsidRDefault="005C2AB3" w:rsidP="007A3B2D">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2031</w:t>
            </w:r>
          </w:p>
        </w:tc>
        <w:tc>
          <w:tcPr>
            <w:tcW w:w="633"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5FC56BCA" w14:textId="77777777" w:rsidR="005C2AB3" w:rsidRPr="005060E0" w:rsidRDefault="005C2AB3" w:rsidP="007A3B2D">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2040</w:t>
            </w:r>
          </w:p>
        </w:tc>
        <w:tc>
          <w:tcPr>
            <w:tcW w:w="632" w:type="dxa"/>
            <w:gridSpan w:val="2"/>
            <w:tcBorders>
              <w:top w:val="single" w:sz="4" w:space="0" w:color="606072"/>
              <w:left w:val="single" w:sz="4" w:space="0" w:color="606072"/>
              <w:bottom w:val="single" w:sz="4" w:space="0" w:color="606072"/>
              <w:right w:val="single" w:sz="4" w:space="0" w:color="606072"/>
            </w:tcBorders>
            <w:shd w:val="clear" w:color="auto" w:fill="606072"/>
            <w:vAlign w:val="center"/>
          </w:tcPr>
          <w:p w14:paraId="33C508A3" w14:textId="77777777" w:rsidR="005C2AB3" w:rsidRPr="005060E0" w:rsidRDefault="005C2AB3" w:rsidP="007A3B2D">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sidRPr="005060E0">
              <w:rPr>
                <w:b w:val="0"/>
                <w:color w:val="FFFFFF" w:themeColor="background1"/>
                <w:sz w:val="15"/>
                <w:szCs w:val="15"/>
              </w:rPr>
              <w:t>2016</w:t>
            </w:r>
          </w:p>
        </w:tc>
        <w:tc>
          <w:tcPr>
            <w:tcW w:w="632"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28E93068" w14:textId="77777777" w:rsidR="005C2AB3" w:rsidRPr="005060E0" w:rsidRDefault="005C2AB3" w:rsidP="007A3B2D">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sidRPr="005060E0">
              <w:rPr>
                <w:b w:val="0"/>
                <w:color w:val="FFFFFF" w:themeColor="background1"/>
                <w:sz w:val="15"/>
                <w:szCs w:val="15"/>
              </w:rPr>
              <w:t>2021</w:t>
            </w:r>
          </w:p>
        </w:tc>
        <w:tc>
          <w:tcPr>
            <w:tcW w:w="633"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14F2BB6F" w14:textId="77777777" w:rsidR="005C2AB3" w:rsidRPr="005060E0" w:rsidRDefault="005C2AB3" w:rsidP="007A3B2D">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sidRPr="005060E0">
              <w:rPr>
                <w:b w:val="0"/>
                <w:color w:val="FFFFFF" w:themeColor="background1"/>
                <w:sz w:val="15"/>
                <w:szCs w:val="15"/>
              </w:rPr>
              <w:t>2031</w:t>
            </w:r>
          </w:p>
        </w:tc>
        <w:tc>
          <w:tcPr>
            <w:tcW w:w="632"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3F0D46E6" w14:textId="77777777" w:rsidR="005C2AB3" w:rsidRPr="005060E0" w:rsidRDefault="005C2AB3" w:rsidP="007A3B2D">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2040</w:t>
            </w:r>
          </w:p>
        </w:tc>
      </w:tr>
      <w:tr w:rsidR="004D2712" w:rsidRPr="005060E0" w14:paraId="5DC70686" w14:textId="77777777" w:rsidTr="004D2712">
        <w:trPr>
          <w:gridAfter w:val="1"/>
          <w:cnfStyle w:val="000000100000" w:firstRow="0" w:lastRow="0" w:firstColumn="0" w:lastColumn="0" w:oddVBand="0" w:evenVBand="0" w:oddHBand="1" w:evenHBand="0" w:firstRowFirstColumn="0" w:firstRowLastColumn="0" w:lastRowFirstColumn="0" w:lastRowLastColumn="0"/>
          <w:wAfter w:w="6" w:type="dxa"/>
          <w:trHeight w:hRule="exact" w:val="255"/>
          <w:jc w:val="center"/>
        </w:trPr>
        <w:tc>
          <w:tcPr>
            <w:cnfStyle w:val="001000000000" w:firstRow="0" w:lastRow="0" w:firstColumn="1" w:lastColumn="0" w:oddVBand="0" w:evenVBand="0" w:oddHBand="0" w:evenHBand="0" w:firstRowFirstColumn="0" w:firstRowLastColumn="0" w:lastRowFirstColumn="0" w:lastRowLastColumn="0"/>
            <w:tcW w:w="9397" w:type="dxa"/>
            <w:gridSpan w:val="16"/>
            <w:tcBorders>
              <w:top w:val="single" w:sz="4" w:space="0" w:color="606072"/>
              <w:left w:val="single" w:sz="4" w:space="0" w:color="606072"/>
              <w:bottom w:val="single" w:sz="4" w:space="0" w:color="606072"/>
              <w:right w:val="single" w:sz="4" w:space="0" w:color="606072"/>
            </w:tcBorders>
            <w:shd w:val="clear" w:color="auto" w:fill="BFBFBF" w:themeFill="background1" w:themeFillShade="BF"/>
            <w:vAlign w:val="center"/>
          </w:tcPr>
          <w:p w14:paraId="52673E1F" w14:textId="25FA04D3" w:rsidR="004D2712" w:rsidRPr="005060E0" w:rsidRDefault="004D2712" w:rsidP="004D2712">
            <w:pPr>
              <w:pStyle w:val="BodyText"/>
              <w:spacing w:after="0" w:line="240" w:lineRule="auto"/>
              <w:rPr>
                <w:sz w:val="15"/>
                <w:szCs w:val="15"/>
              </w:rPr>
            </w:pPr>
            <w:r w:rsidRPr="005060E0">
              <w:rPr>
                <w:rFonts w:cs="Arial"/>
                <w:b w:val="0"/>
                <w:sz w:val="15"/>
                <w:szCs w:val="15"/>
              </w:rPr>
              <w:t>Total number of unique exceedance days</w:t>
            </w:r>
          </w:p>
        </w:tc>
      </w:tr>
      <w:tr w:rsidR="007F77AB" w:rsidRPr="005060E0" w14:paraId="234C1A04" w14:textId="77777777" w:rsidTr="00790F21">
        <w:trPr>
          <w:gridAfter w:val="1"/>
          <w:wAfter w:w="6" w:type="dxa"/>
          <w:trHeight w:hRule="exact" w:val="255"/>
          <w:jc w:val="center"/>
        </w:trPr>
        <w:tc>
          <w:tcPr>
            <w:cnfStyle w:val="001000000000" w:firstRow="0" w:lastRow="0" w:firstColumn="1" w:lastColumn="0" w:oddVBand="0" w:evenVBand="0" w:oddHBand="0" w:evenHBand="0" w:firstRowFirstColumn="0" w:firstRowLastColumn="0" w:lastRowFirstColumn="0" w:lastRowLastColumn="0"/>
            <w:tcW w:w="851" w:type="dxa"/>
            <w:vMerge w:val="restart"/>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08B17FC6" w14:textId="77777777" w:rsidR="005C2AB3" w:rsidRPr="005060E0" w:rsidRDefault="005C2AB3" w:rsidP="007A3B2D">
            <w:pPr>
              <w:pStyle w:val="BodyText"/>
              <w:spacing w:after="0" w:line="240" w:lineRule="auto"/>
              <w:jc w:val="center"/>
              <w:rPr>
                <w:b w:val="0"/>
                <w:sz w:val="15"/>
                <w:szCs w:val="15"/>
              </w:rPr>
            </w:pPr>
            <w:r w:rsidRPr="005060E0">
              <w:rPr>
                <w:b w:val="0"/>
                <w:sz w:val="15"/>
                <w:szCs w:val="15"/>
              </w:rPr>
              <w:t>1-hour</w:t>
            </w:r>
          </w:p>
        </w:tc>
        <w:tc>
          <w:tcPr>
            <w:tcW w:w="977" w:type="dxa"/>
            <w:tcBorders>
              <w:top w:val="single" w:sz="4" w:space="0" w:color="606072"/>
              <w:left w:val="dotted" w:sz="4" w:space="0" w:color="606372" w:themeColor="text2"/>
              <w:bottom w:val="dotted" w:sz="4" w:space="0" w:color="606072"/>
              <w:right w:val="single" w:sz="4" w:space="0" w:color="606372" w:themeColor="text2"/>
            </w:tcBorders>
            <w:shd w:val="clear" w:color="auto" w:fill="DEDFE3" w:themeFill="text2" w:themeFillTint="33"/>
            <w:vAlign w:val="center"/>
          </w:tcPr>
          <w:p w14:paraId="1C7F815C" w14:textId="77777777" w:rsidR="005C2AB3" w:rsidRPr="005060E0" w:rsidRDefault="005C2AB3"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40</w:t>
            </w:r>
          </w:p>
        </w:tc>
        <w:tc>
          <w:tcPr>
            <w:tcW w:w="616" w:type="dxa"/>
            <w:tcBorders>
              <w:top w:val="single" w:sz="4" w:space="0" w:color="606072"/>
              <w:left w:val="single" w:sz="4" w:space="0" w:color="606372" w:themeColor="text2"/>
              <w:bottom w:val="dotted" w:sz="4" w:space="0" w:color="606072"/>
              <w:right w:val="dotted" w:sz="4" w:space="0" w:color="606072"/>
            </w:tcBorders>
            <w:shd w:val="clear" w:color="auto" w:fill="auto"/>
            <w:vAlign w:val="center"/>
          </w:tcPr>
          <w:p w14:paraId="62926343" w14:textId="01D332B1" w:rsidR="005C2AB3" w:rsidRPr="005060E0" w:rsidRDefault="00812125"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6</w:t>
            </w:r>
          </w:p>
        </w:tc>
        <w:tc>
          <w:tcPr>
            <w:tcW w:w="631" w:type="dxa"/>
            <w:tcBorders>
              <w:top w:val="single" w:sz="4" w:space="0" w:color="606072"/>
              <w:left w:val="dotted" w:sz="4" w:space="0" w:color="606072"/>
              <w:bottom w:val="dotted" w:sz="4" w:space="0" w:color="606072"/>
              <w:right w:val="dotted" w:sz="4" w:space="0" w:color="606072"/>
            </w:tcBorders>
            <w:shd w:val="clear" w:color="auto" w:fill="auto"/>
            <w:vAlign w:val="center"/>
          </w:tcPr>
          <w:p w14:paraId="24F6EE10" w14:textId="77777777" w:rsidR="005C2AB3" w:rsidRPr="005060E0" w:rsidRDefault="005C2AB3"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6</w:t>
            </w:r>
          </w:p>
        </w:tc>
        <w:tc>
          <w:tcPr>
            <w:tcW w:w="631" w:type="dxa"/>
            <w:tcBorders>
              <w:top w:val="single" w:sz="4" w:space="0" w:color="606072"/>
              <w:left w:val="dotted" w:sz="4" w:space="0" w:color="606072"/>
              <w:bottom w:val="dotted" w:sz="4" w:space="0" w:color="606072"/>
              <w:right w:val="dotted" w:sz="4" w:space="0" w:color="606072"/>
            </w:tcBorders>
            <w:shd w:val="clear" w:color="auto" w:fill="auto"/>
            <w:vAlign w:val="center"/>
          </w:tcPr>
          <w:p w14:paraId="3017A4CB" w14:textId="77777777" w:rsidR="005C2AB3" w:rsidRPr="005060E0" w:rsidRDefault="005C2AB3"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6</w:t>
            </w:r>
          </w:p>
        </w:tc>
        <w:tc>
          <w:tcPr>
            <w:tcW w:w="632" w:type="dxa"/>
            <w:tcBorders>
              <w:top w:val="single" w:sz="4" w:space="0" w:color="606072"/>
              <w:left w:val="dotted" w:sz="4" w:space="0" w:color="606072"/>
              <w:bottom w:val="dotted" w:sz="4" w:space="0" w:color="606072"/>
              <w:right w:val="single" w:sz="4" w:space="0" w:color="606072"/>
            </w:tcBorders>
            <w:shd w:val="clear" w:color="auto" w:fill="auto"/>
            <w:vAlign w:val="center"/>
          </w:tcPr>
          <w:p w14:paraId="1619D671" w14:textId="77777777" w:rsidR="005C2AB3" w:rsidRPr="005060E0" w:rsidRDefault="005C2AB3"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6</w:t>
            </w:r>
          </w:p>
        </w:tc>
        <w:tc>
          <w:tcPr>
            <w:tcW w:w="633" w:type="dxa"/>
            <w:gridSpan w:val="2"/>
            <w:tcBorders>
              <w:top w:val="single" w:sz="4" w:space="0" w:color="606072"/>
              <w:left w:val="single" w:sz="4" w:space="0" w:color="606072"/>
              <w:bottom w:val="dotted" w:sz="4" w:space="0" w:color="606072"/>
              <w:right w:val="dotted" w:sz="4" w:space="0" w:color="606072"/>
            </w:tcBorders>
            <w:shd w:val="clear" w:color="auto" w:fill="auto"/>
            <w:vAlign w:val="center"/>
          </w:tcPr>
          <w:p w14:paraId="78446698" w14:textId="3F3DBBCB" w:rsidR="005C2AB3" w:rsidRPr="005060E0" w:rsidRDefault="00812125"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2</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7320C23D" w14:textId="4BBA556C" w:rsidR="005C2AB3" w:rsidRPr="005060E0" w:rsidRDefault="00812125"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2</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4AC88317" w14:textId="46DA1495"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3" w:type="dxa"/>
            <w:tcBorders>
              <w:top w:val="single" w:sz="4" w:space="0" w:color="606072"/>
              <w:left w:val="dotted" w:sz="4" w:space="0" w:color="606072"/>
              <w:bottom w:val="dotted" w:sz="4" w:space="0" w:color="606072"/>
              <w:right w:val="single" w:sz="4" w:space="0" w:color="606072"/>
            </w:tcBorders>
            <w:shd w:val="clear" w:color="auto" w:fill="auto"/>
            <w:vAlign w:val="center"/>
          </w:tcPr>
          <w:p w14:paraId="0959D69C" w14:textId="3BD91D75"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gridSpan w:val="2"/>
            <w:tcBorders>
              <w:top w:val="single" w:sz="4" w:space="0" w:color="606072"/>
              <w:left w:val="single" w:sz="4" w:space="0" w:color="606072"/>
              <w:bottom w:val="dotted" w:sz="4" w:space="0" w:color="606072"/>
              <w:right w:val="dotted" w:sz="4" w:space="0" w:color="606072"/>
            </w:tcBorders>
            <w:shd w:val="clear" w:color="auto" w:fill="auto"/>
            <w:vAlign w:val="center"/>
          </w:tcPr>
          <w:p w14:paraId="568ADC90" w14:textId="63931500"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283C5B81" w14:textId="48E1C691"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3" w:type="dxa"/>
            <w:tcBorders>
              <w:top w:val="single" w:sz="4" w:space="0" w:color="606072"/>
              <w:left w:val="dotted" w:sz="4" w:space="0" w:color="606072"/>
              <w:bottom w:val="dotted" w:sz="4" w:space="0" w:color="606072"/>
              <w:right w:val="dotted" w:sz="4" w:space="0" w:color="606072"/>
            </w:tcBorders>
            <w:shd w:val="clear" w:color="auto" w:fill="auto"/>
            <w:vAlign w:val="center"/>
          </w:tcPr>
          <w:p w14:paraId="2E8F1983" w14:textId="3D3CFB0E"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single" w:sz="4" w:space="0" w:color="606072"/>
              <w:left w:val="dotted" w:sz="4" w:space="0" w:color="606072"/>
              <w:bottom w:val="dotted" w:sz="4" w:space="0" w:color="606072"/>
              <w:right w:val="single" w:sz="4" w:space="0" w:color="606072"/>
            </w:tcBorders>
            <w:shd w:val="clear" w:color="auto" w:fill="auto"/>
            <w:vAlign w:val="center"/>
          </w:tcPr>
          <w:p w14:paraId="42D29287" w14:textId="044D6EB5"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7F77AB" w:rsidRPr="005060E0" w14:paraId="553B7C7F" w14:textId="77777777" w:rsidTr="00790F21">
        <w:trPr>
          <w:gridAfter w:val="1"/>
          <w:cnfStyle w:val="000000100000" w:firstRow="0" w:lastRow="0" w:firstColumn="0" w:lastColumn="0" w:oddVBand="0" w:evenVBand="0" w:oddHBand="1" w:evenHBand="0" w:firstRowFirstColumn="0" w:firstRowLastColumn="0" w:lastRowFirstColumn="0" w:lastRowLastColumn="0"/>
          <w:wAfter w:w="6" w:type="dxa"/>
          <w:trHeight w:hRule="exact" w:val="255"/>
          <w:jc w:val="center"/>
        </w:trPr>
        <w:tc>
          <w:tcPr>
            <w:cnfStyle w:val="001000000000" w:firstRow="0" w:lastRow="0" w:firstColumn="1" w:lastColumn="0" w:oddVBand="0" w:evenVBand="0" w:oddHBand="0" w:evenHBand="0" w:firstRowFirstColumn="0" w:firstRowLastColumn="0" w:lastRowFirstColumn="0" w:lastRowLastColumn="0"/>
            <w:tcW w:w="851"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398EBE2E" w14:textId="77777777" w:rsidR="005C2AB3" w:rsidRPr="005060E0" w:rsidRDefault="005C2AB3" w:rsidP="007A3B2D">
            <w:pPr>
              <w:pStyle w:val="BodyText"/>
              <w:spacing w:after="0" w:line="240" w:lineRule="auto"/>
              <w:jc w:val="center"/>
              <w:rPr>
                <w:b w:val="0"/>
                <w:sz w:val="15"/>
                <w:szCs w:val="15"/>
              </w:rPr>
            </w:pPr>
          </w:p>
        </w:tc>
        <w:tc>
          <w:tcPr>
            <w:tcW w:w="977" w:type="dxa"/>
            <w:tcBorders>
              <w:top w:val="dotted" w:sz="4" w:space="0" w:color="606072"/>
              <w:left w:val="dotted" w:sz="4" w:space="0" w:color="606372" w:themeColor="text2"/>
              <w:bottom w:val="dotted" w:sz="4" w:space="0" w:color="606072"/>
              <w:right w:val="single" w:sz="4" w:space="0" w:color="606372" w:themeColor="text2"/>
            </w:tcBorders>
            <w:shd w:val="clear" w:color="auto" w:fill="DEDFE3" w:themeFill="text2" w:themeFillTint="33"/>
            <w:vAlign w:val="center"/>
          </w:tcPr>
          <w:p w14:paraId="3422C36D" w14:textId="77777777" w:rsidR="005C2AB3" w:rsidRPr="005060E0" w:rsidRDefault="005C2AB3"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80</w:t>
            </w:r>
          </w:p>
        </w:tc>
        <w:tc>
          <w:tcPr>
            <w:tcW w:w="616" w:type="dxa"/>
            <w:tcBorders>
              <w:top w:val="dotted" w:sz="4" w:space="0" w:color="606072"/>
              <w:left w:val="single" w:sz="4" w:space="0" w:color="606372" w:themeColor="text2"/>
              <w:bottom w:val="dotted" w:sz="4" w:space="0" w:color="606072"/>
              <w:right w:val="dotted" w:sz="4" w:space="0" w:color="606072"/>
            </w:tcBorders>
            <w:shd w:val="clear" w:color="auto" w:fill="auto"/>
            <w:vAlign w:val="center"/>
          </w:tcPr>
          <w:p w14:paraId="34B008D6" w14:textId="7FFA616E"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604FC438" w14:textId="064AF5B4"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6F27874F" w14:textId="6DCF9B58"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dotted" w:sz="4" w:space="0" w:color="606072"/>
              <w:right w:val="single" w:sz="4" w:space="0" w:color="606072"/>
            </w:tcBorders>
            <w:shd w:val="clear" w:color="auto" w:fill="auto"/>
            <w:vAlign w:val="center"/>
          </w:tcPr>
          <w:p w14:paraId="5A7EE246" w14:textId="7906EE13"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3" w:type="dxa"/>
            <w:gridSpan w:val="2"/>
            <w:tcBorders>
              <w:top w:val="dotted" w:sz="4" w:space="0" w:color="606072"/>
              <w:left w:val="single" w:sz="4" w:space="0" w:color="606072"/>
              <w:bottom w:val="dotted" w:sz="4" w:space="0" w:color="606072"/>
              <w:right w:val="dotted" w:sz="4" w:space="0" w:color="606072"/>
            </w:tcBorders>
            <w:shd w:val="clear" w:color="auto" w:fill="auto"/>
            <w:vAlign w:val="center"/>
          </w:tcPr>
          <w:p w14:paraId="50BB8BF1" w14:textId="0129A562"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45F487B3" w14:textId="4840F48D"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5106AE20" w14:textId="3C993CD0"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3" w:type="dxa"/>
            <w:tcBorders>
              <w:top w:val="dotted" w:sz="4" w:space="0" w:color="606072"/>
              <w:left w:val="dotted" w:sz="4" w:space="0" w:color="606072"/>
              <w:bottom w:val="dotted" w:sz="4" w:space="0" w:color="606072"/>
              <w:right w:val="single" w:sz="4" w:space="0" w:color="606072"/>
            </w:tcBorders>
            <w:shd w:val="clear" w:color="auto" w:fill="auto"/>
            <w:vAlign w:val="center"/>
          </w:tcPr>
          <w:p w14:paraId="0852E223" w14:textId="7C013342"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gridSpan w:val="2"/>
            <w:tcBorders>
              <w:top w:val="dotted" w:sz="4" w:space="0" w:color="606072"/>
              <w:left w:val="single" w:sz="4" w:space="0" w:color="606072"/>
              <w:bottom w:val="dotted" w:sz="4" w:space="0" w:color="606072"/>
              <w:right w:val="dotted" w:sz="4" w:space="0" w:color="606072"/>
            </w:tcBorders>
            <w:shd w:val="clear" w:color="auto" w:fill="auto"/>
            <w:vAlign w:val="center"/>
          </w:tcPr>
          <w:p w14:paraId="6EBA0A64" w14:textId="26784294"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722D8893" w14:textId="62196AFE"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3" w:type="dxa"/>
            <w:tcBorders>
              <w:top w:val="dotted" w:sz="4" w:space="0" w:color="606072"/>
              <w:left w:val="dotted" w:sz="4" w:space="0" w:color="606072"/>
              <w:bottom w:val="dotted" w:sz="4" w:space="0" w:color="606072"/>
              <w:right w:val="dotted" w:sz="4" w:space="0" w:color="606072"/>
            </w:tcBorders>
            <w:shd w:val="clear" w:color="auto" w:fill="auto"/>
            <w:vAlign w:val="center"/>
          </w:tcPr>
          <w:p w14:paraId="57DD5F1F" w14:textId="6BE6D62B"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dotted" w:sz="4" w:space="0" w:color="606072"/>
              <w:right w:val="single" w:sz="4" w:space="0" w:color="606072"/>
            </w:tcBorders>
            <w:shd w:val="clear" w:color="auto" w:fill="auto"/>
            <w:vAlign w:val="center"/>
          </w:tcPr>
          <w:p w14:paraId="6296FB81" w14:textId="2055D963"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r>
      <w:tr w:rsidR="007F77AB" w:rsidRPr="005060E0" w14:paraId="538EE660" w14:textId="77777777" w:rsidTr="00790F21">
        <w:trPr>
          <w:gridAfter w:val="1"/>
          <w:wAfter w:w="6" w:type="dxa"/>
          <w:trHeight w:hRule="exact" w:val="255"/>
          <w:jc w:val="center"/>
        </w:trPr>
        <w:tc>
          <w:tcPr>
            <w:cnfStyle w:val="001000000000" w:firstRow="0" w:lastRow="0" w:firstColumn="1" w:lastColumn="0" w:oddVBand="0" w:evenVBand="0" w:oddHBand="0" w:evenHBand="0" w:firstRowFirstColumn="0" w:firstRowLastColumn="0" w:lastRowFirstColumn="0" w:lastRowLastColumn="0"/>
            <w:tcW w:w="851"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6623FEE8" w14:textId="77777777" w:rsidR="005C2AB3" w:rsidRPr="005060E0" w:rsidRDefault="005C2AB3" w:rsidP="007A3B2D">
            <w:pPr>
              <w:pStyle w:val="BodyText"/>
              <w:spacing w:after="0" w:line="240" w:lineRule="auto"/>
              <w:jc w:val="center"/>
              <w:rPr>
                <w:b w:val="0"/>
                <w:sz w:val="15"/>
                <w:szCs w:val="15"/>
              </w:rPr>
            </w:pPr>
          </w:p>
        </w:tc>
        <w:tc>
          <w:tcPr>
            <w:tcW w:w="977" w:type="dxa"/>
            <w:tcBorders>
              <w:top w:val="dotted" w:sz="4" w:space="0" w:color="606072"/>
              <w:left w:val="dotted" w:sz="4" w:space="0" w:color="606372" w:themeColor="text2"/>
              <w:bottom w:val="dotted" w:sz="4" w:space="0" w:color="606072"/>
              <w:right w:val="single" w:sz="4" w:space="0" w:color="606372" w:themeColor="text2"/>
            </w:tcBorders>
            <w:shd w:val="clear" w:color="auto" w:fill="DEDFE3" w:themeFill="text2" w:themeFillTint="33"/>
            <w:vAlign w:val="center"/>
          </w:tcPr>
          <w:p w14:paraId="0DF70445" w14:textId="77777777" w:rsidR="005C2AB3" w:rsidRPr="005060E0" w:rsidRDefault="005C2AB3"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97</w:t>
            </w:r>
          </w:p>
        </w:tc>
        <w:tc>
          <w:tcPr>
            <w:tcW w:w="616" w:type="dxa"/>
            <w:tcBorders>
              <w:top w:val="dotted" w:sz="4" w:space="0" w:color="606072"/>
              <w:left w:val="single" w:sz="4" w:space="0" w:color="606372" w:themeColor="text2"/>
              <w:bottom w:val="dotted" w:sz="4" w:space="0" w:color="606072"/>
              <w:right w:val="dotted" w:sz="4" w:space="0" w:color="606072"/>
            </w:tcBorders>
            <w:shd w:val="clear" w:color="auto" w:fill="auto"/>
            <w:vAlign w:val="center"/>
          </w:tcPr>
          <w:p w14:paraId="586B7374" w14:textId="388C2A24"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2D38FF4F" w14:textId="5E80989E"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7EA74F30" w14:textId="709401CF"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dotted" w:sz="4" w:space="0" w:color="606072"/>
              <w:right w:val="single" w:sz="4" w:space="0" w:color="606072"/>
            </w:tcBorders>
            <w:shd w:val="clear" w:color="auto" w:fill="auto"/>
            <w:vAlign w:val="center"/>
          </w:tcPr>
          <w:p w14:paraId="7395EE4D" w14:textId="6A0663F5"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3" w:type="dxa"/>
            <w:gridSpan w:val="2"/>
            <w:tcBorders>
              <w:top w:val="dotted" w:sz="4" w:space="0" w:color="606072"/>
              <w:left w:val="single" w:sz="4" w:space="0" w:color="606072"/>
              <w:bottom w:val="dotted" w:sz="4" w:space="0" w:color="606072"/>
              <w:right w:val="dotted" w:sz="4" w:space="0" w:color="606072"/>
            </w:tcBorders>
            <w:shd w:val="clear" w:color="auto" w:fill="auto"/>
            <w:vAlign w:val="center"/>
          </w:tcPr>
          <w:p w14:paraId="59E40891" w14:textId="2D669B96"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1C29819D" w14:textId="3F1E144B"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7F5E1CD4" w14:textId="36F51D25"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3" w:type="dxa"/>
            <w:tcBorders>
              <w:top w:val="dotted" w:sz="4" w:space="0" w:color="606072"/>
              <w:left w:val="dotted" w:sz="4" w:space="0" w:color="606072"/>
              <w:bottom w:val="dotted" w:sz="4" w:space="0" w:color="606072"/>
              <w:right w:val="single" w:sz="4" w:space="0" w:color="606072"/>
            </w:tcBorders>
            <w:shd w:val="clear" w:color="auto" w:fill="auto"/>
            <w:vAlign w:val="center"/>
          </w:tcPr>
          <w:p w14:paraId="5884E514" w14:textId="6C368B1A"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gridSpan w:val="2"/>
            <w:tcBorders>
              <w:top w:val="dotted" w:sz="4" w:space="0" w:color="606072"/>
              <w:left w:val="single" w:sz="4" w:space="0" w:color="606072"/>
              <w:bottom w:val="dotted" w:sz="4" w:space="0" w:color="606072"/>
              <w:right w:val="dotted" w:sz="4" w:space="0" w:color="606072"/>
            </w:tcBorders>
            <w:shd w:val="clear" w:color="auto" w:fill="auto"/>
            <w:vAlign w:val="center"/>
          </w:tcPr>
          <w:p w14:paraId="7D55180A" w14:textId="5F4F2D5D"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4488276D" w14:textId="4ED90F17"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3" w:type="dxa"/>
            <w:tcBorders>
              <w:top w:val="dotted" w:sz="4" w:space="0" w:color="606072"/>
              <w:left w:val="dotted" w:sz="4" w:space="0" w:color="606072"/>
              <w:bottom w:val="dotted" w:sz="4" w:space="0" w:color="606072"/>
              <w:right w:val="dotted" w:sz="4" w:space="0" w:color="606072"/>
            </w:tcBorders>
            <w:shd w:val="clear" w:color="auto" w:fill="auto"/>
            <w:vAlign w:val="center"/>
          </w:tcPr>
          <w:p w14:paraId="365D5ABD" w14:textId="37F24E5E"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dotted" w:sz="4" w:space="0" w:color="606072"/>
              <w:right w:val="single" w:sz="4" w:space="0" w:color="606072"/>
            </w:tcBorders>
            <w:shd w:val="clear" w:color="auto" w:fill="auto"/>
            <w:vAlign w:val="center"/>
          </w:tcPr>
          <w:p w14:paraId="366ECBD8" w14:textId="748A60C1"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7F77AB" w:rsidRPr="005060E0" w14:paraId="07F99988" w14:textId="77777777" w:rsidTr="005D5AFF">
        <w:trPr>
          <w:gridAfter w:val="1"/>
          <w:cnfStyle w:val="000000100000" w:firstRow="0" w:lastRow="0" w:firstColumn="0" w:lastColumn="0" w:oddVBand="0" w:evenVBand="0" w:oddHBand="1" w:evenHBand="0" w:firstRowFirstColumn="0" w:firstRowLastColumn="0" w:lastRowFirstColumn="0" w:lastRowLastColumn="0"/>
          <w:wAfter w:w="6" w:type="dxa"/>
          <w:trHeight w:hRule="exact" w:val="255"/>
          <w:jc w:val="center"/>
        </w:trPr>
        <w:tc>
          <w:tcPr>
            <w:cnfStyle w:val="001000000000" w:firstRow="0" w:lastRow="0" w:firstColumn="1" w:lastColumn="0" w:oddVBand="0" w:evenVBand="0" w:oddHBand="0" w:evenHBand="0" w:firstRowFirstColumn="0" w:firstRowLastColumn="0" w:lastRowFirstColumn="0" w:lastRowLastColumn="0"/>
            <w:tcW w:w="851"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2C28C09A" w14:textId="77777777" w:rsidR="005C2AB3" w:rsidRPr="005060E0" w:rsidRDefault="005C2AB3" w:rsidP="007A3B2D">
            <w:pPr>
              <w:pStyle w:val="BodyText"/>
              <w:spacing w:after="0" w:line="240" w:lineRule="auto"/>
              <w:jc w:val="center"/>
              <w:rPr>
                <w:b w:val="0"/>
                <w:sz w:val="15"/>
                <w:szCs w:val="15"/>
              </w:rPr>
            </w:pPr>
          </w:p>
        </w:tc>
        <w:tc>
          <w:tcPr>
            <w:tcW w:w="977" w:type="dxa"/>
            <w:tcBorders>
              <w:top w:val="dotted" w:sz="4" w:space="0" w:color="606072"/>
              <w:left w:val="dotted" w:sz="4" w:space="0" w:color="606372" w:themeColor="text2"/>
              <w:bottom w:val="single" w:sz="4" w:space="0" w:color="606072"/>
              <w:right w:val="single" w:sz="4" w:space="0" w:color="606372" w:themeColor="text2"/>
            </w:tcBorders>
            <w:shd w:val="clear" w:color="auto" w:fill="D5E5FF"/>
            <w:vAlign w:val="center"/>
          </w:tcPr>
          <w:p w14:paraId="3271919D" w14:textId="77777777" w:rsidR="005C2AB3" w:rsidRPr="005060E0" w:rsidRDefault="005C2AB3"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120</w:t>
            </w:r>
          </w:p>
        </w:tc>
        <w:tc>
          <w:tcPr>
            <w:tcW w:w="616" w:type="dxa"/>
            <w:tcBorders>
              <w:top w:val="dotted" w:sz="4" w:space="0" w:color="606072"/>
              <w:left w:val="single" w:sz="4" w:space="0" w:color="606372" w:themeColor="text2"/>
              <w:bottom w:val="single" w:sz="4" w:space="0" w:color="606072"/>
              <w:right w:val="dotted" w:sz="4" w:space="0" w:color="606072"/>
            </w:tcBorders>
            <w:shd w:val="clear" w:color="auto" w:fill="D5E5FF"/>
            <w:vAlign w:val="center"/>
          </w:tcPr>
          <w:p w14:paraId="49EBFA51" w14:textId="7A6B61FB"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1"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7CEEDDCC" w14:textId="448210A9"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1"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72BFDC48" w14:textId="608E2F9E"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single" w:sz="4" w:space="0" w:color="606072"/>
              <w:right w:val="single" w:sz="4" w:space="0" w:color="606072"/>
            </w:tcBorders>
            <w:shd w:val="clear" w:color="auto" w:fill="D5E5FF"/>
            <w:vAlign w:val="center"/>
          </w:tcPr>
          <w:p w14:paraId="4572BC0E" w14:textId="3DF9F97A"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3" w:type="dxa"/>
            <w:gridSpan w:val="2"/>
            <w:tcBorders>
              <w:top w:val="dotted" w:sz="4" w:space="0" w:color="606072"/>
              <w:left w:val="single" w:sz="4" w:space="0" w:color="606072"/>
              <w:bottom w:val="single" w:sz="4" w:space="0" w:color="606072"/>
              <w:right w:val="dotted" w:sz="4" w:space="0" w:color="606072"/>
            </w:tcBorders>
            <w:shd w:val="clear" w:color="auto" w:fill="D5E5FF"/>
            <w:vAlign w:val="center"/>
          </w:tcPr>
          <w:p w14:paraId="5DA52F57" w14:textId="11E6AD4D"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2515F6AC" w14:textId="7D5D8E17"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56A4E4B2" w14:textId="510AA1E0"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3" w:type="dxa"/>
            <w:tcBorders>
              <w:top w:val="dotted" w:sz="4" w:space="0" w:color="606072"/>
              <w:left w:val="dotted" w:sz="4" w:space="0" w:color="606072"/>
              <w:bottom w:val="single" w:sz="4" w:space="0" w:color="606072"/>
              <w:right w:val="single" w:sz="4" w:space="0" w:color="606072"/>
            </w:tcBorders>
            <w:shd w:val="clear" w:color="auto" w:fill="D5E5FF"/>
            <w:vAlign w:val="center"/>
          </w:tcPr>
          <w:p w14:paraId="0EE6740F" w14:textId="76DB853A"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gridSpan w:val="2"/>
            <w:tcBorders>
              <w:top w:val="dotted" w:sz="4" w:space="0" w:color="606072"/>
              <w:left w:val="single" w:sz="4" w:space="0" w:color="606072"/>
              <w:bottom w:val="single" w:sz="4" w:space="0" w:color="606072"/>
              <w:right w:val="dotted" w:sz="4" w:space="0" w:color="606072"/>
            </w:tcBorders>
            <w:shd w:val="clear" w:color="auto" w:fill="D5E5FF"/>
            <w:vAlign w:val="center"/>
          </w:tcPr>
          <w:p w14:paraId="39FF0C70" w14:textId="4A54D762"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088CE5E1" w14:textId="745BE2BE"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3"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205B9D44" w14:textId="716E45FD"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single" w:sz="4" w:space="0" w:color="606072"/>
              <w:right w:val="single" w:sz="4" w:space="0" w:color="606072"/>
            </w:tcBorders>
            <w:shd w:val="clear" w:color="auto" w:fill="D5E5FF"/>
            <w:vAlign w:val="center"/>
          </w:tcPr>
          <w:p w14:paraId="75ACF9D7" w14:textId="7E1681C2"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r>
      <w:tr w:rsidR="004D2712" w:rsidRPr="005060E0" w14:paraId="7B64712D" w14:textId="77777777" w:rsidTr="004D2712">
        <w:trPr>
          <w:gridAfter w:val="1"/>
          <w:wAfter w:w="6" w:type="dxa"/>
          <w:trHeight w:hRule="exact" w:val="255"/>
          <w:jc w:val="center"/>
        </w:trPr>
        <w:tc>
          <w:tcPr>
            <w:cnfStyle w:val="001000000000" w:firstRow="0" w:lastRow="0" w:firstColumn="1" w:lastColumn="0" w:oddVBand="0" w:evenVBand="0" w:oddHBand="0" w:evenHBand="0" w:firstRowFirstColumn="0" w:firstRowLastColumn="0" w:lastRowFirstColumn="0" w:lastRowLastColumn="0"/>
            <w:tcW w:w="9397" w:type="dxa"/>
            <w:gridSpan w:val="16"/>
            <w:tcBorders>
              <w:top w:val="single" w:sz="4" w:space="0" w:color="606072"/>
              <w:left w:val="single" w:sz="4" w:space="0" w:color="606072"/>
              <w:bottom w:val="single" w:sz="4" w:space="0" w:color="606072"/>
              <w:right w:val="single" w:sz="4" w:space="0" w:color="606072"/>
            </w:tcBorders>
            <w:shd w:val="clear" w:color="auto" w:fill="BFBFBF" w:themeFill="background1" w:themeFillShade="BF"/>
            <w:vAlign w:val="center"/>
          </w:tcPr>
          <w:p w14:paraId="656C00B8" w14:textId="7AFF27D7" w:rsidR="004D2712" w:rsidRPr="005060E0" w:rsidRDefault="004D2712" w:rsidP="004D2712">
            <w:pPr>
              <w:pStyle w:val="BodyText"/>
              <w:spacing w:after="0" w:line="240" w:lineRule="auto"/>
              <w:rPr>
                <w:sz w:val="15"/>
                <w:szCs w:val="15"/>
              </w:rPr>
            </w:pPr>
            <w:r w:rsidRPr="005060E0">
              <w:rPr>
                <w:rFonts w:eastAsia="Times New Roman" w:cs="Arial"/>
                <w:b w:val="0"/>
                <w:color w:val="000000"/>
                <w:sz w:val="15"/>
                <w:szCs w:val="15"/>
                <w:lang w:eastAsia="en-AU"/>
              </w:rPr>
              <w:t>Total number of monitoring stations exceeding standard</w:t>
            </w:r>
          </w:p>
        </w:tc>
      </w:tr>
      <w:tr w:rsidR="007F77AB" w:rsidRPr="005060E0" w14:paraId="047BE303" w14:textId="77777777" w:rsidTr="00790F21">
        <w:trPr>
          <w:gridAfter w:val="1"/>
          <w:cnfStyle w:val="000000100000" w:firstRow="0" w:lastRow="0" w:firstColumn="0" w:lastColumn="0" w:oddVBand="0" w:evenVBand="0" w:oddHBand="1" w:evenHBand="0" w:firstRowFirstColumn="0" w:firstRowLastColumn="0" w:lastRowFirstColumn="0" w:lastRowLastColumn="0"/>
          <w:wAfter w:w="6" w:type="dxa"/>
          <w:trHeight w:hRule="exact" w:val="255"/>
          <w:jc w:val="center"/>
        </w:trPr>
        <w:tc>
          <w:tcPr>
            <w:cnfStyle w:val="001000000000" w:firstRow="0" w:lastRow="0" w:firstColumn="1" w:lastColumn="0" w:oddVBand="0" w:evenVBand="0" w:oddHBand="0" w:evenHBand="0" w:firstRowFirstColumn="0" w:firstRowLastColumn="0" w:lastRowFirstColumn="0" w:lastRowLastColumn="0"/>
            <w:tcW w:w="851" w:type="dxa"/>
            <w:vMerge w:val="restart"/>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0D83A397" w14:textId="77777777" w:rsidR="005C2AB3" w:rsidRPr="005060E0" w:rsidRDefault="005C2AB3" w:rsidP="007A3B2D">
            <w:pPr>
              <w:pStyle w:val="BodyText"/>
              <w:spacing w:after="0" w:line="240" w:lineRule="auto"/>
              <w:jc w:val="center"/>
              <w:rPr>
                <w:b w:val="0"/>
                <w:sz w:val="15"/>
                <w:szCs w:val="15"/>
              </w:rPr>
            </w:pPr>
            <w:r w:rsidRPr="005060E0">
              <w:rPr>
                <w:b w:val="0"/>
                <w:sz w:val="15"/>
                <w:szCs w:val="15"/>
              </w:rPr>
              <w:t>Annual</w:t>
            </w:r>
          </w:p>
        </w:tc>
        <w:tc>
          <w:tcPr>
            <w:tcW w:w="977" w:type="dxa"/>
            <w:tcBorders>
              <w:top w:val="single" w:sz="4" w:space="0" w:color="606072"/>
              <w:left w:val="dotted" w:sz="4" w:space="0" w:color="606372" w:themeColor="text2"/>
              <w:bottom w:val="dotted" w:sz="4" w:space="0" w:color="606072"/>
              <w:right w:val="single" w:sz="4" w:space="0" w:color="606372" w:themeColor="text2"/>
            </w:tcBorders>
            <w:shd w:val="clear" w:color="auto" w:fill="DEDFE3" w:themeFill="text2" w:themeFillTint="33"/>
            <w:vAlign w:val="center"/>
          </w:tcPr>
          <w:p w14:paraId="0E279FA4" w14:textId="77777777" w:rsidR="005C2AB3" w:rsidRPr="005060E0" w:rsidRDefault="005C2AB3"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10</w:t>
            </w:r>
          </w:p>
        </w:tc>
        <w:tc>
          <w:tcPr>
            <w:tcW w:w="616" w:type="dxa"/>
            <w:tcBorders>
              <w:top w:val="single" w:sz="4" w:space="0" w:color="606072"/>
              <w:left w:val="single" w:sz="4" w:space="0" w:color="606372" w:themeColor="text2"/>
              <w:bottom w:val="dotted" w:sz="4" w:space="0" w:color="606072"/>
              <w:right w:val="dotted" w:sz="4" w:space="0" w:color="606072"/>
            </w:tcBorders>
            <w:shd w:val="clear" w:color="auto" w:fill="auto"/>
            <w:vAlign w:val="center"/>
          </w:tcPr>
          <w:p w14:paraId="21240A81" w14:textId="1802DA0C" w:rsidR="005C2AB3" w:rsidRPr="005060E0" w:rsidRDefault="00812125"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1</w:t>
            </w:r>
          </w:p>
        </w:tc>
        <w:tc>
          <w:tcPr>
            <w:tcW w:w="631" w:type="dxa"/>
            <w:tcBorders>
              <w:top w:val="single" w:sz="4" w:space="0" w:color="606072"/>
              <w:left w:val="dotted" w:sz="4" w:space="0" w:color="606072"/>
              <w:bottom w:val="dotted" w:sz="4" w:space="0" w:color="606072"/>
              <w:right w:val="dotted" w:sz="4" w:space="0" w:color="606072"/>
            </w:tcBorders>
            <w:shd w:val="clear" w:color="auto" w:fill="auto"/>
            <w:vAlign w:val="center"/>
          </w:tcPr>
          <w:p w14:paraId="7EB3CBFA" w14:textId="15EF41EC"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1" w:type="dxa"/>
            <w:tcBorders>
              <w:top w:val="single" w:sz="4" w:space="0" w:color="606072"/>
              <w:left w:val="dotted" w:sz="4" w:space="0" w:color="606072"/>
              <w:bottom w:val="dotted" w:sz="4" w:space="0" w:color="606072"/>
              <w:right w:val="dotted" w:sz="4" w:space="0" w:color="606072"/>
            </w:tcBorders>
            <w:shd w:val="clear" w:color="auto" w:fill="auto"/>
            <w:vAlign w:val="center"/>
          </w:tcPr>
          <w:p w14:paraId="52A54336" w14:textId="78CE4073"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single" w:sz="4" w:space="0" w:color="606072"/>
              <w:left w:val="dotted" w:sz="4" w:space="0" w:color="606072"/>
              <w:bottom w:val="dotted" w:sz="4" w:space="0" w:color="606072"/>
              <w:right w:val="single" w:sz="4" w:space="0" w:color="606072"/>
            </w:tcBorders>
            <w:shd w:val="clear" w:color="auto" w:fill="auto"/>
            <w:vAlign w:val="center"/>
          </w:tcPr>
          <w:p w14:paraId="29103F2B" w14:textId="50DE00D4"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3" w:type="dxa"/>
            <w:gridSpan w:val="2"/>
            <w:tcBorders>
              <w:top w:val="single" w:sz="4" w:space="0" w:color="606072"/>
              <w:left w:val="single" w:sz="4" w:space="0" w:color="606072"/>
              <w:bottom w:val="dotted" w:sz="4" w:space="0" w:color="606072"/>
              <w:right w:val="dotted" w:sz="4" w:space="0" w:color="606072"/>
            </w:tcBorders>
            <w:shd w:val="clear" w:color="auto" w:fill="auto"/>
            <w:vAlign w:val="center"/>
          </w:tcPr>
          <w:p w14:paraId="6F541236" w14:textId="00C88AD8"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074B874C" w14:textId="4AF6ED66"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779234D0" w14:textId="1EC0D128"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3" w:type="dxa"/>
            <w:tcBorders>
              <w:top w:val="single" w:sz="4" w:space="0" w:color="606072"/>
              <w:left w:val="dotted" w:sz="4" w:space="0" w:color="606072"/>
              <w:bottom w:val="dotted" w:sz="4" w:space="0" w:color="606072"/>
              <w:right w:val="single" w:sz="4" w:space="0" w:color="606072"/>
            </w:tcBorders>
            <w:shd w:val="clear" w:color="auto" w:fill="auto"/>
            <w:vAlign w:val="center"/>
          </w:tcPr>
          <w:p w14:paraId="3F011755" w14:textId="26F1D605"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gridSpan w:val="2"/>
            <w:tcBorders>
              <w:top w:val="single" w:sz="4" w:space="0" w:color="606072"/>
              <w:left w:val="single" w:sz="4" w:space="0" w:color="606072"/>
              <w:bottom w:val="dotted" w:sz="4" w:space="0" w:color="606072"/>
              <w:right w:val="dotted" w:sz="4" w:space="0" w:color="606072"/>
            </w:tcBorders>
            <w:shd w:val="clear" w:color="auto" w:fill="auto"/>
            <w:vAlign w:val="center"/>
          </w:tcPr>
          <w:p w14:paraId="27E8F6D1" w14:textId="39FF787C"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2F5168B9" w14:textId="4A8BA19F"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3" w:type="dxa"/>
            <w:tcBorders>
              <w:top w:val="single" w:sz="4" w:space="0" w:color="606072"/>
              <w:left w:val="dotted" w:sz="4" w:space="0" w:color="606072"/>
              <w:bottom w:val="dotted" w:sz="4" w:space="0" w:color="606072"/>
              <w:right w:val="dotted" w:sz="4" w:space="0" w:color="606072"/>
            </w:tcBorders>
            <w:shd w:val="clear" w:color="auto" w:fill="auto"/>
            <w:vAlign w:val="center"/>
          </w:tcPr>
          <w:p w14:paraId="612B4EE8" w14:textId="286647CE"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single" w:sz="4" w:space="0" w:color="606072"/>
              <w:left w:val="dotted" w:sz="4" w:space="0" w:color="606072"/>
              <w:bottom w:val="dotted" w:sz="4" w:space="0" w:color="606072"/>
              <w:right w:val="single" w:sz="4" w:space="0" w:color="606072"/>
            </w:tcBorders>
            <w:shd w:val="clear" w:color="auto" w:fill="auto"/>
            <w:vAlign w:val="center"/>
          </w:tcPr>
          <w:p w14:paraId="557F01FB" w14:textId="288D727E"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r>
      <w:tr w:rsidR="007F77AB" w:rsidRPr="005060E0" w14:paraId="3767B731" w14:textId="77777777" w:rsidTr="00790F21">
        <w:trPr>
          <w:gridAfter w:val="1"/>
          <w:wAfter w:w="6" w:type="dxa"/>
          <w:trHeight w:hRule="exact" w:val="255"/>
          <w:jc w:val="center"/>
        </w:trPr>
        <w:tc>
          <w:tcPr>
            <w:cnfStyle w:val="001000000000" w:firstRow="0" w:lastRow="0" w:firstColumn="1" w:lastColumn="0" w:oddVBand="0" w:evenVBand="0" w:oddHBand="0" w:evenHBand="0" w:firstRowFirstColumn="0" w:firstRowLastColumn="0" w:lastRowFirstColumn="0" w:lastRowLastColumn="0"/>
            <w:tcW w:w="851"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1FC0A1FD" w14:textId="77777777" w:rsidR="005C2AB3" w:rsidRPr="005060E0" w:rsidRDefault="005C2AB3" w:rsidP="007A3B2D">
            <w:pPr>
              <w:pStyle w:val="BodyText"/>
              <w:spacing w:after="0" w:line="240" w:lineRule="auto"/>
              <w:jc w:val="center"/>
              <w:rPr>
                <w:sz w:val="15"/>
                <w:szCs w:val="15"/>
              </w:rPr>
            </w:pPr>
          </w:p>
        </w:tc>
        <w:tc>
          <w:tcPr>
            <w:tcW w:w="977" w:type="dxa"/>
            <w:tcBorders>
              <w:top w:val="dotted" w:sz="4" w:space="0" w:color="606072"/>
              <w:left w:val="dotted" w:sz="4" w:space="0" w:color="606372" w:themeColor="text2"/>
              <w:bottom w:val="dotted" w:sz="4" w:space="0" w:color="606072"/>
              <w:right w:val="single" w:sz="4" w:space="0" w:color="606372" w:themeColor="text2"/>
            </w:tcBorders>
            <w:shd w:val="clear" w:color="auto" w:fill="DEDFE3" w:themeFill="text2" w:themeFillTint="33"/>
            <w:vAlign w:val="center"/>
          </w:tcPr>
          <w:p w14:paraId="3C132DB8" w14:textId="77777777" w:rsidR="005C2AB3" w:rsidRPr="005060E0" w:rsidRDefault="005C2AB3"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19</w:t>
            </w:r>
          </w:p>
        </w:tc>
        <w:tc>
          <w:tcPr>
            <w:tcW w:w="616" w:type="dxa"/>
            <w:tcBorders>
              <w:top w:val="dotted" w:sz="4" w:space="0" w:color="606072"/>
              <w:left w:val="single" w:sz="4" w:space="0" w:color="606372" w:themeColor="text2"/>
              <w:bottom w:val="dotted" w:sz="4" w:space="0" w:color="606072"/>
              <w:right w:val="dotted" w:sz="4" w:space="0" w:color="606072"/>
            </w:tcBorders>
            <w:shd w:val="clear" w:color="auto" w:fill="auto"/>
            <w:vAlign w:val="center"/>
          </w:tcPr>
          <w:p w14:paraId="46CDB845" w14:textId="7836884C"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5D231365" w14:textId="2ED5FD9B"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25ABEBD9" w14:textId="5299FE86"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dotted" w:sz="4" w:space="0" w:color="606072"/>
              <w:right w:val="single" w:sz="4" w:space="0" w:color="606072"/>
            </w:tcBorders>
            <w:shd w:val="clear" w:color="auto" w:fill="auto"/>
            <w:vAlign w:val="center"/>
          </w:tcPr>
          <w:p w14:paraId="4F83BBB9" w14:textId="6A129EDF"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3" w:type="dxa"/>
            <w:gridSpan w:val="2"/>
            <w:tcBorders>
              <w:top w:val="dotted" w:sz="4" w:space="0" w:color="606072"/>
              <w:left w:val="single" w:sz="4" w:space="0" w:color="606072"/>
              <w:bottom w:val="dotted" w:sz="4" w:space="0" w:color="606072"/>
              <w:right w:val="dotted" w:sz="4" w:space="0" w:color="606072"/>
            </w:tcBorders>
            <w:shd w:val="clear" w:color="auto" w:fill="auto"/>
            <w:vAlign w:val="center"/>
          </w:tcPr>
          <w:p w14:paraId="0BC58486" w14:textId="4343F443"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3379B3C4" w14:textId="60C3927C"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5EF22AB0" w14:textId="6AE0A727"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3" w:type="dxa"/>
            <w:tcBorders>
              <w:top w:val="dotted" w:sz="4" w:space="0" w:color="606072"/>
              <w:left w:val="dotted" w:sz="4" w:space="0" w:color="606072"/>
              <w:bottom w:val="dotted" w:sz="4" w:space="0" w:color="606072"/>
              <w:right w:val="single" w:sz="4" w:space="0" w:color="606072"/>
            </w:tcBorders>
            <w:shd w:val="clear" w:color="auto" w:fill="auto"/>
            <w:vAlign w:val="center"/>
          </w:tcPr>
          <w:p w14:paraId="0B5C7C88" w14:textId="1705DB10"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gridSpan w:val="2"/>
            <w:tcBorders>
              <w:top w:val="dotted" w:sz="4" w:space="0" w:color="606072"/>
              <w:left w:val="single" w:sz="4" w:space="0" w:color="606072"/>
              <w:bottom w:val="dotted" w:sz="4" w:space="0" w:color="606072"/>
              <w:right w:val="dotted" w:sz="4" w:space="0" w:color="606072"/>
            </w:tcBorders>
            <w:shd w:val="clear" w:color="auto" w:fill="auto"/>
            <w:vAlign w:val="center"/>
          </w:tcPr>
          <w:p w14:paraId="762211AB" w14:textId="77C019FE"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140CCA08" w14:textId="0F5A763F"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3" w:type="dxa"/>
            <w:tcBorders>
              <w:top w:val="dotted" w:sz="4" w:space="0" w:color="606072"/>
              <w:left w:val="dotted" w:sz="4" w:space="0" w:color="606072"/>
              <w:bottom w:val="dotted" w:sz="4" w:space="0" w:color="606072"/>
              <w:right w:val="dotted" w:sz="4" w:space="0" w:color="606072"/>
            </w:tcBorders>
            <w:shd w:val="clear" w:color="auto" w:fill="auto"/>
            <w:vAlign w:val="center"/>
          </w:tcPr>
          <w:p w14:paraId="49AF4097" w14:textId="1E8E0558"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dotted" w:sz="4" w:space="0" w:color="606072"/>
              <w:right w:val="single" w:sz="4" w:space="0" w:color="606072"/>
            </w:tcBorders>
            <w:shd w:val="clear" w:color="auto" w:fill="auto"/>
            <w:vAlign w:val="center"/>
          </w:tcPr>
          <w:p w14:paraId="634DB6B9" w14:textId="60F98217"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7F77AB" w:rsidRPr="005060E0" w14:paraId="3CD5B220" w14:textId="77777777" w:rsidTr="005D5AFF">
        <w:trPr>
          <w:gridAfter w:val="1"/>
          <w:cnfStyle w:val="000000100000" w:firstRow="0" w:lastRow="0" w:firstColumn="0" w:lastColumn="0" w:oddVBand="0" w:evenVBand="0" w:oddHBand="1" w:evenHBand="0" w:firstRowFirstColumn="0" w:firstRowLastColumn="0" w:lastRowFirstColumn="0" w:lastRowLastColumn="0"/>
          <w:wAfter w:w="6" w:type="dxa"/>
          <w:trHeight w:hRule="exact" w:val="255"/>
          <w:jc w:val="center"/>
        </w:trPr>
        <w:tc>
          <w:tcPr>
            <w:cnfStyle w:val="001000000000" w:firstRow="0" w:lastRow="0" w:firstColumn="1" w:lastColumn="0" w:oddVBand="0" w:evenVBand="0" w:oddHBand="0" w:evenHBand="0" w:firstRowFirstColumn="0" w:firstRowLastColumn="0" w:lastRowFirstColumn="0" w:lastRowLastColumn="0"/>
            <w:tcW w:w="851"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20EBA06E" w14:textId="77777777" w:rsidR="005C2AB3" w:rsidRPr="005060E0" w:rsidRDefault="005C2AB3" w:rsidP="007A3B2D">
            <w:pPr>
              <w:pStyle w:val="BodyText"/>
              <w:spacing w:after="0" w:line="240" w:lineRule="auto"/>
              <w:jc w:val="center"/>
              <w:rPr>
                <w:sz w:val="15"/>
                <w:szCs w:val="15"/>
              </w:rPr>
            </w:pPr>
          </w:p>
        </w:tc>
        <w:tc>
          <w:tcPr>
            <w:tcW w:w="977" w:type="dxa"/>
            <w:tcBorders>
              <w:top w:val="dotted" w:sz="4" w:space="0" w:color="606072"/>
              <w:left w:val="dotted" w:sz="4" w:space="0" w:color="606372" w:themeColor="text2"/>
              <w:bottom w:val="single" w:sz="4" w:space="0" w:color="606072"/>
              <w:right w:val="single" w:sz="4" w:space="0" w:color="606372" w:themeColor="text2"/>
            </w:tcBorders>
            <w:shd w:val="clear" w:color="auto" w:fill="D5E5FF"/>
            <w:vAlign w:val="center"/>
          </w:tcPr>
          <w:p w14:paraId="0A765655" w14:textId="77777777" w:rsidR="005C2AB3" w:rsidRPr="005060E0" w:rsidRDefault="005C2AB3"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30</w:t>
            </w:r>
          </w:p>
        </w:tc>
        <w:tc>
          <w:tcPr>
            <w:tcW w:w="616" w:type="dxa"/>
            <w:tcBorders>
              <w:top w:val="dotted" w:sz="4" w:space="0" w:color="606072"/>
              <w:left w:val="single" w:sz="4" w:space="0" w:color="606372" w:themeColor="text2"/>
              <w:bottom w:val="single" w:sz="4" w:space="0" w:color="606072"/>
              <w:right w:val="dotted" w:sz="4" w:space="0" w:color="606072"/>
            </w:tcBorders>
            <w:shd w:val="clear" w:color="auto" w:fill="D5E5FF"/>
            <w:vAlign w:val="center"/>
          </w:tcPr>
          <w:p w14:paraId="78DAC175" w14:textId="31CA221B"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1"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7B3CA9C0" w14:textId="206693E3"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1"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61491B84" w14:textId="46324962"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single" w:sz="4" w:space="0" w:color="606072"/>
              <w:right w:val="single" w:sz="4" w:space="0" w:color="606072"/>
            </w:tcBorders>
            <w:shd w:val="clear" w:color="auto" w:fill="D5E5FF"/>
            <w:vAlign w:val="center"/>
          </w:tcPr>
          <w:p w14:paraId="4CB17F07" w14:textId="3C5F530C"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3" w:type="dxa"/>
            <w:gridSpan w:val="2"/>
            <w:tcBorders>
              <w:top w:val="dotted" w:sz="4" w:space="0" w:color="606072"/>
              <w:left w:val="single" w:sz="4" w:space="0" w:color="606072"/>
              <w:bottom w:val="single" w:sz="4" w:space="0" w:color="606072"/>
              <w:right w:val="dotted" w:sz="4" w:space="0" w:color="606072"/>
            </w:tcBorders>
            <w:shd w:val="clear" w:color="auto" w:fill="D5E5FF"/>
            <w:vAlign w:val="center"/>
          </w:tcPr>
          <w:p w14:paraId="506314D8" w14:textId="4D5E2F67"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0423927E" w14:textId="7E55131B"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63B78E17" w14:textId="21EB4DAB"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3" w:type="dxa"/>
            <w:tcBorders>
              <w:top w:val="dotted" w:sz="4" w:space="0" w:color="606072"/>
              <w:left w:val="dotted" w:sz="4" w:space="0" w:color="606072"/>
              <w:bottom w:val="single" w:sz="4" w:space="0" w:color="606072"/>
              <w:right w:val="single" w:sz="4" w:space="0" w:color="606072"/>
            </w:tcBorders>
            <w:shd w:val="clear" w:color="auto" w:fill="D5E5FF"/>
            <w:vAlign w:val="center"/>
          </w:tcPr>
          <w:p w14:paraId="13D2E98A" w14:textId="77366184"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gridSpan w:val="2"/>
            <w:tcBorders>
              <w:top w:val="dotted" w:sz="4" w:space="0" w:color="606072"/>
              <w:left w:val="single" w:sz="4" w:space="0" w:color="606072"/>
              <w:bottom w:val="single" w:sz="4" w:space="0" w:color="606072"/>
              <w:right w:val="dotted" w:sz="4" w:space="0" w:color="606072"/>
            </w:tcBorders>
            <w:shd w:val="clear" w:color="auto" w:fill="D5E5FF"/>
            <w:vAlign w:val="center"/>
          </w:tcPr>
          <w:p w14:paraId="1D561D2A" w14:textId="6FBE9AF0"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0BA9996C" w14:textId="17451CFB"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3"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046F6A74" w14:textId="2319B29F"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single" w:sz="4" w:space="0" w:color="606072"/>
              <w:right w:val="single" w:sz="4" w:space="0" w:color="606072"/>
            </w:tcBorders>
            <w:shd w:val="clear" w:color="auto" w:fill="D5E5FF"/>
            <w:vAlign w:val="center"/>
          </w:tcPr>
          <w:p w14:paraId="415389AE" w14:textId="3A93F078"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r>
    </w:tbl>
    <w:p w14:paraId="6D1F4E43" w14:textId="77777777" w:rsidR="005C2AB3" w:rsidRPr="005060E0" w:rsidRDefault="005C2AB3" w:rsidP="005C2AB3">
      <w:pPr>
        <w:rPr>
          <w:rFonts w:cs="Arial"/>
        </w:rPr>
      </w:pPr>
    </w:p>
    <w:p w14:paraId="650A5BF8" w14:textId="77777777" w:rsidR="005C2AB3" w:rsidRPr="005060E0" w:rsidRDefault="005C2AB3" w:rsidP="005C2AB3">
      <w:pPr>
        <w:rPr>
          <w:rFonts w:cs="Arial"/>
        </w:rPr>
      </w:pPr>
    </w:p>
    <w:p w14:paraId="14BC6DBB" w14:textId="05994AA4" w:rsidR="005C2AB3" w:rsidRPr="005060E0" w:rsidRDefault="005C2AB3" w:rsidP="005C2AB3">
      <w:pPr>
        <w:pStyle w:val="PBTablecaption"/>
        <w:rPr>
          <w:rFonts w:eastAsia="Arial" w:cs="Arial"/>
        </w:rPr>
      </w:pPr>
      <w:bookmarkStart w:id="174" w:name="_Ref507507374"/>
      <w:r w:rsidRPr="005060E0">
        <w:rPr>
          <w:rFonts w:cs="Arial"/>
        </w:rPr>
        <w:t xml:space="preserve">Table </w:t>
      </w:r>
      <w:r w:rsidRPr="005060E0">
        <w:rPr>
          <w:rFonts w:cs="Arial"/>
        </w:rPr>
        <w:fldChar w:fldCharType="begin"/>
      </w:r>
      <w:r w:rsidRPr="005060E0">
        <w:rPr>
          <w:rFonts w:cs="Arial"/>
        </w:rPr>
        <w:instrText xml:space="preserve"> STYLEREF 1 \s </w:instrText>
      </w:r>
      <w:r w:rsidRPr="005060E0">
        <w:rPr>
          <w:rFonts w:cs="Arial"/>
        </w:rPr>
        <w:fldChar w:fldCharType="separate"/>
      </w:r>
      <w:r w:rsidR="00F2067C">
        <w:rPr>
          <w:rFonts w:cs="Arial"/>
          <w:noProof/>
        </w:rPr>
        <w:t>7</w:t>
      </w:r>
      <w:r w:rsidRPr="005060E0">
        <w:rPr>
          <w:rFonts w:cs="Arial"/>
          <w:noProof/>
        </w:rPr>
        <w:fldChar w:fldCharType="end"/>
      </w:r>
      <w:r w:rsidRPr="005060E0">
        <w:rPr>
          <w:rFonts w:cs="Arial"/>
        </w:rPr>
        <w:noBreakHyphen/>
      </w:r>
      <w:r w:rsidRPr="005060E0">
        <w:rPr>
          <w:rFonts w:cs="Arial"/>
        </w:rPr>
        <w:fldChar w:fldCharType="begin"/>
      </w:r>
      <w:r w:rsidRPr="005060E0">
        <w:rPr>
          <w:rFonts w:cs="Arial"/>
        </w:rPr>
        <w:instrText xml:space="preserve"> SEQ Table \* ARABIC \s 1 </w:instrText>
      </w:r>
      <w:r w:rsidRPr="005060E0">
        <w:rPr>
          <w:rFonts w:cs="Arial"/>
        </w:rPr>
        <w:fldChar w:fldCharType="separate"/>
      </w:r>
      <w:r w:rsidR="00F2067C">
        <w:rPr>
          <w:rFonts w:cs="Arial"/>
          <w:noProof/>
        </w:rPr>
        <w:t>9</w:t>
      </w:r>
      <w:r w:rsidRPr="005060E0">
        <w:rPr>
          <w:rFonts w:cs="Arial"/>
          <w:noProof/>
        </w:rPr>
        <w:fldChar w:fldCharType="end"/>
      </w:r>
      <w:bookmarkEnd w:id="174"/>
      <w:r w:rsidRPr="005060E0">
        <w:rPr>
          <w:rFonts w:cs="Arial"/>
        </w:rPr>
        <w:t>: Projected</w:t>
      </w:r>
      <w:r w:rsidR="00CE5917" w:rsidRPr="005060E0">
        <w:rPr>
          <w:rFonts w:eastAsia="Arial" w:cs="Arial"/>
        </w:rPr>
        <w:t xml:space="preserve"> </w:t>
      </w:r>
      <w:r w:rsidRPr="005060E0">
        <w:rPr>
          <w:rFonts w:eastAsia="Arial" w:cs="Arial"/>
        </w:rPr>
        <w:t>exceedance</w:t>
      </w:r>
      <w:r w:rsidR="00CE5917" w:rsidRPr="005060E0">
        <w:rPr>
          <w:rFonts w:eastAsia="Arial" w:cs="Arial"/>
        </w:rPr>
        <w:t>s of current and proposed</w:t>
      </w:r>
      <w:r w:rsidRPr="005060E0">
        <w:rPr>
          <w:rFonts w:eastAsia="Arial" w:cs="Arial"/>
        </w:rPr>
        <w:t xml:space="preserve"> NO</w:t>
      </w:r>
      <w:r w:rsidRPr="005060E0">
        <w:rPr>
          <w:rFonts w:eastAsia="Arial" w:cs="Arial"/>
          <w:vertAlign w:val="subscript"/>
        </w:rPr>
        <w:t>2</w:t>
      </w:r>
      <w:r w:rsidRPr="005060E0">
        <w:rPr>
          <w:rFonts w:eastAsia="Arial" w:cs="Arial"/>
        </w:rPr>
        <w:t xml:space="preserve"> standards (BAU scenario, VIC)</w:t>
      </w:r>
    </w:p>
    <w:tbl>
      <w:tblPr>
        <w:tblStyle w:val="ListTable3-Accent17"/>
        <w:tblW w:w="10201" w:type="dxa"/>
        <w:jc w:val="center"/>
        <w:tblLayout w:type="fixed"/>
        <w:tblLook w:val="04A0" w:firstRow="1" w:lastRow="0" w:firstColumn="1" w:lastColumn="0" w:noHBand="0" w:noVBand="1"/>
      </w:tblPr>
      <w:tblGrid>
        <w:gridCol w:w="846"/>
        <w:gridCol w:w="850"/>
        <w:gridCol w:w="567"/>
        <w:gridCol w:w="851"/>
        <w:gridCol w:w="850"/>
        <w:gridCol w:w="851"/>
        <w:gridCol w:w="709"/>
        <w:gridCol w:w="850"/>
        <w:gridCol w:w="851"/>
        <w:gridCol w:w="850"/>
        <w:gridCol w:w="709"/>
        <w:gridCol w:w="709"/>
        <w:gridCol w:w="708"/>
      </w:tblGrid>
      <w:tr w:rsidR="005C2AB3" w:rsidRPr="005060E0" w14:paraId="54151324" w14:textId="77777777" w:rsidTr="007A3B2D">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100" w:firstRow="0" w:lastRow="0" w:firstColumn="1" w:lastColumn="0" w:oddVBand="0" w:evenVBand="0" w:oddHBand="0" w:evenHBand="0" w:firstRowFirstColumn="1" w:firstRowLastColumn="0" w:lastRowFirstColumn="0" w:lastRowLastColumn="0"/>
            <w:tcW w:w="846" w:type="dxa"/>
            <w:vMerge w:val="restar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1BCA5C14" w14:textId="77777777" w:rsidR="005C2AB3" w:rsidRPr="005060E0" w:rsidRDefault="005C2AB3" w:rsidP="007A3B2D">
            <w:pPr>
              <w:widowControl w:val="0"/>
              <w:spacing w:after="0" w:line="240" w:lineRule="auto"/>
              <w:jc w:val="center"/>
              <w:rPr>
                <w:rFonts w:cs="Arial"/>
                <w:b w:val="0"/>
                <w:color w:val="FFFFFF" w:themeColor="background1"/>
                <w:sz w:val="16"/>
                <w:szCs w:val="16"/>
              </w:rPr>
            </w:pPr>
            <w:r w:rsidRPr="005060E0">
              <w:rPr>
                <w:rFonts w:cs="Arial"/>
                <w:b w:val="0"/>
                <w:color w:val="FFFFFF" w:themeColor="background1"/>
                <w:sz w:val="16"/>
                <w:szCs w:val="16"/>
              </w:rPr>
              <w:t>Averaging period</w:t>
            </w:r>
          </w:p>
        </w:tc>
        <w:tc>
          <w:tcPr>
            <w:tcW w:w="850" w:type="dxa"/>
            <w:vMerge w:val="restar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3D3B2722"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cs="Arial"/>
                <w:b w:val="0"/>
                <w:color w:val="FFFFFF" w:themeColor="background1"/>
                <w:sz w:val="16"/>
                <w:szCs w:val="16"/>
              </w:rPr>
              <w:t>Standard (ppb)</w:t>
            </w:r>
          </w:p>
        </w:tc>
        <w:tc>
          <w:tcPr>
            <w:tcW w:w="567" w:type="dxa"/>
            <w:vMerge w:val="restar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21592237" w14:textId="77777777" w:rsidR="005C2AB3" w:rsidRPr="005060E0" w:rsidRDefault="005C2AB3" w:rsidP="007A3B2D">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p>
        </w:tc>
        <w:tc>
          <w:tcPr>
            <w:tcW w:w="4111" w:type="dxa"/>
            <w:gridSpan w:val="5"/>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738249CE" w14:textId="77777777" w:rsidR="005C2AB3" w:rsidRPr="005060E0" w:rsidRDefault="005C2AB3" w:rsidP="007A3B2D">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cs="Arial"/>
                <w:b w:val="0"/>
                <w:color w:val="FFFFFF" w:themeColor="background1"/>
                <w:sz w:val="16"/>
                <w:szCs w:val="16"/>
              </w:rPr>
              <w:t>VIC: Port Phillip Region</w:t>
            </w:r>
          </w:p>
        </w:tc>
        <w:tc>
          <w:tcPr>
            <w:tcW w:w="3827" w:type="dxa"/>
            <w:gridSpan w:val="5"/>
            <w:tcBorders>
              <w:top w:val="single" w:sz="4" w:space="0" w:color="606072"/>
              <w:left w:val="single" w:sz="4" w:space="0" w:color="606072"/>
              <w:bottom w:val="single" w:sz="4" w:space="0" w:color="606072"/>
              <w:right w:val="single" w:sz="4" w:space="0" w:color="606072"/>
            </w:tcBorders>
            <w:shd w:val="clear" w:color="auto" w:fill="606072"/>
            <w:vAlign w:val="center"/>
          </w:tcPr>
          <w:p w14:paraId="68565C05" w14:textId="77777777" w:rsidR="005C2AB3" w:rsidRPr="005060E0" w:rsidRDefault="005C2AB3" w:rsidP="007A3B2D">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cs="Arial"/>
                <w:b w:val="0"/>
                <w:color w:val="FFFFFF" w:themeColor="background1"/>
                <w:sz w:val="16"/>
                <w:szCs w:val="16"/>
              </w:rPr>
              <w:t>VIC: Latrobe Valley</w:t>
            </w:r>
          </w:p>
        </w:tc>
      </w:tr>
      <w:tr w:rsidR="005C2AB3" w:rsidRPr="005060E0" w14:paraId="7CC2A6B0" w14:textId="77777777" w:rsidTr="007A3B2D">
        <w:tblPrEx>
          <w:tblBorders>
            <w:top w:val="single" w:sz="2" w:space="0" w:color="0076C0"/>
            <w:left w:val="single" w:sz="2" w:space="0" w:color="0076C0"/>
            <w:bottom w:val="single" w:sz="2" w:space="0" w:color="0076C0"/>
            <w:right w:val="single" w:sz="2" w:space="0" w:color="0076C0"/>
          </w:tblBorders>
          <w:tblCellMar>
            <w:left w:w="41" w:type="dxa"/>
            <w:right w:w="41" w:type="dxa"/>
          </w:tblCellMar>
        </w:tblPrEx>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100" w:firstRow="0" w:lastRow="0" w:firstColumn="1" w:lastColumn="0" w:oddVBand="0" w:evenVBand="0" w:oddHBand="0" w:evenHBand="0" w:firstRowFirstColumn="1" w:firstRowLastColumn="0" w:lastRowFirstColumn="0" w:lastRowLastColumn="0"/>
            <w:tcW w:w="846" w:type="dxa"/>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478C386D" w14:textId="77777777" w:rsidR="005C2AB3" w:rsidRPr="005060E0" w:rsidRDefault="005C2AB3" w:rsidP="007A3B2D">
            <w:pPr>
              <w:widowControl w:val="0"/>
              <w:spacing w:after="0" w:line="240" w:lineRule="auto"/>
              <w:rPr>
                <w:rFonts w:cs="Arial"/>
                <w:b w:val="0"/>
                <w:color w:val="FFFFFF" w:themeColor="background1"/>
                <w:sz w:val="16"/>
                <w:szCs w:val="16"/>
              </w:rPr>
            </w:pPr>
          </w:p>
        </w:tc>
        <w:tc>
          <w:tcPr>
            <w:tcW w:w="850" w:type="dxa"/>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695D7A19" w14:textId="77777777" w:rsidR="005C2AB3" w:rsidRPr="005060E0" w:rsidRDefault="005C2AB3" w:rsidP="007A3B2D">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p>
        </w:tc>
        <w:tc>
          <w:tcPr>
            <w:tcW w:w="567" w:type="dxa"/>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4221FC61"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p>
        </w:tc>
        <w:tc>
          <w:tcPr>
            <w:tcW w:w="851" w:type="dxa"/>
            <w:tcBorders>
              <w:top w:val="single" w:sz="4" w:space="0" w:color="606072"/>
              <w:left w:val="single" w:sz="4" w:space="0" w:color="606072"/>
              <w:bottom w:val="single" w:sz="4" w:space="0" w:color="606072"/>
              <w:right w:val="single" w:sz="4" w:space="0" w:color="606072"/>
            </w:tcBorders>
            <w:shd w:val="clear" w:color="auto" w:fill="828284" w:themeFill="text1" w:themeFillTint="A6"/>
            <w:tcMar>
              <w:left w:w="28" w:type="dxa"/>
              <w:right w:w="28" w:type="dxa"/>
            </w:tcMar>
            <w:vAlign w:val="center"/>
          </w:tcPr>
          <w:p w14:paraId="2CDBF346"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cs="Arial"/>
                <w:b w:val="0"/>
                <w:color w:val="FFFFFF" w:themeColor="background1"/>
                <w:sz w:val="16"/>
                <w:szCs w:val="16"/>
              </w:rPr>
              <w:t>Measured</w:t>
            </w:r>
          </w:p>
        </w:tc>
        <w:tc>
          <w:tcPr>
            <w:tcW w:w="3260" w:type="dxa"/>
            <w:gridSpan w:val="4"/>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0D109CB3" w14:textId="038D58C5" w:rsidR="005C2AB3" w:rsidRPr="005060E0" w:rsidRDefault="00CE5917"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cs="Arial"/>
                <w:b w:val="0"/>
                <w:color w:val="FFFFFF" w:themeColor="background1"/>
                <w:sz w:val="16"/>
                <w:szCs w:val="16"/>
              </w:rPr>
              <w:t>Projected</w:t>
            </w:r>
          </w:p>
        </w:tc>
        <w:tc>
          <w:tcPr>
            <w:tcW w:w="851" w:type="dxa"/>
            <w:tcBorders>
              <w:top w:val="single" w:sz="4" w:space="0" w:color="606072"/>
              <w:left w:val="single" w:sz="4" w:space="0" w:color="606072"/>
              <w:bottom w:val="single" w:sz="4" w:space="0" w:color="606072"/>
              <w:right w:val="single" w:sz="4" w:space="0" w:color="606072"/>
            </w:tcBorders>
            <w:shd w:val="clear" w:color="auto" w:fill="828284" w:themeFill="text1" w:themeFillTint="A6"/>
            <w:tcMar>
              <w:left w:w="28" w:type="dxa"/>
              <w:right w:w="28" w:type="dxa"/>
            </w:tcMar>
            <w:vAlign w:val="center"/>
          </w:tcPr>
          <w:p w14:paraId="51583174"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i/>
                <w:color w:val="FFFFFF" w:themeColor="background1"/>
                <w:sz w:val="16"/>
                <w:szCs w:val="16"/>
              </w:rPr>
            </w:pPr>
            <w:r w:rsidRPr="005060E0">
              <w:rPr>
                <w:rFonts w:cs="Arial"/>
                <w:b w:val="0"/>
                <w:i/>
                <w:color w:val="FFFFFF" w:themeColor="background1"/>
                <w:sz w:val="16"/>
                <w:szCs w:val="16"/>
              </w:rPr>
              <w:t>Measured</w:t>
            </w:r>
          </w:p>
        </w:tc>
        <w:tc>
          <w:tcPr>
            <w:tcW w:w="2976" w:type="dxa"/>
            <w:gridSpan w:val="4"/>
            <w:tcBorders>
              <w:top w:val="single" w:sz="4" w:space="0" w:color="606072"/>
              <w:left w:val="single" w:sz="4" w:space="0" w:color="606072"/>
              <w:bottom w:val="single" w:sz="4" w:space="0" w:color="606072"/>
              <w:right w:val="single" w:sz="4" w:space="0" w:color="606072"/>
            </w:tcBorders>
            <w:shd w:val="clear" w:color="auto" w:fill="606072"/>
            <w:vAlign w:val="center"/>
          </w:tcPr>
          <w:p w14:paraId="3F6E1259" w14:textId="0DD53551" w:rsidR="005C2AB3" w:rsidRPr="005060E0" w:rsidRDefault="00CE5917"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cs="Arial"/>
                <w:b w:val="0"/>
                <w:color w:val="FFFFFF" w:themeColor="background1"/>
                <w:sz w:val="16"/>
                <w:szCs w:val="16"/>
              </w:rPr>
              <w:t>Projected</w:t>
            </w:r>
          </w:p>
        </w:tc>
      </w:tr>
      <w:tr w:rsidR="00BF7BF2" w:rsidRPr="005060E0" w14:paraId="0EC0701A" w14:textId="77777777" w:rsidTr="007A3B2D">
        <w:tblPrEx>
          <w:tblBorders>
            <w:top w:val="single" w:sz="2" w:space="0" w:color="0076C0"/>
            <w:left w:val="single" w:sz="2" w:space="0" w:color="0076C0"/>
            <w:bottom w:val="single" w:sz="2" w:space="0" w:color="0076C0"/>
            <w:right w:val="single" w:sz="2" w:space="0" w:color="0076C0"/>
          </w:tblBorders>
          <w:tblCellMar>
            <w:left w:w="41" w:type="dxa"/>
            <w:right w:w="41" w:type="dxa"/>
          </w:tblCellMar>
        </w:tblPrEx>
        <w:trPr>
          <w:cnfStyle w:val="100000000000" w:firstRow="1" w:lastRow="0" w:firstColumn="0" w:lastColumn="0" w:oddVBand="0" w:evenVBand="0" w:oddHBand="0" w:evenHBand="0" w:firstRowFirstColumn="0" w:firstRowLastColumn="0" w:lastRowFirstColumn="0" w:lastRowLastColumn="0"/>
          <w:trHeight w:hRule="exact" w:val="959"/>
          <w:tblHeader/>
          <w:jc w:val="center"/>
        </w:trPr>
        <w:tc>
          <w:tcPr>
            <w:cnfStyle w:val="001000000100" w:firstRow="0" w:lastRow="0" w:firstColumn="1" w:lastColumn="0" w:oddVBand="0" w:evenVBand="0" w:oddHBand="0" w:evenHBand="0" w:firstRowFirstColumn="1" w:firstRowLastColumn="0" w:lastRowFirstColumn="0" w:lastRowLastColumn="0"/>
            <w:tcW w:w="846" w:type="dxa"/>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52819D48" w14:textId="77777777" w:rsidR="005C2AB3" w:rsidRPr="005060E0" w:rsidRDefault="005C2AB3" w:rsidP="007A3B2D">
            <w:pPr>
              <w:widowControl w:val="0"/>
              <w:spacing w:after="0" w:line="240" w:lineRule="auto"/>
              <w:rPr>
                <w:rFonts w:cs="Arial"/>
                <w:b w:val="0"/>
                <w:color w:val="FFFFFF" w:themeColor="background1"/>
                <w:sz w:val="16"/>
                <w:szCs w:val="16"/>
              </w:rPr>
            </w:pPr>
          </w:p>
        </w:tc>
        <w:tc>
          <w:tcPr>
            <w:tcW w:w="850" w:type="dxa"/>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517BA9FF" w14:textId="77777777" w:rsidR="005C2AB3" w:rsidRPr="005060E0" w:rsidRDefault="005C2AB3" w:rsidP="007A3B2D">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p>
        </w:tc>
        <w:tc>
          <w:tcPr>
            <w:tcW w:w="567" w:type="dxa"/>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1035897C"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p>
        </w:tc>
        <w:tc>
          <w:tcPr>
            <w:tcW w:w="851" w:type="dxa"/>
            <w:tcBorders>
              <w:top w:val="single" w:sz="4" w:space="0" w:color="606072"/>
              <w:left w:val="single" w:sz="4" w:space="0" w:color="606072"/>
              <w:bottom w:val="single" w:sz="4" w:space="0" w:color="606072"/>
              <w:right w:val="single" w:sz="4" w:space="0" w:color="606072"/>
            </w:tcBorders>
            <w:shd w:val="clear" w:color="auto" w:fill="808080" w:themeFill="background1" w:themeFillShade="80"/>
            <w:tcMar>
              <w:left w:w="28" w:type="dxa"/>
              <w:right w:w="28" w:type="dxa"/>
            </w:tcMar>
            <w:vAlign w:val="center"/>
          </w:tcPr>
          <w:p w14:paraId="70E81876" w14:textId="4DBF5695"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i/>
                <w:color w:val="FFFFFF" w:themeColor="background1"/>
                <w:sz w:val="16"/>
                <w:szCs w:val="16"/>
              </w:rPr>
            </w:pPr>
            <w:r w:rsidRPr="005060E0">
              <w:rPr>
                <w:rFonts w:cs="Arial"/>
                <w:b w:val="0"/>
                <w:i/>
                <w:color w:val="FFFFFF" w:themeColor="background1"/>
                <w:sz w:val="16"/>
                <w:szCs w:val="16"/>
              </w:rPr>
              <w:t>2010</w:t>
            </w:r>
            <w:r w:rsidR="00954940">
              <w:rPr>
                <w:rFonts w:cs="Arial"/>
                <w:b w:val="0"/>
                <w:i/>
                <w:color w:val="FFFFFF" w:themeColor="background1"/>
                <w:sz w:val="16"/>
                <w:szCs w:val="16"/>
              </w:rPr>
              <w:t>–</w:t>
            </w:r>
          </w:p>
          <w:p w14:paraId="12FF4C79"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i/>
                <w:color w:val="FFFFFF" w:themeColor="background1"/>
                <w:sz w:val="16"/>
                <w:szCs w:val="16"/>
              </w:rPr>
            </w:pPr>
            <w:r w:rsidRPr="005060E0">
              <w:rPr>
                <w:rFonts w:cs="Arial"/>
                <w:b w:val="0"/>
                <w:i/>
                <w:color w:val="FFFFFF" w:themeColor="background1"/>
                <w:sz w:val="16"/>
                <w:szCs w:val="16"/>
              </w:rPr>
              <w:t>2014</w:t>
            </w:r>
          </w:p>
          <w:p w14:paraId="67257D1F" w14:textId="67730F07" w:rsidR="005C2AB3" w:rsidRPr="005060E0" w:rsidRDefault="004D2712"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cs="Arial"/>
                <w:b w:val="0"/>
                <w:i/>
                <w:color w:val="FFFFFF" w:themeColor="background1"/>
                <w:sz w:val="16"/>
                <w:szCs w:val="16"/>
              </w:rPr>
              <w:t xml:space="preserve">annual </w:t>
            </w:r>
            <w:r w:rsidR="005C2AB3" w:rsidRPr="005060E0">
              <w:rPr>
                <w:rFonts w:cs="Arial"/>
                <w:b w:val="0"/>
                <w:i/>
                <w:color w:val="FFFFFF" w:themeColor="background1"/>
                <w:sz w:val="16"/>
                <w:szCs w:val="16"/>
              </w:rPr>
              <w:t>average</w:t>
            </w:r>
            <w:r w:rsidR="005C2AB3" w:rsidRPr="005060E0">
              <w:rPr>
                <w:rFonts w:cs="Arial"/>
                <w:b w:val="0"/>
                <w:i/>
                <w:color w:val="FFFFFF" w:themeColor="background1"/>
                <w:sz w:val="16"/>
                <w:szCs w:val="16"/>
                <w:vertAlign w:val="superscript"/>
              </w:rPr>
              <w:t>(a)</w:t>
            </w:r>
          </w:p>
        </w:tc>
        <w:tc>
          <w:tcPr>
            <w:tcW w:w="850" w:type="dxa"/>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243DECD3"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cs="Arial"/>
                <w:b w:val="0"/>
                <w:color w:val="FFFFFF" w:themeColor="background1"/>
                <w:sz w:val="16"/>
                <w:szCs w:val="16"/>
              </w:rPr>
              <w:t>2016</w:t>
            </w:r>
          </w:p>
        </w:tc>
        <w:tc>
          <w:tcPr>
            <w:tcW w:w="851" w:type="dxa"/>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76B316F7"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cs="Arial"/>
                <w:b w:val="0"/>
                <w:color w:val="FFFFFF" w:themeColor="background1"/>
                <w:sz w:val="16"/>
                <w:szCs w:val="16"/>
              </w:rPr>
              <w:t>2021</w:t>
            </w:r>
          </w:p>
        </w:tc>
        <w:tc>
          <w:tcPr>
            <w:tcW w:w="709" w:type="dxa"/>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4F850A66"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cs="Arial"/>
                <w:b w:val="0"/>
                <w:color w:val="FFFFFF" w:themeColor="background1"/>
                <w:sz w:val="16"/>
                <w:szCs w:val="16"/>
              </w:rPr>
              <w:t>2031</w:t>
            </w:r>
          </w:p>
        </w:tc>
        <w:tc>
          <w:tcPr>
            <w:tcW w:w="850" w:type="dxa"/>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3DECD0E2"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cs="Arial"/>
                <w:b w:val="0"/>
                <w:color w:val="FFFFFF" w:themeColor="background1"/>
                <w:sz w:val="16"/>
                <w:szCs w:val="16"/>
              </w:rPr>
              <w:t>2040</w:t>
            </w:r>
          </w:p>
        </w:tc>
        <w:tc>
          <w:tcPr>
            <w:tcW w:w="851" w:type="dxa"/>
            <w:tcBorders>
              <w:top w:val="single" w:sz="4" w:space="0" w:color="606072"/>
              <w:left w:val="single" w:sz="4" w:space="0" w:color="606072"/>
              <w:bottom w:val="single" w:sz="4" w:space="0" w:color="606072"/>
              <w:right w:val="single" w:sz="4" w:space="0" w:color="606072"/>
            </w:tcBorders>
            <w:shd w:val="clear" w:color="auto" w:fill="808080" w:themeFill="background1" w:themeFillShade="80"/>
            <w:tcMar>
              <w:left w:w="28" w:type="dxa"/>
              <w:right w:w="28" w:type="dxa"/>
            </w:tcMar>
            <w:vAlign w:val="center"/>
          </w:tcPr>
          <w:p w14:paraId="4116422C" w14:textId="2ACF7332"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i/>
                <w:color w:val="FFFFFF" w:themeColor="background1"/>
                <w:sz w:val="16"/>
                <w:szCs w:val="16"/>
              </w:rPr>
            </w:pPr>
            <w:r w:rsidRPr="005060E0">
              <w:rPr>
                <w:rFonts w:cs="Arial"/>
                <w:b w:val="0"/>
                <w:i/>
                <w:color w:val="FFFFFF" w:themeColor="background1"/>
                <w:sz w:val="16"/>
                <w:szCs w:val="16"/>
              </w:rPr>
              <w:t>2010</w:t>
            </w:r>
            <w:r w:rsidR="00954940">
              <w:rPr>
                <w:rFonts w:cs="Arial"/>
                <w:b w:val="0"/>
                <w:i/>
                <w:color w:val="FFFFFF" w:themeColor="background1"/>
                <w:sz w:val="16"/>
                <w:szCs w:val="16"/>
              </w:rPr>
              <w:t>–</w:t>
            </w:r>
          </w:p>
          <w:p w14:paraId="0DF5642F"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i/>
                <w:color w:val="FFFFFF" w:themeColor="background1"/>
                <w:sz w:val="16"/>
                <w:szCs w:val="16"/>
              </w:rPr>
            </w:pPr>
            <w:r w:rsidRPr="005060E0">
              <w:rPr>
                <w:rFonts w:cs="Arial"/>
                <w:b w:val="0"/>
                <w:i/>
                <w:color w:val="FFFFFF" w:themeColor="background1"/>
                <w:sz w:val="16"/>
                <w:szCs w:val="16"/>
              </w:rPr>
              <w:t>2014</w:t>
            </w:r>
          </w:p>
          <w:p w14:paraId="1A111C85" w14:textId="2311F367" w:rsidR="005C2AB3" w:rsidRPr="005060E0" w:rsidRDefault="004D2712"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i/>
                <w:color w:val="FFFFFF" w:themeColor="background1"/>
                <w:sz w:val="16"/>
                <w:szCs w:val="16"/>
              </w:rPr>
            </w:pPr>
            <w:r w:rsidRPr="005060E0">
              <w:rPr>
                <w:rFonts w:cs="Arial"/>
                <w:b w:val="0"/>
                <w:i/>
                <w:color w:val="FFFFFF" w:themeColor="background1"/>
                <w:sz w:val="16"/>
                <w:szCs w:val="16"/>
              </w:rPr>
              <w:t>annual</w:t>
            </w:r>
            <w:r w:rsidR="005C2AB3" w:rsidRPr="005060E0">
              <w:rPr>
                <w:rFonts w:cs="Arial"/>
                <w:b w:val="0"/>
                <w:i/>
                <w:color w:val="FFFFFF" w:themeColor="background1"/>
                <w:sz w:val="16"/>
                <w:szCs w:val="16"/>
              </w:rPr>
              <w:t xml:space="preserve"> average</w:t>
            </w:r>
            <w:r w:rsidR="005C2AB3" w:rsidRPr="005060E0">
              <w:rPr>
                <w:rFonts w:cs="Arial"/>
                <w:b w:val="0"/>
                <w:i/>
                <w:color w:val="FFFFFF" w:themeColor="background1"/>
                <w:sz w:val="16"/>
                <w:szCs w:val="16"/>
                <w:vertAlign w:val="superscript"/>
              </w:rPr>
              <w:t>(a)</w:t>
            </w:r>
          </w:p>
        </w:tc>
        <w:tc>
          <w:tcPr>
            <w:tcW w:w="850"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1D7FCBB2"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cs="Arial"/>
                <w:b w:val="0"/>
                <w:color w:val="FFFFFF" w:themeColor="background1"/>
                <w:sz w:val="16"/>
                <w:szCs w:val="16"/>
              </w:rPr>
              <w:t>2016</w:t>
            </w:r>
          </w:p>
        </w:tc>
        <w:tc>
          <w:tcPr>
            <w:tcW w:w="709" w:type="dxa"/>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4AB63A0A"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cs="Arial"/>
                <w:b w:val="0"/>
                <w:color w:val="FFFFFF" w:themeColor="background1"/>
                <w:sz w:val="16"/>
                <w:szCs w:val="16"/>
              </w:rPr>
              <w:t>2021</w:t>
            </w:r>
          </w:p>
        </w:tc>
        <w:tc>
          <w:tcPr>
            <w:tcW w:w="709" w:type="dxa"/>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4BDD6B52"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cs="Arial"/>
                <w:b w:val="0"/>
                <w:color w:val="FFFFFF" w:themeColor="background1"/>
                <w:sz w:val="16"/>
                <w:szCs w:val="16"/>
              </w:rPr>
              <w:t>2031</w:t>
            </w:r>
          </w:p>
        </w:tc>
        <w:tc>
          <w:tcPr>
            <w:tcW w:w="708" w:type="dxa"/>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086B12E4" w14:textId="77777777" w:rsidR="005C2AB3" w:rsidRPr="005060E0" w:rsidRDefault="005C2AB3" w:rsidP="007A3B2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cs="Arial"/>
                <w:b w:val="0"/>
                <w:color w:val="FFFFFF" w:themeColor="background1"/>
                <w:sz w:val="16"/>
                <w:szCs w:val="16"/>
              </w:rPr>
              <w:t>2040</w:t>
            </w:r>
          </w:p>
        </w:tc>
      </w:tr>
      <w:tr w:rsidR="004D2712" w:rsidRPr="005060E0" w14:paraId="7D9BF1F5" w14:textId="77777777" w:rsidTr="004D2712">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1000000000" w:firstRow="0" w:lastRow="0" w:firstColumn="1" w:lastColumn="0" w:oddVBand="0" w:evenVBand="0" w:oddHBand="0" w:evenHBand="0" w:firstRowFirstColumn="0" w:firstRowLastColumn="0" w:lastRowFirstColumn="0" w:lastRowLastColumn="0"/>
            <w:tcW w:w="10201" w:type="dxa"/>
            <w:gridSpan w:val="13"/>
            <w:tcBorders>
              <w:top w:val="single" w:sz="4" w:space="0" w:color="606072"/>
              <w:left w:val="single" w:sz="4" w:space="0" w:color="606072"/>
              <w:bottom w:val="single" w:sz="4" w:space="0" w:color="606072"/>
              <w:right w:val="single" w:sz="4" w:space="0" w:color="606072"/>
            </w:tcBorders>
            <w:shd w:val="clear" w:color="auto" w:fill="BFBFBF" w:themeFill="background1" w:themeFillShade="BF"/>
            <w:tcMar>
              <w:left w:w="28" w:type="dxa"/>
              <w:right w:w="28" w:type="dxa"/>
            </w:tcMar>
            <w:vAlign w:val="center"/>
          </w:tcPr>
          <w:p w14:paraId="2D179AD7" w14:textId="066F4069" w:rsidR="004D2712" w:rsidRPr="005060E0" w:rsidRDefault="004D2712" w:rsidP="004D2712">
            <w:pPr>
              <w:widowControl w:val="0"/>
              <w:spacing w:after="0" w:line="240" w:lineRule="auto"/>
              <w:rPr>
                <w:rFonts w:cs="Arial"/>
                <w:sz w:val="16"/>
                <w:szCs w:val="16"/>
              </w:rPr>
            </w:pPr>
            <w:r w:rsidRPr="005060E0">
              <w:rPr>
                <w:rFonts w:cs="Arial"/>
                <w:b w:val="0"/>
                <w:sz w:val="15"/>
                <w:szCs w:val="15"/>
              </w:rPr>
              <w:t>Total number of unique exceedance days</w:t>
            </w:r>
          </w:p>
        </w:tc>
      </w:tr>
      <w:tr w:rsidR="007F77AB" w:rsidRPr="005060E0" w14:paraId="1C908E05" w14:textId="77777777" w:rsidTr="00790F21">
        <w:trPr>
          <w:trHeight w:hRule="exact" w:val="255"/>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07993C90" w14:textId="77777777" w:rsidR="005C2AB3" w:rsidRPr="005060E0" w:rsidRDefault="005C2AB3" w:rsidP="007A3B2D">
            <w:pPr>
              <w:widowControl w:val="0"/>
              <w:spacing w:after="0" w:line="240" w:lineRule="auto"/>
              <w:jc w:val="center"/>
              <w:rPr>
                <w:rFonts w:cs="Arial"/>
                <w:b w:val="0"/>
                <w:sz w:val="16"/>
                <w:szCs w:val="16"/>
              </w:rPr>
            </w:pPr>
            <w:r w:rsidRPr="005060E0">
              <w:rPr>
                <w:rFonts w:cs="Arial"/>
                <w:b w:val="0"/>
                <w:sz w:val="16"/>
                <w:szCs w:val="16"/>
              </w:rPr>
              <w:t>1-hour</w:t>
            </w:r>
          </w:p>
        </w:tc>
        <w:tc>
          <w:tcPr>
            <w:tcW w:w="850" w:type="dxa"/>
            <w:tcBorders>
              <w:top w:val="single" w:sz="4" w:space="0" w:color="606072"/>
              <w:left w:val="dotted" w:sz="4" w:space="0" w:color="606372" w:themeColor="text2"/>
              <w:bottom w:val="dotted" w:sz="4" w:space="0" w:color="606072"/>
              <w:right w:val="single" w:sz="4" w:space="0" w:color="606372" w:themeColor="text2"/>
            </w:tcBorders>
            <w:shd w:val="clear" w:color="auto" w:fill="DEDFE3" w:themeFill="text2" w:themeFillTint="33"/>
            <w:tcMar>
              <w:left w:w="28" w:type="dxa"/>
              <w:right w:w="28" w:type="dxa"/>
            </w:tcMar>
            <w:vAlign w:val="center"/>
          </w:tcPr>
          <w:p w14:paraId="1CB50CBF" w14:textId="77777777" w:rsidR="005C2AB3" w:rsidRPr="005060E0" w:rsidRDefault="005C2AB3"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40</w:t>
            </w:r>
          </w:p>
        </w:tc>
        <w:tc>
          <w:tcPr>
            <w:tcW w:w="567" w:type="dxa"/>
            <w:tcBorders>
              <w:top w:val="single" w:sz="4" w:space="0" w:color="606072"/>
              <w:left w:val="single" w:sz="4" w:space="0" w:color="606372" w:themeColor="text2"/>
              <w:bottom w:val="nil"/>
              <w:right w:val="single" w:sz="4" w:space="0" w:color="606072"/>
            </w:tcBorders>
            <w:tcMar>
              <w:left w:w="28" w:type="dxa"/>
              <w:right w:w="28" w:type="dxa"/>
            </w:tcMar>
            <w:vAlign w:val="center"/>
          </w:tcPr>
          <w:p w14:paraId="68B6CA36" w14:textId="77777777" w:rsidR="005C2AB3" w:rsidRPr="005060E0" w:rsidRDefault="005C2AB3"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51" w:type="dxa"/>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477856C1" w14:textId="77777777" w:rsidR="005C2AB3" w:rsidRPr="005060E0" w:rsidRDefault="005C2AB3"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9</w:t>
            </w:r>
          </w:p>
        </w:tc>
        <w:tc>
          <w:tcPr>
            <w:tcW w:w="850" w:type="dxa"/>
            <w:tcBorders>
              <w:top w:val="single" w:sz="4" w:space="0" w:color="606072"/>
              <w:left w:val="dotted" w:sz="4" w:space="0" w:color="606072"/>
              <w:bottom w:val="dotted" w:sz="4" w:space="0" w:color="606072"/>
              <w:right w:val="dotted" w:sz="4" w:space="0" w:color="606072"/>
            </w:tcBorders>
            <w:tcMar>
              <w:left w:w="28" w:type="dxa"/>
              <w:right w:w="28" w:type="dxa"/>
            </w:tcMar>
            <w:vAlign w:val="center"/>
          </w:tcPr>
          <w:p w14:paraId="6EA4FB7C" w14:textId="0335F57F" w:rsidR="005C2AB3" w:rsidRPr="005060E0" w:rsidRDefault="00954940"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851"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4A50A7ED" w14:textId="4F10C2B6" w:rsidR="005C2AB3" w:rsidRPr="005060E0" w:rsidRDefault="00954940"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9"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13470DE3" w14:textId="21AF5BED" w:rsidR="005C2AB3" w:rsidRPr="005060E0" w:rsidRDefault="00954940"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850" w:type="dxa"/>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27EC6853" w14:textId="71666A4E" w:rsidR="005C2AB3" w:rsidRPr="005060E0" w:rsidRDefault="00954940"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851" w:type="dxa"/>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336B0E19" w14:textId="57049F67" w:rsidR="005C2AB3" w:rsidRPr="005060E0" w:rsidRDefault="00954940"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Pr>
                <w:rFonts w:cs="Arial"/>
                <w:i/>
                <w:sz w:val="15"/>
                <w:szCs w:val="15"/>
              </w:rPr>
              <w:t>–</w:t>
            </w:r>
          </w:p>
        </w:tc>
        <w:tc>
          <w:tcPr>
            <w:tcW w:w="850" w:type="dxa"/>
            <w:tcBorders>
              <w:top w:val="single" w:sz="4" w:space="0" w:color="606072"/>
              <w:left w:val="dotted" w:sz="4" w:space="0" w:color="606072"/>
              <w:bottom w:val="dotted" w:sz="4" w:space="0" w:color="606072"/>
              <w:right w:val="dotted" w:sz="4" w:space="0" w:color="606072"/>
            </w:tcBorders>
            <w:vAlign w:val="center"/>
          </w:tcPr>
          <w:p w14:paraId="2D0895AC" w14:textId="03CCC1E7" w:rsidR="005C2AB3" w:rsidRPr="005060E0" w:rsidRDefault="00954940"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9"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3D62B0FD" w14:textId="2528BAA9" w:rsidR="005C2AB3" w:rsidRPr="005060E0" w:rsidRDefault="00954940"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9"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0E2CBB05" w14:textId="2430D207" w:rsidR="005C2AB3" w:rsidRPr="005060E0" w:rsidRDefault="00954940"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8" w:type="dxa"/>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650F71E0" w14:textId="1E10664D" w:rsidR="005C2AB3" w:rsidRPr="005060E0" w:rsidRDefault="00954940"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r>
      <w:tr w:rsidR="007F77AB" w:rsidRPr="005060E0" w14:paraId="52B2E549" w14:textId="77777777" w:rsidTr="00790F21">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70A52204" w14:textId="77777777" w:rsidR="005C2AB3" w:rsidRPr="005060E0" w:rsidRDefault="005C2AB3" w:rsidP="007A3B2D">
            <w:pPr>
              <w:widowControl w:val="0"/>
              <w:spacing w:after="0" w:line="240" w:lineRule="auto"/>
              <w:jc w:val="center"/>
              <w:rPr>
                <w:rFonts w:cs="Arial"/>
                <w:b w:val="0"/>
                <w:sz w:val="16"/>
                <w:szCs w:val="16"/>
              </w:rPr>
            </w:pPr>
          </w:p>
        </w:tc>
        <w:tc>
          <w:tcPr>
            <w:tcW w:w="850" w:type="dxa"/>
            <w:tcBorders>
              <w:top w:val="dotted" w:sz="4" w:space="0" w:color="606072"/>
              <w:left w:val="dotted" w:sz="4" w:space="0" w:color="606372" w:themeColor="text2"/>
              <w:bottom w:val="dotted" w:sz="4" w:space="0" w:color="606072"/>
              <w:right w:val="single" w:sz="4" w:space="0" w:color="606372" w:themeColor="text2"/>
            </w:tcBorders>
            <w:shd w:val="clear" w:color="auto" w:fill="DEDFE3" w:themeFill="text2" w:themeFillTint="33"/>
            <w:tcMar>
              <w:left w:w="28" w:type="dxa"/>
              <w:right w:w="28" w:type="dxa"/>
            </w:tcMar>
            <w:vAlign w:val="center"/>
          </w:tcPr>
          <w:p w14:paraId="0A16E93E" w14:textId="77777777" w:rsidR="005C2AB3" w:rsidRPr="005060E0" w:rsidRDefault="005C2AB3"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80</w:t>
            </w:r>
          </w:p>
        </w:tc>
        <w:tc>
          <w:tcPr>
            <w:tcW w:w="567" w:type="dxa"/>
            <w:tcBorders>
              <w:top w:val="nil"/>
              <w:left w:val="single" w:sz="4" w:space="0" w:color="606372" w:themeColor="text2"/>
              <w:bottom w:val="nil"/>
              <w:right w:val="single" w:sz="4" w:space="0" w:color="606072"/>
            </w:tcBorders>
            <w:tcMar>
              <w:left w:w="28" w:type="dxa"/>
              <w:right w:w="28" w:type="dxa"/>
            </w:tcMar>
            <w:vAlign w:val="center"/>
          </w:tcPr>
          <w:p w14:paraId="2BFEB7AE" w14:textId="77777777" w:rsidR="005C2AB3" w:rsidRPr="005060E0" w:rsidRDefault="005C2AB3"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51" w:type="dxa"/>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65D964FA" w14:textId="5C564A61"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0" w:type="dxa"/>
            <w:tcBorders>
              <w:top w:val="dotted" w:sz="4" w:space="0" w:color="606072"/>
              <w:left w:val="dotted" w:sz="4" w:space="0" w:color="606072"/>
              <w:bottom w:val="dotted" w:sz="4" w:space="0" w:color="606072"/>
              <w:right w:val="dotted" w:sz="4" w:space="0" w:color="606072"/>
            </w:tcBorders>
            <w:tcMar>
              <w:left w:w="28" w:type="dxa"/>
              <w:right w:w="28" w:type="dxa"/>
            </w:tcMar>
            <w:vAlign w:val="center"/>
          </w:tcPr>
          <w:p w14:paraId="6003B1B2" w14:textId="70A94FD4"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1"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08C4E291" w14:textId="0493D133"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0434938B" w14:textId="1D6A39B8"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0" w:type="dxa"/>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700CFE2E" w14:textId="0376F278"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1" w:type="dxa"/>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3D801DE0" w14:textId="1737DC01"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Pr>
                <w:rFonts w:cs="Arial"/>
                <w:i/>
                <w:sz w:val="15"/>
                <w:szCs w:val="15"/>
              </w:rPr>
              <w:t>–</w:t>
            </w:r>
          </w:p>
        </w:tc>
        <w:tc>
          <w:tcPr>
            <w:tcW w:w="850" w:type="dxa"/>
            <w:tcBorders>
              <w:top w:val="dotted" w:sz="4" w:space="0" w:color="606072"/>
              <w:left w:val="dotted" w:sz="4" w:space="0" w:color="606072"/>
              <w:bottom w:val="dotted" w:sz="4" w:space="0" w:color="606072"/>
              <w:right w:val="dotted" w:sz="4" w:space="0" w:color="606072"/>
            </w:tcBorders>
            <w:vAlign w:val="center"/>
          </w:tcPr>
          <w:p w14:paraId="7706FB41" w14:textId="72AC0268"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61E1E77E" w14:textId="335A94FD"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327AC8C8" w14:textId="1F8D695A"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8" w:type="dxa"/>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2B756BBC" w14:textId="5C1D9551"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r>
      <w:tr w:rsidR="007F77AB" w:rsidRPr="005060E0" w14:paraId="5B4E46E3" w14:textId="77777777" w:rsidTr="00790F21">
        <w:trPr>
          <w:trHeight w:hRule="exact" w:val="255"/>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34130121" w14:textId="77777777" w:rsidR="005C2AB3" w:rsidRPr="005060E0" w:rsidRDefault="005C2AB3" w:rsidP="007A3B2D">
            <w:pPr>
              <w:widowControl w:val="0"/>
              <w:spacing w:after="0" w:line="240" w:lineRule="auto"/>
              <w:jc w:val="center"/>
              <w:rPr>
                <w:rFonts w:cs="Arial"/>
                <w:b w:val="0"/>
                <w:sz w:val="16"/>
                <w:szCs w:val="16"/>
              </w:rPr>
            </w:pPr>
          </w:p>
        </w:tc>
        <w:tc>
          <w:tcPr>
            <w:tcW w:w="850" w:type="dxa"/>
            <w:tcBorders>
              <w:top w:val="dotted" w:sz="4" w:space="0" w:color="606072"/>
              <w:left w:val="dotted" w:sz="4" w:space="0" w:color="606372" w:themeColor="text2"/>
              <w:bottom w:val="dotted" w:sz="4" w:space="0" w:color="606072"/>
              <w:right w:val="single" w:sz="4" w:space="0" w:color="606372" w:themeColor="text2"/>
            </w:tcBorders>
            <w:shd w:val="clear" w:color="auto" w:fill="DEDFE3" w:themeFill="text2" w:themeFillTint="33"/>
            <w:tcMar>
              <w:left w:w="28" w:type="dxa"/>
              <w:right w:w="28" w:type="dxa"/>
            </w:tcMar>
            <w:vAlign w:val="center"/>
          </w:tcPr>
          <w:p w14:paraId="581F2022" w14:textId="77777777" w:rsidR="005C2AB3" w:rsidRPr="005060E0" w:rsidRDefault="005C2AB3"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97</w:t>
            </w:r>
          </w:p>
        </w:tc>
        <w:tc>
          <w:tcPr>
            <w:tcW w:w="567" w:type="dxa"/>
            <w:tcBorders>
              <w:top w:val="nil"/>
              <w:left w:val="single" w:sz="4" w:space="0" w:color="606372" w:themeColor="text2"/>
              <w:bottom w:val="nil"/>
              <w:right w:val="single" w:sz="4" w:space="0" w:color="606072"/>
            </w:tcBorders>
            <w:tcMar>
              <w:left w:w="28" w:type="dxa"/>
              <w:right w:w="28" w:type="dxa"/>
            </w:tcMar>
            <w:vAlign w:val="center"/>
          </w:tcPr>
          <w:p w14:paraId="3D20ADB1" w14:textId="77777777" w:rsidR="005C2AB3" w:rsidRPr="005060E0" w:rsidRDefault="005C2AB3"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51" w:type="dxa"/>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29B42403" w14:textId="7F77F6EA" w:rsidR="005C2AB3" w:rsidRPr="005060E0" w:rsidRDefault="00954940"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850" w:type="dxa"/>
            <w:tcBorders>
              <w:top w:val="dotted" w:sz="4" w:space="0" w:color="606072"/>
              <w:left w:val="dotted" w:sz="4" w:space="0" w:color="606072"/>
              <w:bottom w:val="dotted" w:sz="4" w:space="0" w:color="606072"/>
              <w:right w:val="dotted" w:sz="4" w:space="0" w:color="606072"/>
            </w:tcBorders>
            <w:tcMar>
              <w:left w:w="28" w:type="dxa"/>
              <w:right w:w="28" w:type="dxa"/>
            </w:tcMar>
            <w:vAlign w:val="center"/>
          </w:tcPr>
          <w:p w14:paraId="7ED65037" w14:textId="4AEE1E3F" w:rsidR="005C2AB3" w:rsidRPr="005060E0" w:rsidRDefault="00954940"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851"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7ED058F8" w14:textId="4627EC6C" w:rsidR="005C2AB3" w:rsidRPr="005060E0" w:rsidRDefault="00954940"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19F22033" w14:textId="64C2EFE0" w:rsidR="005C2AB3" w:rsidRPr="005060E0" w:rsidRDefault="00954940"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850" w:type="dxa"/>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78CA12F9" w14:textId="3C3CBD23" w:rsidR="005C2AB3" w:rsidRPr="005060E0" w:rsidRDefault="00954940"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851" w:type="dxa"/>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7B46E179" w14:textId="46C05348" w:rsidR="005C2AB3" w:rsidRPr="005060E0" w:rsidRDefault="00954940"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Pr>
                <w:rFonts w:cs="Arial"/>
                <w:i/>
                <w:sz w:val="15"/>
                <w:szCs w:val="15"/>
              </w:rPr>
              <w:t>–</w:t>
            </w:r>
          </w:p>
        </w:tc>
        <w:tc>
          <w:tcPr>
            <w:tcW w:w="850" w:type="dxa"/>
            <w:tcBorders>
              <w:top w:val="dotted" w:sz="4" w:space="0" w:color="606072"/>
              <w:left w:val="dotted" w:sz="4" w:space="0" w:color="606072"/>
              <w:bottom w:val="dotted" w:sz="4" w:space="0" w:color="606072"/>
              <w:right w:val="dotted" w:sz="4" w:space="0" w:color="606072"/>
            </w:tcBorders>
            <w:vAlign w:val="center"/>
          </w:tcPr>
          <w:p w14:paraId="6944EB72" w14:textId="6F3D3380" w:rsidR="005C2AB3" w:rsidRPr="005060E0" w:rsidRDefault="00954940"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1409646F" w14:textId="4B6CB9A9" w:rsidR="005C2AB3" w:rsidRPr="005060E0" w:rsidRDefault="00954940"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475EBF01" w14:textId="267A8AA2" w:rsidR="005C2AB3" w:rsidRPr="005060E0" w:rsidRDefault="00954940"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8" w:type="dxa"/>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18D26A8C" w14:textId="1E3A34F3" w:rsidR="005C2AB3" w:rsidRPr="005060E0" w:rsidRDefault="00954940"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r>
      <w:tr w:rsidR="007F77AB" w:rsidRPr="005060E0" w14:paraId="20165FBF" w14:textId="77777777" w:rsidTr="005D5AFF">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65025DFC" w14:textId="77777777" w:rsidR="005C2AB3" w:rsidRPr="005060E0" w:rsidRDefault="005C2AB3" w:rsidP="007A3B2D">
            <w:pPr>
              <w:widowControl w:val="0"/>
              <w:spacing w:after="0" w:line="240" w:lineRule="auto"/>
              <w:jc w:val="center"/>
              <w:rPr>
                <w:rFonts w:cs="Arial"/>
                <w:b w:val="0"/>
                <w:sz w:val="16"/>
                <w:szCs w:val="16"/>
              </w:rPr>
            </w:pPr>
          </w:p>
        </w:tc>
        <w:tc>
          <w:tcPr>
            <w:tcW w:w="850" w:type="dxa"/>
            <w:tcBorders>
              <w:top w:val="dotted" w:sz="4" w:space="0" w:color="606072"/>
              <w:left w:val="dotted" w:sz="4" w:space="0" w:color="606372" w:themeColor="text2"/>
              <w:bottom w:val="single" w:sz="4" w:space="0" w:color="606072"/>
              <w:right w:val="single" w:sz="4" w:space="0" w:color="606372" w:themeColor="text2"/>
            </w:tcBorders>
            <w:shd w:val="clear" w:color="auto" w:fill="D5E5FF"/>
            <w:tcMar>
              <w:left w:w="28" w:type="dxa"/>
              <w:right w:w="28" w:type="dxa"/>
            </w:tcMar>
            <w:vAlign w:val="center"/>
          </w:tcPr>
          <w:p w14:paraId="26DC7F7D" w14:textId="77777777" w:rsidR="005C2AB3" w:rsidRPr="005060E0" w:rsidRDefault="005C2AB3"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120</w:t>
            </w:r>
          </w:p>
        </w:tc>
        <w:tc>
          <w:tcPr>
            <w:tcW w:w="567" w:type="dxa"/>
            <w:tcBorders>
              <w:top w:val="nil"/>
              <w:left w:val="single" w:sz="4" w:space="0" w:color="606372" w:themeColor="text2"/>
              <w:bottom w:val="single" w:sz="4" w:space="0" w:color="606072"/>
              <w:right w:val="single" w:sz="4" w:space="0" w:color="606072"/>
            </w:tcBorders>
            <w:tcMar>
              <w:left w:w="28" w:type="dxa"/>
              <w:right w:w="28" w:type="dxa"/>
            </w:tcMar>
            <w:vAlign w:val="center"/>
          </w:tcPr>
          <w:p w14:paraId="7413AA4F" w14:textId="77777777" w:rsidR="005C2AB3" w:rsidRPr="005060E0" w:rsidRDefault="005C2AB3"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51" w:type="dxa"/>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317998FA" w14:textId="49099C65"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0"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20EE8776" w14:textId="6EF2AC04"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1"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79CF8F22" w14:textId="0DAABBD9"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2AB30051" w14:textId="7D1451D1"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0" w:type="dxa"/>
            <w:tcBorders>
              <w:top w:val="dotted" w:sz="4" w:space="0" w:color="606072"/>
              <w:left w:val="dotted" w:sz="4" w:space="0" w:color="606072"/>
              <w:bottom w:val="single" w:sz="4" w:space="0" w:color="606072"/>
              <w:right w:val="single" w:sz="4" w:space="0" w:color="606072"/>
            </w:tcBorders>
            <w:shd w:val="clear" w:color="auto" w:fill="D5E5FF"/>
            <w:tcMar>
              <w:left w:w="28" w:type="dxa"/>
              <w:right w:w="28" w:type="dxa"/>
            </w:tcMar>
            <w:vAlign w:val="center"/>
          </w:tcPr>
          <w:p w14:paraId="301FEBBC" w14:textId="305D7AA7"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1" w:type="dxa"/>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53A349A3" w14:textId="17F2E9E9"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Pr>
                <w:rFonts w:cs="Arial"/>
                <w:i/>
                <w:sz w:val="15"/>
                <w:szCs w:val="15"/>
              </w:rPr>
              <w:t>–</w:t>
            </w:r>
          </w:p>
        </w:tc>
        <w:tc>
          <w:tcPr>
            <w:tcW w:w="850"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3A4CD0DA" w14:textId="0C0ABA56"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2FF4FE7B" w14:textId="6630C41B"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64D392DE" w14:textId="710D245F"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8" w:type="dxa"/>
            <w:tcBorders>
              <w:top w:val="dotted" w:sz="4" w:space="0" w:color="606072"/>
              <w:left w:val="dotted" w:sz="4" w:space="0" w:color="606072"/>
              <w:bottom w:val="single" w:sz="4" w:space="0" w:color="606072"/>
              <w:right w:val="single" w:sz="4" w:space="0" w:color="606072"/>
            </w:tcBorders>
            <w:shd w:val="clear" w:color="auto" w:fill="D5E5FF"/>
            <w:tcMar>
              <w:left w:w="28" w:type="dxa"/>
              <w:right w:w="28" w:type="dxa"/>
            </w:tcMar>
            <w:vAlign w:val="center"/>
          </w:tcPr>
          <w:p w14:paraId="23B634DA" w14:textId="4FF1A436"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r>
      <w:tr w:rsidR="004D2712" w:rsidRPr="005060E0" w14:paraId="7778B1D2" w14:textId="77777777" w:rsidTr="004D2712">
        <w:trPr>
          <w:trHeight w:hRule="exact" w:val="255"/>
          <w:jc w:val="center"/>
        </w:trPr>
        <w:tc>
          <w:tcPr>
            <w:cnfStyle w:val="001000000000" w:firstRow="0" w:lastRow="0" w:firstColumn="1" w:lastColumn="0" w:oddVBand="0" w:evenVBand="0" w:oddHBand="0" w:evenHBand="0" w:firstRowFirstColumn="0" w:firstRowLastColumn="0" w:lastRowFirstColumn="0" w:lastRowLastColumn="0"/>
            <w:tcW w:w="10201" w:type="dxa"/>
            <w:gridSpan w:val="13"/>
            <w:tcBorders>
              <w:top w:val="single" w:sz="4" w:space="0" w:color="606072"/>
              <w:left w:val="single" w:sz="4" w:space="0" w:color="606072"/>
              <w:bottom w:val="single" w:sz="4" w:space="0" w:color="606072"/>
              <w:right w:val="single" w:sz="4" w:space="0" w:color="606072"/>
            </w:tcBorders>
            <w:shd w:val="clear" w:color="auto" w:fill="BFBFBF" w:themeFill="background1" w:themeFillShade="BF"/>
            <w:tcMar>
              <w:left w:w="28" w:type="dxa"/>
              <w:right w:w="28" w:type="dxa"/>
            </w:tcMar>
            <w:vAlign w:val="center"/>
          </w:tcPr>
          <w:p w14:paraId="3E199BBF" w14:textId="4B84241A" w:rsidR="004D2712" w:rsidRPr="005060E0" w:rsidRDefault="004D2712" w:rsidP="004D2712">
            <w:pPr>
              <w:widowControl w:val="0"/>
              <w:spacing w:after="0" w:line="240" w:lineRule="auto"/>
              <w:rPr>
                <w:rFonts w:cs="Arial"/>
                <w:sz w:val="15"/>
                <w:szCs w:val="15"/>
              </w:rPr>
            </w:pPr>
            <w:r w:rsidRPr="005060E0">
              <w:rPr>
                <w:rFonts w:eastAsia="Times New Roman" w:cs="Arial"/>
                <w:b w:val="0"/>
                <w:color w:val="000000"/>
                <w:sz w:val="15"/>
                <w:szCs w:val="15"/>
                <w:lang w:eastAsia="en-AU"/>
              </w:rPr>
              <w:t>Total number of monitoring stations exceeding standard</w:t>
            </w:r>
          </w:p>
        </w:tc>
      </w:tr>
      <w:tr w:rsidR="007F77AB" w:rsidRPr="005060E0" w14:paraId="5707CEA4" w14:textId="77777777" w:rsidTr="00790F21">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1563DFFB" w14:textId="77777777" w:rsidR="005C2AB3" w:rsidRPr="005060E0" w:rsidRDefault="005C2AB3" w:rsidP="007A3B2D">
            <w:pPr>
              <w:widowControl w:val="0"/>
              <w:spacing w:after="0" w:line="240" w:lineRule="auto"/>
              <w:jc w:val="center"/>
              <w:rPr>
                <w:rFonts w:cs="Arial"/>
                <w:b w:val="0"/>
                <w:sz w:val="16"/>
                <w:szCs w:val="16"/>
              </w:rPr>
            </w:pPr>
            <w:r w:rsidRPr="005060E0">
              <w:rPr>
                <w:rFonts w:cs="Arial"/>
                <w:b w:val="0"/>
                <w:sz w:val="16"/>
                <w:szCs w:val="16"/>
              </w:rPr>
              <w:t>Annual</w:t>
            </w:r>
          </w:p>
        </w:tc>
        <w:tc>
          <w:tcPr>
            <w:tcW w:w="850" w:type="dxa"/>
            <w:tcBorders>
              <w:top w:val="single" w:sz="4" w:space="0" w:color="606072"/>
              <w:left w:val="dotted" w:sz="4" w:space="0" w:color="606372" w:themeColor="text2"/>
              <w:bottom w:val="dotted" w:sz="4" w:space="0" w:color="606072"/>
              <w:right w:val="single" w:sz="4" w:space="0" w:color="606372" w:themeColor="text2"/>
            </w:tcBorders>
            <w:shd w:val="clear" w:color="auto" w:fill="DEDFE3" w:themeFill="text2" w:themeFillTint="33"/>
            <w:tcMar>
              <w:left w:w="28" w:type="dxa"/>
              <w:right w:w="28" w:type="dxa"/>
            </w:tcMar>
            <w:vAlign w:val="center"/>
          </w:tcPr>
          <w:p w14:paraId="33945F80" w14:textId="77777777" w:rsidR="005C2AB3" w:rsidRPr="005060E0" w:rsidRDefault="005C2AB3"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10</w:t>
            </w:r>
          </w:p>
        </w:tc>
        <w:tc>
          <w:tcPr>
            <w:tcW w:w="567" w:type="dxa"/>
            <w:tcBorders>
              <w:top w:val="single" w:sz="4" w:space="0" w:color="606072"/>
              <w:left w:val="single" w:sz="4" w:space="0" w:color="606372" w:themeColor="text2"/>
              <w:bottom w:val="nil"/>
              <w:right w:val="single" w:sz="4" w:space="0" w:color="606072"/>
            </w:tcBorders>
            <w:tcMar>
              <w:left w:w="28" w:type="dxa"/>
              <w:right w:w="28" w:type="dxa"/>
            </w:tcMar>
            <w:vAlign w:val="center"/>
          </w:tcPr>
          <w:p w14:paraId="5E2077A2" w14:textId="77777777" w:rsidR="005C2AB3" w:rsidRPr="005060E0" w:rsidRDefault="005C2AB3"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51" w:type="dxa"/>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1E9A5C4B" w14:textId="60813F0D" w:rsidR="005C2AB3" w:rsidRPr="005060E0" w:rsidRDefault="00876F3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0" w:type="dxa"/>
            <w:tcBorders>
              <w:top w:val="single" w:sz="4" w:space="0" w:color="606072"/>
              <w:left w:val="dotted" w:sz="4" w:space="0" w:color="606072"/>
              <w:bottom w:val="dotted" w:sz="4" w:space="0" w:color="606072"/>
              <w:right w:val="dotted" w:sz="4" w:space="0" w:color="606072"/>
            </w:tcBorders>
            <w:tcMar>
              <w:left w:w="28" w:type="dxa"/>
              <w:right w:w="28" w:type="dxa"/>
            </w:tcMar>
            <w:vAlign w:val="center"/>
          </w:tcPr>
          <w:p w14:paraId="22D365F1" w14:textId="16C8EE99"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1"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22FA86F9" w14:textId="0FCC7BB3"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0018CFAF" w14:textId="7BB830A4"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0" w:type="dxa"/>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52E41C27" w14:textId="7A8B8328"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1" w:type="dxa"/>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1418EB20" w14:textId="35914FCD"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Pr>
                <w:rFonts w:cs="Arial"/>
                <w:i/>
                <w:sz w:val="15"/>
                <w:szCs w:val="15"/>
              </w:rPr>
              <w:t>–</w:t>
            </w:r>
          </w:p>
        </w:tc>
        <w:tc>
          <w:tcPr>
            <w:tcW w:w="850" w:type="dxa"/>
            <w:tcBorders>
              <w:top w:val="single" w:sz="4" w:space="0" w:color="606072"/>
              <w:left w:val="dotted" w:sz="4" w:space="0" w:color="606072"/>
              <w:bottom w:val="dotted" w:sz="4" w:space="0" w:color="606072"/>
              <w:right w:val="dotted" w:sz="4" w:space="0" w:color="606072"/>
            </w:tcBorders>
            <w:vAlign w:val="center"/>
          </w:tcPr>
          <w:p w14:paraId="1B00DB68" w14:textId="3A3671E6"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0AEDE1C7" w14:textId="33959BDC"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62FB3D39" w14:textId="5FA3D70E"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8" w:type="dxa"/>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5B689ACF" w14:textId="2041D3BE"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r>
      <w:tr w:rsidR="007F77AB" w:rsidRPr="005060E0" w14:paraId="340BC290" w14:textId="77777777" w:rsidTr="00790F21">
        <w:trPr>
          <w:trHeight w:hRule="exact" w:val="255"/>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618F4271" w14:textId="77777777" w:rsidR="005C2AB3" w:rsidRPr="005060E0" w:rsidRDefault="005C2AB3" w:rsidP="007A3B2D">
            <w:pPr>
              <w:widowControl w:val="0"/>
              <w:spacing w:after="0" w:line="240" w:lineRule="auto"/>
              <w:jc w:val="center"/>
              <w:rPr>
                <w:rFonts w:cs="Arial"/>
                <w:sz w:val="16"/>
                <w:szCs w:val="16"/>
              </w:rPr>
            </w:pPr>
          </w:p>
        </w:tc>
        <w:tc>
          <w:tcPr>
            <w:tcW w:w="850" w:type="dxa"/>
            <w:tcBorders>
              <w:top w:val="dotted" w:sz="4" w:space="0" w:color="606072"/>
              <w:left w:val="dotted" w:sz="4" w:space="0" w:color="606372" w:themeColor="text2"/>
              <w:bottom w:val="dotted" w:sz="4" w:space="0" w:color="606072"/>
              <w:right w:val="single" w:sz="4" w:space="0" w:color="606372" w:themeColor="text2"/>
            </w:tcBorders>
            <w:shd w:val="clear" w:color="auto" w:fill="DEDFE3" w:themeFill="text2" w:themeFillTint="33"/>
            <w:tcMar>
              <w:left w:w="28" w:type="dxa"/>
              <w:right w:w="28" w:type="dxa"/>
            </w:tcMar>
            <w:vAlign w:val="center"/>
          </w:tcPr>
          <w:p w14:paraId="4FF4D339" w14:textId="77777777" w:rsidR="005C2AB3" w:rsidRPr="005060E0" w:rsidRDefault="005C2AB3"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19</w:t>
            </w:r>
          </w:p>
        </w:tc>
        <w:tc>
          <w:tcPr>
            <w:tcW w:w="567" w:type="dxa"/>
            <w:tcBorders>
              <w:top w:val="nil"/>
              <w:left w:val="single" w:sz="4" w:space="0" w:color="606372" w:themeColor="text2"/>
              <w:bottom w:val="nil"/>
              <w:right w:val="single" w:sz="4" w:space="0" w:color="606072"/>
            </w:tcBorders>
            <w:tcMar>
              <w:left w:w="28" w:type="dxa"/>
              <w:right w:w="28" w:type="dxa"/>
            </w:tcMar>
            <w:vAlign w:val="center"/>
          </w:tcPr>
          <w:p w14:paraId="7E581A4E" w14:textId="77777777" w:rsidR="005C2AB3" w:rsidRPr="005060E0" w:rsidRDefault="005C2AB3"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51" w:type="dxa"/>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14F6120F" w14:textId="7229239B" w:rsidR="005C2AB3" w:rsidRPr="005060E0" w:rsidRDefault="00954940"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850" w:type="dxa"/>
            <w:tcBorders>
              <w:top w:val="dotted" w:sz="4" w:space="0" w:color="606072"/>
              <w:left w:val="dotted" w:sz="4" w:space="0" w:color="606072"/>
              <w:bottom w:val="dotted" w:sz="4" w:space="0" w:color="606072"/>
              <w:right w:val="dotted" w:sz="4" w:space="0" w:color="606072"/>
            </w:tcBorders>
            <w:tcMar>
              <w:left w:w="28" w:type="dxa"/>
              <w:right w:w="28" w:type="dxa"/>
            </w:tcMar>
            <w:vAlign w:val="center"/>
          </w:tcPr>
          <w:p w14:paraId="3F1F7655" w14:textId="72DB84DC" w:rsidR="005C2AB3" w:rsidRPr="005060E0" w:rsidRDefault="00954940"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851"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350B6D27" w14:textId="04DFA1EE" w:rsidR="005C2AB3" w:rsidRPr="005060E0" w:rsidRDefault="00954940"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12673595" w14:textId="35DD9C8B" w:rsidR="005C2AB3" w:rsidRPr="005060E0" w:rsidRDefault="00954940"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850" w:type="dxa"/>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1C7F4263" w14:textId="3DCBEFA7" w:rsidR="005C2AB3" w:rsidRPr="005060E0" w:rsidRDefault="00954940"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851" w:type="dxa"/>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59229EB7" w14:textId="7BB47F68" w:rsidR="005C2AB3" w:rsidRPr="005060E0" w:rsidRDefault="00954940"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Pr>
                <w:rFonts w:cs="Arial"/>
                <w:i/>
                <w:sz w:val="15"/>
                <w:szCs w:val="15"/>
              </w:rPr>
              <w:t>–</w:t>
            </w:r>
          </w:p>
        </w:tc>
        <w:tc>
          <w:tcPr>
            <w:tcW w:w="850" w:type="dxa"/>
            <w:tcBorders>
              <w:top w:val="dotted" w:sz="4" w:space="0" w:color="606072"/>
              <w:left w:val="dotted" w:sz="4" w:space="0" w:color="606072"/>
              <w:bottom w:val="dotted" w:sz="4" w:space="0" w:color="606072"/>
              <w:right w:val="dotted" w:sz="4" w:space="0" w:color="606072"/>
            </w:tcBorders>
            <w:vAlign w:val="center"/>
          </w:tcPr>
          <w:p w14:paraId="202FA8A6" w14:textId="53956B18" w:rsidR="005C2AB3" w:rsidRPr="005060E0" w:rsidRDefault="00954940"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5F65BDCC" w14:textId="253559AF" w:rsidR="005C2AB3" w:rsidRPr="005060E0" w:rsidRDefault="00954940"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5D2F1E9D" w14:textId="44C9E6EA" w:rsidR="005C2AB3" w:rsidRPr="005060E0" w:rsidRDefault="00954940"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8" w:type="dxa"/>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73B64F43" w14:textId="431814D7" w:rsidR="005C2AB3" w:rsidRPr="005060E0" w:rsidRDefault="00954940" w:rsidP="007A3B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r>
      <w:tr w:rsidR="007F77AB" w:rsidRPr="005060E0" w14:paraId="6835EEBF" w14:textId="77777777" w:rsidTr="005D5AFF">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4233E6A7" w14:textId="77777777" w:rsidR="005C2AB3" w:rsidRPr="005060E0" w:rsidRDefault="005C2AB3" w:rsidP="007A3B2D">
            <w:pPr>
              <w:widowControl w:val="0"/>
              <w:spacing w:after="0" w:line="240" w:lineRule="auto"/>
              <w:jc w:val="center"/>
              <w:rPr>
                <w:rFonts w:cs="Arial"/>
                <w:sz w:val="16"/>
                <w:szCs w:val="16"/>
              </w:rPr>
            </w:pPr>
          </w:p>
        </w:tc>
        <w:tc>
          <w:tcPr>
            <w:tcW w:w="850" w:type="dxa"/>
            <w:tcBorders>
              <w:top w:val="dotted" w:sz="4" w:space="0" w:color="606072"/>
              <w:left w:val="dotted" w:sz="4" w:space="0" w:color="606372" w:themeColor="text2"/>
              <w:bottom w:val="single" w:sz="4" w:space="0" w:color="606072"/>
              <w:right w:val="single" w:sz="4" w:space="0" w:color="606372" w:themeColor="text2"/>
            </w:tcBorders>
            <w:shd w:val="clear" w:color="auto" w:fill="D5E5FF"/>
            <w:tcMar>
              <w:left w:w="28" w:type="dxa"/>
              <w:right w:w="28" w:type="dxa"/>
            </w:tcMar>
            <w:vAlign w:val="center"/>
          </w:tcPr>
          <w:p w14:paraId="5C24746D" w14:textId="77777777" w:rsidR="005C2AB3" w:rsidRPr="005060E0" w:rsidRDefault="005C2AB3"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30</w:t>
            </w:r>
          </w:p>
        </w:tc>
        <w:tc>
          <w:tcPr>
            <w:tcW w:w="567" w:type="dxa"/>
            <w:tcBorders>
              <w:top w:val="nil"/>
              <w:left w:val="single" w:sz="4" w:space="0" w:color="606372" w:themeColor="text2"/>
              <w:bottom w:val="single" w:sz="4" w:space="0" w:color="606072"/>
              <w:right w:val="single" w:sz="4" w:space="0" w:color="606072"/>
            </w:tcBorders>
            <w:tcMar>
              <w:left w:w="28" w:type="dxa"/>
              <w:right w:w="28" w:type="dxa"/>
            </w:tcMar>
            <w:vAlign w:val="center"/>
          </w:tcPr>
          <w:p w14:paraId="7D9358AE" w14:textId="77777777" w:rsidR="005C2AB3" w:rsidRPr="005060E0" w:rsidRDefault="005C2AB3"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51" w:type="dxa"/>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18BDF84F" w14:textId="0D34C5E8"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0"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4AEBB428" w14:textId="56B2637C"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1"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4F6B4AFB" w14:textId="40E0F4FA"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622860F7" w14:textId="02170B58"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0" w:type="dxa"/>
            <w:tcBorders>
              <w:top w:val="dotted" w:sz="4" w:space="0" w:color="606072"/>
              <w:left w:val="dotted" w:sz="4" w:space="0" w:color="606072"/>
              <w:bottom w:val="single" w:sz="4" w:space="0" w:color="606072"/>
              <w:right w:val="single" w:sz="4" w:space="0" w:color="606072"/>
            </w:tcBorders>
            <w:shd w:val="clear" w:color="auto" w:fill="D5E5FF"/>
            <w:tcMar>
              <w:left w:w="28" w:type="dxa"/>
              <w:right w:w="28" w:type="dxa"/>
            </w:tcMar>
            <w:vAlign w:val="center"/>
          </w:tcPr>
          <w:p w14:paraId="421CBF25" w14:textId="244C052C"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1" w:type="dxa"/>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63DDB8FE" w14:textId="2BD9C78E"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Pr>
                <w:rFonts w:cs="Arial"/>
                <w:i/>
                <w:sz w:val="15"/>
                <w:szCs w:val="15"/>
              </w:rPr>
              <w:t>–</w:t>
            </w:r>
          </w:p>
        </w:tc>
        <w:tc>
          <w:tcPr>
            <w:tcW w:w="850"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4C0EDE36" w14:textId="321893E6"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716F93B5" w14:textId="2492B57E"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60827BA4" w14:textId="38591D18"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8" w:type="dxa"/>
            <w:tcBorders>
              <w:top w:val="dotted" w:sz="4" w:space="0" w:color="606072"/>
              <w:left w:val="dotted" w:sz="4" w:space="0" w:color="606072"/>
              <w:bottom w:val="single" w:sz="4" w:space="0" w:color="606072"/>
              <w:right w:val="single" w:sz="4" w:space="0" w:color="606072"/>
            </w:tcBorders>
            <w:shd w:val="clear" w:color="auto" w:fill="D5E5FF"/>
            <w:tcMar>
              <w:left w:w="28" w:type="dxa"/>
              <w:right w:w="28" w:type="dxa"/>
            </w:tcMar>
            <w:vAlign w:val="center"/>
          </w:tcPr>
          <w:p w14:paraId="08CE2A35" w14:textId="0B65BA44" w:rsidR="005C2AB3" w:rsidRPr="005060E0" w:rsidRDefault="00954940" w:rsidP="007A3B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r>
    </w:tbl>
    <w:p w14:paraId="7814F7C4" w14:textId="77777777" w:rsidR="005C2AB3" w:rsidRPr="005060E0" w:rsidRDefault="005C2AB3" w:rsidP="00CB3A58">
      <w:pPr>
        <w:pStyle w:val="ListParagraph"/>
        <w:numPr>
          <w:ilvl w:val="0"/>
          <w:numId w:val="50"/>
        </w:numPr>
        <w:ind w:left="2127"/>
        <w:rPr>
          <w:rFonts w:cs="Arial"/>
          <w:sz w:val="16"/>
          <w:szCs w:val="16"/>
        </w:rPr>
      </w:pPr>
      <w:r w:rsidRPr="005060E0">
        <w:rPr>
          <w:rFonts w:cs="Arial"/>
          <w:sz w:val="16"/>
          <w:szCs w:val="16"/>
        </w:rPr>
        <w:t>Rounded to nearest integer.</w:t>
      </w:r>
    </w:p>
    <w:p w14:paraId="6644EED9" w14:textId="48DEC0C8" w:rsidR="005C2AB3" w:rsidRPr="005060E0" w:rsidRDefault="005C2AB3" w:rsidP="00954940">
      <w:pPr>
        <w:pStyle w:val="PBTablecaption"/>
        <w:spacing w:before="600"/>
        <w:rPr>
          <w:rFonts w:cs="Arial"/>
        </w:rPr>
      </w:pPr>
      <w:bookmarkStart w:id="175" w:name="_Ref507507376"/>
      <w:r w:rsidRPr="005060E0">
        <w:rPr>
          <w:rFonts w:cs="Arial"/>
        </w:rPr>
        <w:t xml:space="preserve">Table </w:t>
      </w:r>
      <w:r w:rsidRPr="005060E0">
        <w:rPr>
          <w:rFonts w:cs="Arial"/>
        </w:rPr>
        <w:fldChar w:fldCharType="begin"/>
      </w:r>
      <w:r w:rsidRPr="005060E0">
        <w:rPr>
          <w:rFonts w:cs="Arial"/>
        </w:rPr>
        <w:instrText xml:space="preserve"> STYLEREF 1 \s </w:instrText>
      </w:r>
      <w:r w:rsidRPr="005060E0">
        <w:rPr>
          <w:rFonts w:cs="Arial"/>
        </w:rPr>
        <w:fldChar w:fldCharType="separate"/>
      </w:r>
      <w:r w:rsidR="00F2067C">
        <w:rPr>
          <w:rFonts w:cs="Arial"/>
          <w:noProof/>
        </w:rPr>
        <w:t>7</w:t>
      </w:r>
      <w:r w:rsidRPr="005060E0">
        <w:rPr>
          <w:rFonts w:cs="Arial"/>
          <w:noProof/>
        </w:rPr>
        <w:fldChar w:fldCharType="end"/>
      </w:r>
      <w:r w:rsidRPr="005060E0">
        <w:rPr>
          <w:rFonts w:cs="Arial"/>
        </w:rPr>
        <w:noBreakHyphen/>
      </w:r>
      <w:r w:rsidRPr="005060E0">
        <w:rPr>
          <w:rFonts w:cs="Arial"/>
        </w:rPr>
        <w:fldChar w:fldCharType="begin"/>
      </w:r>
      <w:r w:rsidRPr="005060E0">
        <w:rPr>
          <w:rFonts w:cs="Arial"/>
        </w:rPr>
        <w:instrText xml:space="preserve"> SEQ Table \* ARABIC \s 1 </w:instrText>
      </w:r>
      <w:r w:rsidRPr="005060E0">
        <w:rPr>
          <w:rFonts w:cs="Arial"/>
        </w:rPr>
        <w:fldChar w:fldCharType="separate"/>
      </w:r>
      <w:r w:rsidR="00F2067C">
        <w:rPr>
          <w:rFonts w:cs="Arial"/>
          <w:noProof/>
        </w:rPr>
        <w:t>10</w:t>
      </w:r>
      <w:r w:rsidRPr="005060E0">
        <w:rPr>
          <w:rFonts w:cs="Arial"/>
          <w:noProof/>
        </w:rPr>
        <w:fldChar w:fldCharType="end"/>
      </w:r>
      <w:bookmarkEnd w:id="175"/>
      <w:r w:rsidRPr="005060E0">
        <w:rPr>
          <w:rFonts w:cs="Arial"/>
        </w:rPr>
        <w:t>: Projected</w:t>
      </w:r>
      <w:r w:rsidR="00CE5917" w:rsidRPr="005060E0">
        <w:rPr>
          <w:rFonts w:eastAsia="Arial" w:cs="Arial"/>
          <w:iCs/>
        </w:rPr>
        <w:t xml:space="preserve"> exceedances of current and proposed </w:t>
      </w:r>
      <w:r w:rsidRPr="005060E0">
        <w:rPr>
          <w:rFonts w:cs="Arial"/>
        </w:rPr>
        <w:t>NO</w:t>
      </w:r>
      <w:r w:rsidRPr="005060E0">
        <w:rPr>
          <w:rFonts w:cs="Arial"/>
          <w:vertAlign w:val="subscript"/>
        </w:rPr>
        <w:t>2</w:t>
      </w:r>
      <w:r w:rsidRPr="005060E0">
        <w:rPr>
          <w:rFonts w:cs="Arial"/>
        </w:rPr>
        <w:t xml:space="preserve"> standards (Abatement Package scenario, VIC)</w:t>
      </w:r>
    </w:p>
    <w:tbl>
      <w:tblPr>
        <w:tblStyle w:val="ListTable3-Accent12"/>
        <w:tblW w:w="6876" w:type="dxa"/>
        <w:jc w:val="center"/>
        <w:tblLayout w:type="fixed"/>
        <w:tblLook w:val="04A0" w:firstRow="1" w:lastRow="0" w:firstColumn="1" w:lastColumn="0" w:noHBand="0" w:noVBand="1"/>
      </w:tblPr>
      <w:tblGrid>
        <w:gridCol w:w="851"/>
        <w:gridCol w:w="977"/>
        <w:gridCol w:w="616"/>
        <w:gridCol w:w="631"/>
        <w:gridCol w:w="631"/>
        <w:gridCol w:w="632"/>
        <w:gridCol w:w="12"/>
        <w:gridCol w:w="621"/>
        <w:gridCol w:w="632"/>
        <w:gridCol w:w="632"/>
        <w:gridCol w:w="633"/>
        <w:gridCol w:w="8"/>
      </w:tblGrid>
      <w:tr w:rsidR="005C2AB3" w:rsidRPr="005060E0" w14:paraId="27995CBA" w14:textId="77777777" w:rsidTr="007A3B2D">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100" w:firstRow="0" w:lastRow="0" w:firstColumn="1" w:lastColumn="0" w:oddVBand="0" w:evenVBand="0" w:oddHBand="0" w:evenHBand="0" w:firstRowFirstColumn="1" w:firstRowLastColumn="0" w:lastRowFirstColumn="0" w:lastRowLastColumn="0"/>
            <w:tcW w:w="851" w:type="dxa"/>
            <w:vMerge w:val="restart"/>
            <w:tcBorders>
              <w:top w:val="single" w:sz="4" w:space="0" w:color="606072"/>
              <w:left w:val="single" w:sz="4" w:space="0" w:color="606072"/>
              <w:bottom w:val="single" w:sz="4" w:space="0" w:color="606072"/>
              <w:right w:val="single" w:sz="4" w:space="0" w:color="606072"/>
            </w:tcBorders>
            <w:shd w:val="clear" w:color="auto" w:fill="606072"/>
            <w:vAlign w:val="center"/>
          </w:tcPr>
          <w:p w14:paraId="7D8BDB1D" w14:textId="77777777" w:rsidR="005C2AB3" w:rsidRPr="005060E0" w:rsidRDefault="005C2AB3" w:rsidP="007A3B2D">
            <w:pPr>
              <w:pStyle w:val="BodyText"/>
              <w:spacing w:after="0" w:line="240" w:lineRule="auto"/>
              <w:jc w:val="center"/>
              <w:rPr>
                <w:b w:val="0"/>
                <w:color w:val="FFFFFF" w:themeColor="background1"/>
                <w:sz w:val="16"/>
                <w:szCs w:val="16"/>
              </w:rPr>
            </w:pPr>
            <w:r w:rsidRPr="005060E0">
              <w:rPr>
                <w:b w:val="0"/>
                <w:color w:val="FFFFFF" w:themeColor="background1"/>
                <w:sz w:val="16"/>
                <w:szCs w:val="16"/>
              </w:rPr>
              <w:t>Period</w:t>
            </w:r>
          </w:p>
        </w:tc>
        <w:tc>
          <w:tcPr>
            <w:tcW w:w="977" w:type="dxa"/>
            <w:vMerge w:val="restart"/>
            <w:tcBorders>
              <w:top w:val="single" w:sz="4" w:space="0" w:color="606072"/>
              <w:left w:val="single" w:sz="4" w:space="0" w:color="606072"/>
              <w:bottom w:val="single" w:sz="4" w:space="0" w:color="606072"/>
              <w:right w:val="single" w:sz="4" w:space="0" w:color="606072"/>
            </w:tcBorders>
            <w:shd w:val="clear" w:color="auto" w:fill="606072"/>
            <w:vAlign w:val="center"/>
          </w:tcPr>
          <w:p w14:paraId="7961D108" w14:textId="77777777" w:rsidR="005C2AB3" w:rsidRPr="005060E0" w:rsidRDefault="005C2AB3" w:rsidP="007A3B2D">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r w:rsidRPr="005060E0">
              <w:rPr>
                <w:b w:val="0"/>
                <w:color w:val="FFFFFF" w:themeColor="background1"/>
                <w:sz w:val="16"/>
                <w:szCs w:val="16"/>
              </w:rPr>
              <w:t>Standard (ppb)</w:t>
            </w:r>
          </w:p>
        </w:tc>
        <w:tc>
          <w:tcPr>
            <w:tcW w:w="2522" w:type="dxa"/>
            <w:gridSpan w:val="5"/>
            <w:tcBorders>
              <w:top w:val="single" w:sz="4" w:space="0" w:color="606072"/>
              <w:left w:val="single" w:sz="4" w:space="0" w:color="606072"/>
              <w:bottom w:val="single" w:sz="4" w:space="0" w:color="606072"/>
              <w:right w:val="single" w:sz="4" w:space="0" w:color="606072"/>
            </w:tcBorders>
            <w:shd w:val="clear" w:color="auto" w:fill="606072"/>
            <w:vAlign w:val="center"/>
          </w:tcPr>
          <w:p w14:paraId="389D1685" w14:textId="77777777" w:rsidR="005C2AB3" w:rsidRPr="005060E0" w:rsidRDefault="005C2AB3" w:rsidP="007A3B2D">
            <w:pPr>
              <w:pStyle w:val="BodyText"/>
              <w:spacing w:after="0" w:line="240" w:lineRule="auto"/>
              <w:ind w:left="-92"/>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r w:rsidRPr="005060E0">
              <w:rPr>
                <w:b w:val="0"/>
                <w:color w:val="FFFFFF" w:themeColor="background1"/>
                <w:sz w:val="16"/>
                <w:szCs w:val="16"/>
              </w:rPr>
              <w:t xml:space="preserve">   VIC: Port Phillip Region</w:t>
            </w:r>
          </w:p>
        </w:tc>
        <w:tc>
          <w:tcPr>
            <w:tcW w:w="2526" w:type="dxa"/>
            <w:gridSpan w:val="5"/>
            <w:tcBorders>
              <w:top w:val="single" w:sz="4" w:space="0" w:color="606072"/>
              <w:left w:val="single" w:sz="4" w:space="0" w:color="606072"/>
              <w:bottom w:val="single" w:sz="4" w:space="0" w:color="606072"/>
              <w:right w:val="single" w:sz="4" w:space="0" w:color="606072"/>
            </w:tcBorders>
            <w:shd w:val="clear" w:color="auto" w:fill="606072"/>
            <w:vAlign w:val="center"/>
          </w:tcPr>
          <w:p w14:paraId="7D75B478" w14:textId="77777777" w:rsidR="005C2AB3" w:rsidRPr="005060E0" w:rsidRDefault="005C2AB3" w:rsidP="007A3B2D">
            <w:pPr>
              <w:pStyle w:val="BodyText"/>
              <w:spacing w:after="0" w:line="240" w:lineRule="auto"/>
              <w:ind w:left="-61"/>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r w:rsidRPr="005060E0">
              <w:rPr>
                <w:b w:val="0"/>
                <w:color w:val="FFFFFF" w:themeColor="background1"/>
                <w:sz w:val="16"/>
                <w:szCs w:val="16"/>
              </w:rPr>
              <w:t xml:space="preserve"> VIC: Latrobe Valley</w:t>
            </w:r>
          </w:p>
        </w:tc>
      </w:tr>
      <w:tr w:rsidR="00BF7BF2" w:rsidRPr="005060E0" w14:paraId="10E07287" w14:textId="77777777" w:rsidTr="007A3B2D">
        <w:tblPrEx>
          <w:tblBorders>
            <w:top w:val="single" w:sz="2" w:space="0" w:color="0076C0" w:themeColor="accent1"/>
            <w:left w:val="single" w:sz="2" w:space="0" w:color="0076C0" w:themeColor="accent1"/>
            <w:bottom w:val="single" w:sz="2" w:space="0" w:color="0076C0" w:themeColor="accent1"/>
            <w:right w:val="single" w:sz="2" w:space="0" w:color="0076C0" w:themeColor="accent1"/>
          </w:tblBorders>
          <w:tblCellMar>
            <w:left w:w="41" w:type="dxa"/>
            <w:right w:w="41" w:type="dxa"/>
          </w:tblCellMar>
        </w:tblPrEx>
        <w:trPr>
          <w:gridAfter w:val="1"/>
          <w:cnfStyle w:val="100000000000" w:firstRow="1" w:lastRow="0" w:firstColumn="0" w:lastColumn="0" w:oddVBand="0" w:evenVBand="0" w:oddHBand="0" w:evenHBand="0" w:firstRowFirstColumn="0" w:firstRowLastColumn="0" w:lastRowFirstColumn="0" w:lastRowLastColumn="0"/>
          <w:wAfter w:w="8" w:type="dxa"/>
          <w:trHeight w:hRule="exact" w:val="284"/>
          <w:tblHeader/>
          <w:jc w:val="center"/>
        </w:trPr>
        <w:tc>
          <w:tcPr>
            <w:cnfStyle w:val="001000000100" w:firstRow="0" w:lastRow="0" w:firstColumn="1" w:lastColumn="0" w:oddVBand="0" w:evenVBand="0" w:oddHBand="0" w:evenHBand="0" w:firstRowFirstColumn="1" w:firstRowLastColumn="0" w:lastRowFirstColumn="0" w:lastRowLastColumn="0"/>
            <w:tcW w:w="851" w:type="dxa"/>
            <w:vMerge/>
            <w:tcBorders>
              <w:top w:val="single" w:sz="4" w:space="0" w:color="606072"/>
              <w:left w:val="single" w:sz="4" w:space="0" w:color="606072"/>
              <w:bottom w:val="single" w:sz="4" w:space="0" w:color="606072"/>
              <w:right w:val="single" w:sz="4" w:space="0" w:color="606072"/>
            </w:tcBorders>
            <w:shd w:val="clear" w:color="auto" w:fill="606072"/>
            <w:vAlign w:val="center"/>
          </w:tcPr>
          <w:p w14:paraId="41870C3C" w14:textId="77777777" w:rsidR="005C2AB3" w:rsidRPr="005060E0" w:rsidRDefault="005C2AB3" w:rsidP="007A3B2D">
            <w:pPr>
              <w:pStyle w:val="BodyText"/>
              <w:spacing w:after="0" w:line="240" w:lineRule="auto"/>
              <w:rPr>
                <w:b w:val="0"/>
                <w:color w:val="FFFFFF" w:themeColor="background1"/>
                <w:sz w:val="16"/>
                <w:szCs w:val="16"/>
              </w:rPr>
            </w:pPr>
          </w:p>
        </w:tc>
        <w:tc>
          <w:tcPr>
            <w:tcW w:w="977" w:type="dxa"/>
            <w:vMerge/>
            <w:tcBorders>
              <w:top w:val="single" w:sz="4" w:space="0" w:color="606072"/>
              <w:left w:val="single" w:sz="4" w:space="0" w:color="606072"/>
              <w:bottom w:val="single" w:sz="4" w:space="0" w:color="606072"/>
              <w:right w:val="single" w:sz="4" w:space="0" w:color="606072"/>
            </w:tcBorders>
            <w:shd w:val="clear" w:color="auto" w:fill="606072"/>
            <w:vAlign w:val="center"/>
          </w:tcPr>
          <w:p w14:paraId="74ED2A44" w14:textId="77777777" w:rsidR="005C2AB3" w:rsidRPr="005060E0" w:rsidRDefault="005C2AB3" w:rsidP="007A3B2D">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p>
        </w:tc>
        <w:tc>
          <w:tcPr>
            <w:tcW w:w="616"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497B760D" w14:textId="77777777" w:rsidR="005C2AB3" w:rsidRPr="005060E0" w:rsidRDefault="005C2AB3" w:rsidP="007A3B2D">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r w:rsidRPr="005060E0">
              <w:rPr>
                <w:b w:val="0"/>
                <w:color w:val="FFFFFF" w:themeColor="background1"/>
                <w:sz w:val="16"/>
                <w:szCs w:val="16"/>
              </w:rPr>
              <w:t>2016</w:t>
            </w:r>
          </w:p>
        </w:tc>
        <w:tc>
          <w:tcPr>
            <w:tcW w:w="631"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206CBA99" w14:textId="77777777" w:rsidR="005C2AB3" w:rsidRPr="005060E0" w:rsidRDefault="005C2AB3" w:rsidP="007A3B2D">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r w:rsidRPr="005060E0">
              <w:rPr>
                <w:b w:val="0"/>
                <w:color w:val="FFFFFF" w:themeColor="background1"/>
                <w:sz w:val="16"/>
                <w:szCs w:val="16"/>
              </w:rPr>
              <w:t>2021</w:t>
            </w:r>
          </w:p>
        </w:tc>
        <w:tc>
          <w:tcPr>
            <w:tcW w:w="631"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063F4C50" w14:textId="77777777" w:rsidR="005C2AB3" w:rsidRPr="005060E0" w:rsidRDefault="005C2AB3" w:rsidP="007A3B2D">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r w:rsidRPr="005060E0">
              <w:rPr>
                <w:b w:val="0"/>
                <w:color w:val="FFFFFF" w:themeColor="background1"/>
                <w:sz w:val="16"/>
                <w:szCs w:val="16"/>
              </w:rPr>
              <w:t>2031</w:t>
            </w:r>
          </w:p>
        </w:tc>
        <w:tc>
          <w:tcPr>
            <w:tcW w:w="632"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455F4C8A" w14:textId="77777777" w:rsidR="005C2AB3" w:rsidRPr="005060E0" w:rsidRDefault="005C2AB3" w:rsidP="007A3B2D">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r w:rsidRPr="005060E0">
              <w:rPr>
                <w:b w:val="0"/>
                <w:color w:val="FFFFFF" w:themeColor="background1"/>
                <w:sz w:val="16"/>
                <w:szCs w:val="16"/>
              </w:rPr>
              <w:t>2040</w:t>
            </w:r>
          </w:p>
        </w:tc>
        <w:tc>
          <w:tcPr>
            <w:tcW w:w="633" w:type="dxa"/>
            <w:gridSpan w:val="2"/>
            <w:tcBorders>
              <w:top w:val="single" w:sz="4" w:space="0" w:color="606072"/>
              <w:left w:val="single" w:sz="4" w:space="0" w:color="606072"/>
              <w:bottom w:val="single" w:sz="4" w:space="0" w:color="606072"/>
              <w:right w:val="single" w:sz="4" w:space="0" w:color="606072"/>
            </w:tcBorders>
            <w:shd w:val="clear" w:color="auto" w:fill="606072"/>
            <w:vAlign w:val="center"/>
          </w:tcPr>
          <w:p w14:paraId="74081BCD" w14:textId="77777777" w:rsidR="005C2AB3" w:rsidRPr="005060E0" w:rsidRDefault="005C2AB3" w:rsidP="007A3B2D">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r w:rsidRPr="005060E0">
              <w:rPr>
                <w:b w:val="0"/>
                <w:color w:val="FFFFFF" w:themeColor="background1"/>
                <w:sz w:val="16"/>
                <w:szCs w:val="16"/>
              </w:rPr>
              <w:t>2016</w:t>
            </w:r>
          </w:p>
        </w:tc>
        <w:tc>
          <w:tcPr>
            <w:tcW w:w="632"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761F8739" w14:textId="77777777" w:rsidR="005C2AB3" w:rsidRPr="005060E0" w:rsidRDefault="005C2AB3" w:rsidP="007A3B2D">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r w:rsidRPr="005060E0">
              <w:rPr>
                <w:b w:val="0"/>
                <w:color w:val="FFFFFF" w:themeColor="background1"/>
                <w:sz w:val="16"/>
                <w:szCs w:val="16"/>
              </w:rPr>
              <w:t>2021</w:t>
            </w:r>
          </w:p>
        </w:tc>
        <w:tc>
          <w:tcPr>
            <w:tcW w:w="632"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32938A5F" w14:textId="77777777" w:rsidR="005C2AB3" w:rsidRPr="005060E0" w:rsidRDefault="005C2AB3" w:rsidP="007A3B2D">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r w:rsidRPr="005060E0">
              <w:rPr>
                <w:b w:val="0"/>
                <w:color w:val="FFFFFF" w:themeColor="background1"/>
                <w:sz w:val="16"/>
                <w:szCs w:val="16"/>
              </w:rPr>
              <w:t>2031</w:t>
            </w:r>
          </w:p>
        </w:tc>
        <w:tc>
          <w:tcPr>
            <w:tcW w:w="633"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6130314E" w14:textId="77777777" w:rsidR="005C2AB3" w:rsidRPr="005060E0" w:rsidRDefault="005C2AB3" w:rsidP="007A3B2D">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r w:rsidRPr="005060E0">
              <w:rPr>
                <w:b w:val="0"/>
                <w:color w:val="FFFFFF" w:themeColor="background1"/>
                <w:sz w:val="16"/>
                <w:szCs w:val="16"/>
              </w:rPr>
              <w:t>2040</w:t>
            </w:r>
          </w:p>
        </w:tc>
      </w:tr>
      <w:tr w:rsidR="004D2712" w:rsidRPr="005060E0" w14:paraId="51AB99AB" w14:textId="77777777" w:rsidTr="004D2712">
        <w:trPr>
          <w:gridAfter w:val="1"/>
          <w:cnfStyle w:val="000000100000" w:firstRow="0" w:lastRow="0" w:firstColumn="0" w:lastColumn="0" w:oddVBand="0" w:evenVBand="0" w:oddHBand="1" w:evenHBand="0" w:firstRowFirstColumn="0" w:firstRowLastColumn="0" w:lastRowFirstColumn="0" w:lastRowLastColumn="0"/>
          <w:wAfter w:w="8" w:type="dxa"/>
          <w:trHeight w:hRule="exact" w:val="255"/>
          <w:jc w:val="center"/>
        </w:trPr>
        <w:tc>
          <w:tcPr>
            <w:cnfStyle w:val="001000000000" w:firstRow="0" w:lastRow="0" w:firstColumn="1" w:lastColumn="0" w:oddVBand="0" w:evenVBand="0" w:oddHBand="0" w:evenHBand="0" w:firstRowFirstColumn="0" w:firstRowLastColumn="0" w:lastRowFirstColumn="0" w:lastRowLastColumn="0"/>
            <w:tcW w:w="6868" w:type="dxa"/>
            <w:gridSpan w:val="11"/>
            <w:tcBorders>
              <w:top w:val="single" w:sz="4" w:space="0" w:color="606072"/>
              <w:left w:val="single" w:sz="4" w:space="0" w:color="606072"/>
              <w:bottom w:val="single" w:sz="4" w:space="0" w:color="606072"/>
              <w:right w:val="single" w:sz="4" w:space="0" w:color="606072"/>
            </w:tcBorders>
            <w:shd w:val="clear" w:color="auto" w:fill="BFBFBF" w:themeFill="background1" w:themeFillShade="BF"/>
            <w:vAlign w:val="center"/>
          </w:tcPr>
          <w:p w14:paraId="2DD14E0A" w14:textId="2F444E3D" w:rsidR="004D2712" w:rsidRPr="005060E0" w:rsidRDefault="004D2712" w:rsidP="004D2712">
            <w:pPr>
              <w:pStyle w:val="BodyText"/>
              <w:spacing w:after="0" w:line="240" w:lineRule="auto"/>
              <w:rPr>
                <w:sz w:val="16"/>
                <w:szCs w:val="16"/>
              </w:rPr>
            </w:pPr>
            <w:r w:rsidRPr="005060E0">
              <w:rPr>
                <w:rFonts w:cs="Arial"/>
                <w:b w:val="0"/>
                <w:sz w:val="15"/>
                <w:szCs w:val="15"/>
              </w:rPr>
              <w:t>Total number of unique exceedance days</w:t>
            </w:r>
          </w:p>
        </w:tc>
      </w:tr>
      <w:tr w:rsidR="00BF7BF2" w:rsidRPr="005060E0" w14:paraId="041F24A9" w14:textId="77777777" w:rsidTr="00790F21">
        <w:trPr>
          <w:gridAfter w:val="1"/>
          <w:wAfter w:w="8" w:type="dxa"/>
          <w:trHeight w:hRule="exact" w:val="255"/>
          <w:jc w:val="center"/>
        </w:trPr>
        <w:tc>
          <w:tcPr>
            <w:cnfStyle w:val="001000000000" w:firstRow="0" w:lastRow="0" w:firstColumn="1" w:lastColumn="0" w:oddVBand="0" w:evenVBand="0" w:oddHBand="0" w:evenHBand="0" w:firstRowFirstColumn="0" w:firstRowLastColumn="0" w:lastRowFirstColumn="0" w:lastRowLastColumn="0"/>
            <w:tcW w:w="851" w:type="dxa"/>
            <w:vMerge w:val="restart"/>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0D965BD2" w14:textId="77777777" w:rsidR="005C2AB3" w:rsidRPr="005060E0" w:rsidRDefault="005C2AB3" w:rsidP="007A3B2D">
            <w:pPr>
              <w:pStyle w:val="BodyText"/>
              <w:spacing w:after="0" w:line="240" w:lineRule="auto"/>
              <w:jc w:val="center"/>
              <w:rPr>
                <w:b w:val="0"/>
                <w:sz w:val="16"/>
                <w:szCs w:val="16"/>
              </w:rPr>
            </w:pPr>
            <w:r w:rsidRPr="005060E0">
              <w:rPr>
                <w:b w:val="0"/>
                <w:sz w:val="16"/>
                <w:szCs w:val="16"/>
              </w:rPr>
              <w:t>1-hour</w:t>
            </w:r>
          </w:p>
        </w:tc>
        <w:tc>
          <w:tcPr>
            <w:tcW w:w="977" w:type="dxa"/>
            <w:tcBorders>
              <w:top w:val="single" w:sz="4" w:space="0" w:color="606072"/>
              <w:left w:val="dotted" w:sz="4" w:space="0" w:color="606372" w:themeColor="text2"/>
              <w:bottom w:val="dotted" w:sz="4" w:space="0" w:color="606072"/>
              <w:right w:val="single" w:sz="4" w:space="0" w:color="606372" w:themeColor="text2"/>
            </w:tcBorders>
            <w:shd w:val="clear" w:color="auto" w:fill="DEDFE3" w:themeFill="text2" w:themeFillTint="33"/>
            <w:vAlign w:val="center"/>
          </w:tcPr>
          <w:p w14:paraId="5C4D324C" w14:textId="77777777" w:rsidR="005C2AB3" w:rsidRPr="005060E0" w:rsidRDefault="005C2AB3"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5060E0">
              <w:rPr>
                <w:sz w:val="16"/>
                <w:szCs w:val="16"/>
              </w:rPr>
              <w:t>40</w:t>
            </w:r>
          </w:p>
        </w:tc>
        <w:tc>
          <w:tcPr>
            <w:tcW w:w="616" w:type="dxa"/>
            <w:tcBorders>
              <w:top w:val="single" w:sz="4" w:space="0" w:color="606072"/>
              <w:left w:val="single" w:sz="4" w:space="0" w:color="606372" w:themeColor="text2"/>
              <w:bottom w:val="dotted" w:sz="4" w:space="0" w:color="606072"/>
              <w:right w:val="dotted" w:sz="4" w:space="0" w:color="606072"/>
            </w:tcBorders>
            <w:shd w:val="clear" w:color="auto" w:fill="auto"/>
            <w:vAlign w:val="center"/>
          </w:tcPr>
          <w:p w14:paraId="188F717E" w14:textId="2973AB25"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31" w:type="dxa"/>
            <w:tcBorders>
              <w:top w:val="single" w:sz="4" w:space="0" w:color="606072"/>
              <w:left w:val="dotted" w:sz="4" w:space="0" w:color="606072"/>
              <w:bottom w:val="dotted" w:sz="4" w:space="0" w:color="606072"/>
              <w:right w:val="dotted" w:sz="4" w:space="0" w:color="606072"/>
            </w:tcBorders>
            <w:shd w:val="clear" w:color="auto" w:fill="auto"/>
            <w:vAlign w:val="center"/>
          </w:tcPr>
          <w:p w14:paraId="5201A71E" w14:textId="313956D0"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31" w:type="dxa"/>
            <w:tcBorders>
              <w:top w:val="single" w:sz="4" w:space="0" w:color="606072"/>
              <w:left w:val="dotted" w:sz="4" w:space="0" w:color="606072"/>
              <w:bottom w:val="dotted" w:sz="4" w:space="0" w:color="606072"/>
              <w:right w:val="dotted" w:sz="4" w:space="0" w:color="606072"/>
            </w:tcBorders>
            <w:shd w:val="clear" w:color="auto" w:fill="auto"/>
            <w:vAlign w:val="center"/>
          </w:tcPr>
          <w:p w14:paraId="24751A85" w14:textId="2624260F"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32" w:type="dxa"/>
            <w:tcBorders>
              <w:top w:val="single" w:sz="4" w:space="0" w:color="606072"/>
              <w:left w:val="dotted" w:sz="4" w:space="0" w:color="606072"/>
              <w:bottom w:val="dotted" w:sz="4" w:space="0" w:color="606072"/>
              <w:right w:val="single" w:sz="4" w:space="0" w:color="606072"/>
            </w:tcBorders>
            <w:shd w:val="clear" w:color="auto" w:fill="auto"/>
            <w:vAlign w:val="center"/>
          </w:tcPr>
          <w:p w14:paraId="3B871404" w14:textId="2763EE75"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33" w:type="dxa"/>
            <w:gridSpan w:val="2"/>
            <w:tcBorders>
              <w:top w:val="single" w:sz="4" w:space="0" w:color="606072"/>
              <w:left w:val="single" w:sz="4" w:space="0" w:color="606072"/>
              <w:bottom w:val="dotted" w:sz="4" w:space="0" w:color="606072"/>
              <w:right w:val="dotted" w:sz="4" w:space="0" w:color="606072"/>
            </w:tcBorders>
            <w:shd w:val="clear" w:color="auto" w:fill="auto"/>
            <w:vAlign w:val="center"/>
          </w:tcPr>
          <w:p w14:paraId="4817C408" w14:textId="3A0465DF"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52C833EF" w14:textId="7E860FF8"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657D272C" w14:textId="700A7C8B"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33" w:type="dxa"/>
            <w:tcBorders>
              <w:top w:val="single" w:sz="4" w:space="0" w:color="606072"/>
              <w:left w:val="dotted" w:sz="4" w:space="0" w:color="606072"/>
              <w:bottom w:val="dotted" w:sz="4" w:space="0" w:color="606072"/>
              <w:right w:val="single" w:sz="4" w:space="0" w:color="606072"/>
            </w:tcBorders>
            <w:shd w:val="clear" w:color="auto" w:fill="auto"/>
            <w:vAlign w:val="center"/>
          </w:tcPr>
          <w:p w14:paraId="0D54AA8A" w14:textId="33C85AC3"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r>
      <w:tr w:rsidR="00BF7BF2" w:rsidRPr="005060E0" w14:paraId="7A945FBE" w14:textId="77777777" w:rsidTr="00790F21">
        <w:trPr>
          <w:gridAfter w:val="1"/>
          <w:cnfStyle w:val="000000100000" w:firstRow="0" w:lastRow="0" w:firstColumn="0" w:lastColumn="0" w:oddVBand="0" w:evenVBand="0" w:oddHBand="1" w:evenHBand="0" w:firstRowFirstColumn="0" w:firstRowLastColumn="0" w:lastRowFirstColumn="0" w:lastRowLastColumn="0"/>
          <w:wAfter w:w="8" w:type="dxa"/>
          <w:trHeight w:hRule="exact" w:val="255"/>
          <w:jc w:val="center"/>
        </w:trPr>
        <w:tc>
          <w:tcPr>
            <w:cnfStyle w:val="001000000000" w:firstRow="0" w:lastRow="0" w:firstColumn="1" w:lastColumn="0" w:oddVBand="0" w:evenVBand="0" w:oddHBand="0" w:evenHBand="0" w:firstRowFirstColumn="0" w:firstRowLastColumn="0" w:lastRowFirstColumn="0" w:lastRowLastColumn="0"/>
            <w:tcW w:w="851"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39CE2789" w14:textId="77777777" w:rsidR="005C2AB3" w:rsidRPr="005060E0" w:rsidRDefault="005C2AB3" w:rsidP="007A3B2D">
            <w:pPr>
              <w:pStyle w:val="BodyText"/>
              <w:spacing w:after="0" w:line="240" w:lineRule="auto"/>
              <w:jc w:val="center"/>
              <w:rPr>
                <w:b w:val="0"/>
                <w:sz w:val="16"/>
                <w:szCs w:val="16"/>
              </w:rPr>
            </w:pPr>
          </w:p>
        </w:tc>
        <w:tc>
          <w:tcPr>
            <w:tcW w:w="977" w:type="dxa"/>
            <w:tcBorders>
              <w:top w:val="dotted" w:sz="4" w:space="0" w:color="606072"/>
              <w:left w:val="dotted" w:sz="4" w:space="0" w:color="606372" w:themeColor="text2"/>
              <w:bottom w:val="dotted" w:sz="4" w:space="0" w:color="606072"/>
              <w:right w:val="single" w:sz="4" w:space="0" w:color="606372" w:themeColor="text2"/>
            </w:tcBorders>
            <w:shd w:val="clear" w:color="auto" w:fill="DEDFE3" w:themeFill="text2" w:themeFillTint="33"/>
            <w:vAlign w:val="center"/>
          </w:tcPr>
          <w:p w14:paraId="34CF78D4" w14:textId="77777777" w:rsidR="005C2AB3" w:rsidRPr="005060E0" w:rsidRDefault="005C2AB3"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5060E0">
              <w:rPr>
                <w:sz w:val="16"/>
                <w:szCs w:val="16"/>
              </w:rPr>
              <w:t>80</w:t>
            </w:r>
          </w:p>
        </w:tc>
        <w:tc>
          <w:tcPr>
            <w:tcW w:w="616" w:type="dxa"/>
            <w:tcBorders>
              <w:top w:val="dotted" w:sz="4" w:space="0" w:color="606072"/>
              <w:left w:val="single" w:sz="4" w:space="0" w:color="606372" w:themeColor="text2"/>
              <w:bottom w:val="dotted" w:sz="4" w:space="0" w:color="606072"/>
              <w:right w:val="dotted" w:sz="4" w:space="0" w:color="606072"/>
            </w:tcBorders>
            <w:shd w:val="clear" w:color="auto" w:fill="auto"/>
            <w:vAlign w:val="center"/>
          </w:tcPr>
          <w:p w14:paraId="165B307D" w14:textId="6D979E84"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435FEC39" w14:textId="2D09D825"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51F6251E" w14:textId="734D77F7"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632" w:type="dxa"/>
            <w:tcBorders>
              <w:top w:val="dotted" w:sz="4" w:space="0" w:color="606072"/>
              <w:left w:val="dotted" w:sz="4" w:space="0" w:color="606072"/>
              <w:bottom w:val="dotted" w:sz="4" w:space="0" w:color="606072"/>
              <w:right w:val="single" w:sz="4" w:space="0" w:color="606072"/>
            </w:tcBorders>
            <w:shd w:val="clear" w:color="auto" w:fill="auto"/>
            <w:vAlign w:val="center"/>
          </w:tcPr>
          <w:p w14:paraId="6AFAC4A4" w14:textId="69DA2FD0"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633" w:type="dxa"/>
            <w:gridSpan w:val="2"/>
            <w:tcBorders>
              <w:top w:val="dotted" w:sz="4" w:space="0" w:color="606072"/>
              <w:left w:val="single" w:sz="4" w:space="0" w:color="606072"/>
              <w:bottom w:val="dotted" w:sz="4" w:space="0" w:color="606072"/>
              <w:right w:val="dotted" w:sz="4" w:space="0" w:color="606072"/>
            </w:tcBorders>
            <w:shd w:val="clear" w:color="auto" w:fill="auto"/>
            <w:vAlign w:val="center"/>
          </w:tcPr>
          <w:p w14:paraId="3156B221" w14:textId="45EDECAD"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65FC5ADA" w14:textId="5AD400D1"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1D36463F" w14:textId="6086E7C8"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633" w:type="dxa"/>
            <w:tcBorders>
              <w:top w:val="dotted" w:sz="4" w:space="0" w:color="606072"/>
              <w:left w:val="dotted" w:sz="4" w:space="0" w:color="606072"/>
              <w:bottom w:val="dotted" w:sz="4" w:space="0" w:color="606072"/>
              <w:right w:val="single" w:sz="4" w:space="0" w:color="606072"/>
            </w:tcBorders>
            <w:shd w:val="clear" w:color="auto" w:fill="auto"/>
            <w:vAlign w:val="center"/>
          </w:tcPr>
          <w:p w14:paraId="4631ABB0" w14:textId="1444554A"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r>
      <w:tr w:rsidR="00BF7BF2" w:rsidRPr="005060E0" w14:paraId="3BDE1F1E" w14:textId="77777777" w:rsidTr="00790F21">
        <w:trPr>
          <w:gridAfter w:val="1"/>
          <w:wAfter w:w="8" w:type="dxa"/>
          <w:trHeight w:hRule="exact" w:val="255"/>
          <w:jc w:val="center"/>
        </w:trPr>
        <w:tc>
          <w:tcPr>
            <w:cnfStyle w:val="001000000000" w:firstRow="0" w:lastRow="0" w:firstColumn="1" w:lastColumn="0" w:oddVBand="0" w:evenVBand="0" w:oddHBand="0" w:evenHBand="0" w:firstRowFirstColumn="0" w:firstRowLastColumn="0" w:lastRowFirstColumn="0" w:lastRowLastColumn="0"/>
            <w:tcW w:w="851"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2929EFF0" w14:textId="77777777" w:rsidR="005C2AB3" w:rsidRPr="005060E0" w:rsidRDefault="005C2AB3" w:rsidP="007A3B2D">
            <w:pPr>
              <w:pStyle w:val="BodyText"/>
              <w:spacing w:after="0" w:line="240" w:lineRule="auto"/>
              <w:jc w:val="center"/>
              <w:rPr>
                <w:b w:val="0"/>
                <w:sz w:val="16"/>
                <w:szCs w:val="16"/>
              </w:rPr>
            </w:pPr>
          </w:p>
        </w:tc>
        <w:tc>
          <w:tcPr>
            <w:tcW w:w="977" w:type="dxa"/>
            <w:tcBorders>
              <w:top w:val="dotted" w:sz="4" w:space="0" w:color="606072"/>
              <w:left w:val="dotted" w:sz="4" w:space="0" w:color="606372" w:themeColor="text2"/>
              <w:bottom w:val="dotted" w:sz="4" w:space="0" w:color="606072"/>
              <w:right w:val="single" w:sz="4" w:space="0" w:color="606372" w:themeColor="text2"/>
            </w:tcBorders>
            <w:shd w:val="clear" w:color="auto" w:fill="DEDFE3" w:themeFill="text2" w:themeFillTint="33"/>
            <w:vAlign w:val="center"/>
          </w:tcPr>
          <w:p w14:paraId="48E6A407" w14:textId="77777777" w:rsidR="005C2AB3" w:rsidRPr="005060E0" w:rsidRDefault="005C2AB3"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5060E0">
              <w:rPr>
                <w:sz w:val="16"/>
                <w:szCs w:val="16"/>
              </w:rPr>
              <w:t>97</w:t>
            </w:r>
          </w:p>
        </w:tc>
        <w:tc>
          <w:tcPr>
            <w:tcW w:w="616" w:type="dxa"/>
            <w:tcBorders>
              <w:top w:val="dotted" w:sz="4" w:space="0" w:color="606072"/>
              <w:left w:val="single" w:sz="4" w:space="0" w:color="606372" w:themeColor="text2"/>
              <w:bottom w:val="dotted" w:sz="4" w:space="0" w:color="606072"/>
              <w:right w:val="dotted" w:sz="4" w:space="0" w:color="606072"/>
            </w:tcBorders>
            <w:shd w:val="clear" w:color="auto" w:fill="auto"/>
            <w:vAlign w:val="center"/>
          </w:tcPr>
          <w:p w14:paraId="532F7237" w14:textId="43256E74"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5E3D815E" w14:textId="6060A6A5"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7898E7BC" w14:textId="6E35AEC1"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32" w:type="dxa"/>
            <w:tcBorders>
              <w:top w:val="dotted" w:sz="4" w:space="0" w:color="606072"/>
              <w:left w:val="dotted" w:sz="4" w:space="0" w:color="606072"/>
              <w:bottom w:val="dotted" w:sz="4" w:space="0" w:color="606072"/>
              <w:right w:val="single" w:sz="4" w:space="0" w:color="606072"/>
            </w:tcBorders>
            <w:shd w:val="clear" w:color="auto" w:fill="auto"/>
            <w:vAlign w:val="center"/>
          </w:tcPr>
          <w:p w14:paraId="1CFF096A" w14:textId="2B8A6B1C"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33" w:type="dxa"/>
            <w:gridSpan w:val="2"/>
            <w:tcBorders>
              <w:top w:val="dotted" w:sz="4" w:space="0" w:color="606072"/>
              <w:left w:val="single" w:sz="4" w:space="0" w:color="606072"/>
              <w:bottom w:val="dotted" w:sz="4" w:space="0" w:color="606072"/>
              <w:right w:val="dotted" w:sz="4" w:space="0" w:color="606072"/>
            </w:tcBorders>
            <w:shd w:val="clear" w:color="auto" w:fill="auto"/>
            <w:vAlign w:val="center"/>
          </w:tcPr>
          <w:p w14:paraId="7F18F38E" w14:textId="2A18ED47"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7B449CCC" w14:textId="33BE7971"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12403506" w14:textId="67872604"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33" w:type="dxa"/>
            <w:tcBorders>
              <w:top w:val="dotted" w:sz="4" w:space="0" w:color="606072"/>
              <w:left w:val="dotted" w:sz="4" w:space="0" w:color="606072"/>
              <w:bottom w:val="dotted" w:sz="4" w:space="0" w:color="606072"/>
              <w:right w:val="single" w:sz="4" w:space="0" w:color="606072"/>
            </w:tcBorders>
            <w:shd w:val="clear" w:color="auto" w:fill="auto"/>
            <w:vAlign w:val="center"/>
          </w:tcPr>
          <w:p w14:paraId="443EE4D9" w14:textId="5A9ED03E"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r>
      <w:tr w:rsidR="007F77AB" w:rsidRPr="005060E0" w14:paraId="1F494550" w14:textId="77777777" w:rsidTr="005D5AFF">
        <w:trPr>
          <w:gridAfter w:val="1"/>
          <w:cnfStyle w:val="000000100000" w:firstRow="0" w:lastRow="0" w:firstColumn="0" w:lastColumn="0" w:oddVBand="0" w:evenVBand="0" w:oddHBand="1" w:evenHBand="0" w:firstRowFirstColumn="0" w:firstRowLastColumn="0" w:lastRowFirstColumn="0" w:lastRowLastColumn="0"/>
          <w:wAfter w:w="8" w:type="dxa"/>
          <w:trHeight w:val="255"/>
          <w:jc w:val="center"/>
        </w:trPr>
        <w:tc>
          <w:tcPr>
            <w:cnfStyle w:val="001000000000" w:firstRow="0" w:lastRow="0" w:firstColumn="1" w:lastColumn="0" w:oddVBand="0" w:evenVBand="0" w:oddHBand="0" w:evenHBand="0" w:firstRowFirstColumn="0" w:firstRowLastColumn="0" w:lastRowFirstColumn="0" w:lastRowLastColumn="0"/>
            <w:tcW w:w="851"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535C83E9" w14:textId="77777777" w:rsidR="005C2AB3" w:rsidRPr="005060E0" w:rsidRDefault="005C2AB3" w:rsidP="007A3B2D">
            <w:pPr>
              <w:pStyle w:val="BodyText"/>
              <w:spacing w:after="0" w:line="240" w:lineRule="auto"/>
              <w:jc w:val="center"/>
              <w:rPr>
                <w:b w:val="0"/>
                <w:sz w:val="16"/>
                <w:szCs w:val="16"/>
              </w:rPr>
            </w:pPr>
          </w:p>
        </w:tc>
        <w:tc>
          <w:tcPr>
            <w:tcW w:w="977" w:type="dxa"/>
            <w:tcBorders>
              <w:top w:val="dotted" w:sz="4" w:space="0" w:color="606072"/>
              <w:left w:val="dotted" w:sz="4" w:space="0" w:color="606372" w:themeColor="text2"/>
              <w:bottom w:val="single" w:sz="4" w:space="0" w:color="606072"/>
              <w:right w:val="single" w:sz="4" w:space="0" w:color="606372" w:themeColor="text2"/>
            </w:tcBorders>
            <w:shd w:val="clear" w:color="auto" w:fill="D5E5FF"/>
            <w:vAlign w:val="center"/>
          </w:tcPr>
          <w:p w14:paraId="1F3D5C76" w14:textId="77777777" w:rsidR="005C2AB3" w:rsidRPr="005060E0" w:rsidRDefault="005C2AB3"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5060E0">
              <w:rPr>
                <w:sz w:val="16"/>
                <w:szCs w:val="16"/>
              </w:rPr>
              <w:t>120</w:t>
            </w:r>
          </w:p>
        </w:tc>
        <w:tc>
          <w:tcPr>
            <w:tcW w:w="616" w:type="dxa"/>
            <w:tcBorders>
              <w:top w:val="dotted" w:sz="4" w:space="0" w:color="606072"/>
              <w:left w:val="single" w:sz="4" w:space="0" w:color="606372" w:themeColor="text2"/>
              <w:bottom w:val="single" w:sz="4" w:space="0" w:color="606072"/>
              <w:right w:val="dotted" w:sz="4" w:space="0" w:color="606072"/>
            </w:tcBorders>
            <w:shd w:val="clear" w:color="auto" w:fill="D5E5FF"/>
            <w:vAlign w:val="center"/>
          </w:tcPr>
          <w:p w14:paraId="1010D40A" w14:textId="51BF2575"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631"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70A34DCF" w14:textId="6003696A"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631"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43ECF7A8" w14:textId="7A483B19"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632" w:type="dxa"/>
            <w:tcBorders>
              <w:top w:val="dotted" w:sz="4" w:space="0" w:color="606072"/>
              <w:left w:val="dotted" w:sz="4" w:space="0" w:color="606072"/>
              <w:bottom w:val="single" w:sz="4" w:space="0" w:color="606072"/>
              <w:right w:val="single" w:sz="4" w:space="0" w:color="606072"/>
            </w:tcBorders>
            <w:shd w:val="clear" w:color="auto" w:fill="D5E5FF"/>
            <w:vAlign w:val="center"/>
          </w:tcPr>
          <w:p w14:paraId="74E5D2CD" w14:textId="48E06BDA"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633" w:type="dxa"/>
            <w:gridSpan w:val="2"/>
            <w:tcBorders>
              <w:top w:val="dotted" w:sz="4" w:space="0" w:color="606072"/>
              <w:left w:val="single" w:sz="4" w:space="0" w:color="606072"/>
              <w:bottom w:val="single" w:sz="4" w:space="0" w:color="606072"/>
              <w:right w:val="dotted" w:sz="4" w:space="0" w:color="606072"/>
            </w:tcBorders>
            <w:shd w:val="clear" w:color="auto" w:fill="D5E5FF"/>
            <w:vAlign w:val="center"/>
          </w:tcPr>
          <w:p w14:paraId="2FD4FC75" w14:textId="77B6A861"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632"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18E5E342" w14:textId="39EC58FA"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632"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464C0AC8" w14:textId="1002192B"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633" w:type="dxa"/>
            <w:tcBorders>
              <w:top w:val="dotted" w:sz="4" w:space="0" w:color="606072"/>
              <w:left w:val="dotted" w:sz="4" w:space="0" w:color="606072"/>
              <w:bottom w:val="single" w:sz="4" w:space="0" w:color="606072"/>
              <w:right w:val="single" w:sz="4" w:space="0" w:color="606072"/>
            </w:tcBorders>
            <w:shd w:val="clear" w:color="auto" w:fill="D5E5FF"/>
            <w:vAlign w:val="center"/>
          </w:tcPr>
          <w:p w14:paraId="6E467026" w14:textId="112CD9C3"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r>
      <w:tr w:rsidR="004D2712" w:rsidRPr="005060E0" w14:paraId="04CFDAB6" w14:textId="77777777" w:rsidTr="004D2712">
        <w:trPr>
          <w:gridAfter w:val="1"/>
          <w:wAfter w:w="8" w:type="dxa"/>
          <w:trHeight w:hRule="exact" w:val="255"/>
          <w:jc w:val="center"/>
        </w:trPr>
        <w:tc>
          <w:tcPr>
            <w:cnfStyle w:val="001000000000" w:firstRow="0" w:lastRow="0" w:firstColumn="1" w:lastColumn="0" w:oddVBand="0" w:evenVBand="0" w:oddHBand="0" w:evenHBand="0" w:firstRowFirstColumn="0" w:firstRowLastColumn="0" w:lastRowFirstColumn="0" w:lastRowLastColumn="0"/>
            <w:tcW w:w="6868" w:type="dxa"/>
            <w:gridSpan w:val="11"/>
            <w:tcBorders>
              <w:top w:val="single" w:sz="4" w:space="0" w:color="606072"/>
              <w:left w:val="single" w:sz="4" w:space="0" w:color="606072"/>
              <w:bottom w:val="single" w:sz="4" w:space="0" w:color="606072"/>
              <w:right w:val="single" w:sz="4" w:space="0" w:color="606072"/>
            </w:tcBorders>
            <w:shd w:val="clear" w:color="auto" w:fill="BFBFBF" w:themeFill="background1" w:themeFillShade="BF"/>
            <w:vAlign w:val="center"/>
          </w:tcPr>
          <w:p w14:paraId="725D6A9C" w14:textId="3F8B15C4" w:rsidR="004D2712" w:rsidRPr="005060E0" w:rsidRDefault="004D2712" w:rsidP="004D2712">
            <w:pPr>
              <w:pStyle w:val="BodyText"/>
              <w:spacing w:after="0" w:line="240" w:lineRule="auto"/>
              <w:rPr>
                <w:sz w:val="16"/>
                <w:szCs w:val="16"/>
              </w:rPr>
            </w:pPr>
            <w:r w:rsidRPr="005060E0">
              <w:rPr>
                <w:rFonts w:eastAsia="Times New Roman" w:cs="Arial"/>
                <w:b w:val="0"/>
                <w:color w:val="000000"/>
                <w:sz w:val="15"/>
                <w:szCs w:val="15"/>
                <w:lang w:eastAsia="en-AU"/>
              </w:rPr>
              <w:t>Total number of monitoring stations exceeding standard</w:t>
            </w:r>
          </w:p>
        </w:tc>
      </w:tr>
      <w:tr w:rsidR="00BF7BF2" w:rsidRPr="005060E0" w14:paraId="63239B20" w14:textId="77777777" w:rsidTr="00790F21">
        <w:trPr>
          <w:gridAfter w:val="1"/>
          <w:cnfStyle w:val="000000100000" w:firstRow="0" w:lastRow="0" w:firstColumn="0" w:lastColumn="0" w:oddVBand="0" w:evenVBand="0" w:oddHBand="1" w:evenHBand="0" w:firstRowFirstColumn="0" w:firstRowLastColumn="0" w:lastRowFirstColumn="0" w:lastRowLastColumn="0"/>
          <w:wAfter w:w="8" w:type="dxa"/>
          <w:trHeight w:hRule="exact" w:val="255"/>
          <w:jc w:val="center"/>
        </w:trPr>
        <w:tc>
          <w:tcPr>
            <w:cnfStyle w:val="001000000000" w:firstRow="0" w:lastRow="0" w:firstColumn="1" w:lastColumn="0" w:oddVBand="0" w:evenVBand="0" w:oddHBand="0" w:evenHBand="0" w:firstRowFirstColumn="0" w:firstRowLastColumn="0" w:lastRowFirstColumn="0" w:lastRowLastColumn="0"/>
            <w:tcW w:w="851" w:type="dxa"/>
            <w:vMerge w:val="restart"/>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58F4C9EE" w14:textId="77777777" w:rsidR="005C2AB3" w:rsidRPr="005060E0" w:rsidRDefault="005C2AB3" w:rsidP="007A3B2D">
            <w:pPr>
              <w:pStyle w:val="BodyText"/>
              <w:spacing w:after="0" w:line="240" w:lineRule="auto"/>
              <w:jc w:val="center"/>
              <w:rPr>
                <w:b w:val="0"/>
                <w:sz w:val="16"/>
                <w:szCs w:val="16"/>
              </w:rPr>
            </w:pPr>
            <w:r w:rsidRPr="005060E0">
              <w:rPr>
                <w:b w:val="0"/>
                <w:sz w:val="16"/>
                <w:szCs w:val="16"/>
              </w:rPr>
              <w:t>Annual</w:t>
            </w:r>
          </w:p>
        </w:tc>
        <w:tc>
          <w:tcPr>
            <w:tcW w:w="977" w:type="dxa"/>
            <w:tcBorders>
              <w:top w:val="single" w:sz="4" w:space="0" w:color="606072"/>
              <w:left w:val="dotted" w:sz="4" w:space="0" w:color="606372" w:themeColor="text2"/>
              <w:bottom w:val="dotted" w:sz="4" w:space="0" w:color="606072"/>
              <w:right w:val="single" w:sz="4" w:space="0" w:color="606372" w:themeColor="text2"/>
            </w:tcBorders>
            <w:shd w:val="clear" w:color="auto" w:fill="DEDFE3" w:themeFill="text2" w:themeFillTint="33"/>
            <w:vAlign w:val="center"/>
          </w:tcPr>
          <w:p w14:paraId="41F38E52" w14:textId="77777777" w:rsidR="005C2AB3" w:rsidRPr="005060E0" w:rsidRDefault="005C2AB3"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5060E0">
              <w:rPr>
                <w:sz w:val="16"/>
                <w:szCs w:val="16"/>
              </w:rPr>
              <w:t>10</w:t>
            </w:r>
          </w:p>
        </w:tc>
        <w:tc>
          <w:tcPr>
            <w:tcW w:w="616" w:type="dxa"/>
            <w:tcBorders>
              <w:top w:val="single" w:sz="4" w:space="0" w:color="606072"/>
              <w:left w:val="single" w:sz="4" w:space="0" w:color="606372" w:themeColor="text2"/>
              <w:bottom w:val="dotted" w:sz="4" w:space="0" w:color="606072"/>
              <w:right w:val="dotted" w:sz="4" w:space="0" w:color="606072"/>
            </w:tcBorders>
            <w:shd w:val="clear" w:color="auto" w:fill="auto"/>
            <w:vAlign w:val="center"/>
          </w:tcPr>
          <w:p w14:paraId="37A7B7FB" w14:textId="3168365E"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631" w:type="dxa"/>
            <w:tcBorders>
              <w:top w:val="single" w:sz="4" w:space="0" w:color="606072"/>
              <w:left w:val="dotted" w:sz="4" w:space="0" w:color="606072"/>
              <w:bottom w:val="dotted" w:sz="4" w:space="0" w:color="606072"/>
              <w:right w:val="dotted" w:sz="4" w:space="0" w:color="606072"/>
            </w:tcBorders>
            <w:shd w:val="clear" w:color="auto" w:fill="auto"/>
            <w:vAlign w:val="center"/>
          </w:tcPr>
          <w:p w14:paraId="3849EA02" w14:textId="7576FEFD"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631" w:type="dxa"/>
            <w:tcBorders>
              <w:top w:val="single" w:sz="4" w:space="0" w:color="606072"/>
              <w:left w:val="dotted" w:sz="4" w:space="0" w:color="606072"/>
              <w:bottom w:val="dotted" w:sz="4" w:space="0" w:color="606072"/>
              <w:right w:val="dotted" w:sz="4" w:space="0" w:color="606072"/>
            </w:tcBorders>
            <w:shd w:val="clear" w:color="auto" w:fill="auto"/>
            <w:vAlign w:val="center"/>
          </w:tcPr>
          <w:p w14:paraId="06A30FB1" w14:textId="21804756"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632" w:type="dxa"/>
            <w:tcBorders>
              <w:top w:val="single" w:sz="4" w:space="0" w:color="606072"/>
              <w:left w:val="dotted" w:sz="4" w:space="0" w:color="606072"/>
              <w:bottom w:val="dotted" w:sz="4" w:space="0" w:color="606072"/>
              <w:right w:val="single" w:sz="4" w:space="0" w:color="606072"/>
            </w:tcBorders>
            <w:shd w:val="clear" w:color="auto" w:fill="auto"/>
            <w:vAlign w:val="center"/>
          </w:tcPr>
          <w:p w14:paraId="389DBF49" w14:textId="3EABF58C"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633" w:type="dxa"/>
            <w:gridSpan w:val="2"/>
            <w:tcBorders>
              <w:top w:val="single" w:sz="4" w:space="0" w:color="606072"/>
              <w:left w:val="single" w:sz="4" w:space="0" w:color="606072"/>
              <w:bottom w:val="dotted" w:sz="4" w:space="0" w:color="606072"/>
              <w:right w:val="dotted" w:sz="4" w:space="0" w:color="606072"/>
            </w:tcBorders>
            <w:shd w:val="clear" w:color="auto" w:fill="auto"/>
            <w:vAlign w:val="center"/>
          </w:tcPr>
          <w:p w14:paraId="16C02006" w14:textId="6CBA6922"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63994B1D" w14:textId="71D3689C"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0AE37593" w14:textId="68390D65"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633" w:type="dxa"/>
            <w:tcBorders>
              <w:top w:val="single" w:sz="4" w:space="0" w:color="606072"/>
              <w:left w:val="dotted" w:sz="4" w:space="0" w:color="606072"/>
              <w:bottom w:val="dotted" w:sz="4" w:space="0" w:color="606072"/>
              <w:right w:val="single" w:sz="4" w:space="0" w:color="606072"/>
            </w:tcBorders>
            <w:shd w:val="clear" w:color="auto" w:fill="auto"/>
            <w:vAlign w:val="center"/>
          </w:tcPr>
          <w:p w14:paraId="53223A4E" w14:textId="431D884F"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r>
      <w:tr w:rsidR="00BF7BF2" w:rsidRPr="005060E0" w14:paraId="2FA0FA6A" w14:textId="77777777" w:rsidTr="00790F21">
        <w:trPr>
          <w:gridAfter w:val="1"/>
          <w:wAfter w:w="8" w:type="dxa"/>
          <w:trHeight w:hRule="exact" w:val="255"/>
          <w:jc w:val="center"/>
        </w:trPr>
        <w:tc>
          <w:tcPr>
            <w:cnfStyle w:val="001000000000" w:firstRow="0" w:lastRow="0" w:firstColumn="1" w:lastColumn="0" w:oddVBand="0" w:evenVBand="0" w:oddHBand="0" w:evenHBand="0" w:firstRowFirstColumn="0" w:firstRowLastColumn="0" w:lastRowFirstColumn="0" w:lastRowLastColumn="0"/>
            <w:tcW w:w="851"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6802FDD4" w14:textId="77777777" w:rsidR="005C2AB3" w:rsidRPr="005060E0" w:rsidRDefault="005C2AB3" w:rsidP="007A3B2D">
            <w:pPr>
              <w:pStyle w:val="BodyText"/>
              <w:spacing w:after="0" w:line="240" w:lineRule="auto"/>
              <w:jc w:val="center"/>
              <w:rPr>
                <w:sz w:val="16"/>
                <w:szCs w:val="16"/>
              </w:rPr>
            </w:pPr>
          </w:p>
        </w:tc>
        <w:tc>
          <w:tcPr>
            <w:tcW w:w="977" w:type="dxa"/>
            <w:tcBorders>
              <w:top w:val="dotted" w:sz="4" w:space="0" w:color="606072"/>
              <w:left w:val="dotted" w:sz="4" w:space="0" w:color="606372" w:themeColor="text2"/>
              <w:bottom w:val="dotted" w:sz="4" w:space="0" w:color="606072"/>
              <w:right w:val="single" w:sz="4" w:space="0" w:color="606372" w:themeColor="text2"/>
            </w:tcBorders>
            <w:shd w:val="clear" w:color="auto" w:fill="DEDFE3" w:themeFill="text2" w:themeFillTint="33"/>
            <w:vAlign w:val="center"/>
          </w:tcPr>
          <w:p w14:paraId="55D09ABC" w14:textId="77777777" w:rsidR="005C2AB3" w:rsidRPr="005060E0" w:rsidRDefault="005C2AB3"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5060E0">
              <w:rPr>
                <w:sz w:val="16"/>
                <w:szCs w:val="16"/>
              </w:rPr>
              <w:t>19</w:t>
            </w:r>
          </w:p>
        </w:tc>
        <w:tc>
          <w:tcPr>
            <w:tcW w:w="616" w:type="dxa"/>
            <w:tcBorders>
              <w:top w:val="dotted" w:sz="4" w:space="0" w:color="606072"/>
              <w:left w:val="single" w:sz="4" w:space="0" w:color="606372" w:themeColor="text2"/>
              <w:bottom w:val="dotted" w:sz="4" w:space="0" w:color="606072"/>
              <w:right w:val="dotted" w:sz="4" w:space="0" w:color="606072"/>
            </w:tcBorders>
            <w:shd w:val="clear" w:color="auto" w:fill="auto"/>
            <w:vAlign w:val="center"/>
          </w:tcPr>
          <w:p w14:paraId="3ECD0DA4" w14:textId="160D6995"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5B912345" w14:textId="38F0FC9A"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6A02EDF9" w14:textId="6CFBC478"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32" w:type="dxa"/>
            <w:tcBorders>
              <w:top w:val="dotted" w:sz="4" w:space="0" w:color="606072"/>
              <w:left w:val="dotted" w:sz="4" w:space="0" w:color="606072"/>
              <w:bottom w:val="dotted" w:sz="4" w:space="0" w:color="606072"/>
              <w:right w:val="single" w:sz="4" w:space="0" w:color="606072"/>
            </w:tcBorders>
            <w:shd w:val="clear" w:color="auto" w:fill="auto"/>
            <w:vAlign w:val="center"/>
          </w:tcPr>
          <w:p w14:paraId="0D70567B" w14:textId="39801458"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33" w:type="dxa"/>
            <w:gridSpan w:val="2"/>
            <w:tcBorders>
              <w:top w:val="dotted" w:sz="4" w:space="0" w:color="606072"/>
              <w:left w:val="single" w:sz="4" w:space="0" w:color="606072"/>
              <w:bottom w:val="dotted" w:sz="4" w:space="0" w:color="606072"/>
              <w:right w:val="dotted" w:sz="4" w:space="0" w:color="606072"/>
            </w:tcBorders>
            <w:shd w:val="clear" w:color="auto" w:fill="auto"/>
            <w:vAlign w:val="center"/>
          </w:tcPr>
          <w:p w14:paraId="29B26B2D" w14:textId="6F59863E"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3CC6638E" w14:textId="3E00511B"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21E61FFF" w14:textId="485F7DFD"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33" w:type="dxa"/>
            <w:tcBorders>
              <w:top w:val="dotted" w:sz="4" w:space="0" w:color="606072"/>
              <w:left w:val="dotted" w:sz="4" w:space="0" w:color="606072"/>
              <w:bottom w:val="dotted" w:sz="4" w:space="0" w:color="606072"/>
              <w:right w:val="single" w:sz="4" w:space="0" w:color="606072"/>
            </w:tcBorders>
            <w:shd w:val="clear" w:color="auto" w:fill="auto"/>
            <w:vAlign w:val="center"/>
          </w:tcPr>
          <w:p w14:paraId="14663236" w14:textId="1C302384" w:rsidR="005C2AB3" w:rsidRPr="005060E0" w:rsidRDefault="00954940" w:rsidP="007A3B2D">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r>
      <w:tr w:rsidR="007F77AB" w:rsidRPr="005060E0" w14:paraId="527159A3" w14:textId="77777777" w:rsidTr="005D5AFF">
        <w:trPr>
          <w:gridAfter w:val="1"/>
          <w:cnfStyle w:val="000000100000" w:firstRow="0" w:lastRow="0" w:firstColumn="0" w:lastColumn="0" w:oddVBand="0" w:evenVBand="0" w:oddHBand="1" w:evenHBand="0" w:firstRowFirstColumn="0" w:firstRowLastColumn="0" w:lastRowFirstColumn="0" w:lastRowLastColumn="0"/>
          <w:wAfter w:w="8" w:type="dxa"/>
          <w:trHeight w:hRule="exact" w:val="255"/>
          <w:jc w:val="center"/>
        </w:trPr>
        <w:tc>
          <w:tcPr>
            <w:cnfStyle w:val="001000000000" w:firstRow="0" w:lastRow="0" w:firstColumn="1" w:lastColumn="0" w:oddVBand="0" w:evenVBand="0" w:oddHBand="0" w:evenHBand="0" w:firstRowFirstColumn="0" w:firstRowLastColumn="0" w:lastRowFirstColumn="0" w:lastRowLastColumn="0"/>
            <w:tcW w:w="851"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4DB38235" w14:textId="77777777" w:rsidR="005C2AB3" w:rsidRPr="005060E0" w:rsidRDefault="005C2AB3" w:rsidP="007A3B2D">
            <w:pPr>
              <w:pStyle w:val="BodyText"/>
              <w:spacing w:after="0" w:line="240" w:lineRule="auto"/>
              <w:jc w:val="center"/>
              <w:rPr>
                <w:sz w:val="16"/>
                <w:szCs w:val="16"/>
              </w:rPr>
            </w:pPr>
          </w:p>
        </w:tc>
        <w:tc>
          <w:tcPr>
            <w:tcW w:w="977" w:type="dxa"/>
            <w:tcBorders>
              <w:top w:val="dotted" w:sz="4" w:space="0" w:color="606072"/>
              <w:left w:val="dotted" w:sz="4" w:space="0" w:color="606372" w:themeColor="text2"/>
              <w:bottom w:val="single" w:sz="4" w:space="0" w:color="606072"/>
              <w:right w:val="single" w:sz="4" w:space="0" w:color="606372" w:themeColor="text2"/>
            </w:tcBorders>
            <w:shd w:val="clear" w:color="auto" w:fill="D5E5FF"/>
            <w:vAlign w:val="center"/>
          </w:tcPr>
          <w:p w14:paraId="7A9712F4" w14:textId="77777777" w:rsidR="005C2AB3" w:rsidRPr="005060E0" w:rsidRDefault="005C2AB3"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5060E0">
              <w:rPr>
                <w:sz w:val="16"/>
                <w:szCs w:val="16"/>
              </w:rPr>
              <w:t>30</w:t>
            </w:r>
          </w:p>
        </w:tc>
        <w:tc>
          <w:tcPr>
            <w:tcW w:w="616" w:type="dxa"/>
            <w:tcBorders>
              <w:top w:val="dotted" w:sz="4" w:space="0" w:color="606072"/>
              <w:left w:val="single" w:sz="4" w:space="0" w:color="606372" w:themeColor="text2"/>
              <w:bottom w:val="single" w:sz="4" w:space="0" w:color="606072"/>
              <w:right w:val="dotted" w:sz="4" w:space="0" w:color="606072"/>
            </w:tcBorders>
            <w:shd w:val="clear" w:color="auto" w:fill="D5E5FF"/>
            <w:vAlign w:val="center"/>
          </w:tcPr>
          <w:p w14:paraId="10BF0378" w14:textId="1543A44B"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631"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0AF4CA92" w14:textId="00A4681F"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631"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6C0BEA73" w14:textId="7DDC7EE6"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632" w:type="dxa"/>
            <w:tcBorders>
              <w:top w:val="dotted" w:sz="4" w:space="0" w:color="606072"/>
              <w:left w:val="dotted" w:sz="4" w:space="0" w:color="606072"/>
              <w:bottom w:val="single" w:sz="4" w:space="0" w:color="606072"/>
              <w:right w:val="single" w:sz="4" w:space="0" w:color="606072"/>
            </w:tcBorders>
            <w:shd w:val="clear" w:color="auto" w:fill="D5E5FF"/>
            <w:vAlign w:val="center"/>
          </w:tcPr>
          <w:p w14:paraId="202E2C73" w14:textId="22EC7C06"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633" w:type="dxa"/>
            <w:gridSpan w:val="2"/>
            <w:tcBorders>
              <w:top w:val="dotted" w:sz="4" w:space="0" w:color="606072"/>
              <w:left w:val="single" w:sz="4" w:space="0" w:color="606072"/>
              <w:bottom w:val="single" w:sz="4" w:space="0" w:color="606072"/>
              <w:right w:val="dotted" w:sz="4" w:space="0" w:color="606072"/>
            </w:tcBorders>
            <w:shd w:val="clear" w:color="auto" w:fill="D5E5FF"/>
            <w:vAlign w:val="center"/>
          </w:tcPr>
          <w:p w14:paraId="266BF632" w14:textId="7CFCF911"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632"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16D09B68" w14:textId="6D148B5D"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632"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5BE6A3F2" w14:textId="75BA6E4F"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633" w:type="dxa"/>
            <w:tcBorders>
              <w:top w:val="dotted" w:sz="4" w:space="0" w:color="606072"/>
              <w:left w:val="dotted" w:sz="4" w:space="0" w:color="606072"/>
              <w:bottom w:val="single" w:sz="4" w:space="0" w:color="606072"/>
              <w:right w:val="single" w:sz="4" w:space="0" w:color="606072"/>
            </w:tcBorders>
            <w:shd w:val="clear" w:color="auto" w:fill="D5E5FF"/>
            <w:vAlign w:val="center"/>
          </w:tcPr>
          <w:p w14:paraId="3A2C5979" w14:textId="4816A5A9" w:rsidR="005C2AB3" w:rsidRPr="005060E0" w:rsidRDefault="00954940" w:rsidP="007A3B2D">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r>
    </w:tbl>
    <w:p w14:paraId="10426206" w14:textId="000F2DE6" w:rsidR="00C521A0" w:rsidRPr="005060E0" w:rsidRDefault="00C521A0" w:rsidP="0016386C">
      <w:pPr>
        <w:rPr>
          <w:rFonts w:cs="Arial"/>
        </w:rPr>
        <w:sectPr w:rsidR="00C521A0" w:rsidRPr="005060E0" w:rsidSect="006228DD">
          <w:headerReference w:type="default" r:id="rId30"/>
          <w:footerReference w:type="default" r:id="rId31"/>
          <w:pgSz w:w="16838" w:h="11906" w:orient="landscape"/>
          <w:pgMar w:top="1560" w:right="1418" w:bottom="1560" w:left="1560" w:header="709" w:footer="0" w:gutter="0"/>
          <w:cols w:space="708"/>
          <w:docGrid w:linePitch="360"/>
        </w:sectPr>
      </w:pPr>
    </w:p>
    <w:p w14:paraId="2E8632B4" w14:textId="29C0F9A1" w:rsidR="008F2559" w:rsidRPr="005060E0" w:rsidRDefault="008F2559" w:rsidP="008F2559">
      <w:pPr>
        <w:pStyle w:val="ListBullet"/>
        <w:numPr>
          <w:ilvl w:val="0"/>
          <w:numId w:val="0"/>
        </w:numPr>
        <w:rPr>
          <w:rFonts w:cs="Arial"/>
        </w:rPr>
      </w:pPr>
      <w:r w:rsidRPr="005060E0">
        <w:rPr>
          <w:rFonts w:cs="Arial"/>
        </w:rPr>
        <w:t>The contours for ground-level concentrations (</w:t>
      </w:r>
      <w:r w:rsidR="00954940">
        <w:rPr>
          <w:rFonts w:cs="Arial"/>
        </w:rPr>
        <w:t xml:space="preserve">Appendix A, </w:t>
      </w:r>
      <w:r w:rsidRPr="005060E0">
        <w:rPr>
          <w:rFonts w:cs="Arial"/>
        </w:rPr>
        <w:t>Annexure F) show the area predicted to not meet the standard to be significantly reduced with the Abatement Package. The Abatement Package did have an influence on the airsheds.</w:t>
      </w:r>
    </w:p>
    <w:p w14:paraId="6D53E04E" w14:textId="77777777" w:rsidR="008F2559" w:rsidRPr="005060E0" w:rsidRDefault="008F2559" w:rsidP="008F2559">
      <w:pPr>
        <w:rPr>
          <w:rFonts w:cs="Arial"/>
        </w:rPr>
      </w:pPr>
      <w:r w:rsidRPr="005060E0">
        <w:rPr>
          <w:rFonts w:cs="Arial"/>
        </w:rPr>
        <w:t>For all airsheds covered by the modelling, and in the BAU scenario, there was compliance with the current annual mean standard of 30 ppb and the proposed standard of 19 ppb. Compliance continues into the future with the Abatement Package in place. In Sydney and Wollongong there were some historical exceedances of the proposed standard of 10 ppb, and in Sydney alone some limited exceedances were predicted for the future.</w:t>
      </w:r>
    </w:p>
    <w:p w14:paraId="45D10406" w14:textId="77777777" w:rsidR="008F2559" w:rsidRPr="005060E0" w:rsidRDefault="008F2559" w:rsidP="008F2559">
      <w:pPr>
        <w:rPr>
          <w:rFonts w:cs="Arial"/>
        </w:rPr>
      </w:pPr>
      <w:r w:rsidRPr="005060E0">
        <w:rPr>
          <w:rFonts w:cs="Arial"/>
        </w:rPr>
        <w:t>The comparison between the historical measurements and the future predictions indicated that the models were generally underestimating the numbers of exceedances for NO</w:t>
      </w:r>
      <w:r w:rsidRPr="005060E0">
        <w:rPr>
          <w:rFonts w:cs="Arial"/>
          <w:vertAlign w:val="subscript"/>
        </w:rPr>
        <w:t>2</w:t>
      </w:r>
      <w:r w:rsidRPr="005060E0">
        <w:rPr>
          <w:rFonts w:cs="Arial"/>
        </w:rPr>
        <w:t xml:space="preserve"> in Sydney and the Port Phillip Region.</w:t>
      </w:r>
    </w:p>
    <w:p w14:paraId="7E944566" w14:textId="77777777" w:rsidR="008F2559" w:rsidRPr="005060E0" w:rsidRDefault="008F2559" w:rsidP="008F2559">
      <w:pPr>
        <w:rPr>
          <w:rFonts w:cs="Arial"/>
        </w:rPr>
      </w:pPr>
      <w:r w:rsidRPr="005060E0">
        <w:rPr>
          <w:rFonts w:cs="Arial"/>
        </w:rPr>
        <w:t>As all NO</w:t>
      </w:r>
      <w:r w:rsidRPr="005060E0">
        <w:rPr>
          <w:rFonts w:cs="Arial"/>
          <w:vertAlign w:val="subscript"/>
        </w:rPr>
        <w:t>2</w:t>
      </w:r>
      <w:r w:rsidRPr="005060E0">
        <w:rPr>
          <w:rFonts w:cs="Arial"/>
        </w:rPr>
        <w:t xml:space="preserve"> standards were predicted to be met at all monitoring locations in Victoria, contour plots have not been provided for this pollutant.</w:t>
      </w:r>
    </w:p>
    <w:p w14:paraId="646FEF70" w14:textId="2C55AC78" w:rsidR="00577E1D" w:rsidRPr="005060E0" w:rsidRDefault="00577E1D" w:rsidP="0043533F">
      <w:pPr>
        <w:pStyle w:val="Heading2"/>
      </w:pPr>
      <w:bookmarkStart w:id="176" w:name="_Toc3278971"/>
      <w:r w:rsidRPr="005060E0">
        <w:t>Health risk assessment</w:t>
      </w:r>
      <w:bookmarkEnd w:id="176"/>
    </w:p>
    <w:p w14:paraId="671D162C" w14:textId="402B4E32" w:rsidR="00577E1D" w:rsidRPr="005060E0" w:rsidRDefault="00577E1D" w:rsidP="000B3B3D">
      <w:pPr>
        <w:pStyle w:val="Heading3"/>
      </w:pPr>
      <w:r w:rsidRPr="005060E0">
        <w:t>Health outcomes</w:t>
      </w:r>
      <w:r w:rsidR="005128BC" w:rsidRPr="005060E0">
        <w:t xml:space="preserve"> for Business-as-Usual</w:t>
      </w:r>
      <w:r w:rsidRPr="005060E0">
        <w:t xml:space="preserve"> and Abatement Package scenarios</w:t>
      </w:r>
    </w:p>
    <w:p w14:paraId="4013D5FA" w14:textId="77EC00C0" w:rsidR="004C3A74" w:rsidRPr="005060E0" w:rsidRDefault="000A2A88" w:rsidP="000A2A88">
      <w:r w:rsidRPr="005060E0">
        <w:t>The aggregated estimates for the number of historical and projected attri</w:t>
      </w:r>
      <w:r w:rsidR="00FC044E" w:rsidRPr="005060E0">
        <w:t>butable health outcomes due to N</w:t>
      </w:r>
      <w:r w:rsidRPr="005060E0">
        <w:t>O</w:t>
      </w:r>
      <w:r w:rsidRPr="005060E0">
        <w:rPr>
          <w:vertAlign w:val="subscript"/>
        </w:rPr>
        <w:t>2</w:t>
      </w:r>
      <w:r w:rsidRPr="005060E0">
        <w:t xml:space="preserve"> in the modelled airsheds (NSW and Victoria) and other airsheds are shown </w:t>
      </w:r>
      <w:r w:rsidRPr="005060E0">
        <w:rPr>
          <w:szCs w:val="20"/>
        </w:rPr>
        <w:t xml:space="preserve">in </w:t>
      </w:r>
      <w:r w:rsidR="00622534" w:rsidRPr="005060E0">
        <w:rPr>
          <w:szCs w:val="20"/>
        </w:rPr>
        <w:fldChar w:fldCharType="begin"/>
      </w:r>
      <w:r w:rsidR="00622534" w:rsidRPr="005060E0">
        <w:rPr>
          <w:szCs w:val="20"/>
        </w:rPr>
        <w:instrText xml:space="preserve"> REF _Ref514335909 \h </w:instrText>
      </w:r>
      <w:r w:rsidR="004C3A74" w:rsidRPr="005060E0">
        <w:rPr>
          <w:szCs w:val="20"/>
        </w:rPr>
        <w:instrText xml:space="preserve"> \* MERGEFORMAT </w:instrText>
      </w:r>
      <w:r w:rsidR="00622534" w:rsidRPr="005060E0">
        <w:rPr>
          <w:szCs w:val="20"/>
        </w:rPr>
      </w:r>
      <w:r w:rsidR="00622534" w:rsidRPr="005060E0">
        <w:rPr>
          <w:szCs w:val="20"/>
        </w:rPr>
        <w:fldChar w:fldCharType="separate"/>
      </w:r>
      <w:r w:rsidR="00F2067C" w:rsidRPr="00F2067C">
        <w:rPr>
          <w:rFonts w:cs="Arial"/>
          <w:szCs w:val="20"/>
        </w:rPr>
        <w:t xml:space="preserve">Table </w:t>
      </w:r>
      <w:r w:rsidR="00F2067C" w:rsidRPr="00F2067C">
        <w:rPr>
          <w:rFonts w:cs="Arial"/>
          <w:noProof/>
          <w:szCs w:val="20"/>
        </w:rPr>
        <w:t>7</w:t>
      </w:r>
      <w:r w:rsidR="00F2067C" w:rsidRPr="00F2067C">
        <w:rPr>
          <w:rFonts w:cs="Arial"/>
          <w:noProof/>
          <w:szCs w:val="20"/>
        </w:rPr>
        <w:noBreakHyphen/>
        <w:t>11</w:t>
      </w:r>
      <w:r w:rsidR="00622534" w:rsidRPr="005060E0">
        <w:rPr>
          <w:szCs w:val="20"/>
        </w:rPr>
        <w:fldChar w:fldCharType="end"/>
      </w:r>
      <w:r w:rsidR="00622534" w:rsidRPr="005060E0">
        <w:rPr>
          <w:szCs w:val="20"/>
        </w:rPr>
        <w:t xml:space="preserve">. </w:t>
      </w:r>
      <w:r w:rsidRPr="005060E0">
        <w:rPr>
          <w:szCs w:val="20"/>
        </w:rPr>
        <w:t>The</w:t>
      </w:r>
      <w:r w:rsidRPr="005060E0">
        <w:t xml:space="preserve"> projected outcomes are presented for both the BAU and Abatement Package scenarios, and the health outcomes avoided in the latter are also stated for NSW and Victoria. </w:t>
      </w:r>
      <w:r w:rsidR="008F2559" w:rsidRPr="005060E0">
        <w:t>As noted earlier, these outcomes are based on the Group 1 CRFs which include</w:t>
      </w:r>
      <w:r w:rsidR="0029644C" w:rsidRPr="005060E0">
        <w:t>d</w:t>
      </w:r>
      <w:r w:rsidR="008F2559" w:rsidRPr="005060E0">
        <w:t xml:space="preserve"> the </w:t>
      </w:r>
      <w:r w:rsidR="0029644C" w:rsidRPr="005060E0">
        <w:t>HRAPIE cut-off of 20 µg/m</w:t>
      </w:r>
      <w:r w:rsidR="0029644C" w:rsidRPr="005060E0">
        <w:rPr>
          <w:vertAlign w:val="superscript"/>
        </w:rPr>
        <w:t>3</w:t>
      </w:r>
      <w:r w:rsidR="0029644C" w:rsidRPr="005060E0">
        <w:t xml:space="preserve"> </w:t>
      </w:r>
      <w:r w:rsidR="008F2559" w:rsidRPr="005060E0">
        <w:t>for annual mean NO</w:t>
      </w:r>
      <w:r w:rsidR="008F2559" w:rsidRPr="005060E0">
        <w:rPr>
          <w:vertAlign w:val="subscript"/>
        </w:rPr>
        <w:t>2</w:t>
      </w:r>
      <w:r w:rsidR="008F2559" w:rsidRPr="005060E0">
        <w:t>.</w:t>
      </w:r>
      <w:r w:rsidR="0029644C" w:rsidRPr="005060E0">
        <w:t xml:space="preserve"> This meant that the health burden for long-term all-cause mortality was zero, because </w:t>
      </w:r>
      <w:r w:rsidR="0029644C" w:rsidRPr="005060E0">
        <w:rPr>
          <w:u w:val="single"/>
        </w:rPr>
        <w:t>average</w:t>
      </w:r>
      <w:r w:rsidR="0029644C" w:rsidRPr="005060E0">
        <w:t xml:space="preserve"> airshed NO</w:t>
      </w:r>
      <w:r w:rsidR="0029644C" w:rsidRPr="005060E0">
        <w:rPr>
          <w:vertAlign w:val="subscript"/>
        </w:rPr>
        <w:t>2</w:t>
      </w:r>
      <w:r w:rsidR="0029644C" w:rsidRPr="005060E0">
        <w:t xml:space="preserve"> concentrations were lower than the cut-off, even though concentrations at some monitoring stations (e.g. in Sydney) were above this value.</w:t>
      </w:r>
    </w:p>
    <w:p w14:paraId="00C89818" w14:textId="6548F93B" w:rsidR="008F2559" w:rsidRPr="005060E0" w:rsidRDefault="007A3B2D" w:rsidP="00FC044E">
      <w:pPr>
        <w:spacing w:after="360"/>
        <w:rPr>
          <w:lang w:eastAsia="en-AU"/>
        </w:rPr>
      </w:pPr>
      <w:r w:rsidRPr="005060E0">
        <w:rPr>
          <w:lang w:eastAsia="en-AU"/>
        </w:rPr>
        <w:t>In recent years (2010</w:t>
      </w:r>
      <w:r w:rsidR="00DF4D3A" w:rsidRPr="005060E0">
        <w:rPr>
          <w:lang w:eastAsia="en-AU"/>
        </w:rPr>
        <w:t>–20</w:t>
      </w:r>
      <w:r w:rsidRPr="005060E0">
        <w:rPr>
          <w:lang w:eastAsia="en-AU"/>
        </w:rPr>
        <w:t>14) levels of NO</w:t>
      </w:r>
      <w:r w:rsidRPr="005060E0">
        <w:rPr>
          <w:vertAlign w:val="subscript"/>
          <w:lang w:eastAsia="en-AU"/>
        </w:rPr>
        <w:t>2</w:t>
      </w:r>
      <w:r w:rsidRPr="005060E0">
        <w:rPr>
          <w:lang w:eastAsia="en-AU"/>
        </w:rPr>
        <w:t xml:space="preserve"> in Australian </w:t>
      </w:r>
      <w:r w:rsidR="00704BAC" w:rsidRPr="005060E0">
        <w:rPr>
          <w:lang w:eastAsia="en-AU"/>
        </w:rPr>
        <w:t xml:space="preserve">airsheds have had an </w:t>
      </w:r>
      <w:r w:rsidRPr="005060E0">
        <w:rPr>
          <w:lang w:eastAsia="en-AU"/>
        </w:rPr>
        <w:t>impact on public health, especially in the more urbanised airsheds of Sydney and Melbourne. In Sydney and Melbourne</w:t>
      </w:r>
      <w:r w:rsidR="003337E6" w:rsidRPr="005060E0">
        <w:rPr>
          <w:lang w:eastAsia="en-AU"/>
        </w:rPr>
        <w:t>,</w:t>
      </w:r>
      <w:r w:rsidRPr="005060E0">
        <w:rPr>
          <w:lang w:eastAsia="en-AU"/>
        </w:rPr>
        <w:t xml:space="preserve"> the health burden is projected to</w:t>
      </w:r>
      <w:r w:rsidR="00F51ED1" w:rsidRPr="005060E0">
        <w:rPr>
          <w:lang w:eastAsia="en-AU"/>
        </w:rPr>
        <w:t xml:space="preserve"> either</w:t>
      </w:r>
      <w:r w:rsidRPr="005060E0">
        <w:rPr>
          <w:lang w:eastAsia="en-AU"/>
        </w:rPr>
        <w:t xml:space="preserve"> increase in the future under the BAU </w:t>
      </w:r>
      <w:r w:rsidR="003337E6" w:rsidRPr="005060E0">
        <w:rPr>
          <w:lang w:eastAsia="en-AU"/>
        </w:rPr>
        <w:t>scenario or</w:t>
      </w:r>
      <w:r w:rsidR="00F51ED1" w:rsidRPr="005060E0">
        <w:rPr>
          <w:lang w:eastAsia="en-AU"/>
        </w:rPr>
        <w:t xml:space="preserve"> decrease between 2014 and </w:t>
      </w:r>
      <w:r w:rsidR="00584B53" w:rsidRPr="005060E0">
        <w:rPr>
          <w:lang w:eastAsia="en-AU"/>
        </w:rPr>
        <w:t>202</w:t>
      </w:r>
      <w:r w:rsidR="003337E6" w:rsidRPr="005060E0">
        <w:rPr>
          <w:lang w:eastAsia="en-AU"/>
        </w:rPr>
        <w:t>1</w:t>
      </w:r>
      <w:r w:rsidR="00584B53" w:rsidRPr="005060E0">
        <w:rPr>
          <w:lang w:eastAsia="en-AU"/>
        </w:rPr>
        <w:t xml:space="preserve"> but then return to levels similar to those in 2014 by 2040</w:t>
      </w:r>
      <w:r w:rsidRPr="005060E0">
        <w:rPr>
          <w:lang w:eastAsia="en-AU"/>
        </w:rPr>
        <w:t>. Although the Abatement Package scenario leads to some reductions in the incidence of the health outcomes, in some cases there is little improvement (and even some increases) relative to the 2010</w:t>
      </w:r>
      <w:r w:rsidR="00DF4D3A" w:rsidRPr="005060E0">
        <w:rPr>
          <w:lang w:eastAsia="en-AU"/>
        </w:rPr>
        <w:t>–20</w:t>
      </w:r>
      <w:r w:rsidRPr="005060E0">
        <w:rPr>
          <w:lang w:eastAsia="en-AU"/>
        </w:rPr>
        <w:t>14 average.</w:t>
      </w:r>
    </w:p>
    <w:p w14:paraId="73F0FF8B" w14:textId="77777777" w:rsidR="008F2559" w:rsidRPr="005060E0" w:rsidRDefault="008F2559">
      <w:pPr>
        <w:spacing w:after="160" w:line="259" w:lineRule="auto"/>
        <w:rPr>
          <w:lang w:eastAsia="en-AU"/>
        </w:rPr>
      </w:pPr>
      <w:r w:rsidRPr="005060E0">
        <w:rPr>
          <w:lang w:eastAsia="en-AU"/>
        </w:rPr>
        <w:br w:type="page"/>
      </w:r>
    </w:p>
    <w:p w14:paraId="2B547A8A" w14:textId="74905522" w:rsidR="000A2A88" w:rsidRPr="005060E0" w:rsidRDefault="000A2A88" w:rsidP="000A2A88">
      <w:pPr>
        <w:spacing w:after="120" w:line="240" w:lineRule="auto"/>
        <w:jc w:val="center"/>
        <w:rPr>
          <w:lang w:eastAsia="en-AU"/>
        </w:rPr>
      </w:pPr>
      <w:bookmarkStart w:id="177" w:name="_Ref514335909"/>
      <w:r w:rsidRPr="005060E0">
        <w:rPr>
          <w:rFonts w:cs="Arial"/>
          <w:sz w:val="18"/>
          <w:szCs w:val="18"/>
        </w:rPr>
        <w:t xml:space="preserve">Table </w:t>
      </w:r>
      <w:r w:rsidRPr="005060E0">
        <w:rPr>
          <w:rFonts w:cs="Arial"/>
          <w:sz w:val="18"/>
          <w:szCs w:val="18"/>
        </w:rPr>
        <w:fldChar w:fldCharType="begin"/>
      </w:r>
      <w:r w:rsidRPr="005060E0">
        <w:rPr>
          <w:rFonts w:cs="Arial"/>
          <w:sz w:val="18"/>
          <w:szCs w:val="18"/>
        </w:rPr>
        <w:instrText xml:space="preserve"> STYLEREF 1 \s </w:instrText>
      </w:r>
      <w:r w:rsidRPr="005060E0">
        <w:rPr>
          <w:rFonts w:cs="Arial"/>
          <w:sz w:val="18"/>
          <w:szCs w:val="18"/>
        </w:rPr>
        <w:fldChar w:fldCharType="separate"/>
      </w:r>
      <w:r w:rsidR="00F2067C">
        <w:rPr>
          <w:rFonts w:cs="Arial"/>
          <w:noProof/>
          <w:sz w:val="18"/>
          <w:szCs w:val="18"/>
        </w:rPr>
        <w:t>7</w:t>
      </w:r>
      <w:r w:rsidRPr="005060E0">
        <w:rPr>
          <w:rFonts w:cs="Arial"/>
          <w:noProof/>
          <w:sz w:val="18"/>
          <w:szCs w:val="18"/>
        </w:rPr>
        <w:fldChar w:fldCharType="end"/>
      </w:r>
      <w:r w:rsidRPr="005060E0">
        <w:rPr>
          <w:rFonts w:cs="Arial"/>
          <w:sz w:val="18"/>
          <w:szCs w:val="18"/>
        </w:rPr>
        <w:noBreakHyphen/>
      </w:r>
      <w:r w:rsidRPr="005060E0">
        <w:rPr>
          <w:rFonts w:cs="Arial"/>
          <w:sz w:val="18"/>
          <w:szCs w:val="18"/>
        </w:rPr>
        <w:fldChar w:fldCharType="begin"/>
      </w:r>
      <w:r w:rsidRPr="005060E0">
        <w:rPr>
          <w:rFonts w:cs="Arial"/>
          <w:sz w:val="18"/>
          <w:szCs w:val="18"/>
        </w:rPr>
        <w:instrText xml:space="preserve"> SEQ Table \* ARABIC \s 1 </w:instrText>
      </w:r>
      <w:r w:rsidRPr="005060E0">
        <w:rPr>
          <w:rFonts w:cs="Arial"/>
          <w:sz w:val="18"/>
          <w:szCs w:val="18"/>
        </w:rPr>
        <w:fldChar w:fldCharType="separate"/>
      </w:r>
      <w:r w:rsidR="00F2067C">
        <w:rPr>
          <w:rFonts w:cs="Arial"/>
          <w:noProof/>
          <w:sz w:val="18"/>
          <w:szCs w:val="18"/>
        </w:rPr>
        <w:t>11</w:t>
      </w:r>
      <w:r w:rsidRPr="005060E0">
        <w:rPr>
          <w:rFonts w:cs="Arial"/>
          <w:noProof/>
          <w:sz w:val="18"/>
          <w:szCs w:val="18"/>
        </w:rPr>
        <w:fldChar w:fldCharType="end"/>
      </w:r>
      <w:bookmarkEnd w:id="177"/>
      <w:r w:rsidRPr="005060E0">
        <w:rPr>
          <w:rStyle w:val="PBTablecaptionChar"/>
          <w:rFonts w:eastAsiaTheme="minorHAnsi"/>
        </w:rPr>
        <w:t>: Historical and projected health burden attributable to NO</w:t>
      </w:r>
      <w:r w:rsidRPr="005060E0">
        <w:rPr>
          <w:rStyle w:val="PBTablecaptionChar"/>
          <w:rFonts w:eastAsiaTheme="minorHAnsi"/>
          <w:vertAlign w:val="subscript"/>
        </w:rPr>
        <w:t>2</w:t>
      </w:r>
      <w:r w:rsidRPr="005060E0">
        <w:rPr>
          <w:rStyle w:val="PBTablecaptionChar"/>
          <w:rFonts w:eastAsiaTheme="minorHAnsi"/>
        </w:rPr>
        <w:t xml:space="preserve"> in Australian airsheds</w:t>
      </w:r>
    </w:p>
    <w:tbl>
      <w:tblPr>
        <w:tblW w:w="5000" w:type="pct"/>
        <w:tblCellMar>
          <w:left w:w="57" w:type="dxa"/>
          <w:right w:w="28" w:type="dxa"/>
        </w:tblCellMar>
        <w:tblLook w:val="04A0" w:firstRow="1" w:lastRow="0" w:firstColumn="1" w:lastColumn="0" w:noHBand="0" w:noVBand="1"/>
      </w:tblPr>
      <w:tblGrid>
        <w:gridCol w:w="1355"/>
        <w:gridCol w:w="909"/>
        <w:gridCol w:w="1893"/>
        <w:gridCol w:w="911"/>
        <w:gridCol w:w="911"/>
        <w:gridCol w:w="913"/>
        <w:gridCol w:w="911"/>
        <w:gridCol w:w="911"/>
        <w:gridCol w:w="915"/>
      </w:tblGrid>
      <w:tr w:rsidR="000A2A88" w:rsidRPr="005060E0" w14:paraId="6796B604" w14:textId="77777777" w:rsidTr="00584B53">
        <w:trPr>
          <w:trHeight w:val="283"/>
          <w:tblHeader/>
        </w:trPr>
        <w:tc>
          <w:tcPr>
            <w:tcW w:w="704" w:type="pct"/>
            <w:vMerge w:val="restart"/>
            <w:tcBorders>
              <w:top w:val="single" w:sz="4" w:space="0" w:color="606072"/>
              <w:left w:val="single" w:sz="4" w:space="0" w:color="606072"/>
              <w:bottom w:val="single" w:sz="4" w:space="0" w:color="606072"/>
              <w:right w:val="single" w:sz="4" w:space="0" w:color="606072"/>
            </w:tcBorders>
            <w:shd w:val="clear" w:color="000000" w:fill="606072"/>
            <w:vAlign w:val="center"/>
            <w:hideMark/>
          </w:tcPr>
          <w:p w14:paraId="62EDC870" w14:textId="77777777" w:rsidR="000A2A88" w:rsidRPr="005060E0" w:rsidRDefault="000A2A88" w:rsidP="007A3B2D">
            <w:pPr>
              <w:widowControl w:val="0"/>
              <w:spacing w:after="0" w:line="240" w:lineRule="auto"/>
              <w:jc w:val="center"/>
              <w:rPr>
                <w:rFonts w:eastAsia="Times New Roman"/>
                <w:color w:val="FFFFFF"/>
                <w:sz w:val="16"/>
                <w:szCs w:val="16"/>
                <w:lang w:eastAsia="en-AU"/>
              </w:rPr>
            </w:pPr>
            <w:r w:rsidRPr="005060E0">
              <w:rPr>
                <w:rFonts w:eastAsia="Times New Roman"/>
                <w:color w:val="FFFFFF"/>
                <w:sz w:val="16"/>
                <w:szCs w:val="16"/>
                <w:lang w:eastAsia="en-AU"/>
              </w:rPr>
              <w:t>Airshed</w:t>
            </w:r>
          </w:p>
        </w:tc>
        <w:tc>
          <w:tcPr>
            <w:tcW w:w="2875" w:type="pct"/>
            <w:gridSpan w:val="5"/>
            <w:tcBorders>
              <w:top w:val="nil"/>
              <w:left w:val="nil"/>
              <w:bottom w:val="single" w:sz="4" w:space="0" w:color="606072"/>
              <w:right w:val="nil"/>
            </w:tcBorders>
            <w:shd w:val="clear" w:color="000000" w:fill="606072"/>
            <w:vAlign w:val="center"/>
            <w:hideMark/>
          </w:tcPr>
          <w:p w14:paraId="572F5564" w14:textId="77777777" w:rsidR="000A2A88" w:rsidRPr="005060E0" w:rsidRDefault="000A2A88" w:rsidP="008F6014">
            <w:pPr>
              <w:widowControl w:val="0"/>
              <w:spacing w:after="0" w:line="240" w:lineRule="auto"/>
              <w:rPr>
                <w:rFonts w:eastAsia="Times New Roman"/>
                <w:color w:val="FFFFFF"/>
                <w:sz w:val="16"/>
                <w:szCs w:val="16"/>
                <w:lang w:eastAsia="en-AU"/>
              </w:rPr>
            </w:pPr>
            <w:r w:rsidRPr="005060E0">
              <w:rPr>
                <w:rFonts w:eastAsia="Times New Roman"/>
                <w:color w:val="FFFFFF"/>
                <w:sz w:val="16"/>
                <w:szCs w:val="16"/>
                <w:lang w:eastAsia="en-AU"/>
              </w:rPr>
              <w:t>Number of attributable health outcomes</w:t>
            </w:r>
          </w:p>
        </w:tc>
        <w:tc>
          <w:tcPr>
            <w:tcW w:w="1421" w:type="pct"/>
            <w:gridSpan w:val="3"/>
            <w:tcBorders>
              <w:top w:val="nil"/>
              <w:left w:val="nil"/>
              <w:bottom w:val="single" w:sz="4" w:space="0" w:color="606072"/>
              <w:right w:val="single" w:sz="4" w:space="0" w:color="606072"/>
            </w:tcBorders>
            <w:shd w:val="clear" w:color="000000" w:fill="606072"/>
            <w:vAlign w:val="center"/>
            <w:hideMark/>
          </w:tcPr>
          <w:p w14:paraId="4DEBBBF6" w14:textId="77777777" w:rsidR="000A2A88" w:rsidRPr="005060E0" w:rsidRDefault="000A2A88" w:rsidP="008F6014">
            <w:pPr>
              <w:widowControl w:val="0"/>
              <w:spacing w:after="0" w:line="240" w:lineRule="auto"/>
              <w:rPr>
                <w:rFonts w:eastAsia="Times New Roman"/>
                <w:color w:val="FFFFFF"/>
                <w:sz w:val="16"/>
                <w:szCs w:val="16"/>
                <w:lang w:eastAsia="en-AU"/>
              </w:rPr>
            </w:pPr>
            <w:r w:rsidRPr="005060E0">
              <w:rPr>
                <w:rFonts w:eastAsia="Times New Roman"/>
                <w:color w:val="FFFFFF"/>
                <w:sz w:val="16"/>
                <w:szCs w:val="16"/>
                <w:lang w:eastAsia="en-AU"/>
              </w:rPr>
              <w:t>Health outcomes avoided</w:t>
            </w:r>
          </w:p>
        </w:tc>
      </w:tr>
      <w:tr w:rsidR="000A2A88" w:rsidRPr="005060E0" w14:paraId="3AFC21F2" w14:textId="77777777" w:rsidTr="00A70751">
        <w:trPr>
          <w:trHeight w:val="510"/>
          <w:tblHeader/>
        </w:trPr>
        <w:tc>
          <w:tcPr>
            <w:tcW w:w="704" w:type="pct"/>
            <w:vMerge/>
            <w:tcBorders>
              <w:top w:val="single" w:sz="4" w:space="0" w:color="606072"/>
              <w:left w:val="single" w:sz="4" w:space="0" w:color="606072"/>
              <w:bottom w:val="single" w:sz="4" w:space="0" w:color="606072"/>
              <w:right w:val="single" w:sz="4" w:space="0" w:color="606072"/>
            </w:tcBorders>
            <w:vAlign w:val="center"/>
            <w:hideMark/>
          </w:tcPr>
          <w:p w14:paraId="1BD195A4" w14:textId="77777777" w:rsidR="000A2A88" w:rsidRPr="005060E0" w:rsidRDefault="000A2A88" w:rsidP="007A3B2D">
            <w:pPr>
              <w:widowControl w:val="0"/>
              <w:spacing w:after="0" w:line="240" w:lineRule="auto"/>
              <w:rPr>
                <w:rFonts w:eastAsia="Times New Roman"/>
                <w:color w:val="FFFFFF"/>
                <w:sz w:val="16"/>
                <w:szCs w:val="16"/>
                <w:lang w:eastAsia="en-AU"/>
              </w:rPr>
            </w:pPr>
          </w:p>
        </w:tc>
        <w:tc>
          <w:tcPr>
            <w:tcW w:w="472" w:type="pct"/>
            <w:tcBorders>
              <w:top w:val="nil"/>
              <w:left w:val="nil"/>
              <w:bottom w:val="single" w:sz="4" w:space="0" w:color="606072"/>
              <w:right w:val="single" w:sz="4" w:space="0" w:color="606072"/>
            </w:tcBorders>
            <w:shd w:val="clear" w:color="000000" w:fill="606072"/>
            <w:tcMar>
              <w:left w:w="28" w:type="dxa"/>
              <w:right w:w="28" w:type="dxa"/>
            </w:tcMar>
            <w:vAlign w:val="center"/>
            <w:hideMark/>
          </w:tcPr>
          <w:p w14:paraId="5266746B" w14:textId="58E04BC5" w:rsidR="000A2A88" w:rsidRPr="005060E0" w:rsidRDefault="000A2A88" w:rsidP="007A3B2D">
            <w:pPr>
              <w:widowControl w:val="0"/>
              <w:spacing w:after="0" w:line="240" w:lineRule="auto"/>
              <w:jc w:val="center"/>
              <w:rPr>
                <w:rFonts w:eastAsia="Times New Roman"/>
                <w:color w:val="FFFFFF"/>
                <w:sz w:val="16"/>
                <w:szCs w:val="16"/>
                <w:lang w:eastAsia="en-AU"/>
              </w:rPr>
            </w:pPr>
            <w:r w:rsidRPr="005060E0">
              <w:rPr>
                <w:rFonts w:eastAsia="Times New Roman"/>
                <w:color w:val="FFFFFF"/>
                <w:sz w:val="16"/>
                <w:szCs w:val="16"/>
                <w:lang w:eastAsia="en-AU"/>
              </w:rPr>
              <w:t>Annual average 2010</w:t>
            </w:r>
            <w:r w:rsidR="00DF4D3A" w:rsidRPr="005060E0">
              <w:rPr>
                <w:rFonts w:eastAsia="Times New Roman"/>
                <w:color w:val="FFFFFF"/>
                <w:sz w:val="16"/>
                <w:szCs w:val="16"/>
                <w:lang w:eastAsia="en-AU"/>
              </w:rPr>
              <w:t>–20</w:t>
            </w:r>
            <w:r w:rsidRPr="005060E0">
              <w:rPr>
                <w:rFonts w:eastAsia="Times New Roman"/>
                <w:color w:val="FFFFFF"/>
                <w:sz w:val="16"/>
                <w:szCs w:val="16"/>
                <w:lang w:eastAsia="en-AU"/>
              </w:rPr>
              <w:t>14</w:t>
            </w:r>
          </w:p>
        </w:tc>
        <w:tc>
          <w:tcPr>
            <w:tcW w:w="983" w:type="pct"/>
            <w:tcBorders>
              <w:top w:val="nil"/>
              <w:left w:val="nil"/>
              <w:bottom w:val="single" w:sz="4" w:space="0" w:color="606072"/>
              <w:right w:val="single" w:sz="4" w:space="0" w:color="606072"/>
            </w:tcBorders>
            <w:shd w:val="clear" w:color="000000" w:fill="606072"/>
            <w:vAlign w:val="center"/>
            <w:hideMark/>
          </w:tcPr>
          <w:p w14:paraId="3F8CFD6B" w14:textId="77777777" w:rsidR="000A2A88" w:rsidRPr="005060E0" w:rsidRDefault="000A2A88" w:rsidP="007A3B2D">
            <w:pPr>
              <w:widowControl w:val="0"/>
              <w:spacing w:after="0" w:line="240" w:lineRule="auto"/>
              <w:jc w:val="center"/>
              <w:rPr>
                <w:rFonts w:eastAsia="Times New Roman"/>
                <w:i/>
                <w:iCs/>
                <w:color w:val="FFFFFF"/>
                <w:sz w:val="16"/>
                <w:szCs w:val="16"/>
                <w:lang w:eastAsia="en-AU"/>
              </w:rPr>
            </w:pPr>
            <w:r w:rsidRPr="005060E0">
              <w:rPr>
                <w:rFonts w:eastAsia="Times New Roman"/>
                <w:i/>
                <w:iCs/>
                <w:color w:val="FFFFFF"/>
                <w:sz w:val="16"/>
                <w:szCs w:val="16"/>
                <w:lang w:eastAsia="en-AU"/>
              </w:rPr>
              <w:t>Scenario</w:t>
            </w:r>
          </w:p>
        </w:tc>
        <w:tc>
          <w:tcPr>
            <w:tcW w:w="473" w:type="pct"/>
            <w:tcBorders>
              <w:top w:val="nil"/>
              <w:left w:val="nil"/>
              <w:bottom w:val="single" w:sz="4" w:space="0" w:color="606072"/>
              <w:right w:val="single" w:sz="4" w:space="0" w:color="606072"/>
            </w:tcBorders>
            <w:shd w:val="clear" w:color="000000" w:fill="606072"/>
            <w:vAlign w:val="center"/>
            <w:hideMark/>
          </w:tcPr>
          <w:p w14:paraId="1EE2D5D4" w14:textId="77777777" w:rsidR="000A2A88" w:rsidRPr="005060E0" w:rsidRDefault="000A2A88" w:rsidP="007A3B2D">
            <w:pPr>
              <w:widowControl w:val="0"/>
              <w:spacing w:after="0" w:line="240" w:lineRule="auto"/>
              <w:jc w:val="center"/>
              <w:rPr>
                <w:rFonts w:eastAsia="Times New Roman"/>
                <w:color w:val="FFFFFF"/>
                <w:sz w:val="16"/>
                <w:szCs w:val="16"/>
                <w:lang w:eastAsia="en-AU"/>
              </w:rPr>
            </w:pPr>
            <w:r w:rsidRPr="005060E0">
              <w:rPr>
                <w:rFonts w:eastAsia="Times New Roman"/>
                <w:color w:val="FFFFFF"/>
                <w:sz w:val="16"/>
                <w:szCs w:val="16"/>
                <w:lang w:eastAsia="en-AU"/>
              </w:rPr>
              <w:t>2021</w:t>
            </w:r>
          </w:p>
        </w:tc>
        <w:tc>
          <w:tcPr>
            <w:tcW w:w="473" w:type="pct"/>
            <w:tcBorders>
              <w:top w:val="nil"/>
              <w:left w:val="nil"/>
              <w:bottom w:val="single" w:sz="4" w:space="0" w:color="606072"/>
              <w:right w:val="single" w:sz="4" w:space="0" w:color="606072"/>
            </w:tcBorders>
            <w:shd w:val="clear" w:color="000000" w:fill="606072"/>
            <w:vAlign w:val="center"/>
            <w:hideMark/>
          </w:tcPr>
          <w:p w14:paraId="7F31E554" w14:textId="77777777" w:rsidR="000A2A88" w:rsidRPr="005060E0" w:rsidRDefault="000A2A88" w:rsidP="007A3B2D">
            <w:pPr>
              <w:widowControl w:val="0"/>
              <w:spacing w:after="0" w:line="240" w:lineRule="auto"/>
              <w:jc w:val="center"/>
              <w:rPr>
                <w:rFonts w:eastAsia="Times New Roman"/>
                <w:color w:val="FFFFFF"/>
                <w:sz w:val="16"/>
                <w:szCs w:val="16"/>
                <w:lang w:eastAsia="en-AU"/>
              </w:rPr>
            </w:pPr>
            <w:r w:rsidRPr="005060E0">
              <w:rPr>
                <w:rFonts w:eastAsia="Times New Roman"/>
                <w:color w:val="FFFFFF"/>
                <w:sz w:val="16"/>
                <w:szCs w:val="16"/>
                <w:lang w:eastAsia="en-AU"/>
              </w:rPr>
              <w:t>2031</w:t>
            </w:r>
          </w:p>
        </w:tc>
        <w:tc>
          <w:tcPr>
            <w:tcW w:w="474" w:type="pct"/>
            <w:tcBorders>
              <w:top w:val="nil"/>
              <w:left w:val="nil"/>
              <w:bottom w:val="single" w:sz="4" w:space="0" w:color="606072"/>
              <w:right w:val="single" w:sz="4" w:space="0" w:color="606072"/>
            </w:tcBorders>
            <w:shd w:val="clear" w:color="000000" w:fill="606072"/>
            <w:vAlign w:val="center"/>
            <w:hideMark/>
          </w:tcPr>
          <w:p w14:paraId="3837B403" w14:textId="77777777" w:rsidR="000A2A88" w:rsidRPr="005060E0" w:rsidRDefault="000A2A88" w:rsidP="007A3B2D">
            <w:pPr>
              <w:widowControl w:val="0"/>
              <w:spacing w:after="0" w:line="240" w:lineRule="auto"/>
              <w:jc w:val="center"/>
              <w:rPr>
                <w:rFonts w:eastAsia="Times New Roman"/>
                <w:color w:val="FFFFFF"/>
                <w:sz w:val="16"/>
                <w:szCs w:val="16"/>
                <w:lang w:eastAsia="en-AU"/>
              </w:rPr>
            </w:pPr>
            <w:r w:rsidRPr="005060E0">
              <w:rPr>
                <w:rFonts w:eastAsia="Times New Roman"/>
                <w:color w:val="FFFFFF"/>
                <w:sz w:val="16"/>
                <w:szCs w:val="16"/>
                <w:lang w:eastAsia="en-AU"/>
              </w:rPr>
              <w:t>2040</w:t>
            </w:r>
          </w:p>
        </w:tc>
        <w:tc>
          <w:tcPr>
            <w:tcW w:w="473" w:type="pct"/>
            <w:tcBorders>
              <w:top w:val="nil"/>
              <w:left w:val="nil"/>
              <w:bottom w:val="single" w:sz="4" w:space="0" w:color="606072"/>
              <w:right w:val="single" w:sz="4" w:space="0" w:color="606072"/>
            </w:tcBorders>
            <w:shd w:val="clear" w:color="000000" w:fill="606072"/>
            <w:vAlign w:val="center"/>
            <w:hideMark/>
          </w:tcPr>
          <w:p w14:paraId="4C01B187" w14:textId="77777777" w:rsidR="000A2A88" w:rsidRPr="005060E0" w:rsidRDefault="000A2A88" w:rsidP="007A3B2D">
            <w:pPr>
              <w:widowControl w:val="0"/>
              <w:spacing w:after="0" w:line="240" w:lineRule="auto"/>
              <w:jc w:val="center"/>
              <w:rPr>
                <w:rFonts w:eastAsia="Times New Roman"/>
                <w:color w:val="FFFFFF"/>
                <w:sz w:val="16"/>
                <w:szCs w:val="16"/>
                <w:lang w:eastAsia="en-AU"/>
              </w:rPr>
            </w:pPr>
            <w:r w:rsidRPr="005060E0">
              <w:rPr>
                <w:rFonts w:eastAsia="Times New Roman"/>
                <w:color w:val="FFFFFF"/>
                <w:sz w:val="16"/>
                <w:szCs w:val="16"/>
                <w:lang w:eastAsia="en-AU"/>
              </w:rPr>
              <w:t>2021</w:t>
            </w:r>
          </w:p>
        </w:tc>
        <w:tc>
          <w:tcPr>
            <w:tcW w:w="473" w:type="pct"/>
            <w:tcBorders>
              <w:top w:val="nil"/>
              <w:left w:val="nil"/>
              <w:bottom w:val="single" w:sz="4" w:space="0" w:color="606072"/>
              <w:right w:val="single" w:sz="4" w:space="0" w:color="606072"/>
            </w:tcBorders>
            <w:shd w:val="clear" w:color="000000" w:fill="606072"/>
            <w:vAlign w:val="center"/>
            <w:hideMark/>
          </w:tcPr>
          <w:p w14:paraId="78046B18" w14:textId="77777777" w:rsidR="000A2A88" w:rsidRPr="005060E0" w:rsidRDefault="000A2A88" w:rsidP="007A3B2D">
            <w:pPr>
              <w:widowControl w:val="0"/>
              <w:spacing w:after="0" w:line="240" w:lineRule="auto"/>
              <w:jc w:val="center"/>
              <w:rPr>
                <w:rFonts w:eastAsia="Times New Roman"/>
                <w:color w:val="FFFFFF"/>
                <w:sz w:val="16"/>
                <w:szCs w:val="16"/>
                <w:lang w:eastAsia="en-AU"/>
              </w:rPr>
            </w:pPr>
            <w:r w:rsidRPr="005060E0">
              <w:rPr>
                <w:rFonts w:eastAsia="Times New Roman"/>
                <w:color w:val="FFFFFF"/>
                <w:sz w:val="16"/>
                <w:szCs w:val="16"/>
                <w:lang w:eastAsia="en-AU"/>
              </w:rPr>
              <w:t>2031</w:t>
            </w:r>
          </w:p>
        </w:tc>
        <w:tc>
          <w:tcPr>
            <w:tcW w:w="475" w:type="pct"/>
            <w:tcBorders>
              <w:top w:val="nil"/>
              <w:left w:val="nil"/>
              <w:bottom w:val="single" w:sz="4" w:space="0" w:color="606072"/>
              <w:right w:val="single" w:sz="4" w:space="0" w:color="606072"/>
            </w:tcBorders>
            <w:shd w:val="clear" w:color="000000" w:fill="606072"/>
            <w:vAlign w:val="center"/>
            <w:hideMark/>
          </w:tcPr>
          <w:p w14:paraId="5C8D7CDD" w14:textId="77777777" w:rsidR="000A2A88" w:rsidRPr="005060E0" w:rsidRDefault="000A2A88" w:rsidP="007A3B2D">
            <w:pPr>
              <w:widowControl w:val="0"/>
              <w:spacing w:after="0" w:line="240" w:lineRule="auto"/>
              <w:jc w:val="center"/>
              <w:rPr>
                <w:rFonts w:eastAsia="Times New Roman"/>
                <w:color w:val="FFFFFF"/>
                <w:sz w:val="16"/>
                <w:szCs w:val="16"/>
                <w:lang w:eastAsia="en-AU"/>
              </w:rPr>
            </w:pPr>
            <w:r w:rsidRPr="005060E0">
              <w:rPr>
                <w:rFonts w:eastAsia="Times New Roman"/>
                <w:color w:val="FFFFFF"/>
                <w:sz w:val="16"/>
                <w:szCs w:val="16"/>
                <w:lang w:eastAsia="en-AU"/>
              </w:rPr>
              <w:t>2040</w:t>
            </w:r>
          </w:p>
        </w:tc>
      </w:tr>
      <w:tr w:rsidR="000A2A88" w:rsidRPr="005060E0" w14:paraId="5A180A7B" w14:textId="77777777" w:rsidTr="00A70751">
        <w:trPr>
          <w:trHeight w:val="283"/>
        </w:trPr>
        <w:tc>
          <w:tcPr>
            <w:tcW w:w="5000" w:type="pct"/>
            <w:gridSpan w:val="9"/>
            <w:tcBorders>
              <w:top w:val="single" w:sz="4" w:space="0" w:color="606072"/>
              <w:left w:val="single" w:sz="4" w:space="0" w:color="606072"/>
              <w:bottom w:val="single" w:sz="4" w:space="0" w:color="606072"/>
              <w:right w:val="single" w:sz="4" w:space="0" w:color="606072"/>
            </w:tcBorders>
            <w:shd w:val="clear" w:color="auto" w:fill="DEDFE3" w:themeFill="text2" w:themeFillTint="33"/>
            <w:vAlign w:val="center"/>
            <w:hideMark/>
          </w:tcPr>
          <w:p w14:paraId="75AF1DD2" w14:textId="550C082E" w:rsidR="000A2A88" w:rsidRPr="005060E0" w:rsidRDefault="000A2A88" w:rsidP="007A3B2D">
            <w:pPr>
              <w:widowControl w:val="0"/>
              <w:spacing w:after="0" w:line="240" w:lineRule="auto"/>
              <w:rPr>
                <w:rFonts w:eastAsia="Times New Roman"/>
                <w:color w:val="000000"/>
                <w:sz w:val="16"/>
                <w:szCs w:val="16"/>
                <w:lang w:eastAsia="en-AU"/>
              </w:rPr>
            </w:pPr>
            <w:r w:rsidRPr="005060E0">
              <w:rPr>
                <w:rFonts w:eastAsia="Times New Roman"/>
                <w:color w:val="000000"/>
                <w:sz w:val="16"/>
                <w:szCs w:val="16"/>
                <w:lang w:eastAsia="en-AU"/>
              </w:rPr>
              <w:t>Daily mortality, all-cause</w:t>
            </w:r>
            <w:r w:rsidR="00627461" w:rsidRPr="005060E0">
              <w:rPr>
                <w:rFonts w:eastAsia="Times New Roman"/>
                <w:color w:val="000000"/>
                <w:sz w:val="16"/>
                <w:szCs w:val="16"/>
                <w:vertAlign w:val="superscript"/>
                <w:lang w:eastAsia="en-AU"/>
              </w:rPr>
              <w:t>(a)</w:t>
            </w:r>
          </w:p>
        </w:tc>
      </w:tr>
      <w:tr w:rsidR="00A6487C" w:rsidRPr="005060E0" w14:paraId="12A406BB" w14:textId="77777777" w:rsidTr="00A70751">
        <w:trPr>
          <w:trHeight w:hRule="exact" w:val="227"/>
        </w:trPr>
        <w:tc>
          <w:tcPr>
            <w:tcW w:w="704" w:type="pct"/>
            <w:vMerge w:val="restart"/>
            <w:tcBorders>
              <w:top w:val="nil"/>
              <w:left w:val="single" w:sz="4" w:space="0" w:color="606072"/>
              <w:bottom w:val="single" w:sz="4" w:space="0" w:color="606072"/>
              <w:right w:val="single" w:sz="4" w:space="0" w:color="606072"/>
            </w:tcBorders>
            <w:shd w:val="clear" w:color="000000" w:fill="F2F2F2"/>
            <w:vAlign w:val="center"/>
            <w:hideMark/>
          </w:tcPr>
          <w:p w14:paraId="67570100" w14:textId="76A2DB15" w:rsidR="00A6487C" w:rsidRPr="005060E0" w:rsidRDefault="00A70751" w:rsidP="00A6487C">
            <w:pPr>
              <w:widowControl w:val="0"/>
              <w:spacing w:after="0" w:line="240" w:lineRule="auto"/>
              <w:rPr>
                <w:rFonts w:eastAsia="Times New Roman"/>
                <w:sz w:val="16"/>
                <w:szCs w:val="16"/>
                <w:lang w:eastAsia="en-AU"/>
              </w:rPr>
            </w:pPr>
            <w:r w:rsidRPr="005060E0">
              <w:rPr>
                <w:rFonts w:eastAsia="Times New Roman"/>
                <w:sz w:val="16"/>
                <w:szCs w:val="16"/>
                <w:lang w:eastAsia="en-AU"/>
              </w:rPr>
              <w:t>NSW and Victoria</w:t>
            </w:r>
          </w:p>
        </w:tc>
        <w:tc>
          <w:tcPr>
            <w:tcW w:w="472" w:type="pct"/>
            <w:vMerge w:val="restart"/>
            <w:tcBorders>
              <w:top w:val="nil"/>
              <w:left w:val="single" w:sz="4" w:space="0" w:color="606072"/>
              <w:bottom w:val="single" w:sz="4" w:space="0" w:color="606072"/>
              <w:right w:val="single" w:sz="4" w:space="0" w:color="606072"/>
            </w:tcBorders>
            <w:shd w:val="clear" w:color="auto" w:fill="auto"/>
            <w:vAlign w:val="center"/>
          </w:tcPr>
          <w:p w14:paraId="0FCE418F" w14:textId="04922238"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sz w:val="16"/>
                <w:szCs w:val="16"/>
                <w:lang w:eastAsia="en-AU"/>
              </w:rPr>
              <w:t>133</w:t>
            </w:r>
          </w:p>
        </w:tc>
        <w:tc>
          <w:tcPr>
            <w:tcW w:w="983" w:type="pct"/>
            <w:tcBorders>
              <w:top w:val="nil"/>
              <w:left w:val="nil"/>
              <w:right w:val="single" w:sz="4" w:space="0" w:color="606072"/>
            </w:tcBorders>
            <w:shd w:val="clear" w:color="000000" w:fill="F2F2F2"/>
            <w:tcMar>
              <w:left w:w="28" w:type="dxa"/>
              <w:right w:w="28" w:type="dxa"/>
            </w:tcMar>
            <w:vAlign w:val="center"/>
            <w:hideMark/>
          </w:tcPr>
          <w:p w14:paraId="76B5B548" w14:textId="77777777" w:rsidR="00A6487C" w:rsidRPr="005060E0" w:rsidRDefault="00A6487C" w:rsidP="00A6487C">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BAU</w:t>
            </w:r>
          </w:p>
        </w:tc>
        <w:tc>
          <w:tcPr>
            <w:tcW w:w="473" w:type="pct"/>
            <w:tcBorders>
              <w:top w:val="nil"/>
              <w:left w:val="nil"/>
              <w:right w:val="dotted" w:sz="4" w:space="0" w:color="auto"/>
            </w:tcBorders>
            <w:shd w:val="clear" w:color="auto" w:fill="auto"/>
            <w:vAlign w:val="bottom"/>
          </w:tcPr>
          <w:p w14:paraId="33F87D0C" w14:textId="32491241"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GB"/>
              </w:rPr>
              <w:t>65</w:t>
            </w:r>
          </w:p>
        </w:tc>
        <w:tc>
          <w:tcPr>
            <w:tcW w:w="473" w:type="pct"/>
            <w:tcBorders>
              <w:top w:val="nil"/>
              <w:left w:val="dotted" w:sz="4" w:space="0" w:color="auto"/>
              <w:right w:val="dotted" w:sz="4" w:space="0" w:color="auto"/>
            </w:tcBorders>
            <w:shd w:val="clear" w:color="auto" w:fill="auto"/>
            <w:vAlign w:val="bottom"/>
          </w:tcPr>
          <w:p w14:paraId="5EE212CB" w14:textId="384E1E75"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GB"/>
              </w:rPr>
              <w:t>58</w:t>
            </w:r>
          </w:p>
        </w:tc>
        <w:tc>
          <w:tcPr>
            <w:tcW w:w="474" w:type="pct"/>
            <w:tcBorders>
              <w:top w:val="nil"/>
              <w:left w:val="dotted" w:sz="4" w:space="0" w:color="auto"/>
              <w:right w:val="single" w:sz="4" w:space="0" w:color="606072"/>
            </w:tcBorders>
            <w:shd w:val="clear" w:color="auto" w:fill="auto"/>
            <w:vAlign w:val="bottom"/>
          </w:tcPr>
          <w:p w14:paraId="21F7E2FE" w14:textId="27F335FD"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GB"/>
              </w:rPr>
              <w:t>81</w:t>
            </w:r>
          </w:p>
        </w:tc>
        <w:tc>
          <w:tcPr>
            <w:tcW w:w="473" w:type="pct"/>
            <w:tcBorders>
              <w:top w:val="nil"/>
              <w:left w:val="nil"/>
              <w:right w:val="dotted" w:sz="4" w:space="0" w:color="auto"/>
            </w:tcBorders>
            <w:shd w:val="clear" w:color="auto" w:fill="DEDFE3" w:themeFill="text2" w:themeFillTint="33"/>
            <w:noWrap/>
            <w:vAlign w:val="center"/>
          </w:tcPr>
          <w:p w14:paraId="3DCBFDAB" w14:textId="77777777" w:rsidR="00A6487C" w:rsidRPr="006E1664" w:rsidRDefault="00A6487C" w:rsidP="00A6487C">
            <w:pPr>
              <w:widowControl w:val="0"/>
              <w:spacing w:after="0" w:line="240" w:lineRule="auto"/>
              <w:jc w:val="center"/>
            </w:pPr>
          </w:p>
        </w:tc>
        <w:tc>
          <w:tcPr>
            <w:tcW w:w="473" w:type="pct"/>
            <w:tcBorders>
              <w:top w:val="nil"/>
              <w:left w:val="dotted" w:sz="4" w:space="0" w:color="auto"/>
              <w:right w:val="dotted" w:sz="4" w:space="0" w:color="auto"/>
            </w:tcBorders>
            <w:shd w:val="clear" w:color="auto" w:fill="DEDFE3" w:themeFill="text2" w:themeFillTint="33"/>
            <w:noWrap/>
            <w:vAlign w:val="center"/>
          </w:tcPr>
          <w:p w14:paraId="55CF6954" w14:textId="77777777" w:rsidR="00A6487C" w:rsidRPr="006E1664" w:rsidRDefault="00A6487C" w:rsidP="00A6487C">
            <w:pPr>
              <w:widowControl w:val="0"/>
              <w:spacing w:after="0" w:line="240" w:lineRule="auto"/>
              <w:jc w:val="center"/>
            </w:pPr>
          </w:p>
        </w:tc>
        <w:tc>
          <w:tcPr>
            <w:tcW w:w="475" w:type="pct"/>
            <w:tcBorders>
              <w:top w:val="nil"/>
              <w:left w:val="dotted" w:sz="4" w:space="0" w:color="auto"/>
              <w:right w:val="single" w:sz="4" w:space="0" w:color="606072"/>
            </w:tcBorders>
            <w:shd w:val="clear" w:color="auto" w:fill="DEDFE3" w:themeFill="text2" w:themeFillTint="33"/>
            <w:noWrap/>
            <w:vAlign w:val="center"/>
          </w:tcPr>
          <w:p w14:paraId="11089E0D" w14:textId="77777777" w:rsidR="00A6487C" w:rsidRPr="006E1664" w:rsidRDefault="00A6487C" w:rsidP="00A6487C">
            <w:pPr>
              <w:widowControl w:val="0"/>
              <w:spacing w:after="0" w:line="240" w:lineRule="auto"/>
              <w:jc w:val="center"/>
            </w:pPr>
          </w:p>
        </w:tc>
      </w:tr>
      <w:tr w:rsidR="00A6487C" w:rsidRPr="005060E0" w14:paraId="3F24534E" w14:textId="77777777" w:rsidTr="00A70751">
        <w:trPr>
          <w:trHeight w:hRule="exact" w:val="227"/>
        </w:trPr>
        <w:tc>
          <w:tcPr>
            <w:tcW w:w="704" w:type="pct"/>
            <w:vMerge/>
            <w:tcBorders>
              <w:top w:val="nil"/>
              <w:left w:val="single" w:sz="4" w:space="0" w:color="606072"/>
              <w:bottom w:val="single" w:sz="4" w:space="0" w:color="606072"/>
              <w:right w:val="single" w:sz="4" w:space="0" w:color="606072"/>
            </w:tcBorders>
            <w:vAlign w:val="center"/>
            <w:hideMark/>
          </w:tcPr>
          <w:p w14:paraId="39A2FBA4" w14:textId="77777777" w:rsidR="00A6487C" w:rsidRPr="005060E0" w:rsidRDefault="00A6487C" w:rsidP="00A6487C">
            <w:pPr>
              <w:widowControl w:val="0"/>
              <w:spacing w:after="0" w:line="240" w:lineRule="auto"/>
              <w:rPr>
                <w:rFonts w:eastAsia="Times New Roman"/>
                <w:sz w:val="16"/>
                <w:szCs w:val="16"/>
                <w:lang w:eastAsia="en-AU"/>
              </w:rPr>
            </w:pPr>
          </w:p>
        </w:tc>
        <w:tc>
          <w:tcPr>
            <w:tcW w:w="472" w:type="pct"/>
            <w:vMerge/>
            <w:tcBorders>
              <w:top w:val="nil"/>
              <w:left w:val="single" w:sz="4" w:space="0" w:color="606072"/>
              <w:bottom w:val="single" w:sz="4" w:space="0" w:color="606072"/>
              <w:right w:val="single" w:sz="4" w:space="0" w:color="606072"/>
            </w:tcBorders>
            <w:vAlign w:val="center"/>
          </w:tcPr>
          <w:p w14:paraId="3C9C95E6" w14:textId="77777777" w:rsidR="00A6487C" w:rsidRPr="005060E0" w:rsidRDefault="00A6487C" w:rsidP="00A6487C">
            <w:pPr>
              <w:widowControl w:val="0"/>
              <w:spacing w:after="0" w:line="240" w:lineRule="auto"/>
              <w:rPr>
                <w:rFonts w:eastAsia="Times New Roman"/>
                <w:sz w:val="16"/>
                <w:szCs w:val="16"/>
                <w:lang w:eastAsia="en-AU"/>
              </w:rPr>
            </w:pPr>
          </w:p>
        </w:tc>
        <w:tc>
          <w:tcPr>
            <w:tcW w:w="983" w:type="pct"/>
            <w:tcBorders>
              <w:left w:val="nil"/>
              <w:bottom w:val="single" w:sz="4" w:space="0" w:color="606072"/>
              <w:right w:val="single" w:sz="4" w:space="0" w:color="606072"/>
            </w:tcBorders>
            <w:shd w:val="clear" w:color="000000" w:fill="F2F2F2"/>
            <w:tcMar>
              <w:left w:w="28" w:type="dxa"/>
              <w:right w:w="28" w:type="dxa"/>
            </w:tcMar>
            <w:vAlign w:val="center"/>
            <w:hideMark/>
          </w:tcPr>
          <w:p w14:paraId="5E2F71CB" w14:textId="77777777" w:rsidR="00A6487C" w:rsidRPr="005060E0" w:rsidRDefault="00A6487C" w:rsidP="00A6487C">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Abatement Package</w:t>
            </w:r>
          </w:p>
        </w:tc>
        <w:tc>
          <w:tcPr>
            <w:tcW w:w="473" w:type="pct"/>
            <w:tcBorders>
              <w:left w:val="nil"/>
              <w:bottom w:val="single" w:sz="4" w:space="0" w:color="606072"/>
              <w:right w:val="dotted" w:sz="4" w:space="0" w:color="auto"/>
            </w:tcBorders>
            <w:shd w:val="clear" w:color="auto" w:fill="auto"/>
            <w:vAlign w:val="bottom"/>
          </w:tcPr>
          <w:p w14:paraId="5D2D5F65" w14:textId="386AE954"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GB"/>
              </w:rPr>
              <w:t>65</w:t>
            </w:r>
          </w:p>
        </w:tc>
        <w:tc>
          <w:tcPr>
            <w:tcW w:w="473" w:type="pct"/>
            <w:tcBorders>
              <w:left w:val="dotted" w:sz="4" w:space="0" w:color="auto"/>
              <w:bottom w:val="single" w:sz="4" w:space="0" w:color="606072"/>
              <w:right w:val="dotted" w:sz="4" w:space="0" w:color="auto"/>
            </w:tcBorders>
            <w:shd w:val="clear" w:color="auto" w:fill="auto"/>
            <w:vAlign w:val="bottom"/>
          </w:tcPr>
          <w:p w14:paraId="30B1A00D" w14:textId="7885FAC1"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GB"/>
              </w:rPr>
              <w:t>42</w:t>
            </w:r>
          </w:p>
        </w:tc>
        <w:tc>
          <w:tcPr>
            <w:tcW w:w="474" w:type="pct"/>
            <w:tcBorders>
              <w:left w:val="dotted" w:sz="4" w:space="0" w:color="auto"/>
              <w:bottom w:val="single" w:sz="4" w:space="0" w:color="606072"/>
              <w:right w:val="single" w:sz="4" w:space="0" w:color="606072"/>
            </w:tcBorders>
            <w:shd w:val="clear" w:color="auto" w:fill="auto"/>
            <w:vAlign w:val="bottom"/>
          </w:tcPr>
          <w:p w14:paraId="2955DDF4" w14:textId="46F1A3A4"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GB"/>
              </w:rPr>
              <w:t>51</w:t>
            </w:r>
          </w:p>
        </w:tc>
        <w:tc>
          <w:tcPr>
            <w:tcW w:w="473" w:type="pct"/>
            <w:tcBorders>
              <w:left w:val="nil"/>
              <w:bottom w:val="single" w:sz="4" w:space="0" w:color="606072"/>
              <w:right w:val="dotted" w:sz="4" w:space="0" w:color="auto"/>
            </w:tcBorders>
            <w:shd w:val="clear" w:color="auto" w:fill="auto"/>
            <w:vAlign w:val="bottom"/>
          </w:tcPr>
          <w:p w14:paraId="5E309B34" w14:textId="74FD51BB"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GB"/>
              </w:rPr>
              <w:t>0</w:t>
            </w:r>
          </w:p>
        </w:tc>
        <w:tc>
          <w:tcPr>
            <w:tcW w:w="473" w:type="pct"/>
            <w:tcBorders>
              <w:left w:val="dotted" w:sz="4" w:space="0" w:color="auto"/>
              <w:bottom w:val="single" w:sz="4" w:space="0" w:color="606072"/>
              <w:right w:val="dotted" w:sz="4" w:space="0" w:color="auto"/>
            </w:tcBorders>
            <w:shd w:val="clear" w:color="auto" w:fill="auto"/>
            <w:vAlign w:val="bottom"/>
          </w:tcPr>
          <w:p w14:paraId="09BEF143" w14:textId="35357349"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GB"/>
              </w:rPr>
              <w:t>16</w:t>
            </w:r>
          </w:p>
        </w:tc>
        <w:tc>
          <w:tcPr>
            <w:tcW w:w="475" w:type="pct"/>
            <w:tcBorders>
              <w:left w:val="dotted" w:sz="4" w:space="0" w:color="auto"/>
              <w:bottom w:val="single" w:sz="4" w:space="0" w:color="606072"/>
              <w:right w:val="single" w:sz="4" w:space="0" w:color="606072"/>
            </w:tcBorders>
            <w:shd w:val="clear" w:color="auto" w:fill="auto"/>
            <w:vAlign w:val="bottom"/>
          </w:tcPr>
          <w:p w14:paraId="7D3A42DF" w14:textId="5E949734"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GB"/>
              </w:rPr>
              <w:t>30</w:t>
            </w:r>
          </w:p>
        </w:tc>
      </w:tr>
      <w:tr w:rsidR="00A6487C" w:rsidRPr="005060E0" w14:paraId="78F647D5" w14:textId="77777777" w:rsidTr="00A70751">
        <w:trPr>
          <w:trHeight w:hRule="exact" w:val="227"/>
        </w:trPr>
        <w:tc>
          <w:tcPr>
            <w:tcW w:w="704" w:type="pct"/>
            <w:vMerge w:val="restart"/>
            <w:tcBorders>
              <w:top w:val="nil"/>
              <w:left w:val="single" w:sz="4" w:space="0" w:color="606072"/>
              <w:bottom w:val="single" w:sz="4" w:space="0" w:color="606072"/>
              <w:right w:val="single" w:sz="4" w:space="0" w:color="606072"/>
            </w:tcBorders>
            <w:shd w:val="clear" w:color="000000" w:fill="F2F2F2"/>
            <w:vAlign w:val="center"/>
            <w:hideMark/>
          </w:tcPr>
          <w:p w14:paraId="6F9CBF8F" w14:textId="77777777" w:rsidR="00A6487C" w:rsidRPr="005060E0" w:rsidRDefault="00A6487C" w:rsidP="00A6487C">
            <w:pPr>
              <w:widowControl w:val="0"/>
              <w:spacing w:after="0" w:line="240" w:lineRule="auto"/>
              <w:rPr>
                <w:rFonts w:eastAsia="Times New Roman"/>
                <w:sz w:val="16"/>
                <w:szCs w:val="16"/>
                <w:lang w:eastAsia="en-AU"/>
              </w:rPr>
            </w:pPr>
            <w:r w:rsidRPr="005060E0">
              <w:rPr>
                <w:rFonts w:eastAsia="Times New Roman"/>
                <w:sz w:val="16"/>
                <w:szCs w:val="16"/>
                <w:lang w:eastAsia="en-AU"/>
              </w:rPr>
              <w:t>Other airsheds</w:t>
            </w:r>
          </w:p>
        </w:tc>
        <w:tc>
          <w:tcPr>
            <w:tcW w:w="472" w:type="pct"/>
            <w:vMerge w:val="restart"/>
            <w:tcBorders>
              <w:top w:val="nil"/>
              <w:left w:val="single" w:sz="4" w:space="0" w:color="606072"/>
              <w:bottom w:val="single" w:sz="4" w:space="0" w:color="606072"/>
              <w:right w:val="single" w:sz="4" w:space="0" w:color="606072"/>
            </w:tcBorders>
            <w:shd w:val="clear" w:color="auto" w:fill="auto"/>
            <w:vAlign w:val="center"/>
          </w:tcPr>
          <w:p w14:paraId="6B6DC430" w14:textId="342A7160" w:rsidR="00A6487C" w:rsidRPr="005060E0" w:rsidRDefault="00992225" w:rsidP="00A6487C">
            <w:pPr>
              <w:widowControl w:val="0"/>
              <w:spacing w:after="0" w:line="240" w:lineRule="auto"/>
              <w:jc w:val="center"/>
              <w:rPr>
                <w:rFonts w:eastAsia="Times New Roman"/>
                <w:sz w:val="16"/>
                <w:szCs w:val="16"/>
                <w:lang w:eastAsia="en-AU"/>
              </w:rPr>
            </w:pPr>
            <w:r w:rsidRPr="005060E0">
              <w:rPr>
                <w:rFonts w:eastAsia="Times New Roman"/>
                <w:sz w:val="16"/>
                <w:szCs w:val="16"/>
                <w:lang w:eastAsia="en-AU"/>
              </w:rPr>
              <w:t>43</w:t>
            </w:r>
          </w:p>
        </w:tc>
        <w:tc>
          <w:tcPr>
            <w:tcW w:w="983" w:type="pct"/>
            <w:tcBorders>
              <w:top w:val="nil"/>
              <w:left w:val="nil"/>
              <w:right w:val="single" w:sz="4" w:space="0" w:color="606072"/>
            </w:tcBorders>
            <w:shd w:val="clear" w:color="000000" w:fill="F2F2F2"/>
            <w:tcMar>
              <w:left w:w="28" w:type="dxa"/>
              <w:right w:w="28" w:type="dxa"/>
            </w:tcMar>
            <w:vAlign w:val="center"/>
            <w:hideMark/>
          </w:tcPr>
          <w:p w14:paraId="6D0C4D5C" w14:textId="77777777" w:rsidR="00A6487C" w:rsidRPr="005060E0" w:rsidRDefault="00A6487C" w:rsidP="00A6487C">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BAU</w:t>
            </w:r>
          </w:p>
        </w:tc>
        <w:tc>
          <w:tcPr>
            <w:tcW w:w="473" w:type="pct"/>
            <w:tcBorders>
              <w:top w:val="single" w:sz="4" w:space="0" w:color="606072"/>
              <w:left w:val="nil"/>
              <w:right w:val="dotted" w:sz="4" w:space="0" w:color="auto"/>
            </w:tcBorders>
            <w:shd w:val="clear" w:color="auto" w:fill="auto"/>
            <w:vAlign w:val="center"/>
          </w:tcPr>
          <w:p w14:paraId="0C00C03B"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top w:val="single" w:sz="4" w:space="0" w:color="606072"/>
              <w:left w:val="dotted" w:sz="4" w:space="0" w:color="auto"/>
              <w:right w:val="dotted" w:sz="4" w:space="0" w:color="auto"/>
            </w:tcBorders>
            <w:shd w:val="clear" w:color="auto" w:fill="auto"/>
            <w:vAlign w:val="center"/>
          </w:tcPr>
          <w:p w14:paraId="13DB4A03"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4" w:type="pct"/>
            <w:tcBorders>
              <w:top w:val="single" w:sz="4" w:space="0" w:color="606072"/>
              <w:left w:val="dotted" w:sz="4" w:space="0" w:color="auto"/>
              <w:right w:val="single" w:sz="4" w:space="0" w:color="606072"/>
            </w:tcBorders>
            <w:shd w:val="clear" w:color="auto" w:fill="auto"/>
            <w:vAlign w:val="center"/>
          </w:tcPr>
          <w:p w14:paraId="5EB31FDE"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top w:val="single" w:sz="4" w:space="0" w:color="606072"/>
              <w:left w:val="nil"/>
              <w:right w:val="dotted" w:sz="4" w:space="0" w:color="auto"/>
            </w:tcBorders>
            <w:shd w:val="clear" w:color="000000" w:fill="F2F2F2"/>
            <w:noWrap/>
            <w:vAlign w:val="center"/>
          </w:tcPr>
          <w:p w14:paraId="18DA6C21" w14:textId="77777777" w:rsidR="00A6487C" w:rsidRPr="005060E0" w:rsidRDefault="00A6487C" w:rsidP="00A6487C">
            <w:pPr>
              <w:widowControl w:val="0"/>
              <w:spacing w:after="0" w:line="240" w:lineRule="auto"/>
              <w:jc w:val="center"/>
              <w:rPr>
                <w:rFonts w:ascii="Calibri" w:eastAsia="Times New Roman" w:hAnsi="Calibri" w:cs="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top w:val="single" w:sz="4" w:space="0" w:color="606072"/>
              <w:left w:val="dotted" w:sz="4" w:space="0" w:color="auto"/>
              <w:right w:val="dotted" w:sz="4" w:space="0" w:color="auto"/>
            </w:tcBorders>
            <w:shd w:val="clear" w:color="000000" w:fill="F2F2F2"/>
            <w:noWrap/>
            <w:vAlign w:val="center"/>
          </w:tcPr>
          <w:p w14:paraId="0E72F7B9" w14:textId="77777777" w:rsidR="00A6487C" w:rsidRPr="005060E0" w:rsidRDefault="00A6487C" w:rsidP="00A6487C">
            <w:pPr>
              <w:widowControl w:val="0"/>
              <w:spacing w:after="0" w:line="240" w:lineRule="auto"/>
              <w:jc w:val="center"/>
              <w:rPr>
                <w:rFonts w:ascii="Calibri" w:eastAsia="Times New Roman" w:hAnsi="Calibri" w:cs="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5" w:type="pct"/>
            <w:tcBorders>
              <w:top w:val="single" w:sz="4" w:space="0" w:color="606072"/>
              <w:left w:val="dotted" w:sz="4" w:space="0" w:color="auto"/>
              <w:right w:val="single" w:sz="4" w:space="0" w:color="606072"/>
            </w:tcBorders>
            <w:shd w:val="clear" w:color="000000" w:fill="F2F2F2"/>
            <w:noWrap/>
            <w:vAlign w:val="center"/>
          </w:tcPr>
          <w:p w14:paraId="6B961D7D" w14:textId="77777777" w:rsidR="00A6487C" w:rsidRPr="005060E0" w:rsidRDefault="00A6487C" w:rsidP="00A6487C">
            <w:pPr>
              <w:widowControl w:val="0"/>
              <w:spacing w:after="0" w:line="240" w:lineRule="auto"/>
              <w:jc w:val="center"/>
              <w:rPr>
                <w:rFonts w:ascii="Calibri" w:eastAsia="Times New Roman" w:hAnsi="Calibri" w:cs="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r>
      <w:tr w:rsidR="00A6487C" w:rsidRPr="005060E0" w14:paraId="7319369D" w14:textId="77777777" w:rsidTr="00A70751">
        <w:trPr>
          <w:trHeight w:hRule="exact" w:val="227"/>
        </w:trPr>
        <w:tc>
          <w:tcPr>
            <w:tcW w:w="704" w:type="pct"/>
            <w:vMerge/>
            <w:tcBorders>
              <w:top w:val="nil"/>
              <w:left w:val="single" w:sz="4" w:space="0" w:color="606072"/>
              <w:bottom w:val="single" w:sz="4" w:space="0" w:color="606072"/>
              <w:right w:val="single" w:sz="4" w:space="0" w:color="606072"/>
            </w:tcBorders>
            <w:vAlign w:val="center"/>
            <w:hideMark/>
          </w:tcPr>
          <w:p w14:paraId="1B2EA74C" w14:textId="77777777" w:rsidR="00A6487C" w:rsidRPr="005060E0" w:rsidRDefault="00A6487C" w:rsidP="00A6487C">
            <w:pPr>
              <w:widowControl w:val="0"/>
              <w:spacing w:after="0" w:line="240" w:lineRule="auto"/>
              <w:rPr>
                <w:rFonts w:eastAsia="Times New Roman"/>
                <w:sz w:val="16"/>
                <w:szCs w:val="16"/>
                <w:lang w:eastAsia="en-AU"/>
              </w:rPr>
            </w:pPr>
          </w:p>
        </w:tc>
        <w:tc>
          <w:tcPr>
            <w:tcW w:w="472" w:type="pct"/>
            <w:vMerge/>
            <w:tcBorders>
              <w:top w:val="nil"/>
              <w:left w:val="single" w:sz="4" w:space="0" w:color="606072"/>
              <w:bottom w:val="single" w:sz="4" w:space="0" w:color="606072"/>
              <w:right w:val="single" w:sz="4" w:space="0" w:color="606072"/>
            </w:tcBorders>
            <w:vAlign w:val="center"/>
          </w:tcPr>
          <w:p w14:paraId="67D4DE42" w14:textId="77777777" w:rsidR="00A6487C" w:rsidRPr="005060E0" w:rsidRDefault="00A6487C" w:rsidP="00A6487C">
            <w:pPr>
              <w:widowControl w:val="0"/>
              <w:spacing w:after="0" w:line="240" w:lineRule="auto"/>
              <w:rPr>
                <w:rFonts w:eastAsia="Times New Roman"/>
                <w:sz w:val="16"/>
                <w:szCs w:val="16"/>
                <w:lang w:eastAsia="en-AU"/>
              </w:rPr>
            </w:pPr>
          </w:p>
        </w:tc>
        <w:tc>
          <w:tcPr>
            <w:tcW w:w="983" w:type="pct"/>
            <w:tcBorders>
              <w:left w:val="nil"/>
              <w:bottom w:val="single" w:sz="4" w:space="0" w:color="606072"/>
              <w:right w:val="single" w:sz="4" w:space="0" w:color="606072"/>
            </w:tcBorders>
            <w:shd w:val="clear" w:color="000000" w:fill="F2F2F2"/>
            <w:tcMar>
              <w:left w:w="28" w:type="dxa"/>
              <w:right w:w="28" w:type="dxa"/>
            </w:tcMar>
            <w:vAlign w:val="center"/>
            <w:hideMark/>
          </w:tcPr>
          <w:p w14:paraId="6C5F6709" w14:textId="77777777" w:rsidR="00A6487C" w:rsidRPr="005060E0" w:rsidRDefault="00A6487C" w:rsidP="00A6487C">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Abatement Package</w:t>
            </w:r>
          </w:p>
        </w:tc>
        <w:tc>
          <w:tcPr>
            <w:tcW w:w="473" w:type="pct"/>
            <w:tcBorders>
              <w:left w:val="nil"/>
              <w:bottom w:val="single" w:sz="4" w:space="0" w:color="606072"/>
              <w:right w:val="dotted" w:sz="4" w:space="0" w:color="auto"/>
            </w:tcBorders>
            <w:shd w:val="clear" w:color="auto" w:fill="auto"/>
            <w:vAlign w:val="center"/>
          </w:tcPr>
          <w:p w14:paraId="2300B50A"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left w:val="dotted" w:sz="4" w:space="0" w:color="auto"/>
              <w:bottom w:val="single" w:sz="4" w:space="0" w:color="606072"/>
              <w:right w:val="dotted" w:sz="4" w:space="0" w:color="auto"/>
            </w:tcBorders>
            <w:shd w:val="clear" w:color="auto" w:fill="auto"/>
            <w:vAlign w:val="center"/>
          </w:tcPr>
          <w:p w14:paraId="6D2E0258"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4" w:type="pct"/>
            <w:tcBorders>
              <w:left w:val="dotted" w:sz="4" w:space="0" w:color="auto"/>
              <w:bottom w:val="single" w:sz="4" w:space="0" w:color="606072"/>
              <w:right w:val="single" w:sz="4" w:space="0" w:color="606072"/>
            </w:tcBorders>
            <w:shd w:val="clear" w:color="auto" w:fill="auto"/>
            <w:vAlign w:val="center"/>
          </w:tcPr>
          <w:p w14:paraId="191CCF46"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left w:val="nil"/>
              <w:bottom w:val="single" w:sz="4" w:space="0" w:color="606072"/>
              <w:right w:val="dotted" w:sz="4" w:space="0" w:color="auto"/>
            </w:tcBorders>
            <w:shd w:val="clear" w:color="auto" w:fill="auto"/>
            <w:vAlign w:val="center"/>
          </w:tcPr>
          <w:p w14:paraId="01487A17"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left w:val="dotted" w:sz="4" w:space="0" w:color="auto"/>
              <w:bottom w:val="single" w:sz="4" w:space="0" w:color="606072"/>
              <w:right w:val="dotted" w:sz="4" w:space="0" w:color="auto"/>
            </w:tcBorders>
            <w:shd w:val="clear" w:color="auto" w:fill="auto"/>
            <w:vAlign w:val="center"/>
          </w:tcPr>
          <w:p w14:paraId="548066AC"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5" w:type="pct"/>
            <w:tcBorders>
              <w:left w:val="dotted" w:sz="4" w:space="0" w:color="auto"/>
              <w:bottom w:val="single" w:sz="4" w:space="0" w:color="606072"/>
              <w:right w:val="single" w:sz="4" w:space="0" w:color="606072"/>
            </w:tcBorders>
            <w:shd w:val="clear" w:color="auto" w:fill="auto"/>
            <w:vAlign w:val="center"/>
          </w:tcPr>
          <w:p w14:paraId="5CEFB5AB"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r>
      <w:tr w:rsidR="00A6487C" w:rsidRPr="005060E0" w14:paraId="24C1785E" w14:textId="77777777" w:rsidTr="00A70751">
        <w:trPr>
          <w:trHeight w:val="283"/>
        </w:trPr>
        <w:tc>
          <w:tcPr>
            <w:tcW w:w="5000" w:type="pct"/>
            <w:gridSpan w:val="9"/>
            <w:tcBorders>
              <w:top w:val="single" w:sz="4" w:space="0" w:color="606072"/>
              <w:left w:val="single" w:sz="4" w:space="0" w:color="606072"/>
              <w:bottom w:val="single" w:sz="4" w:space="0" w:color="606072"/>
              <w:right w:val="single" w:sz="4" w:space="0" w:color="606072"/>
            </w:tcBorders>
            <w:shd w:val="clear" w:color="auto" w:fill="DEDFE3" w:themeFill="text2" w:themeFillTint="33"/>
            <w:vAlign w:val="center"/>
            <w:hideMark/>
          </w:tcPr>
          <w:p w14:paraId="2951088B" w14:textId="77777777" w:rsidR="00A6487C" w:rsidRPr="005060E0" w:rsidRDefault="00A6487C" w:rsidP="00A6487C">
            <w:pPr>
              <w:widowControl w:val="0"/>
              <w:spacing w:after="0" w:line="240" w:lineRule="auto"/>
              <w:rPr>
                <w:rFonts w:eastAsia="Times New Roman"/>
                <w:color w:val="000000"/>
                <w:sz w:val="16"/>
                <w:szCs w:val="16"/>
                <w:lang w:eastAsia="en-AU"/>
              </w:rPr>
            </w:pPr>
            <w:r w:rsidRPr="005060E0">
              <w:rPr>
                <w:rFonts w:eastAsia="Times New Roman"/>
                <w:color w:val="000000"/>
                <w:sz w:val="16"/>
                <w:szCs w:val="16"/>
                <w:lang w:eastAsia="en-AU"/>
              </w:rPr>
              <w:t>Hospital admissions for respiratory disease (65+ years)</w:t>
            </w:r>
          </w:p>
        </w:tc>
      </w:tr>
      <w:tr w:rsidR="00A6487C" w:rsidRPr="005060E0" w14:paraId="31DED3EF" w14:textId="77777777" w:rsidTr="00A70751">
        <w:trPr>
          <w:trHeight w:val="227"/>
        </w:trPr>
        <w:tc>
          <w:tcPr>
            <w:tcW w:w="704" w:type="pct"/>
            <w:vMerge w:val="restart"/>
            <w:tcBorders>
              <w:top w:val="single" w:sz="4" w:space="0" w:color="606072"/>
              <w:left w:val="single" w:sz="4" w:space="0" w:color="606072"/>
              <w:bottom w:val="single" w:sz="4" w:space="0" w:color="606072"/>
              <w:right w:val="single" w:sz="4" w:space="0" w:color="606072"/>
            </w:tcBorders>
            <w:shd w:val="clear" w:color="000000" w:fill="F2F2F2"/>
            <w:vAlign w:val="center"/>
          </w:tcPr>
          <w:p w14:paraId="2D3366A5" w14:textId="516AA856" w:rsidR="00A6487C" w:rsidRPr="005060E0" w:rsidRDefault="00A70751" w:rsidP="00A6487C">
            <w:pPr>
              <w:widowControl w:val="0"/>
              <w:spacing w:after="0" w:line="240" w:lineRule="auto"/>
              <w:rPr>
                <w:rFonts w:eastAsia="Times New Roman"/>
                <w:sz w:val="16"/>
                <w:szCs w:val="16"/>
                <w:lang w:eastAsia="en-AU"/>
              </w:rPr>
            </w:pPr>
            <w:r w:rsidRPr="005060E0">
              <w:rPr>
                <w:rFonts w:eastAsia="Times New Roman"/>
                <w:sz w:val="16"/>
                <w:szCs w:val="16"/>
                <w:lang w:eastAsia="en-AU"/>
              </w:rPr>
              <w:t>NSW and Victoria</w:t>
            </w:r>
          </w:p>
        </w:tc>
        <w:tc>
          <w:tcPr>
            <w:tcW w:w="472" w:type="pct"/>
            <w:vMerge w:val="restart"/>
            <w:tcBorders>
              <w:top w:val="single" w:sz="4" w:space="0" w:color="606072"/>
              <w:left w:val="nil"/>
              <w:bottom w:val="single" w:sz="4" w:space="0" w:color="606072"/>
              <w:right w:val="nil"/>
            </w:tcBorders>
            <w:shd w:val="clear" w:color="auto" w:fill="auto"/>
            <w:vAlign w:val="center"/>
          </w:tcPr>
          <w:p w14:paraId="27F5A022" w14:textId="3DE91AD2"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GB"/>
              </w:rPr>
              <w:t>82</w:t>
            </w:r>
          </w:p>
        </w:tc>
        <w:tc>
          <w:tcPr>
            <w:tcW w:w="983" w:type="pct"/>
            <w:tcBorders>
              <w:top w:val="single" w:sz="4" w:space="0" w:color="606072"/>
              <w:left w:val="single" w:sz="4" w:space="0" w:color="606072"/>
              <w:right w:val="single" w:sz="4" w:space="0" w:color="606072"/>
            </w:tcBorders>
            <w:shd w:val="clear" w:color="000000" w:fill="F2F2F2"/>
            <w:tcMar>
              <w:left w:w="28" w:type="dxa"/>
              <w:right w:w="28" w:type="dxa"/>
            </w:tcMar>
            <w:vAlign w:val="center"/>
            <w:hideMark/>
          </w:tcPr>
          <w:p w14:paraId="150D0A2D" w14:textId="77777777" w:rsidR="00A6487C" w:rsidRPr="005060E0" w:rsidRDefault="00A6487C" w:rsidP="00A6487C">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BAU</w:t>
            </w:r>
          </w:p>
        </w:tc>
        <w:tc>
          <w:tcPr>
            <w:tcW w:w="473" w:type="pct"/>
            <w:tcBorders>
              <w:top w:val="single" w:sz="4" w:space="0" w:color="606072"/>
              <w:left w:val="nil"/>
              <w:right w:val="dotted" w:sz="4" w:space="0" w:color="auto"/>
            </w:tcBorders>
            <w:shd w:val="clear" w:color="auto" w:fill="auto"/>
            <w:vAlign w:val="bottom"/>
          </w:tcPr>
          <w:p w14:paraId="304C2150" w14:textId="2A8701F6"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GB"/>
              </w:rPr>
              <w:t>60</w:t>
            </w:r>
          </w:p>
        </w:tc>
        <w:tc>
          <w:tcPr>
            <w:tcW w:w="473" w:type="pct"/>
            <w:tcBorders>
              <w:top w:val="single" w:sz="4" w:space="0" w:color="606072"/>
              <w:left w:val="dotted" w:sz="4" w:space="0" w:color="auto"/>
              <w:right w:val="dotted" w:sz="4" w:space="0" w:color="auto"/>
            </w:tcBorders>
            <w:shd w:val="clear" w:color="auto" w:fill="auto"/>
            <w:vAlign w:val="bottom"/>
          </w:tcPr>
          <w:p w14:paraId="73A6C00B" w14:textId="18630141"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GB"/>
              </w:rPr>
              <w:t>61</w:t>
            </w:r>
          </w:p>
        </w:tc>
        <w:tc>
          <w:tcPr>
            <w:tcW w:w="474" w:type="pct"/>
            <w:tcBorders>
              <w:top w:val="single" w:sz="4" w:space="0" w:color="606072"/>
              <w:left w:val="dotted" w:sz="4" w:space="0" w:color="auto"/>
              <w:right w:val="single" w:sz="4" w:space="0" w:color="606072"/>
            </w:tcBorders>
            <w:shd w:val="clear" w:color="auto" w:fill="auto"/>
            <w:vAlign w:val="bottom"/>
          </w:tcPr>
          <w:p w14:paraId="5F2258DC" w14:textId="2933C7A6"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GB"/>
              </w:rPr>
              <w:t>83</w:t>
            </w:r>
          </w:p>
        </w:tc>
        <w:tc>
          <w:tcPr>
            <w:tcW w:w="473" w:type="pct"/>
            <w:tcBorders>
              <w:top w:val="single" w:sz="4" w:space="0" w:color="606072"/>
              <w:left w:val="single" w:sz="4" w:space="0" w:color="606072"/>
              <w:right w:val="dotted" w:sz="4" w:space="0" w:color="auto"/>
            </w:tcBorders>
            <w:shd w:val="clear" w:color="auto" w:fill="DEDFE3" w:themeFill="text2" w:themeFillTint="33"/>
            <w:noWrap/>
            <w:vAlign w:val="center"/>
          </w:tcPr>
          <w:p w14:paraId="43B7DB4B" w14:textId="77777777" w:rsidR="00A6487C" w:rsidRPr="005060E0" w:rsidRDefault="00A6487C" w:rsidP="00A6487C">
            <w:pPr>
              <w:widowControl w:val="0"/>
              <w:spacing w:after="0" w:line="240" w:lineRule="auto"/>
              <w:jc w:val="center"/>
              <w:rPr>
                <w:rFonts w:ascii="Calibri" w:eastAsia="Times New Roman" w:hAnsi="Calibri" w:cs="Times New Roman"/>
                <w:sz w:val="16"/>
                <w:szCs w:val="16"/>
                <w:lang w:eastAsia="en-AU"/>
              </w:rPr>
            </w:pPr>
          </w:p>
        </w:tc>
        <w:tc>
          <w:tcPr>
            <w:tcW w:w="473" w:type="pct"/>
            <w:tcBorders>
              <w:top w:val="single" w:sz="4" w:space="0" w:color="606072"/>
              <w:left w:val="dotted" w:sz="4" w:space="0" w:color="auto"/>
              <w:right w:val="dotted" w:sz="4" w:space="0" w:color="auto"/>
            </w:tcBorders>
            <w:shd w:val="clear" w:color="auto" w:fill="DEDFE3" w:themeFill="text2" w:themeFillTint="33"/>
            <w:noWrap/>
            <w:vAlign w:val="center"/>
          </w:tcPr>
          <w:p w14:paraId="7F64B13F" w14:textId="77777777" w:rsidR="00A6487C" w:rsidRPr="005060E0" w:rsidRDefault="00A6487C" w:rsidP="00A6487C">
            <w:pPr>
              <w:widowControl w:val="0"/>
              <w:spacing w:after="0" w:line="240" w:lineRule="auto"/>
              <w:jc w:val="center"/>
              <w:rPr>
                <w:rFonts w:ascii="Calibri" w:eastAsia="Times New Roman" w:hAnsi="Calibri" w:cs="Times New Roman"/>
                <w:sz w:val="16"/>
                <w:szCs w:val="16"/>
                <w:lang w:eastAsia="en-AU"/>
              </w:rPr>
            </w:pPr>
          </w:p>
        </w:tc>
        <w:tc>
          <w:tcPr>
            <w:tcW w:w="475" w:type="pct"/>
            <w:tcBorders>
              <w:top w:val="single" w:sz="4" w:space="0" w:color="606072"/>
              <w:left w:val="dotted" w:sz="4" w:space="0" w:color="auto"/>
              <w:right w:val="single" w:sz="4" w:space="0" w:color="606072"/>
            </w:tcBorders>
            <w:shd w:val="clear" w:color="auto" w:fill="DEDFE3" w:themeFill="text2" w:themeFillTint="33"/>
            <w:noWrap/>
            <w:vAlign w:val="center"/>
          </w:tcPr>
          <w:p w14:paraId="54F0B865" w14:textId="77777777" w:rsidR="00A6487C" w:rsidRPr="005060E0" w:rsidRDefault="00A6487C" w:rsidP="00A6487C">
            <w:pPr>
              <w:widowControl w:val="0"/>
              <w:spacing w:after="0" w:line="240" w:lineRule="auto"/>
              <w:jc w:val="center"/>
              <w:rPr>
                <w:rFonts w:ascii="Calibri" w:eastAsia="Times New Roman" w:hAnsi="Calibri" w:cs="Times New Roman"/>
                <w:sz w:val="16"/>
                <w:szCs w:val="16"/>
                <w:lang w:eastAsia="en-AU"/>
              </w:rPr>
            </w:pPr>
          </w:p>
        </w:tc>
      </w:tr>
      <w:tr w:rsidR="00A6487C" w:rsidRPr="005060E0" w14:paraId="03EAC693" w14:textId="77777777" w:rsidTr="00A70751">
        <w:trPr>
          <w:trHeight w:val="227"/>
        </w:trPr>
        <w:tc>
          <w:tcPr>
            <w:tcW w:w="704" w:type="pct"/>
            <w:vMerge/>
            <w:tcBorders>
              <w:top w:val="single" w:sz="4" w:space="0" w:color="606072"/>
              <w:left w:val="single" w:sz="4" w:space="0" w:color="606072"/>
              <w:bottom w:val="single" w:sz="4" w:space="0" w:color="606072"/>
              <w:right w:val="single" w:sz="4" w:space="0" w:color="606072"/>
            </w:tcBorders>
            <w:vAlign w:val="center"/>
          </w:tcPr>
          <w:p w14:paraId="4C75381D" w14:textId="77777777" w:rsidR="00A6487C" w:rsidRPr="005060E0" w:rsidRDefault="00A6487C" w:rsidP="00A6487C">
            <w:pPr>
              <w:widowControl w:val="0"/>
              <w:spacing w:after="0" w:line="240" w:lineRule="auto"/>
              <w:rPr>
                <w:rFonts w:eastAsia="Times New Roman"/>
                <w:sz w:val="16"/>
                <w:szCs w:val="16"/>
                <w:lang w:eastAsia="en-AU"/>
              </w:rPr>
            </w:pPr>
          </w:p>
        </w:tc>
        <w:tc>
          <w:tcPr>
            <w:tcW w:w="472" w:type="pct"/>
            <w:vMerge/>
            <w:tcBorders>
              <w:top w:val="single" w:sz="4" w:space="0" w:color="606072"/>
              <w:left w:val="nil"/>
              <w:bottom w:val="single" w:sz="4" w:space="0" w:color="606072"/>
              <w:right w:val="nil"/>
            </w:tcBorders>
            <w:vAlign w:val="center"/>
          </w:tcPr>
          <w:p w14:paraId="47F68488" w14:textId="77777777" w:rsidR="00A6487C" w:rsidRPr="005060E0" w:rsidRDefault="00A6487C" w:rsidP="00A6487C">
            <w:pPr>
              <w:widowControl w:val="0"/>
              <w:spacing w:after="0" w:line="240" w:lineRule="auto"/>
              <w:rPr>
                <w:rFonts w:eastAsia="Times New Roman"/>
                <w:sz w:val="16"/>
                <w:szCs w:val="16"/>
                <w:lang w:eastAsia="en-AU"/>
              </w:rPr>
            </w:pPr>
          </w:p>
        </w:tc>
        <w:tc>
          <w:tcPr>
            <w:tcW w:w="983" w:type="pct"/>
            <w:tcBorders>
              <w:left w:val="single" w:sz="4" w:space="0" w:color="606072"/>
              <w:bottom w:val="single" w:sz="4" w:space="0" w:color="606072"/>
              <w:right w:val="single" w:sz="4" w:space="0" w:color="606072"/>
            </w:tcBorders>
            <w:shd w:val="clear" w:color="000000" w:fill="F2F2F2"/>
            <w:tcMar>
              <w:left w:w="28" w:type="dxa"/>
              <w:right w:w="28" w:type="dxa"/>
            </w:tcMar>
            <w:vAlign w:val="center"/>
            <w:hideMark/>
          </w:tcPr>
          <w:p w14:paraId="574720A2" w14:textId="77777777" w:rsidR="00A6487C" w:rsidRPr="005060E0" w:rsidRDefault="00A6487C" w:rsidP="00A6487C">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Abatement Package</w:t>
            </w:r>
          </w:p>
        </w:tc>
        <w:tc>
          <w:tcPr>
            <w:tcW w:w="473" w:type="pct"/>
            <w:tcBorders>
              <w:left w:val="nil"/>
              <w:bottom w:val="single" w:sz="4" w:space="0" w:color="606072"/>
              <w:right w:val="dotted" w:sz="4" w:space="0" w:color="auto"/>
            </w:tcBorders>
            <w:shd w:val="clear" w:color="auto" w:fill="auto"/>
            <w:vAlign w:val="bottom"/>
          </w:tcPr>
          <w:p w14:paraId="5EBBCEC7" w14:textId="427EE526"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GB"/>
              </w:rPr>
              <w:t>57</w:t>
            </w:r>
          </w:p>
        </w:tc>
        <w:tc>
          <w:tcPr>
            <w:tcW w:w="473" w:type="pct"/>
            <w:tcBorders>
              <w:left w:val="dotted" w:sz="4" w:space="0" w:color="auto"/>
              <w:bottom w:val="single" w:sz="4" w:space="0" w:color="606072"/>
              <w:right w:val="dotted" w:sz="4" w:space="0" w:color="auto"/>
            </w:tcBorders>
            <w:shd w:val="clear" w:color="auto" w:fill="auto"/>
            <w:vAlign w:val="bottom"/>
          </w:tcPr>
          <w:p w14:paraId="65F87FA8" w14:textId="1929C557"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GB"/>
              </w:rPr>
              <w:t>51</w:t>
            </w:r>
          </w:p>
        </w:tc>
        <w:tc>
          <w:tcPr>
            <w:tcW w:w="474" w:type="pct"/>
            <w:tcBorders>
              <w:left w:val="dotted" w:sz="4" w:space="0" w:color="auto"/>
              <w:bottom w:val="single" w:sz="4" w:space="0" w:color="606072"/>
              <w:right w:val="single" w:sz="4" w:space="0" w:color="606072"/>
            </w:tcBorders>
            <w:shd w:val="clear" w:color="auto" w:fill="auto"/>
            <w:vAlign w:val="bottom"/>
          </w:tcPr>
          <w:p w14:paraId="0946484B" w14:textId="7284489C"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GB"/>
              </w:rPr>
              <w:t>60</w:t>
            </w:r>
          </w:p>
        </w:tc>
        <w:tc>
          <w:tcPr>
            <w:tcW w:w="473" w:type="pct"/>
            <w:tcBorders>
              <w:left w:val="single" w:sz="4" w:space="0" w:color="606072"/>
              <w:bottom w:val="single" w:sz="4" w:space="0" w:color="606072"/>
              <w:right w:val="dotted" w:sz="4" w:space="0" w:color="auto"/>
            </w:tcBorders>
            <w:shd w:val="clear" w:color="auto" w:fill="auto"/>
            <w:vAlign w:val="bottom"/>
          </w:tcPr>
          <w:p w14:paraId="68502D2D" w14:textId="489BA419"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GB"/>
              </w:rPr>
              <w:t>3</w:t>
            </w:r>
          </w:p>
        </w:tc>
        <w:tc>
          <w:tcPr>
            <w:tcW w:w="473" w:type="pct"/>
            <w:tcBorders>
              <w:left w:val="dotted" w:sz="4" w:space="0" w:color="auto"/>
              <w:bottom w:val="single" w:sz="4" w:space="0" w:color="606072"/>
              <w:right w:val="dotted" w:sz="4" w:space="0" w:color="auto"/>
            </w:tcBorders>
            <w:shd w:val="clear" w:color="auto" w:fill="auto"/>
            <w:vAlign w:val="bottom"/>
          </w:tcPr>
          <w:p w14:paraId="66E1FF92" w14:textId="15F328F4"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GB"/>
              </w:rPr>
              <w:t>10</w:t>
            </w:r>
          </w:p>
        </w:tc>
        <w:tc>
          <w:tcPr>
            <w:tcW w:w="475" w:type="pct"/>
            <w:tcBorders>
              <w:left w:val="dotted" w:sz="4" w:space="0" w:color="auto"/>
              <w:bottom w:val="single" w:sz="4" w:space="0" w:color="606072"/>
              <w:right w:val="single" w:sz="4" w:space="0" w:color="606072"/>
            </w:tcBorders>
            <w:shd w:val="clear" w:color="auto" w:fill="auto"/>
            <w:vAlign w:val="bottom"/>
          </w:tcPr>
          <w:p w14:paraId="07167748" w14:textId="2C76D243"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GB"/>
              </w:rPr>
              <w:t>23</w:t>
            </w:r>
          </w:p>
        </w:tc>
      </w:tr>
      <w:tr w:rsidR="00A6487C" w:rsidRPr="005060E0" w14:paraId="770FB967" w14:textId="77777777" w:rsidTr="00A70751">
        <w:trPr>
          <w:trHeight w:val="227"/>
        </w:trPr>
        <w:tc>
          <w:tcPr>
            <w:tcW w:w="704" w:type="pct"/>
            <w:vMerge w:val="restart"/>
            <w:tcBorders>
              <w:top w:val="nil"/>
              <w:left w:val="single" w:sz="4" w:space="0" w:color="606072"/>
              <w:bottom w:val="single" w:sz="4" w:space="0" w:color="606072"/>
              <w:right w:val="single" w:sz="4" w:space="0" w:color="606072"/>
            </w:tcBorders>
            <w:shd w:val="clear" w:color="000000" w:fill="F2F2F2"/>
            <w:vAlign w:val="center"/>
          </w:tcPr>
          <w:p w14:paraId="60D09878" w14:textId="77777777" w:rsidR="00A6487C" w:rsidRPr="005060E0" w:rsidRDefault="00A6487C" w:rsidP="00A6487C">
            <w:pPr>
              <w:widowControl w:val="0"/>
              <w:spacing w:after="0" w:line="240" w:lineRule="auto"/>
              <w:rPr>
                <w:rFonts w:eastAsia="Times New Roman"/>
                <w:sz w:val="16"/>
                <w:szCs w:val="16"/>
                <w:lang w:eastAsia="en-AU"/>
              </w:rPr>
            </w:pPr>
            <w:r w:rsidRPr="005060E0">
              <w:rPr>
                <w:rFonts w:eastAsia="Times New Roman"/>
                <w:sz w:val="16"/>
                <w:szCs w:val="16"/>
                <w:lang w:eastAsia="en-AU"/>
              </w:rPr>
              <w:t>Other airsheds</w:t>
            </w:r>
          </w:p>
        </w:tc>
        <w:tc>
          <w:tcPr>
            <w:tcW w:w="472" w:type="pct"/>
            <w:vMerge w:val="restart"/>
            <w:tcBorders>
              <w:top w:val="nil"/>
              <w:left w:val="nil"/>
              <w:bottom w:val="single" w:sz="4" w:space="0" w:color="606072"/>
              <w:right w:val="nil"/>
            </w:tcBorders>
            <w:shd w:val="clear" w:color="auto" w:fill="auto"/>
            <w:vAlign w:val="center"/>
          </w:tcPr>
          <w:p w14:paraId="3D760DBC" w14:textId="5B4C485D" w:rsidR="00A6487C" w:rsidRPr="005060E0" w:rsidRDefault="00992225" w:rsidP="00A6487C">
            <w:pPr>
              <w:widowControl w:val="0"/>
              <w:spacing w:after="0" w:line="240" w:lineRule="auto"/>
              <w:jc w:val="center"/>
              <w:rPr>
                <w:rFonts w:eastAsia="Times New Roman"/>
                <w:sz w:val="16"/>
                <w:szCs w:val="16"/>
                <w:lang w:eastAsia="en-AU"/>
              </w:rPr>
            </w:pPr>
            <w:r w:rsidRPr="005060E0">
              <w:rPr>
                <w:rFonts w:eastAsia="Times New Roman"/>
                <w:sz w:val="16"/>
                <w:szCs w:val="16"/>
                <w:lang w:eastAsia="en-AU"/>
              </w:rPr>
              <w:t>25</w:t>
            </w:r>
          </w:p>
        </w:tc>
        <w:tc>
          <w:tcPr>
            <w:tcW w:w="983" w:type="pct"/>
            <w:tcBorders>
              <w:top w:val="nil"/>
              <w:left w:val="single" w:sz="4" w:space="0" w:color="606072"/>
              <w:right w:val="single" w:sz="4" w:space="0" w:color="606072"/>
            </w:tcBorders>
            <w:shd w:val="clear" w:color="000000" w:fill="F2F2F2"/>
            <w:tcMar>
              <w:left w:w="28" w:type="dxa"/>
              <w:right w:w="28" w:type="dxa"/>
            </w:tcMar>
            <w:vAlign w:val="center"/>
            <w:hideMark/>
          </w:tcPr>
          <w:p w14:paraId="74F9AC7A" w14:textId="77777777" w:rsidR="00A6487C" w:rsidRPr="005060E0" w:rsidRDefault="00A6487C" w:rsidP="00A6487C">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BAU</w:t>
            </w:r>
          </w:p>
        </w:tc>
        <w:tc>
          <w:tcPr>
            <w:tcW w:w="473" w:type="pct"/>
            <w:tcBorders>
              <w:top w:val="nil"/>
              <w:left w:val="nil"/>
              <w:right w:val="dotted" w:sz="4" w:space="0" w:color="auto"/>
            </w:tcBorders>
            <w:shd w:val="clear" w:color="auto" w:fill="auto"/>
            <w:vAlign w:val="center"/>
          </w:tcPr>
          <w:p w14:paraId="295AB397"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top w:val="nil"/>
              <w:left w:val="dotted" w:sz="4" w:space="0" w:color="auto"/>
              <w:right w:val="dotted" w:sz="4" w:space="0" w:color="auto"/>
            </w:tcBorders>
            <w:shd w:val="clear" w:color="auto" w:fill="auto"/>
            <w:vAlign w:val="center"/>
          </w:tcPr>
          <w:p w14:paraId="17A877A8"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4" w:type="pct"/>
            <w:tcBorders>
              <w:top w:val="nil"/>
              <w:left w:val="dotted" w:sz="4" w:space="0" w:color="auto"/>
              <w:right w:val="single" w:sz="4" w:space="0" w:color="606072"/>
            </w:tcBorders>
            <w:shd w:val="clear" w:color="auto" w:fill="auto"/>
            <w:vAlign w:val="center"/>
          </w:tcPr>
          <w:p w14:paraId="35032CAB"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top w:val="nil"/>
              <w:left w:val="single" w:sz="4" w:space="0" w:color="606072"/>
              <w:right w:val="dotted" w:sz="4" w:space="0" w:color="auto"/>
            </w:tcBorders>
            <w:shd w:val="clear" w:color="000000" w:fill="F2F2F2"/>
            <w:noWrap/>
            <w:vAlign w:val="center"/>
          </w:tcPr>
          <w:p w14:paraId="55D55E48" w14:textId="77777777" w:rsidR="00A6487C" w:rsidRPr="005060E0" w:rsidRDefault="00A6487C" w:rsidP="00A6487C">
            <w:pPr>
              <w:widowControl w:val="0"/>
              <w:spacing w:after="0" w:line="240" w:lineRule="auto"/>
              <w:jc w:val="center"/>
              <w:rPr>
                <w:rFonts w:ascii="Calibri" w:eastAsia="Times New Roman" w:hAnsi="Calibri" w:cs="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top w:val="nil"/>
              <w:left w:val="dotted" w:sz="4" w:space="0" w:color="auto"/>
              <w:right w:val="dotted" w:sz="4" w:space="0" w:color="auto"/>
            </w:tcBorders>
            <w:shd w:val="clear" w:color="000000" w:fill="F2F2F2"/>
            <w:noWrap/>
            <w:vAlign w:val="center"/>
          </w:tcPr>
          <w:p w14:paraId="758ED8E7" w14:textId="77777777" w:rsidR="00A6487C" w:rsidRPr="005060E0" w:rsidRDefault="00A6487C" w:rsidP="00A6487C">
            <w:pPr>
              <w:widowControl w:val="0"/>
              <w:spacing w:after="0" w:line="240" w:lineRule="auto"/>
              <w:jc w:val="center"/>
              <w:rPr>
                <w:rFonts w:ascii="Calibri" w:eastAsia="Times New Roman" w:hAnsi="Calibri" w:cs="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5" w:type="pct"/>
            <w:tcBorders>
              <w:top w:val="nil"/>
              <w:left w:val="dotted" w:sz="4" w:space="0" w:color="auto"/>
              <w:right w:val="single" w:sz="4" w:space="0" w:color="606072"/>
            </w:tcBorders>
            <w:shd w:val="clear" w:color="000000" w:fill="F2F2F2"/>
            <w:noWrap/>
            <w:vAlign w:val="center"/>
          </w:tcPr>
          <w:p w14:paraId="04241394" w14:textId="77777777" w:rsidR="00A6487C" w:rsidRPr="005060E0" w:rsidRDefault="00A6487C" w:rsidP="00A6487C">
            <w:pPr>
              <w:widowControl w:val="0"/>
              <w:spacing w:after="0" w:line="240" w:lineRule="auto"/>
              <w:jc w:val="center"/>
              <w:rPr>
                <w:rFonts w:ascii="Calibri" w:eastAsia="Times New Roman" w:hAnsi="Calibri" w:cs="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r>
      <w:tr w:rsidR="00A6487C" w:rsidRPr="005060E0" w14:paraId="124B4EED" w14:textId="77777777" w:rsidTr="00A70751">
        <w:trPr>
          <w:trHeight w:val="227"/>
        </w:trPr>
        <w:tc>
          <w:tcPr>
            <w:tcW w:w="704" w:type="pct"/>
            <w:vMerge/>
            <w:tcBorders>
              <w:top w:val="nil"/>
              <w:left w:val="single" w:sz="4" w:space="0" w:color="606072"/>
              <w:bottom w:val="single" w:sz="4" w:space="0" w:color="606072"/>
              <w:right w:val="single" w:sz="4" w:space="0" w:color="606072"/>
            </w:tcBorders>
            <w:vAlign w:val="center"/>
          </w:tcPr>
          <w:p w14:paraId="31489DCE" w14:textId="77777777" w:rsidR="00A6487C" w:rsidRPr="005060E0" w:rsidRDefault="00A6487C" w:rsidP="00A6487C">
            <w:pPr>
              <w:widowControl w:val="0"/>
              <w:spacing w:after="0" w:line="240" w:lineRule="auto"/>
              <w:rPr>
                <w:rFonts w:eastAsia="Times New Roman"/>
                <w:sz w:val="16"/>
                <w:szCs w:val="16"/>
                <w:lang w:eastAsia="en-AU"/>
              </w:rPr>
            </w:pPr>
          </w:p>
        </w:tc>
        <w:tc>
          <w:tcPr>
            <w:tcW w:w="472" w:type="pct"/>
            <w:vMerge/>
            <w:tcBorders>
              <w:top w:val="nil"/>
              <w:left w:val="nil"/>
              <w:bottom w:val="single" w:sz="4" w:space="0" w:color="606072"/>
              <w:right w:val="nil"/>
            </w:tcBorders>
            <w:vAlign w:val="center"/>
          </w:tcPr>
          <w:p w14:paraId="49DAA534" w14:textId="77777777" w:rsidR="00A6487C" w:rsidRPr="005060E0" w:rsidRDefault="00A6487C" w:rsidP="00A6487C">
            <w:pPr>
              <w:widowControl w:val="0"/>
              <w:spacing w:after="0" w:line="240" w:lineRule="auto"/>
              <w:rPr>
                <w:rFonts w:eastAsia="Times New Roman"/>
                <w:sz w:val="16"/>
                <w:szCs w:val="16"/>
                <w:lang w:eastAsia="en-AU"/>
              </w:rPr>
            </w:pPr>
          </w:p>
        </w:tc>
        <w:tc>
          <w:tcPr>
            <w:tcW w:w="983" w:type="pct"/>
            <w:tcBorders>
              <w:left w:val="single" w:sz="4" w:space="0" w:color="606072"/>
              <w:bottom w:val="single" w:sz="4" w:space="0" w:color="606072"/>
              <w:right w:val="single" w:sz="4" w:space="0" w:color="606072"/>
            </w:tcBorders>
            <w:shd w:val="clear" w:color="000000" w:fill="F2F2F2"/>
            <w:tcMar>
              <w:left w:w="28" w:type="dxa"/>
              <w:right w:w="28" w:type="dxa"/>
            </w:tcMar>
            <w:vAlign w:val="center"/>
            <w:hideMark/>
          </w:tcPr>
          <w:p w14:paraId="64008CA9" w14:textId="77777777" w:rsidR="00A6487C" w:rsidRPr="005060E0" w:rsidRDefault="00A6487C" w:rsidP="00A6487C">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Abatement Package</w:t>
            </w:r>
          </w:p>
        </w:tc>
        <w:tc>
          <w:tcPr>
            <w:tcW w:w="473" w:type="pct"/>
            <w:tcBorders>
              <w:left w:val="nil"/>
              <w:bottom w:val="single" w:sz="4" w:space="0" w:color="606072"/>
              <w:right w:val="dotted" w:sz="4" w:space="0" w:color="auto"/>
            </w:tcBorders>
            <w:shd w:val="clear" w:color="auto" w:fill="auto"/>
            <w:vAlign w:val="center"/>
          </w:tcPr>
          <w:p w14:paraId="04212842"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left w:val="dotted" w:sz="4" w:space="0" w:color="auto"/>
              <w:bottom w:val="single" w:sz="4" w:space="0" w:color="606072"/>
              <w:right w:val="dotted" w:sz="4" w:space="0" w:color="auto"/>
            </w:tcBorders>
            <w:shd w:val="clear" w:color="auto" w:fill="auto"/>
            <w:vAlign w:val="center"/>
          </w:tcPr>
          <w:p w14:paraId="07121EEE"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4" w:type="pct"/>
            <w:tcBorders>
              <w:left w:val="dotted" w:sz="4" w:space="0" w:color="auto"/>
              <w:bottom w:val="single" w:sz="4" w:space="0" w:color="606072"/>
              <w:right w:val="single" w:sz="4" w:space="0" w:color="606072"/>
            </w:tcBorders>
            <w:shd w:val="clear" w:color="auto" w:fill="auto"/>
            <w:vAlign w:val="center"/>
          </w:tcPr>
          <w:p w14:paraId="5D3957B7"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left w:val="nil"/>
              <w:bottom w:val="single" w:sz="4" w:space="0" w:color="606072"/>
              <w:right w:val="dotted" w:sz="4" w:space="0" w:color="auto"/>
            </w:tcBorders>
            <w:shd w:val="clear" w:color="auto" w:fill="auto"/>
            <w:vAlign w:val="center"/>
          </w:tcPr>
          <w:p w14:paraId="7BE6FDB7"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left w:val="dotted" w:sz="4" w:space="0" w:color="auto"/>
              <w:bottom w:val="single" w:sz="4" w:space="0" w:color="606072"/>
              <w:right w:val="dotted" w:sz="4" w:space="0" w:color="auto"/>
            </w:tcBorders>
            <w:shd w:val="clear" w:color="auto" w:fill="auto"/>
            <w:vAlign w:val="center"/>
          </w:tcPr>
          <w:p w14:paraId="67A04772"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5" w:type="pct"/>
            <w:tcBorders>
              <w:left w:val="dotted" w:sz="4" w:space="0" w:color="auto"/>
              <w:bottom w:val="single" w:sz="4" w:space="0" w:color="606072"/>
              <w:right w:val="single" w:sz="4" w:space="0" w:color="606072"/>
            </w:tcBorders>
            <w:shd w:val="clear" w:color="auto" w:fill="auto"/>
            <w:vAlign w:val="center"/>
          </w:tcPr>
          <w:p w14:paraId="0AE1C4E5"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r>
      <w:tr w:rsidR="00A6487C" w:rsidRPr="005060E0" w14:paraId="4A0023AA" w14:textId="77777777" w:rsidTr="00A70751">
        <w:trPr>
          <w:trHeight w:val="283"/>
        </w:trPr>
        <w:tc>
          <w:tcPr>
            <w:tcW w:w="5000" w:type="pct"/>
            <w:gridSpan w:val="9"/>
            <w:tcBorders>
              <w:top w:val="nil"/>
              <w:left w:val="single" w:sz="4" w:space="0" w:color="606072"/>
              <w:bottom w:val="single" w:sz="4" w:space="0" w:color="606072"/>
              <w:right w:val="single" w:sz="4" w:space="0" w:color="606072"/>
            </w:tcBorders>
            <w:shd w:val="clear" w:color="auto" w:fill="DEDFE3" w:themeFill="text2" w:themeFillTint="33"/>
            <w:vAlign w:val="center"/>
            <w:hideMark/>
          </w:tcPr>
          <w:p w14:paraId="6E1F8361" w14:textId="77777777" w:rsidR="00A6487C" w:rsidRPr="005060E0" w:rsidRDefault="00A6487C" w:rsidP="00A6487C">
            <w:pPr>
              <w:widowControl w:val="0"/>
              <w:spacing w:after="0" w:line="240" w:lineRule="auto"/>
              <w:rPr>
                <w:rFonts w:eastAsia="Times New Roman"/>
                <w:color w:val="000000"/>
                <w:sz w:val="16"/>
                <w:szCs w:val="16"/>
                <w:lang w:eastAsia="en-AU"/>
              </w:rPr>
            </w:pPr>
            <w:r w:rsidRPr="005060E0">
              <w:rPr>
                <w:rFonts w:eastAsia="Times New Roman"/>
                <w:color w:val="000000"/>
                <w:sz w:val="16"/>
                <w:szCs w:val="16"/>
                <w:lang w:eastAsia="en-AU"/>
              </w:rPr>
              <w:t>Emergency department visits for asthma (&lt;15 years)</w:t>
            </w:r>
          </w:p>
        </w:tc>
      </w:tr>
      <w:tr w:rsidR="00A6487C" w:rsidRPr="005060E0" w14:paraId="5A1A2805" w14:textId="77777777" w:rsidTr="00A70751">
        <w:trPr>
          <w:trHeight w:val="227"/>
        </w:trPr>
        <w:tc>
          <w:tcPr>
            <w:tcW w:w="704" w:type="pct"/>
            <w:vMerge w:val="restart"/>
            <w:tcBorders>
              <w:top w:val="nil"/>
              <w:left w:val="single" w:sz="4" w:space="0" w:color="606072"/>
              <w:bottom w:val="single" w:sz="4" w:space="0" w:color="606072"/>
              <w:right w:val="single" w:sz="4" w:space="0" w:color="606072"/>
            </w:tcBorders>
            <w:shd w:val="clear" w:color="000000" w:fill="F2F2F2"/>
            <w:vAlign w:val="center"/>
          </w:tcPr>
          <w:p w14:paraId="0264FB51" w14:textId="09254A5F" w:rsidR="00A6487C" w:rsidRPr="005060E0" w:rsidRDefault="00A70751" w:rsidP="00A6487C">
            <w:pPr>
              <w:widowControl w:val="0"/>
              <w:spacing w:after="0" w:line="240" w:lineRule="auto"/>
              <w:rPr>
                <w:rFonts w:eastAsia="Times New Roman"/>
                <w:sz w:val="16"/>
                <w:szCs w:val="16"/>
                <w:lang w:eastAsia="en-AU"/>
              </w:rPr>
            </w:pPr>
            <w:r w:rsidRPr="005060E0">
              <w:rPr>
                <w:rFonts w:eastAsia="Times New Roman"/>
                <w:sz w:val="16"/>
                <w:szCs w:val="16"/>
                <w:lang w:eastAsia="en-AU"/>
              </w:rPr>
              <w:t>NSW and Victoria</w:t>
            </w:r>
          </w:p>
        </w:tc>
        <w:tc>
          <w:tcPr>
            <w:tcW w:w="472" w:type="pct"/>
            <w:vMerge w:val="restart"/>
            <w:tcBorders>
              <w:top w:val="nil"/>
              <w:left w:val="single" w:sz="4" w:space="0" w:color="606072"/>
              <w:bottom w:val="single" w:sz="4" w:space="0" w:color="606072"/>
              <w:right w:val="single" w:sz="4" w:space="0" w:color="606072"/>
            </w:tcBorders>
            <w:shd w:val="clear" w:color="auto" w:fill="auto"/>
            <w:vAlign w:val="center"/>
          </w:tcPr>
          <w:p w14:paraId="7709FBA2" w14:textId="3EB86328"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GB"/>
              </w:rPr>
              <w:t>2344</w:t>
            </w:r>
          </w:p>
        </w:tc>
        <w:tc>
          <w:tcPr>
            <w:tcW w:w="983" w:type="pct"/>
            <w:tcBorders>
              <w:top w:val="nil"/>
              <w:left w:val="nil"/>
              <w:right w:val="single" w:sz="4" w:space="0" w:color="606072"/>
            </w:tcBorders>
            <w:shd w:val="clear" w:color="000000" w:fill="F2F2F2"/>
            <w:tcMar>
              <w:left w:w="28" w:type="dxa"/>
              <w:right w:w="28" w:type="dxa"/>
            </w:tcMar>
            <w:vAlign w:val="center"/>
            <w:hideMark/>
          </w:tcPr>
          <w:p w14:paraId="5507724F" w14:textId="77777777" w:rsidR="00A6487C" w:rsidRPr="005060E0" w:rsidRDefault="00A6487C" w:rsidP="00A6487C">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BAU</w:t>
            </w:r>
          </w:p>
        </w:tc>
        <w:tc>
          <w:tcPr>
            <w:tcW w:w="473" w:type="pct"/>
            <w:tcBorders>
              <w:top w:val="nil"/>
              <w:left w:val="nil"/>
              <w:right w:val="dotted" w:sz="4" w:space="0" w:color="auto"/>
            </w:tcBorders>
            <w:shd w:val="clear" w:color="auto" w:fill="auto"/>
            <w:vAlign w:val="center"/>
          </w:tcPr>
          <w:p w14:paraId="19B9263B" w14:textId="694CC702"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GB"/>
              </w:rPr>
              <w:t>2717</w:t>
            </w:r>
          </w:p>
        </w:tc>
        <w:tc>
          <w:tcPr>
            <w:tcW w:w="473" w:type="pct"/>
            <w:tcBorders>
              <w:top w:val="nil"/>
              <w:left w:val="dotted" w:sz="4" w:space="0" w:color="auto"/>
              <w:right w:val="dotted" w:sz="4" w:space="0" w:color="auto"/>
            </w:tcBorders>
            <w:shd w:val="clear" w:color="auto" w:fill="auto"/>
            <w:vAlign w:val="center"/>
          </w:tcPr>
          <w:p w14:paraId="6EFC5DA1" w14:textId="417B960E"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GB"/>
              </w:rPr>
              <w:t>2796</w:t>
            </w:r>
          </w:p>
        </w:tc>
        <w:tc>
          <w:tcPr>
            <w:tcW w:w="474" w:type="pct"/>
            <w:tcBorders>
              <w:top w:val="nil"/>
              <w:left w:val="dotted" w:sz="4" w:space="0" w:color="auto"/>
              <w:right w:val="single" w:sz="4" w:space="0" w:color="606072"/>
            </w:tcBorders>
            <w:shd w:val="clear" w:color="auto" w:fill="auto"/>
            <w:vAlign w:val="center"/>
          </w:tcPr>
          <w:p w14:paraId="62A0CC2B" w14:textId="3D387A5E"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GB"/>
              </w:rPr>
              <w:t>3748</w:t>
            </w:r>
          </w:p>
        </w:tc>
        <w:tc>
          <w:tcPr>
            <w:tcW w:w="473" w:type="pct"/>
            <w:tcBorders>
              <w:top w:val="nil"/>
              <w:left w:val="nil"/>
              <w:right w:val="dotted" w:sz="4" w:space="0" w:color="auto"/>
            </w:tcBorders>
            <w:shd w:val="clear" w:color="auto" w:fill="DEDFE3" w:themeFill="text2" w:themeFillTint="33"/>
            <w:noWrap/>
            <w:vAlign w:val="center"/>
          </w:tcPr>
          <w:p w14:paraId="4DC57000" w14:textId="77777777" w:rsidR="00A6487C" w:rsidRPr="005060E0" w:rsidRDefault="00A6487C" w:rsidP="00A6487C">
            <w:pPr>
              <w:widowControl w:val="0"/>
              <w:spacing w:after="0" w:line="240" w:lineRule="auto"/>
              <w:jc w:val="center"/>
              <w:rPr>
                <w:rFonts w:ascii="Calibri" w:eastAsia="Times New Roman" w:hAnsi="Calibri" w:cs="Times New Roman"/>
                <w:sz w:val="16"/>
                <w:szCs w:val="16"/>
                <w:lang w:eastAsia="en-AU"/>
              </w:rPr>
            </w:pPr>
          </w:p>
        </w:tc>
        <w:tc>
          <w:tcPr>
            <w:tcW w:w="473" w:type="pct"/>
            <w:tcBorders>
              <w:top w:val="nil"/>
              <w:left w:val="dotted" w:sz="4" w:space="0" w:color="auto"/>
              <w:right w:val="dotted" w:sz="4" w:space="0" w:color="auto"/>
            </w:tcBorders>
            <w:shd w:val="clear" w:color="auto" w:fill="DEDFE3" w:themeFill="text2" w:themeFillTint="33"/>
            <w:noWrap/>
            <w:vAlign w:val="center"/>
          </w:tcPr>
          <w:p w14:paraId="2A669CCC" w14:textId="77777777" w:rsidR="00A6487C" w:rsidRPr="005060E0" w:rsidRDefault="00A6487C" w:rsidP="00A6487C">
            <w:pPr>
              <w:widowControl w:val="0"/>
              <w:spacing w:after="0" w:line="240" w:lineRule="auto"/>
              <w:jc w:val="center"/>
              <w:rPr>
                <w:rFonts w:ascii="Calibri" w:eastAsia="Times New Roman" w:hAnsi="Calibri" w:cs="Times New Roman"/>
                <w:sz w:val="16"/>
                <w:szCs w:val="16"/>
                <w:lang w:eastAsia="en-AU"/>
              </w:rPr>
            </w:pPr>
          </w:p>
        </w:tc>
        <w:tc>
          <w:tcPr>
            <w:tcW w:w="475" w:type="pct"/>
            <w:tcBorders>
              <w:top w:val="nil"/>
              <w:left w:val="dotted" w:sz="4" w:space="0" w:color="auto"/>
              <w:right w:val="single" w:sz="4" w:space="0" w:color="606072"/>
            </w:tcBorders>
            <w:shd w:val="clear" w:color="auto" w:fill="DEDFE3" w:themeFill="text2" w:themeFillTint="33"/>
            <w:noWrap/>
            <w:vAlign w:val="center"/>
          </w:tcPr>
          <w:p w14:paraId="3D9A0E0F" w14:textId="77777777" w:rsidR="00A6487C" w:rsidRPr="005060E0" w:rsidRDefault="00A6487C" w:rsidP="00A6487C">
            <w:pPr>
              <w:widowControl w:val="0"/>
              <w:spacing w:after="0" w:line="240" w:lineRule="auto"/>
              <w:jc w:val="center"/>
              <w:rPr>
                <w:rFonts w:ascii="Calibri" w:eastAsia="Times New Roman" w:hAnsi="Calibri" w:cs="Times New Roman"/>
                <w:sz w:val="16"/>
                <w:szCs w:val="16"/>
                <w:lang w:eastAsia="en-AU"/>
              </w:rPr>
            </w:pPr>
          </w:p>
        </w:tc>
      </w:tr>
      <w:tr w:rsidR="00A6487C" w:rsidRPr="005060E0" w14:paraId="0A303108" w14:textId="77777777" w:rsidTr="00A70751">
        <w:trPr>
          <w:trHeight w:val="227"/>
        </w:trPr>
        <w:tc>
          <w:tcPr>
            <w:tcW w:w="704" w:type="pct"/>
            <w:vMerge/>
            <w:tcBorders>
              <w:top w:val="nil"/>
              <w:left w:val="single" w:sz="4" w:space="0" w:color="606072"/>
              <w:bottom w:val="single" w:sz="4" w:space="0" w:color="606072"/>
              <w:right w:val="single" w:sz="4" w:space="0" w:color="606072"/>
            </w:tcBorders>
            <w:vAlign w:val="center"/>
          </w:tcPr>
          <w:p w14:paraId="387E281A" w14:textId="77777777" w:rsidR="00A6487C" w:rsidRPr="005060E0" w:rsidRDefault="00A6487C" w:rsidP="00A6487C">
            <w:pPr>
              <w:widowControl w:val="0"/>
              <w:spacing w:after="0" w:line="240" w:lineRule="auto"/>
              <w:rPr>
                <w:rFonts w:eastAsia="Times New Roman"/>
                <w:sz w:val="16"/>
                <w:szCs w:val="16"/>
                <w:lang w:eastAsia="en-AU"/>
              </w:rPr>
            </w:pPr>
          </w:p>
        </w:tc>
        <w:tc>
          <w:tcPr>
            <w:tcW w:w="472" w:type="pct"/>
            <w:vMerge/>
            <w:tcBorders>
              <w:top w:val="nil"/>
              <w:left w:val="single" w:sz="4" w:space="0" w:color="606072"/>
              <w:bottom w:val="single" w:sz="4" w:space="0" w:color="606072"/>
              <w:right w:val="single" w:sz="4" w:space="0" w:color="606072"/>
            </w:tcBorders>
            <w:vAlign w:val="center"/>
          </w:tcPr>
          <w:p w14:paraId="5AD53094" w14:textId="77777777" w:rsidR="00A6487C" w:rsidRPr="005060E0" w:rsidRDefault="00A6487C" w:rsidP="00A6487C">
            <w:pPr>
              <w:widowControl w:val="0"/>
              <w:spacing w:after="0" w:line="240" w:lineRule="auto"/>
              <w:rPr>
                <w:rFonts w:eastAsia="Times New Roman"/>
                <w:sz w:val="16"/>
                <w:szCs w:val="16"/>
                <w:lang w:eastAsia="en-AU"/>
              </w:rPr>
            </w:pPr>
          </w:p>
        </w:tc>
        <w:tc>
          <w:tcPr>
            <w:tcW w:w="983" w:type="pct"/>
            <w:tcBorders>
              <w:left w:val="nil"/>
              <w:bottom w:val="single" w:sz="4" w:space="0" w:color="606072"/>
              <w:right w:val="single" w:sz="4" w:space="0" w:color="606072"/>
            </w:tcBorders>
            <w:shd w:val="clear" w:color="000000" w:fill="F2F2F2"/>
            <w:tcMar>
              <w:left w:w="28" w:type="dxa"/>
              <w:right w:w="28" w:type="dxa"/>
            </w:tcMar>
            <w:vAlign w:val="center"/>
            <w:hideMark/>
          </w:tcPr>
          <w:p w14:paraId="3FB59461" w14:textId="77777777" w:rsidR="00A6487C" w:rsidRPr="005060E0" w:rsidRDefault="00A6487C" w:rsidP="00A6487C">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Abatement Package</w:t>
            </w:r>
          </w:p>
        </w:tc>
        <w:tc>
          <w:tcPr>
            <w:tcW w:w="473" w:type="pct"/>
            <w:tcBorders>
              <w:left w:val="nil"/>
              <w:bottom w:val="single" w:sz="4" w:space="0" w:color="606072"/>
              <w:right w:val="dotted" w:sz="4" w:space="0" w:color="auto"/>
            </w:tcBorders>
            <w:shd w:val="clear" w:color="auto" w:fill="auto"/>
            <w:vAlign w:val="center"/>
          </w:tcPr>
          <w:p w14:paraId="340A1552" w14:textId="3ABB357A"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GB"/>
              </w:rPr>
              <w:t>2567</w:t>
            </w:r>
          </w:p>
        </w:tc>
        <w:tc>
          <w:tcPr>
            <w:tcW w:w="473" w:type="pct"/>
            <w:tcBorders>
              <w:left w:val="dotted" w:sz="4" w:space="0" w:color="auto"/>
              <w:bottom w:val="single" w:sz="4" w:space="0" w:color="606072"/>
              <w:right w:val="dotted" w:sz="4" w:space="0" w:color="auto"/>
            </w:tcBorders>
            <w:shd w:val="clear" w:color="auto" w:fill="auto"/>
            <w:vAlign w:val="center"/>
          </w:tcPr>
          <w:p w14:paraId="01E0BA98" w14:textId="3AFF4E2E"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GB"/>
              </w:rPr>
              <w:t>2324</w:t>
            </w:r>
          </w:p>
        </w:tc>
        <w:tc>
          <w:tcPr>
            <w:tcW w:w="474" w:type="pct"/>
            <w:tcBorders>
              <w:left w:val="dotted" w:sz="4" w:space="0" w:color="auto"/>
              <w:bottom w:val="single" w:sz="4" w:space="0" w:color="606072"/>
              <w:right w:val="single" w:sz="4" w:space="0" w:color="606072"/>
            </w:tcBorders>
            <w:shd w:val="clear" w:color="auto" w:fill="auto"/>
            <w:vAlign w:val="center"/>
          </w:tcPr>
          <w:p w14:paraId="2562F77E" w14:textId="6F6711C6"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GB"/>
              </w:rPr>
              <w:t>2710</w:t>
            </w:r>
          </w:p>
        </w:tc>
        <w:tc>
          <w:tcPr>
            <w:tcW w:w="473" w:type="pct"/>
            <w:tcBorders>
              <w:left w:val="nil"/>
              <w:bottom w:val="single" w:sz="4" w:space="0" w:color="606072"/>
              <w:right w:val="dotted" w:sz="4" w:space="0" w:color="auto"/>
            </w:tcBorders>
            <w:shd w:val="clear" w:color="auto" w:fill="auto"/>
            <w:vAlign w:val="center"/>
          </w:tcPr>
          <w:p w14:paraId="60BD5EF0" w14:textId="25DE23FB"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GB"/>
              </w:rPr>
              <w:t>150</w:t>
            </w:r>
          </w:p>
        </w:tc>
        <w:tc>
          <w:tcPr>
            <w:tcW w:w="473" w:type="pct"/>
            <w:tcBorders>
              <w:left w:val="dotted" w:sz="4" w:space="0" w:color="auto"/>
              <w:bottom w:val="single" w:sz="4" w:space="0" w:color="606072"/>
              <w:right w:val="dotted" w:sz="4" w:space="0" w:color="auto"/>
            </w:tcBorders>
            <w:shd w:val="clear" w:color="auto" w:fill="auto"/>
            <w:vAlign w:val="center"/>
          </w:tcPr>
          <w:p w14:paraId="5BEFF693" w14:textId="56172388"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GB"/>
              </w:rPr>
              <w:t>472</w:t>
            </w:r>
          </w:p>
        </w:tc>
        <w:tc>
          <w:tcPr>
            <w:tcW w:w="475" w:type="pct"/>
            <w:tcBorders>
              <w:left w:val="dotted" w:sz="4" w:space="0" w:color="auto"/>
              <w:bottom w:val="single" w:sz="4" w:space="0" w:color="606072"/>
              <w:right w:val="single" w:sz="4" w:space="0" w:color="606072"/>
            </w:tcBorders>
            <w:shd w:val="clear" w:color="auto" w:fill="auto"/>
            <w:vAlign w:val="center"/>
          </w:tcPr>
          <w:p w14:paraId="1FD359FE" w14:textId="50BAFFF5"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GB"/>
              </w:rPr>
              <w:t>1038</w:t>
            </w:r>
          </w:p>
        </w:tc>
      </w:tr>
      <w:tr w:rsidR="00A6487C" w:rsidRPr="005060E0" w14:paraId="0BE80481" w14:textId="77777777" w:rsidTr="00A70751">
        <w:trPr>
          <w:trHeight w:val="227"/>
        </w:trPr>
        <w:tc>
          <w:tcPr>
            <w:tcW w:w="704" w:type="pct"/>
            <w:vMerge w:val="restart"/>
            <w:tcBorders>
              <w:top w:val="nil"/>
              <w:left w:val="single" w:sz="4" w:space="0" w:color="606072"/>
              <w:bottom w:val="single" w:sz="4" w:space="0" w:color="606072"/>
              <w:right w:val="single" w:sz="4" w:space="0" w:color="606072"/>
            </w:tcBorders>
            <w:shd w:val="clear" w:color="000000" w:fill="F2F2F2"/>
            <w:vAlign w:val="center"/>
          </w:tcPr>
          <w:p w14:paraId="75D5A584" w14:textId="77777777" w:rsidR="00A6487C" w:rsidRPr="005060E0" w:rsidRDefault="00A6487C" w:rsidP="00A6487C">
            <w:pPr>
              <w:widowControl w:val="0"/>
              <w:spacing w:after="0" w:line="240" w:lineRule="auto"/>
              <w:rPr>
                <w:rFonts w:eastAsia="Times New Roman"/>
                <w:sz w:val="16"/>
                <w:szCs w:val="16"/>
                <w:lang w:eastAsia="en-AU"/>
              </w:rPr>
            </w:pPr>
            <w:r w:rsidRPr="005060E0">
              <w:rPr>
                <w:rFonts w:eastAsia="Times New Roman"/>
                <w:sz w:val="16"/>
                <w:szCs w:val="16"/>
                <w:lang w:eastAsia="en-AU"/>
              </w:rPr>
              <w:t>Other airsheds</w:t>
            </w:r>
          </w:p>
        </w:tc>
        <w:tc>
          <w:tcPr>
            <w:tcW w:w="472" w:type="pct"/>
            <w:vMerge w:val="restart"/>
            <w:tcBorders>
              <w:top w:val="nil"/>
              <w:left w:val="single" w:sz="4" w:space="0" w:color="606072"/>
              <w:bottom w:val="single" w:sz="4" w:space="0" w:color="606072"/>
              <w:right w:val="single" w:sz="4" w:space="0" w:color="606072"/>
            </w:tcBorders>
            <w:shd w:val="clear" w:color="auto" w:fill="auto"/>
            <w:vAlign w:val="center"/>
          </w:tcPr>
          <w:p w14:paraId="203BC033" w14:textId="1881057C" w:rsidR="00A6487C" w:rsidRPr="005060E0" w:rsidRDefault="00992225" w:rsidP="00A6487C">
            <w:pPr>
              <w:widowControl w:val="0"/>
              <w:spacing w:after="0" w:line="240" w:lineRule="auto"/>
              <w:jc w:val="center"/>
              <w:rPr>
                <w:rFonts w:eastAsia="Times New Roman"/>
                <w:sz w:val="16"/>
                <w:szCs w:val="16"/>
                <w:lang w:eastAsia="en-AU"/>
              </w:rPr>
            </w:pPr>
            <w:r w:rsidRPr="005060E0">
              <w:rPr>
                <w:rFonts w:eastAsia="Times New Roman"/>
                <w:sz w:val="16"/>
                <w:szCs w:val="16"/>
                <w:lang w:eastAsia="en-AU"/>
              </w:rPr>
              <w:t>650</w:t>
            </w:r>
          </w:p>
        </w:tc>
        <w:tc>
          <w:tcPr>
            <w:tcW w:w="983" w:type="pct"/>
            <w:tcBorders>
              <w:top w:val="nil"/>
              <w:left w:val="nil"/>
              <w:right w:val="single" w:sz="4" w:space="0" w:color="606072"/>
            </w:tcBorders>
            <w:shd w:val="clear" w:color="000000" w:fill="F2F2F2"/>
            <w:tcMar>
              <w:left w:w="28" w:type="dxa"/>
              <w:right w:w="28" w:type="dxa"/>
            </w:tcMar>
            <w:vAlign w:val="center"/>
            <w:hideMark/>
          </w:tcPr>
          <w:p w14:paraId="2F49391F" w14:textId="77777777" w:rsidR="00A6487C" w:rsidRPr="005060E0" w:rsidRDefault="00A6487C" w:rsidP="00A6487C">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BAU</w:t>
            </w:r>
          </w:p>
        </w:tc>
        <w:tc>
          <w:tcPr>
            <w:tcW w:w="473" w:type="pct"/>
            <w:tcBorders>
              <w:top w:val="nil"/>
              <w:left w:val="nil"/>
              <w:right w:val="dotted" w:sz="4" w:space="0" w:color="auto"/>
            </w:tcBorders>
            <w:shd w:val="clear" w:color="auto" w:fill="auto"/>
            <w:vAlign w:val="center"/>
          </w:tcPr>
          <w:p w14:paraId="272136E0"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top w:val="nil"/>
              <w:left w:val="dotted" w:sz="4" w:space="0" w:color="auto"/>
              <w:right w:val="dotted" w:sz="4" w:space="0" w:color="auto"/>
            </w:tcBorders>
            <w:shd w:val="clear" w:color="auto" w:fill="auto"/>
            <w:vAlign w:val="center"/>
          </w:tcPr>
          <w:p w14:paraId="4042F655"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4" w:type="pct"/>
            <w:tcBorders>
              <w:top w:val="nil"/>
              <w:left w:val="dotted" w:sz="4" w:space="0" w:color="auto"/>
              <w:right w:val="single" w:sz="4" w:space="0" w:color="606072"/>
            </w:tcBorders>
            <w:shd w:val="clear" w:color="auto" w:fill="auto"/>
            <w:vAlign w:val="center"/>
          </w:tcPr>
          <w:p w14:paraId="63F0F53E"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top w:val="nil"/>
              <w:left w:val="nil"/>
              <w:right w:val="dotted" w:sz="4" w:space="0" w:color="auto"/>
            </w:tcBorders>
            <w:shd w:val="clear" w:color="000000" w:fill="F2F2F2"/>
            <w:noWrap/>
            <w:vAlign w:val="center"/>
          </w:tcPr>
          <w:p w14:paraId="2DFD279D" w14:textId="77777777" w:rsidR="00A6487C" w:rsidRPr="005060E0" w:rsidRDefault="00A6487C" w:rsidP="00A6487C">
            <w:pPr>
              <w:widowControl w:val="0"/>
              <w:spacing w:after="0" w:line="240" w:lineRule="auto"/>
              <w:jc w:val="center"/>
              <w:rPr>
                <w:rFonts w:ascii="Calibri" w:eastAsia="Times New Roman" w:hAnsi="Calibri" w:cs="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top w:val="nil"/>
              <w:left w:val="dotted" w:sz="4" w:space="0" w:color="auto"/>
              <w:right w:val="dotted" w:sz="4" w:space="0" w:color="auto"/>
            </w:tcBorders>
            <w:shd w:val="clear" w:color="000000" w:fill="F2F2F2"/>
            <w:noWrap/>
            <w:vAlign w:val="center"/>
          </w:tcPr>
          <w:p w14:paraId="63E56E93" w14:textId="77777777" w:rsidR="00A6487C" w:rsidRPr="005060E0" w:rsidRDefault="00A6487C" w:rsidP="00A6487C">
            <w:pPr>
              <w:widowControl w:val="0"/>
              <w:spacing w:after="0" w:line="240" w:lineRule="auto"/>
              <w:jc w:val="center"/>
              <w:rPr>
                <w:rFonts w:ascii="Calibri" w:eastAsia="Times New Roman" w:hAnsi="Calibri" w:cs="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5" w:type="pct"/>
            <w:tcBorders>
              <w:top w:val="nil"/>
              <w:left w:val="dotted" w:sz="4" w:space="0" w:color="auto"/>
              <w:right w:val="single" w:sz="4" w:space="0" w:color="606072"/>
            </w:tcBorders>
            <w:shd w:val="clear" w:color="000000" w:fill="F2F2F2"/>
            <w:noWrap/>
            <w:vAlign w:val="center"/>
          </w:tcPr>
          <w:p w14:paraId="73CFF49C" w14:textId="77777777" w:rsidR="00A6487C" w:rsidRPr="005060E0" w:rsidRDefault="00A6487C" w:rsidP="00A6487C">
            <w:pPr>
              <w:widowControl w:val="0"/>
              <w:spacing w:after="0" w:line="240" w:lineRule="auto"/>
              <w:jc w:val="center"/>
              <w:rPr>
                <w:rFonts w:ascii="Calibri" w:eastAsia="Times New Roman" w:hAnsi="Calibri" w:cs="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r>
      <w:tr w:rsidR="00A6487C" w:rsidRPr="005060E0" w14:paraId="0424C6A3" w14:textId="77777777" w:rsidTr="00A70751">
        <w:trPr>
          <w:trHeight w:val="227"/>
        </w:trPr>
        <w:tc>
          <w:tcPr>
            <w:tcW w:w="704" w:type="pct"/>
            <w:vMerge/>
            <w:tcBorders>
              <w:top w:val="nil"/>
              <w:left w:val="single" w:sz="4" w:space="0" w:color="606072"/>
              <w:bottom w:val="single" w:sz="4" w:space="0" w:color="606072"/>
              <w:right w:val="single" w:sz="4" w:space="0" w:color="606072"/>
            </w:tcBorders>
            <w:vAlign w:val="center"/>
          </w:tcPr>
          <w:p w14:paraId="5F0177D7" w14:textId="77777777" w:rsidR="00A6487C" w:rsidRPr="005060E0" w:rsidRDefault="00A6487C" w:rsidP="00A6487C">
            <w:pPr>
              <w:widowControl w:val="0"/>
              <w:spacing w:after="0" w:line="240" w:lineRule="auto"/>
              <w:rPr>
                <w:rFonts w:eastAsia="Times New Roman"/>
                <w:sz w:val="16"/>
                <w:szCs w:val="16"/>
                <w:lang w:eastAsia="en-AU"/>
              </w:rPr>
            </w:pPr>
          </w:p>
        </w:tc>
        <w:tc>
          <w:tcPr>
            <w:tcW w:w="472" w:type="pct"/>
            <w:vMerge/>
            <w:tcBorders>
              <w:top w:val="nil"/>
              <w:left w:val="single" w:sz="4" w:space="0" w:color="606072"/>
              <w:bottom w:val="single" w:sz="4" w:space="0" w:color="606072"/>
              <w:right w:val="single" w:sz="4" w:space="0" w:color="606072"/>
            </w:tcBorders>
            <w:vAlign w:val="center"/>
          </w:tcPr>
          <w:p w14:paraId="565F6F09" w14:textId="77777777" w:rsidR="00A6487C" w:rsidRPr="005060E0" w:rsidRDefault="00A6487C" w:rsidP="00A6487C">
            <w:pPr>
              <w:widowControl w:val="0"/>
              <w:spacing w:after="0" w:line="240" w:lineRule="auto"/>
              <w:rPr>
                <w:rFonts w:eastAsia="Times New Roman"/>
                <w:sz w:val="16"/>
                <w:szCs w:val="16"/>
                <w:lang w:eastAsia="en-AU"/>
              </w:rPr>
            </w:pPr>
          </w:p>
        </w:tc>
        <w:tc>
          <w:tcPr>
            <w:tcW w:w="983" w:type="pct"/>
            <w:tcBorders>
              <w:left w:val="nil"/>
              <w:bottom w:val="single" w:sz="4" w:space="0" w:color="606072"/>
              <w:right w:val="single" w:sz="4" w:space="0" w:color="606072"/>
            </w:tcBorders>
            <w:shd w:val="clear" w:color="000000" w:fill="F2F2F2"/>
            <w:tcMar>
              <w:left w:w="28" w:type="dxa"/>
              <w:right w:w="28" w:type="dxa"/>
            </w:tcMar>
            <w:vAlign w:val="center"/>
            <w:hideMark/>
          </w:tcPr>
          <w:p w14:paraId="263396BF" w14:textId="77777777" w:rsidR="00A6487C" w:rsidRPr="005060E0" w:rsidRDefault="00A6487C" w:rsidP="00A6487C">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Abatement Package</w:t>
            </w:r>
          </w:p>
        </w:tc>
        <w:tc>
          <w:tcPr>
            <w:tcW w:w="473" w:type="pct"/>
            <w:tcBorders>
              <w:left w:val="nil"/>
              <w:bottom w:val="single" w:sz="4" w:space="0" w:color="606072"/>
              <w:right w:val="dotted" w:sz="4" w:space="0" w:color="auto"/>
            </w:tcBorders>
            <w:shd w:val="clear" w:color="auto" w:fill="auto"/>
            <w:vAlign w:val="center"/>
          </w:tcPr>
          <w:p w14:paraId="242AD523"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left w:val="dotted" w:sz="4" w:space="0" w:color="auto"/>
              <w:bottom w:val="single" w:sz="4" w:space="0" w:color="606072"/>
              <w:right w:val="dotted" w:sz="4" w:space="0" w:color="auto"/>
            </w:tcBorders>
            <w:shd w:val="clear" w:color="auto" w:fill="auto"/>
            <w:vAlign w:val="center"/>
          </w:tcPr>
          <w:p w14:paraId="1A3F5897"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4" w:type="pct"/>
            <w:tcBorders>
              <w:left w:val="dotted" w:sz="4" w:space="0" w:color="auto"/>
              <w:bottom w:val="single" w:sz="4" w:space="0" w:color="606072"/>
              <w:right w:val="single" w:sz="4" w:space="0" w:color="606072"/>
            </w:tcBorders>
            <w:shd w:val="clear" w:color="auto" w:fill="auto"/>
            <w:vAlign w:val="center"/>
          </w:tcPr>
          <w:p w14:paraId="0B36472A"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left w:val="single" w:sz="4" w:space="0" w:color="606072"/>
              <w:bottom w:val="single" w:sz="4" w:space="0" w:color="606072"/>
              <w:right w:val="dotted" w:sz="4" w:space="0" w:color="auto"/>
            </w:tcBorders>
            <w:shd w:val="clear" w:color="auto" w:fill="auto"/>
            <w:vAlign w:val="center"/>
          </w:tcPr>
          <w:p w14:paraId="3C54D37A"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left w:val="dotted" w:sz="4" w:space="0" w:color="auto"/>
              <w:bottom w:val="single" w:sz="4" w:space="0" w:color="606072"/>
              <w:right w:val="dotted" w:sz="4" w:space="0" w:color="auto"/>
            </w:tcBorders>
            <w:shd w:val="clear" w:color="auto" w:fill="auto"/>
            <w:vAlign w:val="center"/>
          </w:tcPr>
          <w:p w14:paraId="1D41B229"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5" w:type="pct"/>
            <w:tcBorders>
              <w:left w:val="dotted" w:sz="4" w:space="0" w:color="auto"/>
              <w:bottom w:val="single" w:sz="4" w:space="0" w:color="606072"/>
              <w:right w:val="single" w:sz="4" w:space="0" w:color="606072"/>
            </w:tcBorders>
            <w:shd w:val="clear" w:color="auto" w:fill="auto"/>
            <w:vAlign w:val="center"/>
          </w:tcPr>
          <w:p w14:paraId="7C5C8344"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r>
      <w:tr w:rsidR="00A6487C" w:rsidRPr="005060E0" w14:paraId="49E36260" w14:textId="77777777" w:rsidTr="00A70751">
        <w:trPr>
          <w:trHeight w:val="283"/>
        </w:trPr>
        <w:tc>
          <w:tcPr>
            <w:tcW w:w="5000" w:type="pct"/>
            <w:gridSpan w:val="9"/>
            <w:tcBorders>
              <w:top w:val="single" w:sz="4" w:space="0" w:color="606072"/>
              <w:left w:val="single" w:sz="4" w:space="0" w:color="606072"/>
              <w:bottom w:val="single" w:sz="4" w:space="0" w:color="606072"/>
              <w:right w:val="single" w:sz="4" w:space="0" w:color="606072"/>
            </w:tcBorders>
            <w:shd w:val="clear" w:color="auto" w:fill="DEDFE3" w:themeFill="text2" w:themeFillTint="33"/>
            <w:vAlign w:val="center"/>
          </w:tcPr>
          <w:p w14:paraId="00835869" w14:textId="192A4156" w:rsidR="00A6487C" w:rsidRPr="005060E0" w:rsidRDefault="00A6487C" w:rsidP="00A6487C">
            <w:pPr>
              <w:widowControl w:val="0"/>
              <w:spacing w:after="0" w:line="240" w:lineRule="auto"/>
              <w:rPr>
                <w:rFonts w:eastAsia="Times New Roman"/>
                <w:color w:val="808080" w:themeColor="background1" w:themeShade="80"/>
                <w:sz w:val="16"/>
                <w:szCs w:val="16"/>
                <w:lang w:eastAsia="en-AU"/>
              </w:rPr>
            </w:pPr>
            <w:r w:rsidRPr="005060E0">
              <w:rPr>
                <w:rFonts w:eastAsia="Times New Roman" w:cs="Arial"/>
                <w:color w:val="000000"/>
                <w:sz w:val="16"/>
                <w:szCs w:val="16"/>
                <w:lang w:eastAsia="en-GB"/>
              </w:rPr>
              <w:t>Hospital admissions, respiratory (65+ years)</w:t>
            </w:r>
          </w:p>
        </w:tc>
      </w:tr>
      <w:tr w:rsidR="00A6487C" w:rsidRPr="005060E0" w14:paraId="069B1FD9" w14:textId="77777777" w:rsidTr="00A70751">
        <w:trPr>
          <w:trHeight w:val="227"/>
        </w:trPr>
        <w:tc>
          <w:tcPr>
            <w:tcW w:w="704" w:type="pct"/>
            <w:vMerge w:val="restart"/>
            <w:tcBorders>
              <w:top w:val="single" w:sz="4" w:space="0" w:color="606072"/>
              <w:left w:val="single" w:sz="4" w:space="0" w:color="606072"/>
              <w:right w:val="single" w:sz="4" w:space="0" w:color="606072"/>
            </w:tcBorders>
            <w:shd w:val="clear" w:color="auto" w:fill="F2F2F2" w:themeFill="background1" w:themeFillShade="F2"/>
            <w:vAlign w:val="center"/>
          </w:tcPr>
          <w:p w14:paraId="3341E4FD" w14:textId="0FA93FEC" w:rsidR="00A6487C" w:rsidRPr="005060E0" w:rsidRDefault="00A70751" w:rsidP="00A6487C">
            <w:pPr>
              <w:widowControl w:val="0"/>
              <w:spacing w:after="0" w:line="240" w:lineRule="auto"/>
              <w:rPr>
                <w:rFonts w:eastAsia="Times New Roman"/>
                <w:sz w:val="16"/>
                <w:szCs w:val="16"/>
                <w:lang w:eastAsia="en-AU"/>
              </w:rPr>
            </w:pPr>
            <w:r w:rsidRPr="005060E0">
              <w:rPr>
                <w:rFonts w:eastAsia="Times New Roman"/>
                <w:sz w:val="16"/>
                <w:szCs w:val="16"/>
                <w:lang w:eastAsia="en-AU"/>
              </w:rPr>
              <w:t>NSW and Victoria</w:t>
            </w:r>
          </w:p>
        </w:tc>
        <w:tc>
          <w:tcPr>
            <w:tcW w:w="472" w:type="pct"/>
            <w:vMerge w:val="restart"/>
            <w:tcBorders>
              <w:top w:val="single" w:sz="4" w:space="0" w:color="606072"/>
              <w:left w:val="single" w:sz="4" w:space="0" w:color="606072"/>
              <w:right w:val="single" w:sz="4" w:space="0" w:color="606072"/>
            </w:tcBorders>
            <w:vAlign w:val="center"/>
          </w:tcPr>
          <w:p w14:paraId="01FA7C8E" w14:textId="6FB99626"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GB"/>
              </w:rPr>
              <w:t>1326</w:t>
            </w:r>
          </w:p>
        </w:tc>
        <w:tc>
          <w:tcPr>
            <w:tcW w:w="983" w:type="pct"/>
            <w:tcBorders>
              <w:top w:val="single" w:sz="4" w:space="0" w:color="606072"/>
              <w:left w:val="nil"/>
              <w:right w:val="single" w:sz="4" w:space="0" w:color="606072"/>
            </w:tcBorders>
            <w:shd w:val="clear" w:color="000000" w:fill="F2F2F2"/>
            <w:tcMar>
              <w:left w:w="28" w:type="dxa"/>
              <w:right w:w="28" w:type="dxa"/>
            </w:tcMar>
            <w:vAlign w:val="center"/>
          </w:tcPr>
          <w:p w14:paraId="0189015F" w14:textId="3AD901C8" w:rsidR="00A6487C" w:rsidRPr="005060E0" w:rsidRDefault="00A6487C" w:rsidP="00A6487C">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BAU</w:t>
            </w:r>
          </w:p>
        </w:tc>
        <w:tc>
          <w:tcPr>
            <w:tcW w:w="473" w:type="pct"/>
            <w:tcBorders>
              <w:top w:val="single" w:sz="4" w:space="0" w:color="606072"/>
              <w:left w:val="nil"/>
              <w:right w:val="dotted" w:sz="4" w:space="0" w:color="auto"/>
            </w:tcBorders>
            <w:shd w:val="clear" w:color="auto" w:fill="auto"/>
            <w:vAlign w:val="bottom"/>
          </w:tcPr>
          <w:p w14:paraId="00064C52" w14:textId="07C3D500"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s="Arial"/>
                <w:color w:val="000000"/>
                <w:sz w:val="16"/>
                <w:szCs w:val="16"/>
                <w:lang w:eastAsia="en-GB"/>
              </w:rPr>
              <w:t>1535</w:t>
            </w:r>
          </w:p>
        </w:tc>
        <w:tc>
          <w:tcPr>
            <w:tcW w:w="473" w:type="pct"/>
            <w:tcBorders>
              <w:top w:val="single" w:sz="4" w:space="0" w:color="606072"/>
              <w:left w:val="dotted" w:sz="4" w:space="0" w:color="auto"/>
              <w:right w:val="dotted" w:sz="4" w:space="0" w:color="auto"/>
            </w:tcBorders>
            <w:shd w:val="clear" w:color="auto" w:fill="auto"/>
            <w:vAlign w:val="bottom"/>
          </w:tcPr>
          <w:p w14:paraId="0CAA8FBF" w14:textId="7ECF1FDD"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s="Arial"/>
                <w:color w:val="000000"/>
                <w:sz w:val="16"/>
                <w:szCs w:val="16"/>
                <w:lang w:eastAsia="en-GB"/>
              </w:rPr>
              <w:t>1578</w:t>
            </w:r>
          </w:p>
        </w:tc>
        <w:tc>
          <w:tcPr>
            <w:tcW w:w="474" w:type="pct"/>
            <w:tcBorders>
              <w:top w:val="single" w:sz="4" w:space="0" w:color="606072"/>
              <w:left w:val="dotted" w:sz="4" w:space="0" w:color="auto"/>
              <w:right w:val="single" w:sz="4" w:space="0" w:color="606072"/>
            </w:tcBorders>
            <w:shd w:val="clear" w:color="auto" w:fill="auto"/>
            <w:vAlign w:val="bottom"/>
          </w:tcPr>
          <w:p w14:paraId="06594E51" w14:textId="6B064A55"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s="Arial"/>
                <w:color w:val="000000"/>
                <w:sz w:val="16"/>
                <w:szCs w:val="16"/>
                <w:lang w:eastAsia="en-GB"/>
              </w:rPr>
              <w:t>2119</w:t>
            </w:r>
          </w:p>
        </w:tc>
        <w:tc>
          <w:tcPr>
            <w:tcW w:w="473" w:type="pct"/>
            <w:tcBorders>
              <w:top w:val="single" w:sz="4" w:space="0" w:color="606072"/>
              <w:left w:val="single" w:sz="4" w:space="0" w:color="606072"/>
              <w:right w:val="dotted" w:sz="4" w:space="0" w:color="auto"/>
            </w:tcBorders>
            <w:shd w:val="clear" w:color="auto" w:fill="DEDFE3" w:themeFill="text2" w:themeFillTint="33"/>
            <w:vAlign w:val="bottom"/>
          </w:tcPr>
          <w:p w14:paraId="2B1E1C88" w14:textId="1C5FE5BF"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p>
        </w:tc>
        <w:tc>
          <w:tcPr>
            <w:tcW w:w="473" w:type="pct"/>
            <w:tcBorders>
              <w:top w:val="single" w:sz="4" w:space="0" w:color="606072"/>
              <w:left w:val="dotted" w:sz="4" w:space="0" w:color="auto"/>
              <w:right w:val="dotted" w:sz="4" w:space="0" w:color="auto"/>
            </w:tcBorders>
            <w:shd w:val="clear" w:color="auto" w:fill="DEDFE3" w:themeFill="text2" w:themeFillTint="33"/>
            <w:vAlign w:val="bottom"/>
          </w:tcPr>
          <w:p w14:paraId="3D3957D9" w14:textId="73DA64F4"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p>
        </w:tc>
        <w:tc>
          <w:tcPr>
            <w:tcW w:w="475" w:type="pct"/>
            <w:tcBorders>
              <w:top w:val="single" w:sz="4" w:space="0" w:color="606072"/>
              <w:left w:val="dotted" w:sz="4" w:space="0" w:color="auto"/>
              <w:right w:val="single" w:sz="4" w:space="0" w:color="606072"/>
            </w:tcBorders>
            <w:shd w:val="clear" w:color="auto" w:fill="DEDFE3" w:themeFill="text2" w:themeFillTint="33"/>
            <w:vAlign w:val="bottom"/>
          </w:tcPr>
          <w:p w14:paraId="5BEBF822" w14:textId="60B3FC14"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p>
        </w:tc>
      </w:tr>
      <w:tr w:rsidR="00A6487C" w:rsidRPr="005060E0" w14:paraId="08250D33" w14:textId="77777777" w:rsidTr="00A70751">
        <w:trPr>
          <w:trHeight w:val="227"/>
        </w:trPr>
        <w:tc>
          <w:tcPr>
            <w:tcW w:w="704" w:type="pct"/>
            <w:vMerge/>
            <w:tcBorders>
              <w:left w:val="single" w:sz="4" w:space="0" w:color="606072"/>
              <w:bottom w:val="single" w:sz="4" w:space="0" w:color="606072"/>
              <w:right w:val="single" w:sz="4" w:space="0" w:color="606072"/>
            </w:tcBorders>
            <w:shd w:val="clear" w:color="auto" w:fill="F2F2F2" w:themeFill="background1" w:themeFillShade="F2"/>
            <w:vAlign w:val="center"/>
          </w:tcPr>
          <w:p w14:paraId="0821861A" w14:textId="77777777" w:rsidR="00A6487C" w:rsidRPr="005060E0" w:rsidRDefault="00A6487C" w:rsidP="00A6487C">
            <w:pPr>
              <w:widowControl w:val="0"/>
              <w:spacing w:after="0" w:line="240" w:lineRule="auto"/>
              <w:rPr>
                <w:rFonts w:eastAsia="Times New Roman"/>
                <w:sz w:val="16"/>
                <w:szCs w:val="16"/>
                <w:lang w:eastAsia="en-AU"/>
              </w:rPr>
            </w:pPr>
          </w:p>
        </w:tc>
        <w:tc>
          <w:tcPr>
            <w:tcW w:w="472" w:type="pct"/>
            <w:vMerge/>
            <w:tcBorders>
              <w:left w:val="single" w:sz="4" w:space="0" w:color="606072"/>
              <w:bottom w:val="single" w:sz="4" w:space="0" w:color="606072"/>
              <w:right w:val="single" w:sz="4" w:space="0" w:color="606072"/>
            </w:tcBorders>
            <w:vAlign w:val="center"/>
          </w:tcPr>
          <w:p w14:paraId="092244C0" w14:textId="77777777" w:rsidR="00A6487C" w:rsidRPr="005060E0" w:rsidRDefault="00A6487C" w:rsidP="00A6487C">
            <w:pPr>
              <w:widowControl w:val="0"/>
              <w:spacing w:after="0" w:line="240" w:lineRule="auto"/>
              <w:rPr>
                <w:rFonts w:eastAsia="Times New Roman"/>
                <w:sz w:val="16"/>
                <w:szCs w:val="16"/>
                <w:lang w:eastAsia="en-AU"/>
              </w:rPr>
            </w:pPr>
          </w:p>
        </w:tc>
        <w:tc>
          <w:tcPr>
            <w:tcW w:w="983" w:type="pct"/>
            <w:tcBorders>
              <w:left w:val="nil"/>
              <w:bottom w:val="single" w:sz="4" w:space="0" w:color="606072"/>
              <w:right w:val="single" w:sz="4" w:space="0" w:color="606072"/>
            </w:tcBorders>
            <w:shd w:val="clear" w:color="000000" w:fill="F2F2F2"/>
            <w:tcMar>
              <w:left w:w="28" w:type="dxa"/>
              <w:right w:w="28" w:type="dxa"/>
            </w:tcMar>
            <w:vAlign w:val="center"/>
          </w:tcPr>
          <w:p w14:paraId="02B44129" w14:textId="32262921" w:rsidR="00A6487C" w:rsidRPr="005060E0" w:rsidRDefault="00A6487C" w:rsidP="00A6487C">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Abatement Package</w:t>
            </w:r>
          </w:p>
        </w:tc>
        <w:tc>
          <w:tcPr>
            <w:tcW w:w="473" w:type="pct"/>
            <w:tcBorders>
              <w:left w:val="nil"/>
              <w:bottom w:val="single" w:sz="4" w:space="0" w:color="606072"/>
              <w:right w:val="dotted" w:sz="4" w:space="0" w:color="auto"/>
            </w:tcBorders>
            <w:shd w:val="clear" w:color="auto" w:fill="auto"/>
            <w:vAlign w:val="bottom"/>
          </w:tcPr>
          <w:p w14:paraId="58347957" w14:textId="6B5E9231"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s="Arial"/>
                <w:color w:val="000000"/>
                <w:sz w:val="16"/>
                <w:szCs w:val="16"/>
                <w:lang w:eastAsia="en-GB"/>
              </w:rPr>
              <w:t>1450</w:t>
            </w:r>
          </w:p>
        </w:tc>
        <w:tc>
          <w:tcPr>
            <w:tcW w:w="473" w:type="pct"/>
            <w:tcBorders>
              <w:left w:val="dotted" w:sz="4" w:space="0" w:color="auto"/>
              <w:bottom w:val="single" w:sz="4" w:space="0" w:color="606072"/>
              <w:right w:val="dotted" w:sz="4" w:space="0" w:color="auto"/>
            </w:tcBorders>
            <w:shd w:val="clear" w:color="auto" w:fill="auto"/>
            <w:vAlign w:val="bottom"/>
          </w:tcPr>
          <w:p w14:paraId="701FE854" w14:textId="261B509F"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s="Arial"/>
                <w:color w:val="000000"/>
                <w:sz w:val="16"/>
                <w:szCs w:val="16"/>
                <w:lang w:eastAsia="en-GB"/>
              </w:rPr>
              <w:t>1313</w:t>
            </w:r>
          </w:p>
        </w:tc>
        <w:tc>
          <w:tcPr>
            <w:tcW w:w="474" w:type="pct"/>
            <w:tcBorders>
              <w:left w:val="dotted" w:sz="4" w:space="0" w:color="auto"/>
              <w:bottom w:val="single" w:sz="4" w:space="0" w:color="606072"/>
              <w:right w:val="single" w:sz="4" w:space="0" w:color="606072"/>
            </w:tcBorders>
            <w:shd w:val="clear" w:color="auto" w:fill="auto"/>
            <w:vAlign w:val="bottom"/>
          </w:tcPr>
          <w:p w14:paraId="1320DAAD" w14:textId="00F0B01E"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s="Arial"/>
                <w:color w:val="000000"/>
                <w:sz w:val="16"/>
                <w:szCs w:val="16"/>
                <w:lang w:eastAsia="en-GB"/>
              </w:rPr>
              <w:t>1532</w:t>
            </w:r>
          </w:p>
        </w:tc>
        <w:tc>
          <w:tcPr>
            <w:tcW w:w="473" w:type="pct"/>
            <w:tcBorders>
              <w:left w:val="single" w:sz="4" w:space="0" w:color="606072"/>
              <w:bottom w:val="single" w:sz="4" w:space="0" w:color="606072"/>
              <w:right w:val="dotted" w:sz="4" w:space="0" w:color="auto"/>
            </w:tcBorders>
            <w:shd w:val="clear" w:color="auto" w:fill="auto"/>
            <w:vAlign w:val="bottom"/>
          </w:tcPr>
          <w:p w14:paraId="6E71D192" w14:textId="5C6D6B38"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s="Arial"/>
                <w:color w:val="000000"/>
                <w:sz w:val="16"/>
                <w:szCs w:val="16"/>
                <w:lang w:eastAsia="en-GB"/>
              </w:rPr>
              <w:t>85</w:t>
            </w:r>
          </w:p>
        </w:tc>
        <w:tc>
          <w:tcPr>
            <w:tcW w:w="473" w:type="pct"/>
            <w:tcBorders>
              <w:left w:val="dotted" w:sz="4" w:space="0" w:color="auto"/>
              <w:bottom w:val="single" w:sz="4" w:space="0" w:color="606072"/>
              <w:right w:val="dotted" w:sz="4" w:space="0" w:color="auto"/>
            </w:tcBorders>
            <w:shd w:val="clear" w:color="auto" w:fill="auto"/>
            <w:vAlign w:val="bottom"/>
          </w:tcPr>
          <w:p w14:paraId="1F81CD1F" w14:textId="6CB7262C"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s="Arial"/>
                <w:color w:val="000000"/>
                <w:sz w:val="16"/>
                <w:szCs w:val="16"/>
                <w:lang w:eastAsia="en-GB"/>
              </w:rPr>
              <w:t>265</w:t>
            </w:r>
          </w:p>
        </w:tc>
        <w:tc>
          <w:tcPr>
            <w:tcW w:w="475" w:type="pct"/>
            <w:tcBorders>
              <w:left w:val="dotted" w:sz="4" w:space="0" w:color="auto"/>
              <w:bottom w:val="single" w:sz="4" w:space="0" w:color="606072"/>
              <w:right w:val="single" w:sz="4" w:space="0" w:color="606072"/>
            </w:tcBorders>
            <w:shd w:val="clear" w:color="auto" w:fill="auto"/>
            <w:vAlign w:val="bottom"/>
          </w:tcPr>
          <w:p w14:paraId="51A6D422" w14:textId="4940563A"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s="Arial"/>
                <w:color w:val="000000"/>
                <w:sz w:val="16"/>
                <w:szCs w:val="16"/>
                <w:lang w:eastAsia="en-GB"/>
              </w:rPr>
              <w:t>587</w:t>
            </w:r>
          </w:p>
        </w:tc>
      </w:tr>
      <w:tr w:rsidR="00A6487C" w:rsidRPr="005060E0" w14:paraId="57B50D34" w14:textId="77777777" w:rsidTr="00A70751">
        <w:trPr>
          <w:trHeight w:val="227"/>
        </w:trPr>
        <w:tc>
          <w:tcPr>
            <w:tcW w:w="704" w:type="pct"/>
            <w:vMerge w:val="restart"/>
            <w:tcBorders>
              <w:top w:val="single" w:sz="4" w:space="0" w:color="606072"/>
              <w:left w:val="single" w:sz="4" w:space="0" w:color="606072"/>
              <w:right w:val="single" w:sz="4" w:space="0" w:color="606072"/>
            </w:tcBorders>
            <w:shd w:val="clear" w:color="auto" w:fill="F2F2F2" w:themeFill="background1" w:themeFillShade="F2"/>
            <w:vAlign w:val="center"/>
          </w:tcPr>
          <w:p w14:paraId="4AFE1068" w14:textId="18775BB3" w:rsidR="00A6487C" w:rsidRPr="005060E0" w:rsidRDefault="00A6487C" w:rsidP="00A6487C">
            <w:pPr>
              <w:widowControl w:val="0"/>
              <w:spacing w:after="0" w:line="240" w:lineRule="auto"/>
              <w:rPr>
                <w:rFonts w:eastAsia="Times New Roman"/>
                <w:sz w:val="16"/>
                <w:szCs w:val="16"/>
                <w:lang w:eastAsia="en-AU"/>
              </w:rPr>
            </w:pPr>
            <w:r w:rsidRPr="005060E0">
              <w:rPr>
                <w:rFonts w:eastAsia="Times New Roman"/>
                <w:sz w:val="16"/>
                <w:szCs w:val="16"/>
                <w:lang w:eastAsia="en-AU"/>
              </w:rPr>
              <w:t>Other airsheds</w:t>
            </w:r>
          </w:p>
        </w:tc>
        <w:tc>
          <w:tcPr>
            <w:tcW w:w="472" w:type="pct"/>
            <w:vMerge w:val="restart"/>
            <w:tcBorders>
              <w:top w:val="single" w:sz="4" w:space="0" w:color="606072"/>
              <w:left w:val="single" w:sz="4" w:space="0" w:color="606072"/>
              <w:right w:val="single" w:sz="4" w:space="0" w:color="606072"/>
            </w:tcBorders>
            <w:vAlign w:val="center"/>
          </w:tcPr>
          <w:p w14:paraId="0FC8325C" w14:textId="28BC1687" w:rsidR="00A6487C" w:rsidRPr="005060E0" w:rsidRDefault="00992225" w:rsidP="00992225">
            <w:pPr>
              <w:widowControl w:val="0"/>
              <w:spacing w:after="0" w:line="240" w:lineRule="auto"/>
              <w:jc w:val="center"/>
              <w:rPr>
                <w:rFonts w:eastAsia="Times New Roman"/>
                <w:sz w:val="16"/>
                <w:szCs w:val="16"/>
                <w:lang w:eastAsia="en-AU"/>
              </w:rPr>
            </w:pPr>
            <w:r w:rsidRPr="005060E0">
              <w:rPr>
                <w:rFonts w:eastAsia="Times New Roman"/>
                <w:sz w:val="16"/>
                <w:szCs w:val="16"/>
                <w:lang w:eastAsia="en-AU"/>
              </w:rPr>
              <w:t>373</w:t>
            </w:r>
          </w:p>
        </w:tc>
        <w:tc>
          <w:tcPr>
            <w:tcW w:w="983" w:type="pct"/>
            <w:tcBorders>
              <w:top w:val="single" w:sz="4" w:space="0" w:color="606072"/>
              <w:left w:val="nil"/>
              <w:right w:val="single" w:sz="4" w:space="0" w:color="606072"/>
            </w:tcBorders>
            <w:shd w:val="clear" w:color="000000" w:fill="F2F2F2"/>
            <w:tcMar>
              <w:left w:w="28" w:type="dxa"/>
              <w:right w:w="28" w:type="dxa"/>
            </w:tcMar>
            <w:vAlign w:val="center"/>
          </w:tcPr>
          <w:p w14:paraId="0E40BF54" w14:textId="7D0497CC" w:rsidR="00A6487C" w:rsidRPr="005060E0" w:rsidRDefault="00A6487C" w:rsidP="00A6487C">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BAU</w:t>
            </w:r>
          </w:p>
        </w:tc>
        <w:tc>
          <w:tcPr>
            <w:tcW w:w="473" w:type="pct"/>
            <w:tcBorders>
              <w:top w:val="single" w:sz="4" w:space="0" w:color="606072"/>
              <w:left w:val="nil"/>
              <w:right w:val="dotted" w:sz="4" w:space="0" w:color="auto"/>
            </w:tcBorders>
            <w:shd w:val="clear" w:color="auto" w:fill="auto"/>
            <w:vAlign w:val="center"/>
          </w:tcPr>
          <w:p w14:paraId="64F8AD10" w14:textId="4A0DB0C3"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top w:val="single" w:sz="4" w:space="0" w:color="606072"/>
              <w:left w:val="dotted" w:sz="4" w:space="0" w:color="auto"/>
              <w:right w:val="dotted" w:sz="4" w:space="0" w:color="auto"/>
            </w:tcBorders>
            <w:shd w:val="clear" w:color="auto" w:fill="auto"/>
            <w:vAlign w:val="center"/>
          </w:tcPr>
          <w:p w14:paraId="33143DD1" w14:textId="0A431590"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4" w:type="pct"/>
            <w:tcBorders>
              <w:top w:val="single" w:sz="4" w:space="0" w:color="606072"/>
              <w:left w:val="dotted" w:sz="4" w:space="0" w:color="auto"/>
              <w:right w:val="single" w:sz="4" w:space="0" w:color="606072"/>
            </w:tcBorders>
            <w:shd w:val="clear" w:color="auto" w:fill="auto"/>
            <w:vAlign w:val="center"/>
          </w:tcPr>
          <w:p w14:paraId="2A945032" w14:textId="4A9EFE4B"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top w:val="single" w:sz="4" w:space="0" w:color="606072"/>
              <w:left w:val="single" w:sz="4" w:space="0" w:color="606072"/>
              <w:right w:val="dotted" w:sz="4" w:space="0" w:color="auto"/>
            </w:tcBorders>
            <w:shd w:val="clear" w:color="auto" w:fill="auto"/>
            <w:vAlign w:val="center"/>
          </w:tcPr>
          <w:p w14:paraId="16D55CC4" w14:textId="508E59F0"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top w:val="single" w:sz="4" w:space="0" w:color="606072"/>
              <w:left w:val="dotted" w:sz="4" w:space="0" w:color="auto"/>
              <w:right w:val="dotted" w:sz="4" w:space="0" w:color="auto"/>
            </w:tcBorders>
            <w:shd w:val="clear" w:color="auto" w:fill="auto"/>
            <w:vAlign w:val="center"/>
          </w:tcPr>
          <w:p w14:paraId="12549370" w14:textId="001D2C1A"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5" w:type="pct"/>
            <w:tcBorders>
              <w:top w:val="single" w:sz="4" w:space="0" w:color="606072"/>
              <w:left w:val="dotted" w:sz="4" w:space="0" w:color="auto"/>
              <w:right w:val="single" w:sz="4" w:space="0" w:color="606072"/>
            </w:tcBorders>
            <w:shd w:val="clear" w:color="auto" w:fill="auto"/>
            <w:vAlign w:val="center"/>
          </w:tcPr>
          <w:p w14:paraId="51A8E70F" w14:textId="7A3181BC"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r>
      <w:tr w:rsidR="00A6487C" w:rsidRPr="005060E0" w14:paraId="1FD65369" w14:textId="77777777" w:rsidTr="00A70751">
        <w:trPr>
          <w:trHeight w:val="227"/>
        </w:trPr>
        <w:tc>
          <w:tcPr>
            <w:tcW w:w="704" w:type="pct"/>
            <w:vMerge/>
            <w:tcBorders>
              <w:left w:val="single" w:sz="4" w:space="0" w:color="606072"/>
              <w:bottom w:val="single" w:sz="4" w:space="0" w:color="606072"/>
              <w:right w:val="single" w:sz="4" w:space="0" w:color="606072"/>
            </w:tcBorders>
            <w:shd w:val="clear" w:color="auto" w:fill="F2F2F2" w:themeFill="background1" w:themeFillShade="F2"/>
            <w:vAlign w:val="center"/>
          </w:tcPr>
          <w:p w14:paraId="57F4B848" w14:textId="77777777" w:rsidR="00A6487C" w:rsidRPr="005060E0" w:rsidRDefault="00A6487C" w:rsidP="00A6487C">
            <w:pPr>
              <w:widowControl w:val="0"/>
              <w:spacing w:after="0" w:line="240" w:lineRule="auto"/>
              <w:rPr>
                <w:rFonts w:eastAsia="Times New Roman"/>
                <w:sz w:val="16"/>
                <w:szCs w:val="16"/>
                <w:lang w:eastAsia="en-AU"/>
              </w:rPr>
            </w:pPr>
          </w:p>
        </w:tc>
        <w:tc>
          <w:tcPr>
            <w:tcW w:w="472" w:type="pct"/>
            <w:vMerge/>
            <w:tcBorders>
              <w:left w:val="single" w:sz="4" w:space="0" w:color="606072"/>
              <w:bottom w:val="single" w:sz="4" w:space="0" w:color="606072"/>
              <w:right w:val="single" w:sz="4" w:space="0" w:color="606072"/>
            </w:tcBorders>
            <w:vAlign w:val="center"/>
          </w:tcPr>
          <w:p w14:paraId="624E7C12" w14:textId="77777777" w:rsidR="00A6487C" w:rsidRPr="005060E0" w:rsidRDefault="00A6487C" w:rsidP="00A6487C">
            <w:pPr>
              <w:widowControl w:val="0"/>
              <w:spacing w:after="0" w:line="240" w:lineRule="auto"/>
              <w:rPr>
                <w:rFonts w:eastAsia="Times New Roman"/>
                <w:sz w:val="16"/>
                <w:szCs w:val="16"/>
                <w:lang w:eastAsia="en-AU"/>
              </w:rPr>
            </w:pPr>
          </w:p>
        </w:tc>
        <w:tc>
          <w:tcPr>
            <w:tcW w:w="983" w:type="pct"/>
            <w:tcBorders>
              <w:left w:val="nil"/>
              <w:bottom w:val="single" w:sz="4" w:space="0" w:color="606072"/>
              <w:right w:val="single" w:sz="4" w:space="0" w:color="606072"/>
            </w:tcBorders>
            <w:shd w:val="clear" w:color="000000" w:fill="F2F2F2"/>
            <w:tcMar>
              <w:left w:w="28" w:type="dxa"/>
              <w:right w:w="28" w:type="dxa"/>
            </w:tcMar>
            <w:vAlign w:val="center"/>
          </w:tcPr>
          <w:p w14:paraId="77FA972D" w14:textId="344071E2" w:rsidR="00A6487C" w:rsidRPr="005060E0" w:rsidRDefault="00A6487C" w:rsidP="00A6487C">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Abatement Package</w:t>
            </w:r>
          </w:p>
        </w:tc>
        <w:tc>
          <w:tcPr>
            <w:tcW w:w="473" w:type="pct"/>
            <w:tcBorders>
              <w:left w:val="nil"/>
              <w:bottom w:val="single" w:sz="4" w:space="0" w:color="606072"/>
              <w:right w:val="dotted" w:sz="4" w:space="0" w:color="auto"/>
            </w:tcBorders>
            <w:shd w:val="clear" w:color="auto" w:fill="auto"/>
            <w:vAlign w:val="center"/>
          </w:tcPr>
          <w:p w14:paraId="638694FA" w14:textId="584B1484"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left w:val="dotted" w:sz="4" w:space="0" w:color="auto"/>
              <w:bottom w:val="single" w:sz="4" w:space="0" w:color="606072"/>
              <w:right w:val="dotted" w:sz="4" w:space="0" w:color="auto"/>
            </w:tcBorders>
            <w:shd w:val="clear" w:color="auto" w:fill="auto"/>
            <w:vAlign w:val="center"/>
          </w:tcPr>
          <w:p w14:paraId="3D0E2FEF" w14:textId="535EE08C"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4" w:type="pct"/>
            <w:tcBorders>
              <w:left w:val="dotted" w:sz="4" w:space="0" w:color="auto"/>
              <w:bottom w:val="single" w:sz="4" w:space="0" w:color="606072"/>
              <w:right w:val="single" w:sz="4" w:space="0" w:color="606072"/>
            </w:tcBorders>
            <w:shd w:val="clear" w:color="auto" w:fill="auto"/>
            <w:vAlign w:val="center"/>
          </w:tcPr>
          <w:p w14:paraId="6451B9FD" w14:textId="79D93778"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left w:val="single" w:sz="4" w:space="0" w:color="606072"/>
              <w:bottom w:val="single" w:sz="4" w:space="0" w:color="606072"/>
              <w:right w:val="dotted" w:sz="4" w:space="0" w:color="auto"/>
            </w:tcBorders>
            <w:shd w:val="clear" w:color="auto" w:fill="auto"/>
            <w:vAlign w:val="center"/>
          </w:tcPr>
          <w:p w14:paraId="2E591AC5" w14:textId="1D31E3EB"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left w:val="dotted" w:sz="4" w:space="0" w:color="auto"/>
              <w:bottom w:val="single" w:sz="4" w:space="0" w:color="606072"/>
              <w:right w:val="dotted" w:sz="4" w:space="0" w:color="auto"/>
            </w:tcBorders>
            <w:shd w:val="clear" w:color="auto" w:fill="auto"/>
            <w:vAlign w:val="center"/>
          </w:tcPr>
          <w:p w14:paraId="2B64B4B6" w14:textId="1E016273"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5" w:type="pct"/>
            <w:tcBorders>
              <w:left w:val="dotted" w:sz="4" w:space="0" w:color="auto"/>
              <w:bottom w:val="single" w:sz="4" w:space="0" w:color="606072"/>
              <w:right w:val="single" w:sz="4" w:space="0" w:color="606072"/>
            </w:tcBorders>
            <w:shd w:val="clear" w:color="auto" w:fill="auto"/>
            <w:vAlign w:val="center"/>
          </w:tcPr>
          <w:p w14:paraId="517565FC" w14:textId="362A9278"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r>
      <w:tr w:rsidR="00A6487C" w:rsidRPr="005060E0" w14:paraId="7AF63BAA" w14:textId="77777777" w:rsidTr="00A70751">
        <w:trPr>
          <w:trHeight w:val="283"/>
        </w:trPr>
        <w:tc>
          <w:tcPr>
            <w:tcW w:w="5000" w:type="pct"/>
            <w:gridSpan w:val="9"/>
            <w:tcBorders>
              <w:top w:val="single" w:sz="4" w:space="0" w:color="606072"/>
              <w:left w:val="single" w:sz="4" w:space="0" w:color="606072"/>
              <w:bottom w:val="single" w:sz="4" w:space="0" w:color="606072"/>
              <w:right w:val="single" w:sz="4" w:space="0" w:color="606072"/>
            </w:tcBorders>
            <w:shd w:val="clear" w:color="auto" w:fill="DEDFE3" w:themeFill="text2" w:themeFillTint="33"/>
            <w:vAlign w:val="center"/>
          </w:tcPr>
          <w:p w14:paraId="1B96959C" w14:textId="25FB17BC" w:rsidR="00A6487C" w:rsidRPr="005060E0" w:rsidRDefault="00A6487C" w:rsidP="00A6487C">
            <w:pPr>
              <w:widowControl w:val="0"/>
              <w:spacing w:after="0" w:line="240" w:lineRule="auto"/>
              <w:rPr>
                <w:rFonts w:eastAsia="Times New Roman"/>
                <w:color w:val="808080" w:themeColor="background1" w:themeShade="80"/>
                <w:sz w:val="16"/>
                <w:szCs w:val="16"/>
                <w:lang w:eastAsia="en-AU"/>
              </w:rPr>
            </w:pPr>
            <w:r w:rsidRPr="005060E0">
              <w:rPr>
                <w:rFonts w:eastAsia="Times New Roman" w:cs="Arial"/>
                <w:color w:val="000000"/>
                <w:sz w:val="16"/>
                <w:szCs w:val="16"/>
                <w:lang w:eastAsia="en-GB"/>
              </w:rPr>
              <w:t>Hospital admissions, respiratory (15</w:t>
            </w:r>
            <w:r w:rsidR="00DB1A41">
              <w:rPr>
                <w:rFonts w:eastAsia="Times New Roman" w:cs="Arial"/>
                <w:color w:val="000000"/>
                <w:sz w:val="16"/>
                <w:szCs w:val="16"/>
                <w:lang w:eastAsia="en-GB"/>
              </w:rPr>
              <w:t>–</w:t>
            </w:r>
            <w:r w:rsidRPr="005060E0">
              <w:rPr>
                <w:rFonts w:eastAsia="Times New Roman" w:cs="Arial"/>
                <w:color w:val="000000"/>
                <w:sz w:val="16"/>
                <w:szCs w:val="16"/>
                <w:lang w:eastAsia="en-GB"/>
              </w:rPr>
              <w:t>64 years)</w:t>
            </w:r>
          </w:p>
        </w:tc>
      </w:tr>
      <w:tr w:rsidR="00A6487C" w:rsidRPr="005060E0" w14:paraId="23724EC2" w14:textId="77777777" w:rsidTr="00A70751">
        <w:trPr>
          <w:trHeight w:val="227"/>
        </w:trPr>
        <w:tc>
          <w:tcPr>
            <w:tcW w:w="704" w:type="pct"/>
            <w:vMerge w:val="restart"/>
            <w:tcBorders>
              <w:top w:val="single" w:sz="4" w:space="0" w:color="606072"/>
              <w:left w:val="single" w:sz="4" w:space="0" w:color="606072"/>
              <w:right w:val="single" w:sz="4" w:space="0" w:color="606072"/>
            </w:tcBorders>
            <w:shd w:val="clear" w:color="auto" w:fill="F2F2F2" w:themeFill="background1" w:themeFillShade="F2"/>
            <w:vAlign w:val="center"/>
          </w:tcPr>
          <w:p w14:paraId="535BD939" w14:textId="15AC1C35" w:rsidR="00A6487C" w:rsidRPr="005060E0" w:rsidRDefault="00A70751" w:rsidP="00A6487C">
            <w:pPr>
              <w:widowControl w:val="0"/>
              <w:spacing w:after="0" w:line="240" w:lineRule="auto"/>
              <w:rPr>
                <w:rFonts w:eastAsia="Times New Roman"/>
                <w:sz w:val="16"/>
                <w:szCs w:val="16"/>
                <w:lang w:eastAsia="en-AU"/>
              </w:rPr>
            </w:pPr>
            <w:r w:rsidRPr="005060E0">
              <w:rPr>
                <w:rFonts w:eastAsia="Times New Roman"/>
                <w:sz w:val="16"/>
                <w:szCs w:val="16"/>
                <w:lang w:eastAsia="en-AU"/>
              </w:rPr>
              <w:t>NSW and Victoria</w:t>
            </w:r>
          </w:p>
        </w:tc>
        <w:tc>
          <w:tcPr>
            <w:tcW w:w="472" w:type="pct"/>
            <w:vMerge w:val="restart"/>
            <w:tcBorders>
              <w:top w:val="single" w:sz="4" w:space="0" w:color="606072"/>
              <w:left w:val="single" w:sz="4" w:space="0" w:color="606072"/>
              <w:right w:val="single" w:sz="4" w:space="0" w:color="606072"/>
            </w:tcBorders>
            <w:vAlign w:val="center"/>
          </w:tcPr>
          <w:p w14:paraId="05A95247" w14:textId="68861B41"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GB"/>
              </w:rPr>
              <w:t>1177</w:t>
            </w:r>
          </w:p>
        </w:tc>
        <w:tc>
          <w:tcPr>
            <w:tcW w:w="983" w:type="pct"/>
            <w:tcBorders>
              <w:top w:val="single" w:sz="4" w:space="0" w:color="606072"/>
              <w:left w:val="nil"/>
              <w:right w:val="single" w:sz="4" w:space="0" w:color="606072"/>
            </w:tcBorders>
            <w:shd w:val="clear" w:color="000000" w:fill="F2F2F2"/>
            <w:tcMar>
              <w:left w:w="28" w:type="dxa"/>
              <w:right w:w="28" w:type="dxa"/>
            </w:tcMar>
            <w:vAlign w:val="center"/>
          </w:tcPr>
          <w:p w14:paraId="4BC616DA" w14:textId="3ED39F36" w:rsidR="00A6487C" w:rsidRPr="005060E0" w:rsidRDefault="00A6487C" w:rsidP="00A6487C">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BAU</w:t>
            </w:r>
          </w:p>
        </w:tc>
        <w:tc>
          <w:tcPr>
            <w:tcW w:w="473" w:type="pct"/>
            <w:tcBorders>
              <w:top w:val="single" w:sz="4" w:space="0" w:color="606072"/>
              <w:left w:val="nil"/>
              <w:right w:val="dotted" w:sz="4" w:space="0" w:color="auto"/>
            </w:tcBorders>
            <w:shd w:val="clear" w:color="auto" w:fill="auto"/>
            <w:vAlign w:val="bottom"/>
          </w:tcPr>
          <w:p w14:paraId="096797B8" w14:textId="1DDDFE20"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s="Arial"/>
                <w:color w:val="000000"/>
                <w:sz w:val="16"/>
                <w:szCs w:val="16"/>
                <w:lang w:eastAsia="en-GB"/>
              </w:rPr>
              <w:t>733</w:t>
            </w:r>
          </w:p>
        </w:tc>
        <w:tc>
          <w:tcPr>
            <w:tcW w:w="473" w:type="pct"/>
            <w:tcBorders>
              <w:top w:val="single" w:sz="4" w:space="0" w:color="606072"/>
              <w:left w:val="dotted" w:sz="4" w:space="0" w:color="auto"/>
              <w:right w:val="dotted" w:sz="4" w:space="0" w:color="auto"/>
            </w:tcBorders>
            <w:shd w:val="clear" w:color="auto" w:fill="auto"/>
            <w:vAlign w:val="bottom"/>
          </w:tcPr>
          <w:p w14:paraId="66341E3F" w14:textId="686AE5FE"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s="Arial"/>
                <w:color w:val="000000"/>
                <w:sz w:val="16"/>
                <w:szCs w:val="16"/>
                <w:lang w:eastAsia="en-GB"/>
              </w:rPr>
              <w:t>742</w:t>
            </w:r>
          </w:p>
        </w:tc>
        <w:tc>
          <w:tcPr>
            <w:tcW w:w="474" w:type="pct"/>
            <w:tcBorders>
              <w:top w:val="single" w:sz="4" w:space="0" w:color="606072"/>
              <w:left w:val="dotted" w:sz="4" w:space="0" w:color="auto"/>
              <w:right w:val="single" w:sz="4" w:space="0" w:color="606072"/>
            </w:tcBorders>
            <w:shd w:val="clear" w:color="auto" w:fill="auto"/>
            <w:vAlign w:val="bottom"/>
          </w:tcPr>
          <w:p w14:paraId="78793DC3" w14:textId="68062F5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s="Arial"/>
                <w:color w:val="000000"/>
                <w:sz w:val="16"/>
                <w:szCs w:val="16"/>
                <w:lang w:eastAsia="en-GB"/>
              </w:rPr>
              <w:t>1034</w:t>
            </w:r>
          </w:p>
        </w:tc>
        <w:tc>
          <w:tcPr>
            <w:tcW w:w="473" w:type="pct"/>
            <w:tcBorders>
              <w:top w:val="single" w:sz="4" w:space="0" w:color="606072"/>
              <w:left w:val="single" w:sz="4" w:space="0" w:color="606072"/>
              <w:right w:val="dotted" w:sz="4" w:space="0" w:color="auto"/>
            </w:tcBorders>
            <w:shd w:val="clear" w:color="auto" w:fill="DEDFE3" w:themeFill="text2" w:themeFillTint="33"/>
            <w:vAlign w:val="center"/>
          </w:tcPr>
          <w:p w14:paraId="5E434ABD"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p>
        </w:tc>
        <w:tc>
          <w:tcPr>
            <w:tcW w:w="473" w:type="pct"/>
            <w:tcBorders>
              <w:top w:val="single" w:sz="4" w:space="0" w:color="606072"/>
              <w:left w:val="dotted" w:sz="4" w:space="0" w:color="auto"/>
              <w:right w:val="dotted" w:sz="4" w:space="0" w:color="auto"/>
            </w:tcBorders>
            <w:shd w:val="clear" w:color="auto" w:fill="DEDFE3" w:themeFill="text2" w:themeFillTint="33"/>
            <w:vAlign w:val="center"/>
          </w:tcPr>
          <w:p w14:paraId="569719E3"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p>
        </w:tc>
        <w:tc>
          <w:tcPr>
            <w:tcW w:w="475" w:type="pct"/>
            <w:tcBorders>
              <w:top w:val="single" w:sz="4" w:space="0" w:color="606072"/>
              <w:left w:val="dotted" w:sz="4" w:space="0" w:color="auto"/>
              <w:right w:val="single" w:sz="4" w:space="0" w:color="606072"/>
            </w:tcBorders>
            <w:shd w:val="clear" w:color="auto" w:fill="DEDFE3" w:themeFill="text2" w:themeFillTint="33"/>
            <w:vAlign w:val="center"/>
          </w:tcPr>
          <w:p w14:paraId="7DC90283"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p>
        </w:tc>
      </w:tr>
      <w:tr w:rsidR="00A6487C" w:rsidRPr="005060E0" w14:paraId="3545F5D5" w14:textId="77777777" w:rsidTr="00A70751">
        <w:trPr>
          <w:trHeight w:val="227"/>
        </w:trPr>
        <w:tc>
          <w:tcPr>
            <w:tcW w:w="704" w:type="pct"/>
            <w:vMerge/>
            <w:tcBorders>
              <w:left w:val="single" w:sz="4" w:space="0" w:color="606072"/>
              <w:bottom w:val="single" w:sz="4" w:space="0" w:color="606072"/>
              <w:right w:val="single" w:sz="4" w:space="0" w:color="606072"/>
            </w:tcBorders>
            <w:shd w:val="clear" w:color="auto" w:fill="F2F2F2" w:themeFill="background1" w:themeFillShade="F2"/>
            <w:vAlign w:val="center"/>
          </w:tcPr>
          <w:p w14:paraId="002884E6" w14:textId="77777777" w:rsidR="00A6487C" w:rsidRPr="005060E0" w:rsidRDefault="00A6487C" w:rsidP="00A6487C">
            <w:pPr>
              <w:widowControl w:val="0"/>
              <w:spacing w:after="0" w:line="240" w:lineRule="auto"/>
              <w:rPr>
                <w:rFonts w:eastAsia="Times New Roman"/>
                <w:sz w:val="16"/>
                <w:szCs w:val="16"/>
                <w:lang w:eastAsia="en-AU"/>
              </w:rPr>
            </w:pPr>
          </w:p>
        </w:tc>
        <w:tc>
          <w:tcPr>
            <w:tcW w:w="472" w:type="pct"/>
            <w:vMerge/>
            <w:tcBorders>
              <w:left w:val="single" w:sz="4" w:space="0" w:color="606072"/>
              <w:bottom w:val="single" w:sz="4" w:space="0" w:color="606072"/>
              <w:right w:val="single" w:sz="4" w:space="0" w:color="606072"/>
            </w:tcBorders>
            <w:vAlign w:val="center"/>
          </w:tcPr>
          <w:p w14:paraId="2D7F1FB5" w14:textId="77777777" w:rsidR="00A6487C" w:rsidRPr="005060E0" w:rsidRDefault="00A6487C" w:rsidP="00A6487C">
            <w:pPr>
              <w:widowControl w:val="0"/>
              <w:spacing w:after="0" w:line="240" w:lineRule="auto"/>
              <w:rPr>
                <w:rFonts w:eastAsia="Times New Roman"/>
                <w:sz w:val="16"/>
                <w:szCs w:val="16"/>
                <w:lang w:eastAsia="en-AU"/>
              </w:rPr>
            </w:pPr>
          </w:p>
        </w:tc>
        <w:tc>
          <w:tcPr>
            <w:tcW w:w="983" w:type="pct"/>
            <w:tcBorders>
              <w:left w:val="nil"/>
              <w:bottom w:val="single" w:sz="4" w:space="0" w:color="606072"/>
              <w:right w:val="single" w:sz="4" w:space="0" w:color="606072"/>
            </w:tcBorders>
            <w:shd w:val="clear" w:color="000000" w:fill="F2F2F2"/>
            <w:tcMar>
              <w:left w:w="28" w:type="dxa"/>
              <w:right w:w="28" w:type="dxa"/>
            </w:tcMar>
            <w:vAlign w:val="center"/>
          </w:tcPr>
          <w:p w14:paraId="00F0266B" w14:textId="578FA432" w:rsidR="00A6487C" w:rsidRPr="005060E0" w:rsidRDefault="00A6487C" w:rsidP="00A6487C">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Abatement Package</w:t>
            </w:r>
          </w:p>
        </w:tc>
        <w:tc>
          <w:tcPr>
            <w:tcW w:w="473" w:type="pct"/>
            <w:tcBorders>
              <w:left w:val="nil"/>
              <w:bottom w:val="single" w:sz="4" w:space="0" w:color="606072"/>
              <w:right w:val="dotted" w:sz="4" w:space="0" w:color="auto"/>
            </w:tcBorders>
            <w:shd w:val="clear" w:color="auto" w:fill="auto"/>
            <w:vAlign w:val="bottom"/>
          </w:tcPr>
          <w:p w14:paraId="17FE998F" w14:textId="5053164A"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s="Arial"/>
                <w:color w:val="000000"/>
                <w:sz w:val="16"/>
                <w:szCs w:val="16"/>
                <w:lang w:eastAsia="en-GB"/>
              </w:rPr>
              <w:t>689</w:t>
            </w:r>
          </w:p>
        </w:tc>
        <w:tc>
          <w:tcPr>
            <w:tcW w:w="473" w:type="pct"/>
            <w:tcBorders>
              <w:left w:val="dotted" w:sz="4" w:space="0" w:color="auto"/>
              <w:bottom w:val="single" w:sz="4" w:space="0" w:color="606072"/>
              <w:right w:val="dotted" w:sz="4" w:space="0" w:color="auto"/>
            </w:tcBorders>
            <w:shd w:val="clear" w:color="auto" w:fill="auto"/>
            <w:vAlign w:val="bottom"/>
          </w:tcPr>
          <w:p w14:paraId="1D55CFC1" w14:textId="1E8AEE20"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s="Arial"/>
                <w:color w:val="000000"/>
                <w:sz w:val="16"/>
                <w:szCs w:val="16"/>
                <w:lang w:eastAsia="en-GB"/>
              </w:rPr>
              <w:t>624</w:t>
            </w:r>
          </w:p>
        </w:tc>
        <w:tc>
          <w:tcPr>
            <w:tcW w:w="474" w:type="pct"/>
            <w:tcBorders>
              <w:left w:val="dotted" w:sz="4" w:space="0" w:color="auto"/>
              <w:bottom w:val="single" w:sz="4" w:space="0" w:color="606072"/>
              <w:right w:val="single" w:sz="4" w:space="0" w:color="606072"/>
            </w:tcBorders>
            <w:shd w:val="clear" w:color="auto" w:fill="auto"/>
            <w:vAlign w:val="bottom"/>
          </w:tcPr>
          <w:p w14:paraId="000FE510" w14:textId="52DE01EA"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s="Arial"/>
                <w:color w:val="000000"/>
                <w:sz w:val="16"/>
                <w:szCs w:val="16"/>
                <w:lang w:eastAsia="en-GB"/>
              </w:rPr>
              <w:t>744</w:t>
            </w:r>
          </w:p>
        </w:tc>
        <w:tc>
          <w:tcPr>
            <w:tcW w:w="473" w:type="pct"/>
            <w:tcBorders>
              <w:left w:val="single" w:sz="4" w:space="0" w:color="606072"/>
              <w:bottom w:val="single" w:sz="4" w:space="0" w:color="606072"/>
              <w:right w:val="dotted" w:sz="4" w:space="0" w:color="auto"/>
            </w:tcBorders>
            <w:shd w:val="clear" w:color="auto" w:fill="auto"/>
            <w:vAlign w:val="bottom"/>
          </w:tcPr>
          <w:p w14:paraId="7CD34CA5" w14:textId="7A40E8A3"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s="Arial"/>
                <w:color w:val="000000"/>
                <w:sz w:val="16"/>
                <w:szCs w:val="16"/>
                <w:lang w:eastAsia="en-GB"/>
              </w:rPr>
              <w:t>43</w:t>
            </w:r>
          </w:p>
        </w:tc>
        <w:tc>
          <w:tcPr>
            <w:tcW w:w="473" w:type="pct"/>
            <w:tcBorders>
              <w:left w:val="dotted" w:sz="4" w:space="0" w:color="auto"/>
              <w:bottom w:val="single" w:sz="4" w:space="0" w:color="606072"/>
              <w:right w:val="dotted" w:sz="4" w:space="0" w:color="auto"/>
            </w:tcBorders>
            <w:shd w:val="clear" w:color="auto" w:fill="auto"/>
            <w:vAlign w:val="bottom"/>
          </w:tcPr>
          <w:p w14:paraId="5130567B" w14:textId="2729BABD"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s="Arial"/>
                <w:color w:val="000000"/>
                <w:sz w:val="16"/>
                <w:szCs w:val="16"/>
                <w:lang w:eastAsia="en-GB"/>
              </w:rPr>
              <w:t>118</w:t>
            </w:r>
          </w:p>
        </w:tc>
        <w:tc>
          <w:tcPr>
            <w:tcW w:w="475" w:type="pct"/>
            <w:tcBorders>
              <w:left w:val="dotted" w:sz="4" w:space="0" w:color="auto"/>
              <w:bottom w:val="single" w:sz="4" w:space="0" w:color="606072"/>
              <w:right w:val="single" w:sz="4" w:space="0" w:color="606072"/>
            </w:tcBorders>
            <w:shd w:val="clear" w:color="auto" w:fill="auto"/>
            <w:vAlign w:val="bottom"/>
          </w:tcPr>
          <w:p w14:paraId="46729835" w14:textId="06EDB284"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s="Arial"/>
                <w:color w:val="000000"/>
                <w:sz w:val="16"/>
                <w:szCs w:val="16"/>
                <w:lang w:eastAsia="en-GB"/>
              </w:rPr>
              <w:t>291</w:t>
            </w:r>
          </w:p>
        </w:tc>
      </w:tr>
      <w:tr w:rsidR="00A6487C" w:rsidRPr="005060E0" w14:paraId="297710BC" w14:textId="77777777" w:rsidTr="00A70751">
        <w:trPr>
          <w:trHeight w:val="227"/>
        </w:trPr>
        <w:tc>
          <w:tcPr>
            <w:tcW w:w="704" w:type="pct"/>
            <w:vMerge w:val="restart"/>
            <w:tcBorders>
              <w:top w:val="single" w:sz="4" w:space="0" w:color="606072"/>
              <w:left w:val="single" w:sz="4" w:space="0" w:color="606072"/>
              <w:right w:val="single" w:sz="4" w:space="0" w:color="606072"/>
            </w:tcBorders>
            <w:shd w:val="clear" w:color="auto" w:fill="F2F2F2" w:themeFill="background1" w:themeFillShade="F2"/>
            <w:vAlign w:val="center"/>
          </w:tcPr>
          <w:p w14:paraId="2D8F7B92" w14:textId="50941F4C" w:rsidR="00A6487C" w:rsidRPr="005060E0" w:rsidRDefault="00A6487C" w:rsidP="00A6487C">
            <w:pPr>
              <w:widowControl w:val="0"/>
              <w:spacing w:after="0" w:line="240" w:lineRule="auto"/>
              <w:rPr>
                <w:rFonts w:eastAsia="Times New Roman"/>
                <w:sz w:val="16"/>
                <w:szCs w:val="16"/>
                <w:lang w:eastAsia="en-AU"/>
              </w:rPr>
            </w:pPr>
            <w:r w:rsidRPr="005060E0">
              <w:rPr>
                <w:rFonts w:eastAsia="Times New Roman"/>
                <w:sz w:val="16"/>
                <w:szCs w:val="16"/>
                <w:lang w:eastAsia="en-AU"/>
              </w:rPr>
              <w:t>Other airsheds</w:t>
            </w:r>
          </w:p>
        </w:tc>
        <w:tc>
          <w:tcPr>
            <w:tcW w:w="472" w:type="pct"/>
            <w:vMerge w:val="restart"/>
            <w:tcBorders>
              <w:top w:val="single" w:sz="4" w:space="0" w:color="606072"/>
              <w:left w:val="single" w:sz="4" w:space="0" w:color="606072"/>
              <w:right w:val="single" w:sz="4" w:space="0" w:color="606072"/>
            </w:tcBorders>
            <w:vAlign w:val="center"/>
          </w:tcPr>
          <w:p w14:paraId="7484647B" w14:textId="52B90086" w:rsidR="00A6487C" w:rsidRPr="005060E0" w:rsidRDefault="00992225" w:rsidP="00992225">
            <w:pPr>
              <w:widowControl w:val="0"/>
              <w:spacing w:after="0" w:line="240" w:lineRule="auto"/>
              <w:jc w:val="center"/>
              <w:rPr>
                <w:rFonts w:eastAsia="Times New Roman"/>
                <w:sz w:val="16"/>
                <w:szCs w:val="16"/>
                <w:lang w:eastAsia="en-AU"/>
              </w:rPr>
            </w:pPr>
            <w:r w:rsidRPr="005060E0">
              <w:rPr>
                <w:rFonts w:eastAsia="Times New Roman"/>
                <w:sz w:val="16"/>
                <w:szCs w:val="16"/>
                <w:lang w:eastAsia="en-AU"/>
              </w:rPr>
              <w:t>382</w:t>
            </w:r>
          </w:p>
        </w:tc>
        <w:tc>
          <w:tcPr>
            <w:tcW w:w="983" w:type="pct"/>
            <w:tcBorders>
              <w:top w:val="single" w:sz="4" w:space="0" w:color="606072"/>
              <w:left w:val="nil"/>
              <w:right w:val="single" w:sz="4" w:space="0" w:color="606072"/>
            </w:tcBorders>
            <w:shd w:val="clear" w:color="000000" w:fill="F2F2F2"/>
            <w:tcMar>
              <w:left w:w="28" w:type="dxa"/>
              <w:right w:w="28" w:type="dxa"/>
            </w:tcMar>
            <w:vAlign w:val="center"/>
          </w:tcPr>
          <w:p w14:paraId="160FB7B9" w14:textId="3C9AFA3D" w:rsidR="00A6487C" w:rsidRPr="005060E0" w:rsidRDefault="00A6487C" w:rsidP="00A6487C">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BAU</w:t>
            </w:r>
          </w:p>
        </w:tc>
        <w:tc>
          <w:tcPr>
            <w:tcW w:w="473" w:type="pct"/>
            <w:tcBorders>
              <w:top w:val="single" w:sz="4" w:space="0" w:color="606072"/>
              <w:left w:val="nil"/>
              <w:right w:val="dotted" w:sz="4" w:space="0" w:color="auto"/>
            </w:tcBorders>
            <w:shd w:val="clear" w:color="auto" w:fill="auto"/>
            <w:vAlign w:val="center"/>
          </w:tcPr>
          <w:p w14:paraId="7408038E" w14:textId="78B32A1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top w:val="single" w:sz="4" w:space="0" w:color="606072"/>
              <w:left w:val="dotted" w:sz="4" w:space="0" w:color="auto"/>
              <w:right w:val="dotted" w:sz="4" w:space="0" w:color="auto"/>
            </w:tcBorders>
            <w:shd w:val="clear" w:color="auto" w:fill="auto"/>
            <w:vAlign w:val="center"/>
          </w:tcPr>
          <w:p w14:paraId="727D4622" w14:textId="0C62BD41"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4" w:type="pct"/>
            <w:tcBorders>
              <w:top w:val="single" w:sz="4" w:space="0" w:color="606072"/>
              <w:left w:val="dotted" w:sz="4" w:space="0" w:color="auto"/>
              <w:right w:val="single" w:sz="4" w:space="0" w:color="606072"/>
            </w:tcBorders>
            <w:shd w:val="clear" w:color="auto" w:fill="auto"/>
            <w:vAlign w:val="center"/>
          </w:tcPr>
          <w:p w14:paraId="4AF887C1" w14:textId="430314B2"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top w:val="single" w:sz="4" w:space="0" w:color="606072"/>
              <w:left w:val="single" w:sz="4" w:space="0" w:color="606072"/>
              <w:right w:val="dotted" w:sz="4" w:space="0" w:color="auto"/>
            </w:tcBorders>
            <w:shd w:val="clear" w:color="auto" w:fill="auto"/>
            <w:vAlign w:val="center"/>
          </w:tcPr>
          <w:p w14:paraId="3B7CC544" w14:textId="683DBF56"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top w:val="single" w:sz="4" w:space="0" w:color="606072"/>
              <w:left w:val="dotted" w:sz="4" w:space="0" w:color="auto"/>
              <w:right w:val="dotted" w:sz="4" w:space="0" w:color="auto"/>
            </w:tcBorders>
            <w:shd w:val="clear" w:color="auto" w:fill="auto"/>
            <w:vAlign w:val="center"/>
          </w:tcPr>
          <w:p w14:paraId="3CA8867D" w14:textId="23E23BCF"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5" w:type="pct"/>
            <w:tcBorders>
              <w:top w:val="single" w:sz="4" w:space="0" w:color="606072"/>
              <w:left w:val="dotted" w:sz="4" w:space="0" w:color="auto"/>
              <w:right w:val="single" w:sz="4" w:space="0" w:color="606072"/>
            </w:tcBorders>
            <w:shd w:val="clear" w:color="auto" w:fill="auto"/>
            <w:vAlign w:val="center"/>
          </w:tcPr>
          <w:p w14:paraId="283C3983" w14:textId="391D2773"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r>
      <w:tr w:rsidR="00A6487C" w:rsidRPr="005060E0" w14:paraId="5CA75C64" w14:textId="77777777" w:rsidTr="00A70751">
        <w:trPr>
          <w:trHeight w:val="227"/>
        </w:trPr>
        <w:tc>
          <w:tcPr>
            <w:tcW w:w="704" w:type="pct"/>
            <w:vMerge/>
            <w:tcBorders>
              <w:left w:val="single" w:sz="4" w:space="0" w:color="606072"/>
              <w:bottom w:val="single" w:sz="4" w:space="0" w:color="606072"/>
              <w:right w:val="single" w:sz="4" w:space="0" w:color="606072"/>
            </w:tcBorders>
            <w:shd w:val="clear" w:color="auto" w:fill="F2F2F2" w:themeFill="background1" w:themeFillShade="F2"/>
            <w:vAlign w:val="center"/>
          </w:tcPr>
          <w:p w14:paraId="57C9D456" w14:textId="77777777" w:rsidR="00A6487C" w:rsidRPr="005060E0" w:rsidRDefault="00A6487C" w:rsidP="00A6487C">
            <w:pPr>
              <w:widowControl w:val="0"/>
              <w:spacing w:after="0" w:line="240" w:lineRule="auto"/>
              <w:rPr>
                <w:rFonts w:eastAsia="Times New Roman"/>
                <w:sz w:val="16"/>
                <w:szCs w:val="16"/>
                <w:lang w:eastAsia="en-AU"/>
              </w:rPr>
            </w:pPr>
          </w:p>
        </w:tc>
        <w:tc>
          <w:tcPr>
            <w:tcW w:w="472" w:type="pct"/>
            <w:vMerge/>
            <w:tcBorders>
              <w:left w:val="single" w:sz="4" w:space="0" w:color="606072"/>
              <w:bottom w:val="single" w:sz="4" w:space="0" w:color="606072"/>
              <w:right w:val="single" w:sz="4" w:space="0" w:color="606072"/>
            </w:tcBorders>
            <w:vAlign w:val="center"/>
          </w:tcPr>
          <w:p w14:paraId="74E3D17D" w14:textId="77777777" w:rsidR="00A6487C" w:rsidRPr="005060E0" w:rsidRDefault="00A6487C" w:rsidP="00A6487C">
            <w:pPr>
              <w:widowControl w:val="0"/>
              <w:spacing w:after="0" w:line="240" w:lineRule="auto"/>
              <w:rPr>
                <w:rFonts w:eastAsia="Times New Roman"/>
                <w:sz w:val="16"/>
                <w:szCs w:val="16"/>
                <w:lang w:eastAsia="en-AU"/>
              </w:rPr>
            </w:pPr>
          </w:p>
        </w:tc>
        <w:tc>
          <w:tcPr>
            <w:tcW w:w="983" w:type="pct"/>
            <w:tcBorders>
              <w:left w:val="nil"/>
              <w:bottom w:val="single" w:sz="4" w:space="0" w:color="606072"/>
              <w:right w:val="single" w:sz="4" w:space="0" w:color="606072"/>
            </w:tcBorders>
            <w:shd w:val="clear" w:color="000000" w:fill="F2F2F2"/>
            <w:tcMar>
              <w:left w:w="28" w:type="dxa"/>
              <w:right w:w="28" w:type="dxa"/>
            </w:tcMar>
            <w:vAlign w:val="center"/>
          </w:tcPr>
          <w:p w14:paraId="62E897FA" w14:textId="207EDB77" w:rsidR="00A6487C" w:rsidRPr="005060E0" w:rsidRDefault="00A6487C" w:rsidP="00A6487C">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Abatement Package</w:t>
            </w:r>
          </w:p>
        </w:tc>
        <w:tc>
          <w:tcPr>
            <w:tcW w:w="473" w:type="pct"/>
            <w:tcBorders>
              <w:left w:val="nil"/>
              <w:bottom w:val="single" w:sz="4" w:space="0" w:color="606072"/>
              <w:right w:val="dotted" w:sz="4" w:space="0" w:color="auto"/>
            </w:tcBorders>
            <w:shd w:val="clear" w:color="auto" w:fill="auto"/>
            <w:vAlign w:val="center"/>
          </w:tcPr>
          <w:p w14:paraId="101B3D7F" w14:textId="2E7F49E9"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left w:val="dotted" w:sz="4" w:space="0" w:color="auto"/>
              <w:bottom w:val="single" w:sz="4" w:space="0" w:color="606072"/>
              <w:right w:val="dotted" w:sz="4" w:space="0" w:color="auto"/>
            </w:tcBorders>
            <w:shd w:val="clear" w:color="auto" w:fill="auto"/>
            <w:vAlign w:val="center"/>
          </w:tcPr>
          <w:p w14:paraId="0012E54B" w14:textId="64432F08"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4" w:type="pct"/>
            <w:tcBorders>
              <w:left w:val="dotted" w:sz="4" w:space="0" w:color="auto"/>
              <w:bottom w:val="single" w:sz="4" w:space="0" w:color="606072"/>
              <w:right w:val="single" w:sz="4" w:space="0" w:color="606072"/>
            </w:tcBorders>
            <w:shd w:val="clear" w:color="auto" w:fill="auto"/>
            <w:vAlign w:val="center"/>
          </w:tcPr>
          <w:p w14:paraId="6FF30B8A" w14:textId="00703960"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left w:val="single" w:sz="4" w:space="0" w:color="606072"/>
              <w:bottom w:val="single" w:sz="4" w:space="0" w:color="606072"/>
              <w:right w:val="dotted" w:sz="4" w:space="0" w:color="auto"/>
            </w:tcBorders>
            <w:shd w:val="clear" w:color="auto" w:fill="auto"/>
            <w:vAlign w:val="center"/>
          </w:tcPr>
          <w:p w14:paraId="5A0EAE29" w14:textId="6C55C7D4"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3" w:type="pct"/>
            <w:tcBorders>
              <w:left w:val="dotted" w:sz="4" w:space="0" w:color="auto"/>
              <w:bottom w:val="single" w:sz="4" w:space="0" w:color="606072"/>
              <w:right w:val="dotted" w:sz="4" w:space="0" w:color="auto"/>
            </w:tcBorders>
            <w:shd w:val="clear" w:color="auto" w:fill="auto"/>
            <w:vAlign w:val="center"/>
          </w:tcPr>
          <w:p w14:paraId="003C3A48" w14:textId="31DFF373"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c>
          <w:tcPr>
            <w:tcW w:w="475" w:type="pct"/>
            <w:tcBorders>
              <w:left w:val="dotted" w:sz="4" w:space="0" w:color="auto"/>
              <w:bottom w:val="single" w:sz="4" w:space="0" w:color="606072"/>
              <w:right w:val="single" w:sz="4" w:space="0" w:color="606072"/>
            </w:tcBorders>
            <w:shd w:val="clear" w:color="auto" w:fill="auto"/>
            <w:vAlign w:val="center"/>
          </w:tcPr>
          <w:p w14:paraId="21949867" w14:textId="778B434A"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olor w:val="808080" w:themeColor="background1" w:themeShade="80"/>
                <w:sz w:val="16"/>
                <w:szCs w:val="16"/>
                <w:lang w:eastAsia="en-AU"/>
              </w:rPr>
              <w:t>n/a</w:t>
            </w:r>
          </w:p>
        </w:tc>
      </w:tr>
      <w:tr w:rsidR="00A6487C" w:rsidRPr="005060E0" w14:paraId="6E5A131B" w14:textId="77777777" w:rsidTr="00A70751">
        <w:trPr>
          <w:trHeight w:val="283"/>
        </w:trPr>
        <w:tc>
          <w:tcPr>
            <w:tcW w:w="5000" w:type="pct"/>
            <w:gridSpan w:val="9"/>
            <w:tcBorders>
              <w:top w:val="single" w:sz="4" w:space="0" w:color="606072"/>
              <w:left w:val="single" w:sz="4" w:space="0" w:color="606072"/>
              <w:bottom w:val="single" w:sz="4" w:space="0" w:color="606072"/>
              <w:right w:val="single" w:sz="4" w:space="0" w:color="606072"/>
            </w:tcBorders>
            <w:shd w:val="clear" w:color="auto" w:fill="DEDFE3" w:themeFill="text2" w:themeFillTint="33"/>
            <w:vAlign w:val="center"/>
          </w:tcPr>
          <w:p w14:paraId="24EB34EC" w14:textId="27247A89" w:rsidR="00A6487C" w:rsidRPr="005060E0" w:rsidRDefault="00A6487C" w:rsidP="00A6487C">
            <w:pPr>
              <w:widowControl w:val="0"/>
              <w:spacing w:after="0" w:line="240" w:lineRule="auto"/>
              <w:rPr>
                <w:rFonts w:eastAsia="Times New Roman"/>
                <w:color w:val="808080" w:themeColor="background1" w:themeShade="80"/>
                <w:sz w:val="16"/>
                <w:szCs w:val="16"/>
                <w:lang w:eastAsia="en-AU"/>
              </w:rPr>
            </w:pPr>
            <w:r w:rsidRPr="005060E0">
              <w:rPr>
                <w:rFonts w:eastAsia="Times New Roman" w:cs="Arial"/>
                <w:color w:val="000000"/>
                <w:sz w:val="16"/>
                <w:szCs w:val="16"/>
                <w:lang w:eastAsia="en-GB"/>
              </w:rPr>
              <w:t>Emergency department visits, asthma (&lt;15 years)</w:t>
            </w:r>
          </w:p>
        </w:tc>
      </w:tr>
      <w:tr w:rsidR="00A6487C" w:rsidRPr="005060E0" w14:paraId="74016DF8" w14:textId="77777777" w:rsidTr="00A70751">
        <w:trPr>
          <w:trHeight w:val="227"/>
        </w:trPr>
        <w:tc>
          <w:tcPr>
            <w:tcW w:w="704" w:type="pct"/>
            <w:vMerge w:val="restart"/>
            <w:tcBorders>
              <w:top w:val="single" w:sz="4" w:space="0" w:color="606072"/>
              <w:left w:val="single" w:sz="4" w:space="0" w:color="606072"/>
              <w:right w:val="single" w:sz="4" w:space="0" w:color="606072"/>
            </w:tcBorders>
            <w:shd w:val="clear" w:color="auto" w:fill="F2F2F2" w:themeFill="background1" w:themeFillShade="F2"/>
            <w:vAlign w:val="center"/>
          </w:tcPr>
          <w:p w14:paraId="109BD6B1" w14:textId="4EE86308" w:rsidR="00A6487C" w:rsidRPr="005060E0" w:rsidRDefault="00A70751" w:rsidP="00A6487C">
            <w:pPr>
              <w:widowControl w:val="0"/>
              <w:spacing w:after="0" w:line="240" w:lineRule="auto"/>
              <w:rPr>
                <w:rFonts w:eastAsia="Times New Roman"/>
                <w:sz w:val="16"/>
                <w:szCs w:val="16"/>
                <w:lang w:eastAsia="en-AU"/>
              </w:rPr>
            </w:pPr>
            <w:r w:rsidRPr="005060E0">
              <w:rPr>
                <w:rFonts w:eastAsia="Times New Roman"/>
                <w:sz w:val="16"/>
                <w:szCs w:val="16"/>
                <w:lang w:eastAsia="en-AU"/>
              </w:rPr>
              <w:t>NSW and Victoria</w:t>
            </w:r>
          </w:p>
        </w:tc>
        <w:tc>
          <w:tcPr>
            <w:tcW w:w="472" w:type="pct"/>
            <w:vMerge w:val="restart"/>
            <w:tcBorders>
              <w:top w:val="single" w:sz="4" w:space="0" w:color="606072"/>
              <w:left w:val="single" w:sz="4" w:space="0" w:color="606072"/>
              <w:right w:val="single" w:sz="4" w:space="0" w:color="606072"/>
            </w:tcBorders>
            <w:vAlign w:val="center"/>
          </w:tcPr>
          <w:p w14:paraId="4587FCB9" w14:textId="4BC7D6CE" w:rsidR="00A6487C" w:rsidRPr="005060E0" w:rsidRDefault="00A6487C" w:rsidP="00A6487C">
            <w:pPr>
              <w:widowControl w:val="0"/>
              <w:spacing w:after="0" w:line="240" w:lineRule="auto"/>
              <w:jc w:val="center"/>
              <w:rPr>
                <w:rFonts w:eastAsia="Times New Roman"/>
                <w:sz w:val="16"/>
                <w:szCs w:val="16"/>
                <w:lang w:eastAsia="en-AU"/>
              </w:rPr>
            </w:pPr>
            <w:r w:rsidRPr="005060E0">
              <w:rPr>
                <w:rFonts w:eastAsia="Times New Roman" w:cs="Arial"/>
                <w:color w:val="000000"/>
                <w:sz w:val="16"/>
                <w:szCs w:val="16"/>
                <w:lang w:eastAsia="en-GB"/>
              </w:rPr>
              <w:t>103</w:t>
            </w:r>
          </w:p>
        </w:tc>
        <w:tc>
          <w:tcPr>
            <w:tcW w:w="983" w:type="pct"/>
            <w:tcBorders>
              <w:top w:val="single" w:sz="4" w:space="0" w:color="606072"/>
              <w:left w:val="nil"/>
              <w:right w:val="single" w:sz="4" w:space="0" w:color="606072"/>
            </w:tcBorders>
            <w:shd w:val="clear" w:color="000000" w:fill="F2F2F2"/>
            <w:tcMar>
              <w:left w:w="28" w:type="dxa"/>
              <w:right w:w="28" w:type="dxa"/>
            </w:tcMar>
            <w:vAlign w:val="center"/>
          </w:tcPr>
          <w:p w14:paraId="0CF7166F" w14:textId="58EE6695" w:rsidR="00A6487C" w:rsidRPr="005060E0" w:rsidRDefault="00A6487C" w:rsidP="00A6487C">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BAU</w:t>
            </w:r>
          </w:p>
        </w:tc>
        <w:tc>
          <w:tcPr>
            <w:tcW w:w="473" w:type="pct"/>
            <w:tcBorders>
              <w:top w:val="single" w:sz="4" w:space="0" w:color="606072"/>
              <w:left w:val="nil"/>
              <w:right w:val="dotted" w:sz="4" w:space="0" w:color="auto"/>
            </w:tcBorders>
            <w:shd w:val="clear" w:color="auto" w:fill="auto"/>
            <w:vAlign w:val="bottom"/>
          </w:tcPr>
          <w:p w14:paraId="7E244FE6" w14:textId="0D1E93FC"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s="Arial"/>
                <w:color w:val="000000"/>
                <w:sz w:val="16"/>
                <w:szCs w:val="16"/>
                <w:lang w:eastAsia="en-GB"/>
              </w:rPr>
              <w:t>74</w:t>
            </w:r>
          </w:p>
        </w:tc>
        <w:tc>
          <w:tcPr>
            <w:tcW w:w="473" w:type="pct"/>
            <w:tcBorders>
              <w:top w:val="single" w:sz="4" w:space="0" w:color="606072"/>
              <w:left w:val="dotted" w:sz="4" w:space="0" w:color="auto"/>
              <w:right w:val="dotted" w:sz="4" w:space="0" w:color="auto"/>
            </w:tcBorders>
            <w:shd w:val="clear" w:color="auto" w:fill="auto"/>
            <w:vAlign w:val="bottom"/>
          </w:tcPr>
          <w:p w14:paraId="521A37DE" w14:textId="691FF2B3"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s="Arial"/>
                <w:color w:val="000000"/>
                <w:sz w:val="16"/>
                <w:szCs w:val="16"/>
                <w:lang w:eastAsia="en-GB"/>
              </w:rPr>
              <w:t>73</w:t>
            </w:r>
          </w:p>
        </w:tc>
        <w:tc>
          <w:tcPr>
            <w:tcW w:w="474" w:type="pct"/>
            <w:tcBorders>
              <w:top w:val="single" w:sz="4" w:space="0" w:color="606072"/>
              <w:left w:val="dotted" w:sz="4" w:space="0" w:color="auto"/>
              <w:right w:val="single" w:sz="4" w:space="0" w:color="606072"/>
            </w:tcBorders>
            <w:shd w:val="clear" w:color="auto" w:fill="auto"/>
            <w:vAlign w:val="bottom"/>
          </w:tcPr>
          <w:p w14:paraId="52DE2FAA" w14:textId="09AEBA29"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s="Arial"/>
                <w:color w:val="000000"/>
                <w:sz w:val="16"/>
                <w:szCs w:val="16"/>
                <w:lang w:eastAsia="en-GB"/>
              </w:rPr>
              <w:t>101</w:t>
            </w:r>
          </w:p>
        </w:tc>
        <w:tc>
          <w:tcPr>
            <w:tcW w:w="473" w:type="pct"/>
            <w:tcBorders>
              <w:top w:val="single" w:sz="4" w:space="0" w:color="606072"/>
              <w:left w:val="single" w:sz="4" w:space="0" w:color="606072"/>
              <w:right w:val="dotted" w:sz="4" w:space="0" w:color="auto"/>
            </w:tcBorders>
            <w:shd w:val="clear" w:color="auto" w:fill="DEDFE3" w:themeFill="text2" w:themeFillTint="33"/>
            <w:vAlign w:val="center"/>
          </w:tcPr>
          <w:p w14:paraId="30D77BCE"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p>
        </w:tc>
        <w:tc>
          <w:tcPr>
            <w:tcW w:w="473" w:type="pct"/>
            <w:tcBorders>
              <w:top w:val="single" w:sz="4" w:space="0" w:color="606072"/>
              <w:left w:val="dotted" w:sz="4" w:space="0" w:color="auto"/>
              <w:right w:val="dotted" w:sz="4" w:space="0" w:color="auto"/>
            </w:tcBorders>
            <w:shd w:val="clear" w:color="auto" w:fill="DEDFE3" w:themeFill="text2" w:themeFillTint="33"/>
            <w:vAlign w:val="center"/>
          </w:tcPr>
          <w:p w14:paraId="55B548A7"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p>
        </w:tc>
        <w:tc>
          <w:tcPr>
            <w:tcW w:w="475" w:type="pct"/>
            <w:tcBorders>
              <w:top w:val="single" w:sz="4" w:space="0" w:color="606072"/>
              <w:left w:val="dotted" w:sz="4" w:space="0" w:color="auto"/>
              <w:right w:val="single" w:sz="4" w:space="0" w:color="606072"/>
            </w:tcBorders>
            <w:shd w:val="clear" w:color="auto" w:fill="DEDFE3" w:themeFill="text2" w:themeFillTint="33"/>
            <w:vAlign w:val="center"/>
          </w:tcPr>
          <w:p w14:paraId="26B11F10" w14:textId="77777777"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p>
        </w:tc>
      </w:tr>
      <w:tr w:rsidR="00A6487C" w:rsidRPr="005060E0" w14:paraId="580E0981" w14:textId="77777777" w:rsidTr="00A70751">
        <w:trPr>
          <w:trHeight w:val="227"/>
        </w:trPr>
        <w:tc>
          <w:tcPr>
            <w:tcW w:w="704" w:type="pct"/>
            <w:vMerge/>
            <w:tcBorders>
              <w:left w:val="single" w:sz="4" w:space="0" w:color="606072"/>
              <w:bottom w:val="single" w:sz="4" w:space="0" w:color="606072"/>
              <w:right w:val="single" w:sz="4" w:space="0" w:color="606072"/>
            </w:tcBorders>
            <w:shd w:val="clear" w:color="auto" w:fill="F2F2F2" w:themeFill="background1" w:themeFillShade="F2"/>
            <w:vAlign w:val="center"/>
          </w:tcPr>
          <w:p w14:paraId="16CDA6BF" w14:textId="77777777" w:rsidR="00A6487C" w:rsidRPr="005060E0" w:rsidRDefault="00A6487C" w:rsidP="00A6487C">
            <w:pPr>
              <w:widowControl w:val="0"/>
              <w:spacing w:after="0" w:line="240" w:lineRule="auto"/>
              <w:rPr>
                <w:rFonts w:eastAsia="Times New Roman"/>
                <w:sz w:val="16"/>
                <w:szCs w:val="16"/>
                <w:lang w:eastAsia="en-AU"/>
              </w:rPr>
            </w:pPr>
          </w:p>
        </w:tc>
        <w:tc>
          <w:tcPr>
            <w:tcW w:w="472" w:type="pct"/>
            <w:vMerge/>
            <w:tcBorders>
              <w:left w:val="single" w:sz="4" w:space="0" w:color="606072"/>
              <w:bottom w:val="single" w:sz="4" w:space="0" w:color="606072"/>
              <w:right w:val="single" w:sz="4" w:space="0" w:color="606072"/>
            </w:tcBorders>
            <w:vAlign w:val="center"/>
          </w:tcPr>
          <w:p w14:paraId="6A82B949" w14:textId="77777777" w:rsidR="00A6487C" w:rsidRPr="005060E0" w:rsidRDefault="00A6487C" w:rsidP="00A6487C">
            <w:pPr>
              <w:widowControl w:val="0"/>
              <w:spacing w:after="0" w:line="240" w:lineRule="auto"/>
              <w:rPr>
                <w:rFonts w:eastAsia="Times New Roman"/>
                <w:sz w:val="16"/>
                <w:szCs w:val="16"/>
                <w:lang w:eastAsia="en-AU"/>
              </w:rPr>
            </w:pPr>
          </w:p>
        </w:tc>
        <w:tc>
          <w:tcPr>
            <w:tcW w:w="983" w:type="pct"/>
            <w:tcBorders>
              <w:left w:val="nil"/>
              <w:bottom w:val="single" w:sz="4" w:space="0" w:color="606072"/>
              <w:right w:val="single" w:sz="4" w:space="0" w:color="606072"/>
            </w:tcBorders>
            <w:shd w:val="clear" w:color="000000" w:fill="F2F2F2"/>
            <w:tcMar>
              <w:left w:w="28" w:type="dxa"/>
              <w:right w:w="28" w:type="dxa"/>
            </w:tcMar>
            <w:vAlign w:val="center"/>
          </w:tcPr>
          <w:p w14:paraId="340B25CC" w14:textId="4CE23A65" w:rsidR="00A6487C" w:rsidRPr="005060E0" w:rsidRDefault="00A6487C" w:rsidP="00A6487C">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Abatement Package</w:t>
            </w:r>
          </w:p>
        </w:tc>
        <w:tc>
          <w:tcPr>
            <w:tcW w:w="473" w:type="pct"/>
            <w:tcBorders>
              <w:left w:val="nil"/>
              <w:bottom w:val="single" w:sz="4" w:space="0" w:color="606072"/>
              <w:right w:val="dotted" w:sz="4" w:space="0" w:color="auto"/>
            </w:tcBorders>
            <w:shd w:val="clear" w:color="auto" w:fill="auto"/>
            <w:vAlign w:val="bottom"/>
          </w:tcPr>
          <w:p w14:paraId="2AB5DBC0" w14:textId="0F287769"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s="Arial"/>
                <w:color w:val="000000"/>
                <w:sz w:val="16"/>
                <w:szCs w:val="16"/>
                <w:lang w:eastAsia="en-GB"/>
              </w:rPr>
              <w:t>69</w:t>
            </w:r>
          </w:p>
        </w:tc>
        <w:tc>
          <w:tcPr>
            <w:tcW w:w="473" w:type="pct"/>
            <w:tcBorders>
              <w:left w:val="dotted" w:sz="4" w:space="0" w:color="auto"/>
              <w:bottom w:val="single" w:sz="4" w:space="0" w:color="606072"/>
              <w:right w:val="dotted" w:sz="4" w:space="0" w:color="auto"/>
            </w:tcBorders>
            <w:shd w:val="clear" w:color="auto" w:fill="auto"/>
            <w:vAlign w:val="bottom"/>
          </w:tcPr>
          <w:p w14:paraId="1DBC2A05" w14:textId="1E79B9AF"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s="Arial"/>
                <w:color w:val="000000"/>
                <w:sz w:val="16"/>
                <w:szCs w:val="16"/>
                <w:lang w:eastAsia="en-GB"/>
              </w:rPr>
              <w:t>63</w:t>
            </w:r>
          </w:p>
        </w:tc>
        <w:tc>
          <w:tcPr>
            <w:tcW w:w="474" w:type="pct"/>
            <w:tcBorders>
              <w:left w:val="dotted" w:sz="4" w:space="0" w:color="auto"/>
              <w:bottom w:val="single" w:sz="4" w:space="0" w:color="606072"/>
              <w:right w:val="single" w:sz="4" w:space="0" w:color="606072"/>
            </w:tcBorders>
            <w:shd w:val="clear" w:color="auto" w:fill="auto"/>
            <w:vAlign w:val="bottom"/>
          </w:tcPr>
          <w:p w14:paraId="56A4D06A" w14:textId="3ED52D71"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s="Arial"/>
                <w:color w:val="000000"/>
                <w:sz w:val="16"/>
                <w:szCs w:val="16"/>
                <w:lang w:eastAsia="en-GB"/>
              </w:rPr>
              <w:t>72</w:t>
            </w:r>
          </w:p>
        </w:tc>
        <w:tc>
          <w:tcPr>
            <w:tcW w:w="473" w:type="pct"/>
            <w:tcBorders>
              <w:left w:val="single" w:sz="4" w:space="0" w:color="606072"/>
              <w:bottom w:val="single" w:sz="4" w:space="0" w:color="606072"/>
              <w:right w:val="dotted" w:sz="4" w:space="0" w:color="auto"/>
            </w:tcBorders>
            <w:shd w:val="clear" w:color="auto" w:fill="auto"/>
            <w:vAlign w:val="bottom"/>
          </w:tcPr>
          <w:p w14:paraId="0BDC611B" w14:textId="724F03D1"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s="Arial"/>
                <w:color w:val="000000"/>
                <w:sz w:val="16"/>
                <w:szCs w:val="16"/>
                <w:lang w:eastAsia="en-GB"/>
              </w:rPr>
              <w:t>5</w:t>
            </w:r>
          </w:p>
        </w:tc>
        <w:tc>
          <w:tcPr>
            <w:tcW w:w="473" w:type="pct"/>
            <w:tcBorders>
              <w:left w:val="dotted" w:sz="4" w:space="0" w:color="auto"/>
              <w:bottom w:val="single" w:sz="4" w:space="0" w:color="606072"/>
              <w:right w:val="dotted" w:sz="4" w:space="0" w:color="auto"/>
            </w:tcBorders>
            <w:shd w:val="clear" w:color="auto" w:fill="auto"/>
            <w:vAlign w:val="bottom"/>
          </w:tcPr>
          <w:p w14:paraId="2086002F" w14:textId="5C524FF3"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s="Arial"/>
                <w:color w:val="000000"/>
                <w:sz w:val="16"/>
                <w:szCs w:val="16"/>
                <w:lang w:eastAsia="en-GB"/>
              </w:rPr>
              <w:t>10</w:t>
            </w:r>
          </w:p>
        </w:tc>
        <w:tc>
          <w:tcPr>
            <w:tcW w:w="475" w:type="pct"/>
            <w:tcBorders>
              <w:left w:val="dotted" w:sz="4" w:space="0" w:color="auto"/>
              <w:bottom w:val="single" w:sz="4" w:space="0" w:color="606072"/>
              <w:right w:val="single" w:sz="4" w:space="0" w:color="606072"/>
            </w:tcBorders>
            <w:shd w:val="clear" w:color="auto" w:fill="auto"/>
            <w:vAlign w:val="bottom"/>
          </w:tcPr>
          <w:p w14:paraId="4FC1C777" w14:textId="5CD21430" w:rsidR="00A6487C" w:rsidRPr="005060E0" w:rsidRDefault="00A6487C" w:rsidP="00A6487C">
            <w:pPr>
              <w:widowControl w:val="0"/>
              <w:spacing w:after="0" w:line="240" w:lineRule="auto"/>
              <w:jc w:val="center"/>
              <w:rPr>
                <w:rFonts w:eastAsia="Times New Roman"/>
                <w:color w:val="808080" w:themeColor="background1" w:themeShade="80"/>
                <w:sz w:val="16"/>
                <w:szCs w:val="16"/>
                <w:lang w:eastAsia="en-AU"/>
              </w:rPr>
            </w:pPr>
            <w:r w:rsidRPr="005060E0">
              <w:rPr>
                <w:rFonts w:eastAsia="Times New Roman" w:cs="Arial"/>
                <w:color w:val="000000"/>
                <w:sz w:val="16"/>
                <w:szCs w:val="16"/>
                <w:lang w:eastAsia="en-GB"/>
              </w:rPr>
              <w:t>29</w:t>
            </w:r>
          </w:p>
        </w:tc>
      </w:tr>
      <w:tr w:rsidR="00A6487C" w:rsidRPr="005060E0" w14:paraId="35E2486F" w14:textId="77777777" w:rsidTr="00A70751">
        <w:trPr>
          <w:trHeight w:val="227"/>
        </w:trPr>
        <w:tc>
          <w:tcPr>
            <w:tcW w:w="704" w:type="pct"/>
            <w:vMerge w:val="restart"/>
            <w:tcBorders>
              <w:top w:val="single" w:sz="4" w:space="0" w:color="606072"/>
              <w:left w:val="single" w:sz="4" w:space="0" w:color="606072"/>
              <w:right w:val="single" w:sz="4" w:space="0" w:color="606072"/>
            </w:tcBorders>
            <w:shd w:val="clear" w:color="auto" w:fill="F2F2F2" w:themeFill="background1" w:themeFillShade="F2"/>
            <w:vAlign w:val="center"/>
          </w:tcPr>
          <w:p w14:paraId="439D1B6A" w14:textId="0B65FC49" w:rsidR="00A6487C" w:rsidRPr="005060E0" w:rsidRDefault="00A6487C" w:rsidP="00A6487C">
            <w:pPr>
              <w:widowControl w:val="0"/>
              <w:spacing w:after="0" w:line="240" w:lineRule="auto"/>
              <w:rPr>
                <w:rFonts w:eastAsia="Times New Roman"/>
                <w:sz w:val="16"/>
                <w:szCs w:val="16"/>
                <w:lang w:eastAsia="en-AU"/>
              </w:rPr>
            </w:pPr>
            <w:r w:rsidRPr="005060E0">
              <w:rPr>
                <w:rFonts w:eastAsia="Times New Roman"/>
                <w:sz w:val="16"/>
                <w:szCs w:val="16"/>
                <w:lang w:eastAsia="en-AU"/>
              </w:rPr>
              <w:t>Other airsheds</w:t>
            </w:r>
          </w:p>
        </w:tc>
        <w:tc>
          <w:tcPr>
            <w:tcW w:w="472" w:type="pct"/>
            <w:vMerge w:val="restart"/>
            <w:tcBorders>
              <w:top w:val="single" w:sz="4" w:space="0" w:color="606072"/>
              <w:left w:val="single" w:sz="4" w:space="0" w:color="606072"/>
              <w:right w:val="single" w:sz="4" w:space="0" w:color="606072"/>
            </w:tcBorders>
            <w:vAlign w:val="center"/>
          </w:tcPr>
          <w:p w14:paraId="7D317FA8" w14:textId="1E55F976" w:rsidR="00A6487C" w:rsidRPr="005060E0" w:rsidRDefault="00992225" w:rsidP="00992225">
            <w:pPr>
              <w:widowControl w:val="0"/>
              <w:spacing w:after="0" w:line="240" w:lineRule="auto"/>
              <w:jc w:val="center"/>
              <w:rPr>
                <w:rFonts w:eastAsia="Times New Roman"/>
                <w:sz w:val="16"/>
                <w:szCs w:val="16"/>
                <w:lang w:eastAsia="en-AU"/>
              </w:rPr>
            </w:pPr>
            <w:r w:rsidRPr="005060E0">
              <w:rPr>
                <w:rFonts w:eastAsia="Times New Roman"/>
                <w:sz w:val="16"/>
                <w:szCs w:val="16"/>
                <w:lang w:eastAsia="en-AU"/>
              </w:rPr>
              <w:t>28</w:t>
            </w:r>
          </w:p>
        </w:tc>
        <w:tc>
          <w:tcPr>
            <w:tcW w:w="983" w:type="pct"/>
            <w:tcBorders>
              <w:top w:val="single" w:sz="4" w:space="0" w:color="606072"/>
              <w:left w:val="nil"/>
              <w:right w:val="single" w:sz="4" w:space="0" w:color="606072"/>
            </w:tcBorders>
            <w:shd w:val="clear" w:color="000000" w:fill="F2F2F2"/>
            <w:tcMar>
              <w:left w:w="28" w:type="dxa"/>
              <w:right w:w="28" w:type="dxa"/>
            </w:tcMar>
            <w:vAlign w:val="center"/>
          </w:tcPr>
          <w:p w14:paraId="6EFB3B2D" w14:textId="0B9D99C9" w:rsidR="00A6487C" w:rsidRPr="005060E0" w:rsidRDefault="00A6487C" w:rsidP="00A6487C">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BAU</w:t>
            </w:r>
          </w:p>
        </w:tc>
        <w:tc>
          <w:tcPr>
            <w:tcW w:w="473" w:type="pct"/>
            <w:tcBorders>
              <w:top w:val="single" w:sz="4" w:space="0" w:color="606072"/>
              <w:left w:val="nil"/>
              <w:right w:val="dotted" w:sz="4" w:space="0" w:color="auto"/>
            </w:tcBorders>
            <w:shd w:val="clear" w:color="auto" w:fill="auto"/>
            <w:vAlign w:val="center"/>
          </w:tcPr>
          <w:p w14:paraId="371A23F6" w14:textId="7FCF06F8" w:rsidR="00A6487C" w:rsidRPr="005060E0" w:rsidRDefault="00A6487C" w:rsidP="00A6487C">
            <w:pPr>
              <w:widowControl w:val="0"/>
              <w:spacing w:after="0" w:line="240" w:lineRule="auto"/>
              <w:jc w:val="center"/>
              <w:rPr>
                <w:rFonts w:eastAsia="Times New Roman" w:cs="Arial"/>
                <w:color w:val="000000"/>
                <w:sz w:val="16"/>
                <w:szCs w:val="16"/>
                <w:lang w:eastAsia="en-GB"/>
              </w:rPr>
            </w:pPr>
            <w:r w:rsidRPr="005060E0">
              <w:rPr>
                <w:rFonts w:eastAsia="Times New Roman"/>
                <w:color w:val="808080" w:themeColor="background1" w:themeShade="80"/>
                <w:sz w:val="16"/>
                <w:szCs w:val="16"/>
                <w:lang w:eastAsia="en-AU"/>
              </w:rPr>
              <w:t>n/a</w:t>
            </w:r>
          </w:p>
        </w:tc>
        <w:tc>
          <w:tcPr>
            <w:tcW w:w="473" w:type="pct"/>
            <w:tcBorders>
              <w:top w:val="single" w:sz="4" w:space="0" w:color="606072"/>
              <w:left w:val="dotted" w:sz="4" w:space="0" w:color="auto"/>
              <w:right w:val="dotted" w:sz="4" w:space="0" w:color="auto"/>
            </w:tcBorders>
            <w:shd w:val="clear" w:color="auto" w:fill="auto"/>
            <w:vAlign w:val="center"/>
          </w:tcPr>
          <w:p w14:paraId="00E25C87" w14:textId="444B44BD" w:rsidR="00A6487C" w:rsidRPr="005060E0" w:rsidRDefault="00A6487C" w:rsidP="00A6487C">
            <w:pPr>
              <w:widowControl w:val="0"/>
              <w:spacing w:after="0" w:line="240" w:lineRule="auto"/>
              <w:jc w:val="center"/>
              <w:rPr>
                <w:rFonts w:eastAsia="Times New Roman" w:cs="Arial"/>
                <w:color w:val="000000"/>
                <w:sz w:val="16"/>
                <w:szCs w:val="16"/>
                <w:lang w:eastAsia="en-GB"/>
              </w:rPr>
            </w:pPr>
            <w:r w:rsidRPr="005060E0">
              <w:rPr>
                <w:rFonts w:eastAsia="Times New Roman"/>
                <w:color w:val="808080" w:themeColor="background1" w:themeShade="80"/>
                <w:sz w:val="16"/>
                <w:szCs w:val="16"/>
                <w:lang w:eastAsia="en-AU"/>
              </w:rPr>
              <w:t>n/a</w:t>
            </w:r>
          </w:p>
        </w:tc>
        <w:tc>
          <w:tcPr>
            <w:tcW w:w="474" w:type="pct"/>
            <w:tcBorders>
              <w:top w:val="single" w:sz="4" w:space="0" w:color="606072"/>
              <w:left w:val="dotted" w:sz="4" w:space="0" w:color="auto"/>
              <w:right w:val="single" w:sz="4" w:space="0" w:color="606072"/>
            </w:tcBorders>
            <w:shd w:val="clear" w:color="auto" w:fill="auto"/>
            <w:vAlign w:val="center"/>
          </w:tcPr>
          <w:p w14:paraId="07045773" w14:textId="1698EF30" w:rsidR="00A6487C" w:rsidRPr="005060E0" w:rsidRDefault="00A6487C" w:rsidP="00A6487C">
            <w:pPr>
              <w:widowControl w:val="0"/>
              <w:spacing w:after="0" w:line="240" w:lineRule="auto"/>
              <w:jc w:val="center"/>
              <w:rPr>
                <w:rFonts w:eastAsia="Times New Roman" w:cs="Arial"/>
                <w:color w:val="000000"/>
                <w:sz w:val="16"/>
                <w:szCs w:val="16"/>
                <w:lang w:eastAsia="en-GB"/>
              </w:rPr>
            </w:pPr>
            <w:r w:rsidRPr="005060E0">
              <w:rPr>
                <w:rFonts w:eastAsia="Times New Roman"/>
                <w:color w:val="808080" w:themeColor="background1" w:themeShade="80"/>
                <w:sz w:val="16"/>
                <w:szCs w:val="16"/>
                <w:lang w:eastAsia="en-AU"/>
              </w:rPr>
              <w:t>n/a</w:t>
            </w:r>
          </w:p>
        </w:tc>
        <w:tc>
          <w:tcPr>
            <w:tcW w:w="473" w:type="pct"/>
            <w:tcBorders>
              <w:top w:val="single" w:sz="4" w:space="0" w:color="606072"/>
              <w:left w:val="single" w:sz="4" w:space="0" w:color="606072"/>
              <w:right w:val="dotted" w:sz="4" w:space="0" w:color="auto"/>
            </w:tcBorders>
            <w:shd w:val="clear" w:color="auto" w:fill="auto"/>
            <w:vAlign w:val="center"/>
          </w:tcPr>
          <w:p w14:paraId="4C9B974B" w14:textId="041CC6D4" w:rsidR="00A6487C" w:rsidRPr="005060E0" w:rsidRDefault="00A6487C" w:rsidP="00A6487C">
            <w:pPr>
              <w:widowControl w:val="0"/>
              <w:spacing w:after="0" w:line="240" w:lineRule="auto"/>
              <w:jc w:val="center"/>
              <w:rPr>
                <w:rFonts w:eastAsia="Times New Roman" w:cs="Arial"/>
                <w:color w:val="000000"/>
                <w:sz w:val="16"/>
                <w:szCs w:val="16"/>
                <w:lang w:eastAsia="en-GB"/>
              </w:rPr>
            </w:pPr>
            <w:r w:rsidRPr="005060E0">
              <w:rPr>
                <w:rFonts w:eastAsia="Times New Roman"/>
                <w:color w:val="808080" w:themeColor="background1" w:themeShade="80"/>
                <w:sz w:val="16"/>
                <w:szCs w:val="16"/>
                <w:lang w:eastAsia="en-AU"/>
              </w:rPr>
              <w:t>n/a</w:t>
            </w:r>
          </w:p>
        </w:tc>
        <w:tc>
          <w:tcPr>
            <w:tcW w:w="473" w:type="pct"/>
            <w:tcBorders>
              <w:top w:val="single" w:sz="4" w:space="0" w:color="606072"/>
              <w:left w:val="dotted" w:sz="4" w:space="0" w:color="auto"/>
              <w:right w:val="dotted" w:sz="4" w:space="0" w:color="auto"/>
            </w:tcBorders>
            <w:shd w:val="clear" w:color="auto" w:fill="auto"/>
            <w:vAlign w:val="center"/>
          </w:tcPr>
          <w:p w14:paraId="0807E64A" w14:textId="5F0463F1" w:rsidR="00A6487C" w:rsidRPr="005060E0" w:rsidRDefault="00A6487C" w:rsidP="00A6487C">
            <w:pPr>
              <w:widowControl w:val="0"/>
              <w:spacing w:after="0" w:line="240" w:lineRule="auto"/>
              <w:jc w:val="center"/>
              <w:rPr>
                <w:rFonts w:eastAsia="Times New Roman" w:cs="Arial"/>
                <w:color w:val="000000"/>
                <w:sz w:val="16"/>
                <w:szCs w:val="16"/>
                <w:lang w:eastAsia="en-GB"/>
              </w:rPr>
            </w:pPr>
            <w:r w:rsidRPr="005060E0">
              <w:rPr>
                <w:rFonts w:eastAsia="Times New Roman"/>
                <w:color w:val="808080" w:themeColor="background1" w:themeShade="80"/>
                <w:sz w:val="16"/>
                <w:szCs w:val="16"/>
                <w:lang w:eastAsia="en-AU"/>
              </w:rPr>
              <w:t>n/a</w:t>
            </w:r>
          </w:p>
        </w:tc>
        <w:tc>
          <w:tcPr>
            <w:tcW w:w="475" w:type="pct"/>
            <w:tcBorders>
              <w:top w:val="single" w:sz="4" w:space="0" w:color="606072"/>
              <w:left w:val="dotted" w:sz="4" w:space="0" w:color="auto"/>
              <w:right w:val="single" w:sz="4" w:space="0" w:color="606072"/>
            </w:tcBorders>
            <w:shd w:val="clear" w:color="auto" w:fill="auto"/>
            <w:vAlign w:val="center"/>
          </w:tcPr>
          <w:p w14:paraId="321A4BFF" w14:textId="467B05D8" w:rsidR="00A6487C" w:rsidRPr="005060E0" w:rsidRDefault="00A6487C" w:rsidP="00A6487C">
            <w:pPr>
              <w:widowControl w:val="0"/>
              <w:spacing w:after="0" w:line="240" w:lineRule="auto"/>
              <w:jc w:val="center"/>
              <w:rPr>
                <w:rFonts w:eastAsia="Times New Roman" w:cs="Arial"/>
                <w:color w:val="000000"/>
                <w:sz w:val="16"/>
                <w:szCs w:val="16"/>
                <w:lang w:eastAsia="en-GB"/>
              </w:rPr>
            </w:pPr>
            <w:r w:rsidRPr="005060E0">
              <w:rPr>
                <w:rFonts w:eastAsia="Times New Roman"/>
                <w:color w:val="808080" w:themeColor="background1" w:themeShade="80"/>
                <w:sz w:val="16"/>
                <w:szCs w:val="16"/>
                <w:lang w:eastAsia="en-AU"/>
              </w:rPr>
              <w:t>n/a</w:t>
            </w:r>
          </w:p>
        </w:tc>
      </w:tr>
      <w:tr w:rsidR="00A6487C" w:rsidRPr="005060E0" w14:paraId="6AD68AF0" w14:textId="77777777" w:rsidTr="00A70751">
        <w:trPr>
          <w:trHeight w:val="227"/>
        </w:trPr>
        <w:tc>
          <w:tcPr>
            <w:tcW w:w="704" w:type="pct"/>
            <w:vMerge/>
            <w:tcBorders>
              <w:left w:val="single" w:sz="4" w:space="0" w:color="606072"/>
              <w:bottom w:val="single" w:sz="4" w:space="0" w:color="606072"/>
              <w:right w:val="single" w:sz="4" w:space="0" w:color="606072"/>
            </w:tcBorders>
            <w:shd w:val="clear" w:color="auto" w:fill="F2F2F2" w:themeFill="background1" w:themeFillShade="F2"/>
            <w:vAlign w:val="center"/>
          </w:tcPr>
          <w:p w14:paraId="6BD875F1" w14:textId="77777777" w:rsidR="00A6487C" w:rsidRPr="005060E0" w:rsidRDefault="00A6487C" w:rsidP="00A6487C">
            <w:pPr>
              <w:widowControl w:val="0"/>
              <w:spacing w:after="0" w:line="240" w:lineRule="auto"/>
              <w:rPr>
                <w:rFonts w:eastAsia="Times New Roman"/>
                <w:sz w:val="16"/>
                <w:szCs w:val="16"/>
                <w:lang w:eastAsia="en-AU"/>
              </w:rPr>
            </w:pPr>
          </w:p>
        </w:tc>
        <w:tc>
          <w:tcPr>
            <w:tcW w:w="472" w:type="pct"/>
            <w:vMerge/>
            <w:tcBorders>
              <w:left w:val="single" w:sz="4" w:space="0" w:color="606072"/>
              <w:bottom w:val="single" w:sz="4" w:space="0" w:color="606072"/>
              <w:right w:val="single" w:sz="4" w:space="0" w:color="606072"/>
            </w:tcBorders>
            <w:vAlign w:val="center"/>
          </w:tcPr>
          <w:p w14:paraId="6A31832D" w14:textId="77777777" w:rsidR="00A6487C" w:rsidRPr="005060E0" w:rsidRDefault="00A6487C" w:rsidP="00A6487C">
            <w:pPr>
              <w:widowControl w:val="0"/>
              <w:spacing w:after="0" w:line="240" w:lineRule="auto"/>
              <w:rPr>
                <w:rFonts w:eastAsia="Times New Roman"/>
                <w:sz w:val="16"/>
                <w:szCs w:val="16"/>
                <w:lang w:eastAsia="en-AU"/>
              </w:rPr>
            </w:pPr>
          </w:p>
        </w:tc>
        <w:tc>
          <w:tcPr>
            <w:tcW w:w="983" w:type="pct"/>
            <w:tcBorders>
              <w:left w:val="nil"/>
              <w:bottom w:val="single" w:sz="4" w:space="0" w:color="606072"/>
              <w:right w:val="single" w:sz="4" w:space="0" w:color="606072"/>
            </w:tcBorders>
            <w:shd w:val="clear" w:color="000000" w:fill="F2F2F2"/>
            <w:tcMar>
              <w:left w:w="28" w:type="dxa"/>
              <w:right w:w="28" w:type="dxa"/>
            </w:tcMar>
            <w:vAlign w:val="center"/>
          </w:tcPr>
          <w:p w14:paraId="08825375" w14:textId="38217429" w:rsidR="00A6487C" w:rsidRPr="005060E0" w:rsidRDefault="00A6487C" w:rsidP="00A6487C">
            <w:pPr>
              <w:widowControl w:val="0"/>
              <w:spacing w:after="0" w:line="240" w:lineRule="auto"/>
              <w:jc w:val="center"/>
              <w:rPr>
                <w:rFonts w:eastAsia="Times New Roman"/>
                <w:i/>
                <w:iCs/>
                <w:sz w:val="16"/>
                <w:szCs w:val="16"/>
                <w:lang w:eastAsia="en-AU"/>
              </w:rPr>
            </w:pPr>
            <w:r w:rsidRPr="005060E0">
              <w:rPr>
                <w:rFonts w:eastAsia="Times New Roman"/>
                <w:i/>
                <w:iCs/>
                <w:sz w:val="16"/>
                <w:szCs w:val="16"/>
                <w:lang w:eastAsia="en-AU"/>
              </w:rPr>
              <w:t>Abatement Package</w:t>
            </w:r>
          </w:p>
        </w:tc>
        <w:tc>
          <w:tcPr>
            <w:tcW w:w="473" w:type="pct"/>
            <w:tcBorders>
              <w:left w:val="nil"/>
              <w:bottom w:val="single" w:sz="4" w:space="0" w:color="606072"/>
              <w:right w:val="dotted" w:sz="4" w:space="0" w:color="auto"/>
            </w:tcBorders>
            <w:shd w:val="clear" w:color="auto" w:fill="auto"/>
            <w:vAlign w:val="center"/>
          </w:tcPr>
          <w:p w14:paraId="0AC85785" w14:textId="789BFB85" w:rsidR="00A6487C" w:rsidRPr="005060E0" w:rsidRDefault="00A6487C" w:rsidP="00A6487C">
            <w:pPr>
              <w:widowControl w:val="0"/>
              <w:spacing w:after="0" w:line="240" w:lineRule="auto"/>
              <w:jc w:val="center"/>
              <w:rPr>
                <w:rFonts w:eastAsia="Times New Roman" w:cs="Arial"/>
                <w:color w:val="000000"/>
                <w:sz w:val="16"/>
                <w:szCs w:val="16"/>
                <w:lang w:eastAsia="en-GB"/>
              </w:rPr>
            </w:pPr>
            <w:r w:rsidRPr="005060E0">
              <w:rPr>
                <w:rFonts w:eastAsia="Times New Roman"/>
                <w:color w:val="808080" w:themeColor="background1" w:themeShade="80"/>
                <w:sz w:val="16"/>
                <w:szCs w:val="16"/>
                <w:lang w:eastAsia="en-AU"/>
              </w:rPr>
              <w:t>n/a</w:t>
            </w:r>
          </w:p>
        </w:tc>
        <w:tc>
          <w:tcPr>
            <w:tcW w:w="473" w:type="pct"/>
            <w:tcBorders>
              <w:left w:val="dotted" w:sz="4" w:space="0" w:color="auto"/>
              <w:bottom w:val="single" w:sz="4" w:space="0" w:color="606072"/>
              <w:right w:val="dotted" w:sz="4" w:space="0" w:color="auto"/>
            </w:tcBorders>
            <w:shd w:val="clear" w:color="auto" w:fill="auto"/>
            <w:vAlign w:val="center"/>
          </w:tcPr>
          <w:p w14:paraId="42D23CA4" w14:textId="130D052C" w:rsidR="00A6487C" w:rsidRPr="005060E0" w:rsidRDefault="00A6487C" w:rsidP="00A6487C">
            <w:pPr>
              <w:widowControl w:val="0"/>
              <w:spacing w:after="0" w:line="240" w:lineRule="auto"/>
              <w:jc w:val="center"/>
              <w:rPr>
                <w:rFonts w:eastAsia="Times New Roman" w:cs="Arial"/>
                <w:color w:val="000000"/>
                <w:sz w:val="16"/>
                <w:szCs w:val="16"/>
                <w:lang w:eastAsia="en-GB"/>
              </w:rPr>
            </w:pPr>
            <w:r w:rsidRPr="005060E0">
              <w:rPr>
                <w:rFonts w:eastAsia="Times New Roman"/>
                <w:color w:val="808080" w:themeColor="background1" w:themeShade="80"/>
                <w:sz w:val="16"/>
                <w:szCs w:val="16"/>
                <w:lang w:eastAsia="en-AU"/>
              </w:rPr>
              <w:t>n/a</w:t>
            </w:r>
          </w:p>
        </w:tc>
        <w:tc>
          <w:tcPr>
            <w:tcW w:w="474" w:type="pct"/>
            <w:tcBorders>
              <w:left w:val="dotted" w:sz="4" w:space="0" w:color="auto"/>
              <w:bottom w:val="single" w:sz="4" w:space="0" w:color="606072"/>
              <w:right w:val="single" w:sz="4" w:space="0" w:color="606072"/>
            </w:tcBorders>
            <w:shd w:val="clear" w:color="auto" w:fill="auto"/>
            <w:vAlign w:val="center"/>
          </w:tcPr>
          <w:p w14:paraId="166D49AE" w14:textId="758C132B" w:rsidR="00A6487C" w:rsidRPr="005060E0" w:rsidRDefault="00A6487C" w:rsidP="00A6487C">
            <w:pPr>
              <w:widowControl w:val="0"/>
              <w:spacing w:after="0" w:line="240" w:lineRule="auto"/>
              <w:jc w:val="center"/>
              <w:rPr>
                <w:rFonts w:eastAsia="Times New Roman" w:cs="Arial"/>
                <w:color w:val="000000"/>
                <w:sz w:val="16"/>
                <w:szCs w:val="16"/>
                <w:lang w:eastAsia="en-GB"/>
              </w:rPr>
            </w:pPr>
            <w:r w:rsidRPr="005060E0">
              <w:rPr>
                <w:rFonts w:eastAsia="Times New Roman"/>
                <w:color w:val="808080" w:themeColor="background1" w:themeShade="80"/>
                <w:sz w:val="16"/>
                <w:szCs w:val="16"/>
                <w:lang w:eastAsia="en-AU"/>
              </w:rPr>
              <w:t>n/a</w:t>
            </w:r>
          </w:p>
        </w:tc>
        <w:tc>
          <w:tcPr>
            <w:tcW w:w="473" w:type="pct"/>
            <w:tcBorders>
              <w:left w:val="single" w:sz="4" w:space="0" w:color="606072"/>
              <w:bottom w:val="single" w:sz="4" w:space="0" w:color="606072"/>
              <w:right w:val="dotted" w:sz="4" w:space="0" w:color="auto"/>
            </w:tcBorders>
            <w:shd w:val="clear" w:color="auto" w:fill="auto"/>
            <w:vAlign w:val="center"/>
          </w:tcPr>
          <w:p w14:paraId="79B0537A" w14:textId="19C83C94" w:rsidR="00A6487C" w:rsidRPr="005060E0" w:rsidRDefault="00A6487C" w:rsidP="00A6487C">
            <w:pPr>
              <w:widowControl w:val="0"/>
              <w:spacing w:after="0" w:line="240" w:lineRule="auto"/>
              <w:jc w:val="center"/>
              <w:rPr>
                <w:rFonts w:eastAsia="Times New Roman" w:cs="Arial"/>
                <w:color w:val="000000"/>
                <w:sz w:val="16"/>
                <w:szCs w:val="16"/>
                <w:lang w:eastAsia="en-GB"/>
              </w:rPr>
            </w:pPr>
            <w:r w:rsidRPr="005060E0">
              <w:rPr>
                <w:rFonts w:eastAsia="Times New Roman"/>
                <w:color w:val="808080" w:themeColor="background1" w:themeShade="80"/>
                <w:sz w:val="16"/>
                <w:szCs w:val="16"/>
                <w:lang w:eastAsia="en-AU"/>
              </w:rPr>
              <w:t>n/a</w:t>
            </w:r>
          </w:p>
        </w:tc>
        <w:tc>
          <w:tcPr>
            <w:tcW w:w="473" w:type="pct"/>
            <w:tcBorders>
              <w:left w:val="dotted" w:sz="4" w:space="0" w:color="auto"/>
              <w:bottom w:val="single" w:sz="4" w:space="0" w:color="606072"/>
              <w:right w:val="dotted" w:sz="4" w:space="0" w:color="auto"/>
            </w:tcBorders>
            <w:shd w:val="clear" w:color="auto" w:fill="auto"/>
            <w:vAlign w:val="center"/>
          </w:tcPr>
          <w:p w14:paraId="7C7F6328" w14:textId="31C8B93B" w:rsidR="00A6487C" w:rsidRPr="005060E0" w:rsidRDefault="00A6487C" w:rsidP="00A6487C">
            <w:pPr>
              <w:widowControl w:val="0"/>
              <w:spacing w:after="0" w:line="240" w:lineRule="auto"/>
              <w:jc w:val="center"/>
              <w:rPr>
                <w:rFonts w:eastAsia="Times New Roman" w:cs="Arial"/>
                <w:color w:val="000000"/>
                <w:sz w:val="16"/>
                <w:szCs w:val="16"/>
                <w:lang w:eastAsia="en-GB"/>
              </w:rPr>
            </w:pPr>
            <w:r w:rsidRPr="005060E0">
              <w:rPr>
                <w:rFonts w:eastAsia="Times New Roman"/>
                <w:color w:val="808080" w:themeColor="background1" w:themeShade="80"/>
                <w:sz w:val="16"/>
                <w:szCs w:val="16"/>
                <w:lang w:eastAsia="en-AU"/>
              </w:rPr>
              <w:t>n/a</w:t>
            </w:r>
          </w:p>
        </w:tc>
        <w:tc>
          <w:tcPr>
            <w:tcW w:w="475" w:type="pct"/>
            <w:tcBorders>
              <w:left w:val="dotted" w:sz="4" w:space="0" w:color="auto"/>
              <w:bottom w:val="single" w:sz="4" w:space="0" w:color="606072"/>
              <w:right w:val="single" w:sz="4" w:space="0" w:color="606072"/>
            </w:tcBorders>
            <w:shd w:val="clear" w:color="auto" w:fill="auto"/>
            <w:vAlign w:val="center"/>
          </w:tcPr>
          <w:p w14:paraId="3E0BEED7" w14:textId="7C76E080" w:rsidR="00A6487C" w:rsidRPr="005060E0" w:rsidRDefault="00A6487C" w:rsidP="00A6487C">
            <w:pPr>
              <w:widowControl w:val="0"/>
              <w:spacing w:after="0" w:line="240" w:lineRule="auto"/>
              <w:jc w:val="center"/>
              <w:rPr>
                <w:rFonts w:eastAsia="Times New Roman" w:cs="Arial"/>
                <w:color w:val="000000"/>
                <w:sz w:val="16"/>
                <w:szCs w:val="16"/>
                <w:lang w:eastAsia="en-GB"/>
              </w:rPr>
            </w:pPr>
            <w:r w:rsidRPr="005060E0">
              <w:rPr>
                <w:rFonts w:eastAsia="Times New Roman"/>
                <w:color w:val="808080" w:themeColor="background1" w:themeShade="80"/>
                <w:sz w:val="16"/>
                <w:szCs w:val="16"/>
                <w:lang w:eastAsia="en-AU"/>
              </w:rPr>
              <w:t>n/a</w:t>
            </w:r>
          </w:p>
        </w:tc>
      </w:tr>
    </w:tbl>
    <w:p w14:paraId="00E257F9" w14:textId="2956C37E" w:rsidR="00627461" w:rsidRPr="005060E0" w:rsidRDefault="00627461" w:rsidP="00CB3A58">
      <w:pPr>
        <w:pStyle w:val="ListParagraph"/>
        <w:numPr>
          <w:ilvl w:val="0"/>
          <w:numId w:val="63"/>
        </w:numPr>
        <w:spacing w:before="60" w:after="0" w:line="240" w:lineRule="auto"/>
        <w:ind w:left="402" w:hanging="357"/>
        <w:rPr>
          <w:rStyle w:val="PBTablecaptionChar"/>
          <w:rFonts w:eastAsiaTheme="minorHAnsi"/>
          <w:bCs w:val="0"/>
        </w:rPr>
      </w:pPr>
      <w:r w:rsidRPr="005060E0">
        <w:rPr>
          <w:sz w:val="16"/>
          <w:szCs w:val="16"/>
        </w:rPr>
        <w:t xml:space="preserve">‘All-cause mortality’ refers to acute mortality events that are estimated to shorten life by </w:t>
      </w:r>
      <w:r w:rsidR="006E1664">
        <w:rPr>
          <w:sz w:val="16"/>
          <w:szCs w:val="16"/>
        </w:rPr>
        <w:t>six</w:t>
      </w:r>
      <w:r w:rsidRPr="005060E0">
        <w:rPr>
          <w:sz w:val="16"/>
          <w:szCs w:val="16"/>
        </w:rPr>
        <w:t xml:space="preserve"> months.</w:t>
      </w:r>
    </w:p>
    <w:p w14:paraId="36736925" w14:textId="77777777" w:rsidR="008F2559" w:rsidRPr="005060E0" w:rsidRDefault="008F2559" w:rsidP="008F2559">
      <w:pPr>
        <w:spacing w:after="0" w:line="240" w:lineRule="auto"/>
        <w:rPr>
          <w:sz w:val="16"/>
          <w:szCs w:val="16"/>
        </w:rPr>
      </w:pPr>
    </w:p>
    <w:p w14:paraId="57F23FFC" w14:textId="1B1602BA" w:rsidR="00992225" w:rsidRPr="005060E0" w:rsidRDefault="005128BC" w:rsidP="000B3B3D">
      <w:pPr>
        <w:pStyle w:val="Heading3"/>
      </w:pPr>
      <w:r w:rsidRPr="005060E0">
        <w:t>Health outcomes for</w:t>
      </w:r>
      <w:r w:rsidR="00992225" w:rsidRPr="005060E0">
        <w:t xml:space="preserve"> compliance with standards</w:t>
      </w:r>
    </w:p>
    <w:p w14:paraId="1B86CC63" w14:textId="2A75FBC0" w:rsidR="00992225" w:rsidRPr="005060E0" w:rsidRDefault="007A6D8D" w:rsidP="000B3B3D">
      <w:pPr>
        <w:pStyle w:val="Heading4"/>
      </w:pPr>
      <w:r w:rsidRPr="005060E0">
        <w:t>1</w:t>
      </w:r>
      <w:r w:rsidR="00992225" w:rsidRPr="005060E0">
        <w:t>-hour standards</w:t>
      </w:r>
    </w:p>
    <w:p w14:paraId="5874DA93" w14:textId="6923409D" w:rsidR="007A6D8D" w:rsidRPr="005060E0" w:rsidRDefault="007A6D8D" w:rsidP="007A6D8D">
      <w:pPr>
        <w:widowControl w:val="0"/>
      </w:pPr>
      <w:r w:rsidRPr="005060E0">
        <w:rPr>
          <w:lang w:eastAsia="en-AU"/>
        </w:rPr>
        <w:t>It was shown in the air quality study (Appendix A, Section 2.3) that the current AAQ NEPM standard for 1</w:t>
      </w:r>
      <w:r w:rsidR="006E1664">
        <w:rPr>
          <w:lang w:eastAsia="en-AU"/>
        </w:rPr>
        <w:noBreakHyphen/>
      </w:r>
      <w:r w:rsidRPr="005060E0">
        <w:rPr>
          <w:lang w:eastAsia="en-AU"/>
        </w:rPr>
        <w:t>hour NO</w:t>
      </w:r>
      <w:r w:rsidRPr="005060E0">
        <w:rPr>
          <w:vertAlign w:val="subscript"/>
          <w:lang w:eastAsia="en-AU"/>
        </w:rPr>
        <w:t>2</w:t>
      </w:r>
      <w:r w:rsidRPr="005060E0">
        <w:rPr>
          <w:lang w:eastAsia="en-AU"/>
        </w:rPr>
        <w:t xml:space="preserve"> (120 ppb) is met in all airsheds. The proposed 1-hour standards of 80 ppb and 97 ppb are also currently met</w:t>
      </w:r>
      <w:r w:rsidR="006E1664">
        <w:rPr>
          <w:lang w:eastAsia="en-AU"/>
        </w:rPr>
        <w:t>;</w:t>
      </w:r>
      <w:r w:rsidRPr="005060E0">
        <w:rPr>
          <w:lang w:eastAsia="en-AU"/>
        </w:rPr>
        <w:t xml:space="preserve"> </w:t>
      </w:r>
      <w:r w:rsidR="006E1664">
        <w:rPr>
          <w:lang w:eastAsia="en-AU"/>
        </w:rPr>
        <w:t>h</w:t>
      </w:r>
      <w:r w:rsidRPr="005060E0">
        <w:rPr>
          <w:lang w:eastAsia="en-AU"/>
        </w:rPr>
        <w:t>owever, there have histo</w:t>
      </w:r>
      <w:r w:rsidR="003E19FA" w:rsidRPr="005060E0">
        <w:rPr>
          <w:lang w:eastAsia="en-AU"/>
        </w:rPr>
        <w:t xml:space="preserve">rically been exceedances in </w:t>
      </w:r>
      <w:r w:rsidRPr="005060E0">
        <w:rPr>
          <w:lang w:eastAsia="en-AU"/>
        </w:rPr>
        <w:t>most airsheds of the proposed 1-hour standard of 40 ppb.</w:t>
      </w:r>
      <w:r w:rsidRPr="005060E0">
        <w:t xml:space="preserve"> All the proposed standards are predicted to be met in all modelled locations except Sydney. The 1-hour 40 ppb standard is the only standard predicted to be exceeded in Sydney.</w:t>
      </w:r>
    </w:p>
    <w:p w14:paraId="7B4D252C" w14:textId="22A0BF18" w:rsidR="007A6D8D" w:rsidRPr="005060E0" w:rsidRDefault="007A6D8D" w:rsidP="007A6D8D">
      <w:pPr>
        <w:widowControl w:val="0"/>
        <w:rPr>
          <w:lang w:eastAsia="en-AU"/>
        </w:rPr>
      </w:pPr>
      <w:r w:rsidRPr="005060E0">
        <w:rPr>
          <w:lang w:eastAsia="en-AU"/>
        </w:rPr>
        <w:t>The number of health outcomes associated with meeting the NO</w:t>
      </w:r>
      <w:r w:rsidRPr="005060E0">
        <w:rPr>
          <w:vertAlign w:val="subscript"/>
          <w:lang w:eastAsia="en-AU"/>
        </w:rPr>
        <w:t>2</w:t>
      </w:r>
      <w:r w:rsidRPr="005060E0">
        <w:rPr>
          <w:lang w:eastAsia="en-AU"/>
        </w:rPr>
        <w:t xml:space="preserve"> 1-hour standard of 40 ppb ar</w:t>
      </w:r>
      <w:r w:rsidR="00FC044E" w:rsidRPr="005060E0">
        <w:rPr>
          <w:lang w:eastAsia="en-AU"/>
        </w:rPr>
        <w:t>e given in Appendix B</w:t>
      </w:r>
      <w:r w:rsidRPr="005060E0">
        <w:rPr>
          <w:lang w:eastAsia="en-AU"/>
        </w:rPr>
        <w:t xml:space="preserve">. </w:t>
      </w:r>
      <w:r w:rsidR="00FC044E" w:rsidRPr="005060E0">
        <w:rPr>
          <w:lang w:eastAsia="en-AU"/>
        </w:rPr>
        <w:fldChar w:fldCharType="begin"/>
      </w:r>
      <w:r w:rsidR="00FC044E" w:rsidRPr="005060E0">
        <w:rPr>
          <w:lang w:eastAsia="en-AU"/>
        </w:rPr>
        <w:instrText xml:space="preserve"> REF _Ref508450380 \h </w:instrText>
      </w:r>
      <w:r w:rsidR="00FC044E" w:rsidRPr="005060E0">
        <w:rPr>
          <w:lang w:eastAsia="en-AU"/>
        </w:rPr>
      </w:r>
      <w:r w:rsidR="00FC044E" w:rsidRPr="005060E0">
        <w:rPr>
          <w:lang w:eastAsia="en-AU"/>
        </w:rPr>
        <w:fldChar w:fldCharType="separate"/>
      </w:r>
      <w:r w:rsidR="00F2067C" w:rsidRPr="005060E0">
        <w:rPr>
          <w:rFonts w:cs="Arial"/>
        </w:rPr>
        <w:t xml:space="preserve">Table </w:t>
      </w:r>
      <w:r w:rsidR="00F2067C">
        <w:rPr>
          <w:rFonts w:cs="Arial"/>
          <w:noProof/>
        </w:rPr>
        <w:t>7</w:t>
      </w:r>
      <w:r w:rsidR="00F2067C" w:rsidRPr="005060E0">
        <w:rPr>
          <w:rFonts w:cs="Arial"/>
        </w:rPr>
        <w:noBreakHyphen/>
      </w:r>
      <w:r w:rsidR="00F2067C">
        <w:rPr>
          <w:rFonts w:cs="Arial"/>
          <w:noProof/>
        </w:rPr>
        <w:t>12</w:t>
      </w:r>
      <w:r w:rsidR="00FC044E" w:rsidRPr="005060E0">
        <w:rPr>
          <w:lang w:eastAsia="en-AU"/>
        </w:rPr>
        <w:fldChar w:fldCharType="end"/>
      </w:r>
      <w:r w:rsidRPr="005060E0">
        <w:rPr>
          <w:lang w:eastAsia="en-AU"/>
        </w:rPr>
        <w:t xml:space="preserve"> presents the numbers of health outcomes avoided in the NSW and Victoria airsheds by compliance with the proposed 1-hour standard for NO</w:t>
      </w:r>
      <w:r w:rsidRPr="005060E0">
        <w:rPr>
          <w:vertAlign w:val="subscript"/>
          <w:lang w:eastAsia="en-AU"/>
        </w:rPr>
        <w:t>2</w:t>
      </w:r>
      <w:r w:rsidRPr="005060E0">
        <w:rPr>
          <w:lang w:eastAsia="en-AU"/>
        </w:rPr>
        <w:t xml:space="preserve"> of 40 ppb. The corresponding results for the other airsheds (</w:t>
      </w:r>
      <w:r w:rsidR="004B40ED">
        <w:rPr>
          <w:lang w:eastAsia="en-AU"/>
        </w:rPr>
        <w:t>2010</w:t>
      </w:r>
      <w:r w:rsidR="00DF4D3A" w:rsidRPr="005060E0">
        <w:rPr>
          <w:lang w:eastAsia="en-AU"/>
        </w:rPr>
        <w:t>–20</w:t>
      </w:r>
      <w:r w:rsidRPr="005060E0">
        <w:rPr>
          <w:lang w:eastAsia="en-AU"/>
        </w:rPr>
        <w:t xml:space="preserve">14 average only) are </w:t>
      </w:r>
      <w:r w:rsidR="00FC044E" w:rsidRPr="005060E0">
        <w:rPr>
          <w:lang w:eastAsia="en-AU"/>
        </w:rPr>
        <w:t>also given</w:t>
      </w:r>
      <w:r w:rsidR="00704BAC" w:rsidRPr="005060E0">
        <w:rPr>
          <w:lang w:eastAsia="en-AU"/>
        </w:rPr>
        <w:t>. A substantial</w:t>
      </w:r>
      <w:r w:rsidRPr="005060E0">
        <w:rPr>
          <w:lang w:eastAsia="en-AU"/>
        </w:rPr>
        <w:t xml:space="preserve"> number of attributable health outcomes would be avoided in Sydney if the proposed 1-hour standard for NO</w:t>
      </w:r>
      <w:r w:rsidRPr="005060E0">
        <w:rPr>
          <w:vertAlign w:val="subscript"/>
          <w:lang w:eastAsia="en-AU"/>
        </w:rPr>
        <w:t>2</w:t>
      </w:r>
      <w:r w:rsidRPr="005060E0">
        <w:rPr>
          <w:lang w:eastAsia="en-AU"/>
        </w:rPr>
        <w:t xml:space="preserve"> of 40 ppb could be met. </w:t>
      </w:r>
    </w:p>
    <w:p w14:paraId="15C91CF8" w14:textId="6971D5A7" w:rsidR="00992225" w:rsidRPr="005060E0" w:rsidRDefault="00992225" w:rsidP="00992225">
      <w:pPr>
        <w:pStyle w:val="PBTablecaption"/>
        <w:ind w:left="567" w:right="804"/>
      </w:pPr>
      <w:bookmarkStart w:id="178" w:name="_Ref508450380"/>
      <w:r w:rsidRPr="005060E0">
        <w:rPr>
          <w:rFonts w:cs="Arial"/>
        </w:rPr>
        <w:t xml:space="preserve">Table </w:t>
      </w:r>
      <w:r w:rsidRPr="005060E0">
        <w:rPr>
          <w:rFonts w:cs="Arial"/>
        </w:rPr>
        <w:fldChar w:fldCharType="begin"/>
      </w:r>
      <w:r w:rsidRPr="005060E0">
        <w:rPr>
          <w:rFonts w:cs="Arial"/>
        </w:rPr>
        <w:instrText xml:space="preserve"> STYLEREF 1 \s </w:instrText>
      </w:r>
      <w:r w:rsidRPr="005060E0">
        <w:rPr>
          <w:rFonts w:cs="Arial"/>
        </w:rPr>
        <w:fldChar w:fldCharType="separate"/>
      </w:r>
      <w:r w:rsidR="00F2067C">
        <w:rPr>
          <w:rFonts w:cs="Arial"/>
          <w:noProof/>
        </w:rPr>
        <w:t>7</w:t>
      </w:r>
      <w:r w:rsidRPr="005060E0">
        <w:rPr>
          <w:rFonts w:cs="Arial"/>
          <w:noProof/>
        </w:rPr>
        <w:fldChar w:fldCharType="end"/>
      </w:r>
      <w:r w:rsidRPr="005060E0">
        <w:rPr>
          <w:rFonts w:cs="Arial"/>
        </w:rPr>
        <w:noBreakHyphen/>
      </w:r>
      <w:r w:rsidRPr="005060E0">
        <w:rPr>
          <w:rFonts w:cs="Arial"/>
        </w:rPr>
        <w:fldChar w:fldCharType="begin"/>
      </w:r>
      <w:r w:rsidRPr="005060E0">
        <w:rPr>
          <w:rFonts w:cs="Arial"/>
        </w:rPr>
        <w:instrText xml:space="preserve"> SEQ Table \* ARABIC \s 1 </w:instrText>
      </w:r>
      <w:r w:rsidRPr="005060E0">
        <w:rPr>
          <w:rFonts w:cs="Arial"/>
        </w:rPr>
        <w:fldChar w:fldCharType="separate"/>
      </w:r>
      <w:r w:rsidR="00F2067C">
        <w:rPr>
          <w:rFonts w:cs="Arial"/>
          <w:noProof/>
        </w:rPr>
        <w:t>12</w:t>
      </w:r>
      <w:r w:rsidRPr="005060E0">
        <w:rPr>
          <w:rFonts w:cs="Arial"/>
          <w:noProof/>
        </w:rPr>
        <w:fldChar w:fldCharType="end"/>
      </w:r>
      <w:bookmarkEnd w:id="178"/>
      <w:r w:rsidRPr="005060E0">
        <w:t>: Health outcomes avoided if proposed 1-hour NO</w:t>
      </w:r>
      <w:r w:rsidRPr="005060E0">
        <w:rPr>
          <w:vertAlign w:val="subscript"/>
        </w:rPr>
        <w:t>2</w:t>
      </w:r>
      <w:r w:rsidRPr="005060E0">
        <w:t xml:space="preserve"> standard of 40 ppb is met in Australian airsheds</w:t>
      </w:r>
    </w:p>
    <w:tbl>
      <w:tblPr>
        <w:tblW w:w="5000" w:type="pct"/>
        <w:tblLook w:val="04A0" w:firstRow="1" w:lastRow="0" w:firstColumn="1" w:lastColumn="0" w:noHBand="0" w:noVBand="1"/>
      </w:tblPr>
      <w:tblGrid>
        <w:gridCol w:w="1670"/>
        <w:gridCol w:w="281"/>
        <w:gridCol w:w="1918"/>
        <w:gridCol w:w="1920"/>
        <w:gridCol w:w="1920"/>
        <w:gridCol w:w="1920"/>
      </w:tblGrid>
      <w:tr w:rsidR="00171706" w:rsidRPr="005060E0" w14:paraId="1BC393CD" w14:textId="77777777" w:rsidTr="00D35C2D">
        <w:trPr>
          <w:trHeight w:hRule="exact" w:val="284"/>
          <w:tblHeader/>
        </w:trPr>
        <w:tc>
          <w:tcPr>
            <w:tcW w:w="867" w:type="pct"/>
            <w:vMerge w:val="restart"/>
            <w:tcBorders>
              <w:top w:val="nil"/>
              <w:left w:val="single" w:sz="4" w:space="0" w:color="606072"/>
              <w:right w:val="single" w:sz="4" w:space="0" w:color="606072"/>
            </w:tcBorders>
            <w:shd w:val="clear" w:color="000000" w:fill="606072"/>
            <w:vAlign w:val="center"/>
            <w:hideMark/>
          </w:tcPr>
          <w:p w14:paraId="5F6907C5" w14:textId="4E4B2D1F" w:rsidR="00171706" w:rsidRPr="005060E0" w:rsidRDefault="00171706" w:rsidP="00756AB7">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Airshed</w:t>
            </w:r>
          </w:p>
        </w:tc>
        <w:tc>
          <w:tcPr>
            <w:tcW w:w="146" w:type="pct"/>
            <w:tcBorders>
              <w:top w:val="nil"/>
              <w:left w:val="nil"/>
              <w:bottom w:val="single" w:sz="4" w:space="0" w:color="606072"/>
              <w:right w:val="nil"/>
            </w:tcBorders>
            <w:shd w:val="clear" w:color="000000" w:fill="606072"/>
            <w:vAlign w:val="center"/>
            <w:hideMark/>
          </w:tcPr>
          <w:p w14:paraId="5B5BFAD0" w14:textId="350EF03B" w:rsidR="00171706" w:rsidRPr="005060E0" w:rsidRDefault="00171706" w:rsidP="00756AB7">
            <w:pPr>
              <w:widowControl w:val="0"/>
              <w:spacing w:after="0" w:line="240" w:lineRule="auto"/>
              <w:jc w:val="center"/>
              <w:rPr>
                <w:rFonts w:eastAsia="Times New Roman" w:cs="Arial"/>
                <w:color w:val="FFFFFF"/>
                <w:sz w:val="16"/>
                <w:szCs w:val="16"/>
                <w:lang w:eastAsia="en-AU"/>
              </w:rPr>
            </w:pPr>
          </w:p>
        </w:tc>
        <w:tc>
          <w:tcPr>
            <w:tcW w:w="3987" w:type="pct"/>
            <w:gridSpan w:val="4"/>
            <w:tcBorders>
              <w:top w:val="nil"/>
              <w:left w:val="single" w:sz="4" w:space="0" w:color="606072"/>
              <w:bottom w:val="single" w:sz="4" w:space="0" w:color="606072"/>
              <w:right w:val="single" w:sz="4" w:space="0" w:color="606072"/>
            </w:tcBorders>
            <w:shd w:val="clear" w:color="000000" w:fill="606072"/>
            <w:vAlign w:val="center"/>
            <w:hideMark/>
          </w:tcPr>
          <w:p w14:paraId="1E46C36B" w14:textId="3779D464" w:rsidR="00171706" w:rsidRPr="005060E0" w:rsidRDefault="00171706" w:rsidP="00756AB7">
            <w:pPr>
              <w:widowControl w:val="0"/>
              <w:spacing w:after="0" w:line="240" w:lineRule="auto"/>
              <w:jc w:val="center"/>
              <w:rPr>
                <w:rFonts w:eastAsia="Times New Roman" w:cs="Arial"/>
                <w:b/>
                <w:bCs/>
                <w:color w:val="FFFFFF"/>
                <w:sz w:val="16"/>
                <w:szCs w:val="16"/>
                <w:lang w:eastAsia="en-AU"/>
              </w:rPr>
            </w:pPr>
            <w:r w:rsidRPr="005060E0">
              <w:rPr>
                <w:rFonts w:eastAsia="Times New Roman" w:cs="Arial"/>
                <w:b/>
                <w:bCs/>
                <w:color w:val="FFFFFF"/>
                <w:sz w:val="16"/>
                <w:szCs w:val="16"/>
                <w:lang w:eastAsia="en-AU"/>
              </w:rPr>
              <w:t>1-hour NO</w:t>
            </w:r>
            <w:r w:rsidRPr="005060E0">
              <w:rPr>
                <w:rFonts w:eastAsia="Times New Roman" w:cs="Arial"/>
                <w:b/>
                <w:bCs/>
                <w:color w:val="FFFFFF"/>
                <w:sz w:val="16"/>
                <w:szCs w:val="16"/>
                <w:vertAlign w:val="subscript"/>
                <w:lang w:eastAsia="en-AU"/>
              </w:rPr>
              <w:t>2</w:t>
            </w:r>
            <w:r w:rsidRPr="005060E0">
              <w:rPr>
                <w:rFonts w:eastAsia="Times New Roman" w:cs="Arial"/>
                <w:b/>
                <w:bCs/>
                <w:color w:val="FFFFFF"/>
                <w:sz w:val="16"/>
                <w:szCs w:val="16"/>
                <w:lang w:eastAsia="en-AU"/>
              </w:rPr>
              <w:t xml:space="preserve"> standard of 40 ppb</w:t>
            </w:r>
          </w:p>
        </w:tc>
      </w:tr>
      <w:tr w:rsidR="00171706" w:rsidRPr="005060E0" w14:paraId="2B51C83F" w14:textId="77777777" w:rsidTr="00D35C2D">
        <w:trPr>
          <w:trHeight w:hRule="exact" w:val="227"/>
          <w:tblHeader/>
        </w:trPr>
        <w:tc>
          <w:tcPr>
            <w:tcW w:w="867" w:type="pct"/>
            <w:vMerge/>
            <w:tcBorders>
              <w:left w:val="single" w:sz="4" w:space="0" w:color="606072"/>
              <w:right w:val="single" w:sz="4" w:space="0" w:color="606072"/>
            </w:tcBorders>
            <w:shd w:val="clear" w:color="000000" w:fill="606072"/>
            <w:vAlign w:val="center"/>
            <w:hideMark/>
          </w:tcPr>
          <w:p w14:paraId="3909CE3B" w14:textId="5F0C9105" w:rsidR="00171706" w:rsidRPr="005060E0" w:rsidRDefault="00171706" w:rsidP="00756AB7">
            <w:pPr>
              <w:widowControl w:val="0"/>
              <w:spacing w:after="0" w:line="240" w:lineRule="auto"/>
              <w:jc w:val="center"/>
              <w:rPr>
                <w:rFonts w:eastAsia="Times New Roman" w:cs="Arial"/>
                <w:color w:val="FFFFFF"/>
                <w:sz w:val="16"/>
                <w:szCs w:val="16"/>
                <w:lang w:eastAsia="en-AU"/>
              </w:rPr>
            </w:pPr>
          </w:p>
        </w:tc>
        <w:tc>
          <w:tcPr>
            <w:tcW w:w="146" w:type="pct"/>
            <w:tcBorders>
              <w:top w:val="nil"/>
              <w:left w:val="nil"/>
              <w:bottom w:val="nil"/>
              <w:right w:val="nil"/>
            </w:tcBorders>
            <w:shd w:val="clear" w:color="000000" w:fill="606072"/>
            <w:vAlign w:val="center"/>
            <w:hideMark/>
          </w:tcPr>
          <w:p w14:paraId="48396E19" w14:textId="1922C57A" w:rsidR="00171706" w:rsidRPr="005060E0" w:rsidRDefault="00171706" w:rsidP="00756AB7">
            <w:pPr>
              <w:widowControl w:val="0"/>
              <w:spacing w:after="0" w:line="240" w:lineRule="auto"/>
              <w:jc w:val="center"/>
              <w:rPr>
                <w:rFonts w:eastAsia="Times New Roman" w:cs="Arial"/>
                <w:color w:val="FFFFFF"/>
                <w:sz w:val="16"/>
                <w:szCs w:val="16"/>
                <w:lang w:eastAsia="en-AU"/>
              </w:rPr>
            </w:pPr>
          </w:p>
        </w:tc>
        <w:tc>
          <w:tcPr>
            <w:tcW w:w="3987" w:type="pct"/>
            <w:gridSpan w:val="4"/>
            <w:tcBorders>
              <w:top w:val="single" w:sz="4" w:space="0" w:color="606072"/>
              <w:left w:val="single" w:sz="4" w:space="0" w:color="606072"/>
              <w:bottom w:val="nil"/>
              <w:right w:val="single" w:sz="4" w:space="0" w:color="606072"/>
            </w:tcBorders>
            <w:shd w:val="clear" w:color="000000" w:fill="606072"/>
            <w:vAlign w:val="center"/>
            <w:hideMark/>
          </w:tcPr>
          <w:p w14:paraId="5B17B84D" w14:textId="77777777" w:rsidR="00171706" w:rsidRPr="005060E0" w:rsidRDefault="00171706" w:rsidP="00756AB7">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Health outcomes avoided</w:t>
            </w:r>
          </w:p>
          <w:p w14:paraId="1B758C64" w14:textId="65FE9C14" w:rsidR="00171706" w:rsidRPr="005060E0" w:rsidRDefault="00171706" w:rsidP="00756AB7">
            <w:pPr>
              <w:widowControl w:val="0"/>
              <w:spacing w:after="0" w:line="240" w:lineRule="auto"/>
              <w:jc w:val="center"/>
              <w:rPr>
                <w:rFonts w:eastAsia="Times New Roman" w:cs="Arial"/>
                <w:color w:val="FFFFFF"/>
                <w:sz w:val="16"/>
                <w:szCs w:val="16"/>
                <w:lang w:eastAsia="en-AU"/>
              </w:rPr>
            </w:pPr>
          </w:p>
          <w:p w14:paraId="255E3CDE" w14:textId="73B6A565" w:rsidR="00171706" w:rsidRPr="005060E0" w:rsidRDefault="00171706" w:rsidP="00756AB7">
            <w:pPr>
              <w:widowControl w:val="0"/>
              <w:spacing w:after="0" w:line="240" w:lineRule="auto"/>
              <w:jc w:val="center"/>
              <w:rPr>
                <w:rFonts w:eastAsia="Times New Roman" w:cs="Arial"/>
                <w:color w:val="FFFFFF"/>
                <w:sz w:val="16"/>
                <w:szCs w:val="16"/>
                <w:lang w:eastAsia="en-AU"/>
              </w:rPr>
            </w:pPr>
          </w:p>
        </w:tc>
      </w:tr>
      <w:tr w:rsidR="00171706" w:rsidRPr="005060E0" w14:paraId="5AC9542D" w14:textId="77777777" w:rsidTr="00D35C2D">
        <w:trPr>
          <w:trHeight w:val="397"/>
          <w:tblHeader/>
        </w:trPr>
        <w:tc>
          <w:tcPr>
            <w:tcW w:w="867" w:type="pct"/>
            <w:vMerge/>
            <w:tcBorders>
              <w:left w:val="single" w:sz="4" w:space="0" w:color="606072"/>
              <w:bottom w:val="single" w:sz="4" w:space="0" w:color="606072"/>
              <w:right w:val="single" w:sz="4" w:space="0" w:color="606072"/>
            </w:tcBorders>
            <w:vAlign w:val="center"/>
            <w:hideMark/>
          </w:tcPr>
          <w:p w14:paraId="7B7BEA2E" w14:textId="77777777" w:rsidR="00171706" w:rsidRPr="005060E0" w:rsidRDefault="00171706" w:rsidP="00756AB7">
            <w:pPr>
              <w:widowControl w:val="0"/>
              <w:spacing w:after="0" w:line="240" w:lineRule="auto"/>
              <w:jc w:val="center"/>
              <w:rPr>
                <w:rFonts w:eastAsia="Times New Roman" w:cs="Arial"/>
                <w:color w:val="FFFFFF"/>
                <w:sz w:val="16"/>
                <w:szCs w:val="16"/>
                <w:lang w:eastAsia="en-AU"/>
              </w:rPr>
            </w:pPr>
          </w:p>
        </w:tc>
        <w:tc>
          <w:tcPr>
            <w:tcW w:w="146" w:type="pct"/>
            <w:tcBorders>
              <w:top w:val="nil"/>
              <w:left w:val="nil"/>
              <w:bottom w:val="single" w:sz="4" w:space="0" w:color="606072"/>
              <w:right w:val="single" w:sz="4" w:space="0" w:color="606072"/>
            </w:tcBorders>
            <w:shd w:val="clear" w:color="000000" w:fill="606072"/>
            <w:vAlign w:val="center"/>
            <w:hideMark/>
          </w:tcPr>
          <w:p w14:paraId="5BD3E9FC" w14:textId="40F416BE" w:rsidR="00171706" w:rsidRPr="005060E0" w:rsidRDefault="00171706" w:rsidP="00756AB7">
            <w:pPr>
              <w:widowControl w:val="0"/>
              <w:spacing w:after="0" w:line="240" w:lineRule="auto"/>
              <w:jc w:val="center"/>
              <w:rPr>
                <w:rFonts w:eastAsia="Times New Roman" w:cs="Arial"/>
                <w:color w:val="FFFFFF"/>
                <w:sz w:val="16"/>
                <w:szCs w:val="16"/>
                <w:lang w:eastAsia="en-AU"/>
              </w:rPr>
            </w:pPr>
          </w:p>
        </w:tc>
        <w:tc>
          <w:tcPr>
            <w:tcW w:w="996" w:type="pct"/>
            <w:tcBorders>
              <w:top w:val="nil"/>
              <w:left w:val="nil"/>
              <w:bottom w:val="single" w:sz="4" w:space="0" w:color="606072"/>
              <w:right w:val="single" w:sz="4" w:space="0" w:color="606072"/>
            </w:tcBorders>
            <w:shd w:val="clear" w:color="000000" w:fill="606072"/>
            <w:vAlign w:val="center"/>
            <w:hideMark/>
          </w:tcPr>
          <w:p w14:paraId="6BC44B60" w14:textId="77777777" w:rsidR="00171706" w:rsidRPr="005060E0" w:rsidRDefault="00171706" w:rsidP="00756AB7">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Average</w:t>
            </w:r>
          </w:p>
          <w:p w14:paraId="648C921E" w14:textId="132BD147" w:rsidR="00171706" w:rsidRPr="005060E0" w:rsidRDefault="00171706" w:rsidP="00756AB7">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2010</w:t>
            </w:r>
            <w:r w:rsidR="00DF4D3A" w:rsidRPr="005060E0">
              <w:rPr>
                <w:rFonts w:eastAsia="Times New Roman" w:cs="Arial"/>
                <w:color w:val="FFFFFF"/>
                <w:sz w:val="16"/>
                <w:szCs w:val="16"/>
                <w:lang w:eastAsia="en-AU"/>
              </w:rPr>
              <w:t>–20</w:t>
            </w:r>
            <w:r w:rsidRPr="005060E0">
              <w:rPr>
                <w:rFonts w:eastAsia="Times New Roman" w:cs="Arial"/>
                <w:color w:val="FFFFFF"/>
                <w:sz w:val="16"/>
                <w:szCs w:val="16"/>
                <w:lang w:eastAsia="en-AU"/>
              </w:rPr>
              <w:t>14</w:t>
            </w:r>
          </w:p>
        </w:tc>
        <w:tc>
          <w:tcPr>
            <w:tcW w:w="997" w:type="pct"/>
            <w:tcBorders>
              <w:top w:val="single" w:sz="4" w:space="0" w:color="606072"/>
              <w:left w:val="nil"/>
              <w:bottom w:val="single" w:sz="4" w:space="0" w:color="606072"/>
              <w:right w:val="single" w:sz="4" w:space="0" w:color="606072"/>
            </w:tcBorders>
            <w:shd w:val="clear" w:color="000000" w:fill="606072"/>
            <w:vAlign w:val="center"/>
            <w:hideMark/>
          </w:tcPr>
          <w:p w14:paraId="7FCE66A1" w14:textId="77777777" w:rsidR="00171706" w:rsidRPr="005060E0" w:rsidRDefault="00171706" w:rsidP="00756AB7">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2021</w:t>
            </w:r>
          </w:p>
        </w:tc>
        <w:tc>
          <w:tcPr>
            <w:tcW w:w="997" w:type="pct"/>
            <w:tcBorders>
              <w:top w:val="single" w:sz="4" w:space="0" w:color="606072"/>
              <w:left w:val="nil"/>
              <w:bottom w:val="single" w:sz="4" w:space="0" w:color="606072"/>
              <w:right w:val="single" w:sz="4" w:space="0" w:color="606072"/>
            </w:tcBorders>
            <w:shd w:val="clear" w:color="000000" w:fill="606072"/>
            <w:vAlign w:val="center"/>
            <w:hideMark/>
          </w:tcPr>
          <w:p w14:paraId="2C44379C" w14:textId="77777777" w:rsidR="00171706" w:rsidRPr="005060E0" w:rsidRDefault="00171706" w:rsidP="00756AB7">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2031</w:t>
            </w:r>
          </w:p>
        </w:tc>
        <w:tc>
          <w:tcPr>
            <w:tcW w:w="997" w:type="pct"/>
            <w:tcBorders>
              <w:top w:val="single" w:sz="4" w:space="0" w:color="606072"/>
              <w:left w:val="nil"/>
              <w:bottom w:val="single" w:sz="4" w:space="0" w:color="606072"/>
              <w:right w:val="single" w:sz="4" w:space="0" w:color="606072"/>
            </w:tcBorders>
            <w:shd w:val="clear" w:color="000000" w:fill="606072"/>
            <w:vAlign w:val="center"/>
            <w:hideMark/>
          </w:tcPr>
          <w:p w14:paraId="66C97CE5" w14:textId="05665A77" w:rsidR="00171706" w:rsidRPr="005060E0" w:rsidRDefault="00171706" w:rsidP="00756AB7">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2040</w:t>
            </w:r>
          </w:p>
        </w:tc>
      </w:tr>
      <w:tr w:rsidR="00171706" w:rsidRPr="005060E0" w14:paraId="138AC849" w14:textId="77777777" w:rsidTr="00A70751">
        <w:trPr>
          <w:trHeight w:hRule="exact" w:val="340"/>
        </w:trPr>
        <w:tc>
          <w:tcPr>
            <w:tcW w:w="5000" w:type="pct"/>
            <w:gridSpan w:val="6"/>
            <w:tcBorders>
              <w:top w:val="single" w:sz="4" w:space="0" w:color="606072"/>
              <w:left w:val="single" w:sz="4" w:space="0" w:color="606072"/>
              <w:bottom w:val="dotted" w:sz="4" w:space="0" w:color="606072"/>
              <w:right w:val="single" w:sz="4" w:space="0" w:color="606072"/>
            </w:tcBorders>
            <w:shd w:val="clear" w:color="auto" w:fill="DEDFE3" w:themeFill="text2" w:themeFillTint="33"/>
            <w:tcMar>
              <w:left w:w="57" w:type="dxa"/>
              <w:right w:w="28" w:type="dxa"/>
            </w:tcMar>
            <w:vAlign w:val="center"/>
          </w:tcPr>
          <w:p w14:paraId="73D02791" w14:textId="00E6B2C6" w:rsidR="00171706" w:rsidRPr="005060E0" w:rsidRDefault="00171706" w:rsidP="00756AB7">
            <w:pPr>
              <w:widowControl w:val="0"/>
              <w:spacing w:after="0" w:line="240" w:lineRule="auto"/>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GB"/>
              </w:rPr>
              <w:t>Daily mortality, all-cause</w:t>
            </w:r>
            <w:r w:rsidR="00627461" w:rsidRPr="005060E0">
              <w:rPr>
                <w:rFonts w:eastAsia="Times New Roman" w:cs="Arial"/>
                <w:color w:val="000000"/>
                <w:sz w:val="16"/>
                <w:szCs w:val="16"/>
                <w:vertAlign w:val="superscript"/>
                <w:lang w:eastAsia="en-GB"/>
              </w:rPr>
              <w:t>(a)</w:t>
            </w:r>
          </w:p>
        </w:tc>
      </w:tr>
      <w:tr w:rsidR="00171706" w:rsidRPr="005060E0" w14:paraId="03B8AB58" w14:textId="77777777" w:rsidTr="00A70751">
        <w:trPr>
          <w:trHeight w:hRule="exact" w:val="283"/>
        </w:trPr>
        <w:tc>
          <w:tcPr>
            <w:tcW w:w="867" w:type="pct"/>
            <w:tcBorders>
              <w:top w:val="single" w:sz="4" w:space="0" w:color="606072"/>
              <w:left w:val="single" w:sz="4" w:space="0" w:color="606072"/>
              <w:bottom w:val="dotted" w:sz="4" w:space="0" w:color="606072"/>
              <w:right w:val="single" w:sz="4" w:space="0" w:color="606072"/>
            </w:tcBorders>
            <w:shd w:val="clear" w:color="auto" w:fill="F2F2F2" w:themeFill="background1" w:themeFillShade="F2"/>
            <w:tcMar>
              <w:left w:w="57" w:type="dxa"/>
              <w:right w:w="28" w:type="dxa"/>
            </w:tcMar>
            <w:vAlign w:val="center"/>
          </w:tcPr>
          <w:p w14:paraId="533CEB54" w14:textId="3FA18285" w:rsidR="00171706" w:rsidRPr="005060E0" w:rsidRDefault="00A70751" w:rsidP="00756AB7">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NSW and Victoria</w:t>
            </w:r>
          </w:p>
        </w:tc>
        <w:tc>
          <w:tcPr>
            <w:tcW w:w="146" w:type="pct"/>
            <w:tcBorders>
              <w:top w:val="single" w:sz="4" w:space="0" w:color="606072"/>
              <w:left w:val="nil"/>
              <w:bottom w:val="dotted" w:sz="4" w:space="0" w:color="606072"/>
              <w:right w:val="nil"/>
            </w:tcBorders>
            <w:shd w:val="clear" w:color="000000" w:fill="FFFFFF"/>
            <w:vAlign w:val="center"/>
          </w:tcPr>
          <w:p w14:paraId="631CC4B7" w14:textId="77777777" w:rsidR="00171706" w:rsidRPr="005060E0" w:rsidRDefault="00171706" w:rsidP="00756AB7">
            <w:pPr>
              <w:widowControl w:val="0"/>
              <w:spacing w:after="0" w:line="240" w:lineRule="auto"/>
              <w:rPr>
                <w:rFonts w:eastAsia="Times New Roman" w:cs="Arial"/>
                <w:sz w:val="16"/>
                <w:szCs w:val="16"/>
                <w:lang w:eastAsia="en-AU"/>
              </w:rPr>
            </w:pPr>
          </w:p>
        </w:tc>
        <w:tc>
          <w:tcPr>
            <w:tcW w:w="996" w:type="pct"/>
            <w:tcBorders>
              <w:top w:val="single" w:sz="4" w:space="0" w:color="606072"/>
              <w:left w:val="nil"/>
              <w:bottom w:val="dotted" w:sz="4" w:space="0" w:color="606072"/>
              <w:right w:val="nil"/>
            </w:tcBorders>
            <w:shd w:val="clear" w:color="000000" w:fill="FFFFFF"/>
            <w:vAlign w:val="center"/>
          </w:tcPr>
          <w:p w14:paraId="61B37A18" w14:textId="79F60689" w:rsidR="00171706" w:rsidRPr="005060E0" w:rsidRDefault="00171706" w:rsidP="00756AB7">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GB"/>
              </w:rPr>
              <w:t>17</w:t>
            </w:r>
          </w:p>
        </w:tc>
        <w:tc>
          <w:tcPr>
            <w:tcW w:w="997" w:type="pct"/>
            <w:tcBorders>
              <w:top w:val="single" w:sz="4" w:space="0" w:color="606072"/>
              <w:left w:val="nil"/>
              <w:bottom w:val="dotted" w:sz="4" w:space="0" w:color="606072"/>
              <w:right w:val="nil"/>
            </w:tcBorders>
            <w:shd w:val="clear" w:color="000000" w:fill="FFFFFF"/>
            <w:vAlign w:val="center"/>
          </w:tcPr>
          <w:p w14:paraId="3D5FCDD9" w14:textId="6E65B226" w:rsidR="00171706" w:rsidRPr="005060E0" w:rsidRDefault="00171706" w:rsidP="00756AB7">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GB"/>
              </w:rPr>
              <w:t>18</w:t>
            </w:r>
          </w:p>
        </w:tc>
        <w:tc>
          <w:tcPr>
            <w:tcW w:w="997" w:type="pct"/>
            <w:tcBorders>
              <w:top w:val="single" w:sz="4" w:space="0" w:color="606072"/>
              <w:left w:val="nil"/>
              <w:bottom w:val="dotted" w:sz="4" w:space="0" w:color="606072"/>
              <w:right w:val="nil"/>
            </w:tcBorders>
            <w:shd w:val="clear" w:color="000000" w:fill="FFFFFF"/>
            <w:vAlign w:val="center"/>
          </w:tcPr>
          <w:p w14:paraId="1F68E396" w14:textId="4E7049B9" w:rsidR="00171706" w:rsidRPr="005060E0" w:rsidRDefault="00171706" w:rsidP="00756AB7">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GB"/>
              </w:rPr>
              <w:t>4</w:t>
            </w:r>
          </w:p>
        </w:tc>
        <w:tc>
          <w:tcPr>
            <w:tcW w:w="997" w:type="pct"/>
            <w:tcBorders>
              <w:top w:val="single" w:sz="4" w:space="0" w:color="606072"/>
              <w:left w:val="nil"/>
              <w:bottom w:val="dotted" w:sz="4" w:space="0" w:color="606072"/>
              <w:right w:val="single" w:sz="4" w:space="0" w:color="606072"/>
            </w:tcBorders>
            <w:shd w:val="clear" w:color="000000" w:fill="FFFFFF"/>
            <w:vAlign w:val="center"/>
          </w:tcPr>
          <w:p w14:paraId="48D73929" w14:textId="450B4DBA" w:rsidR="00171706" w:rsidRPr="005060E0" w:rsidRDefault="00171706" w:rsidP="00756AB7">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GB"/>
              </w:rPr>
              <w:t>10</w:t>
            </w:r>
          </w:p>
        </w:tc>
      </w:tr>
      <w:tr w:rsidR="00756AB7" w:rsidRPr="005060E0" w14:paraId="513B7FE0" w14:textId="77777777" w:rsidTr="00A70751">
        <w:trPr>
          <w:trHeight w:hRule="exact" w:val="283"/>
        </w:trPr>
        <w:tc>
          <w:tcPr>
            <w:tcW w:w="867" w:type="pct"/>
            <w:tcBorders>
              <w:top w:val="dotted" w:sz="4" w:space="0" w:color="606072"/>
              <w:left w:val="single" w:sz="4" w:space="0" w:color="606072"/>
              <w:bottom w:val="dotted" w:sz="4" w:space="0" w:color="606072"/>
              <w:right w:val="single" w:sz="4" w:space="0" w:color="606072"/>
            </w:tcBorders>
            <w:shd w:val="clear" w:color="auto" w:fill="F2F2F2" w:themeFill="background1" w:themeFillShade="F2"/>
            <w:tcMar>
              <w:left w:w="57" w:type="dxa"/>
              <w:right w:w="28" w:type="dxa"/>
            </w:tcMar>
            <w:vAlign w:val="center"/>
          </w:tcPr>
          <w:p w14:paraId="5E921374" w14:textId="25A7AB9A" w:rsidR="00756AB7" w:rsidRPr="005060E0" w:rsidRDefault="00756AB7" w:rsidP="00756AB7">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Other airsheds</w:t>
            </w:r>
          </w:p>
        </w:tc>
        <w:tc>
          <w:tcPr>
            <w:tcW w:w="146" w:type="pct"/>
            <w:tcBorders>
              <w:top w:val="dotted" w:sz="4" w:space="0" w:color="606072"/>
              <w:left w:val="nil"/>
              <w:bottom w:val="dotted" w:sz="4" w:space="0" w:color="606072"/>
              <w:right w:val="nil"/>
            </w:tcBorders>
            <w:shd w:val="clear" w:color="000000" w:fill="FFFFFF"/>
            <w:vAlign w:val="center"/>
          </w:tcPr>
          <w:p w14:paraId="250123BB" w14:textId="77777777" w:rsidR="00756AB7" w:rsidRPr="005060E0" w:rsidRDefault="00756AB7" w:rsidP="00756AB7">
            <w:pPr>
              <w:widowControl w:val="0"/>
              <w:spacing w:after="0" w:line="240" w:lineRule="auto"/>
              <w:rPr>
                <w:rFonts w:eastAsia="Times New Roman" w:cs="Arial"/>
                <w:sz w:val="16"/>
                <w:szCs w:val="16"/>
                <w:lang w:eastAsia="en-AU"/>
              </w:rPr>
            </w:pPr>
          </w:p>
        </w:tc>
        <w:tc>
          <w:tcPr>
            <w:tcW w:w="996" w:type="pct"/>
            <w:tcBorders>
              <w:top w:val="dotted" w:sz="4" w:space="0" w:color="606072"/>
              <w:left w:val="nil"/>
              <w:bottom w:val="dotted" w:sz="4" w:space="0" w:color="606072"/>
              <w:right w:val="nil"/>
            </w:tcBorders>
            <w:shd w:val="clear" w:color="000000" w:fill="FFFFFF"/>
            <w:vAlign w:val="center"/>
          </w:tcPr>
          <w:p w14:paraId="37C48790" w14:textId="745E36FD" w:rsidR="00756AB7" w:rsidRPr="005060E0" w:rsidRDefault="00756AB7" w:rsidP="00756AB7">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GB"/>
              </w:rPr>
              <w:t>31</w:t>
            </w:r>
          </w:p>
        </w:tc>
        <w:tc>
          <w:tcPr>
            <w:tcW w:w="997" w:type="pct"/>
            <w:tcBorders>
              <w:top w:val="dotted" w:sz="4" w:space="0" w:color="606072"/>
              <w:left w:val="nil"/>
              <w:bottom w:val="dotted" w:sz="4" w:space="0" w:color="606072"/>
              <w:right w:val="nil"/>
            </w:tcBorders>
            <w:shd w:val="clear" w:color="000000" w:fill="FFFFFF"/>
            <w:vAlign w:val="center"/>
          </w:tcPr>
          <w:p w14:paraId="099175DC" w14:textId="3B81E025" w:rsidR="00756AB7" w:rsidRPr="005060E0" w:rsidRDefault="004B40ED" w:rsidP="00756AB7">
            <w:pPr>
              <w:widowControl w:val="0"/>
              <w:spacing w:after="0" w:line="240" w:lineRule="auto"/>
              <w:jc w:val="center"/>
              <w:rPr>
                <w:rFonts w:eastAsia="Times New Roman" w:cs="Arial"/>
                <w:color w:val="808080" w:themeColor="background1" w:themeShade="80"/>
                <w:sz w:val="16"/>
                <w:szCs w:val="16"/>
                <w:lang w:eastAsia="en-AU"/>
              </w:rPr>
            </w:pPr>
            <w:r>
              <w:rPr>
                <w:rFonts w:eastAsia="Times New Roman" w:cs="Arial"/>
                <w:color w:val="808080" w:themeColor="background1" w:themeShade="80"/>
                <w:sz w:val="16"/>
                <w:szCs w:val="16"/>
                <w:lang w:eastAsia="en-AU"/>
              </w:rPr>
              <w:t>–</w:t>
            </w:r>
          </w:p>
        </w:tc>
        <w:tc>
          <w:tcPr>
            <w:tcW w:w="997" w:type="pct"/>
            <w:tcBorders>
              <w:top w:val="dotted" w:sz="4" w:space="0" w:color="606072"/>
              <w:left w:val="nil"/>
              <w:bottom w:val="dotted" w:sz="4" w:space="0" w:color="606072"/>
              <w:right w:val="nil"/>
            </w:tcBorders>
            <w:shd w:val="clear" w:color="000000" w:fill="FFFFFF"/>
            <w:vAlign w:val="center"/>
          </w:tcPr>
          <w:p w14:paraId="2C632488" w14:textId="68989BC1" w:rsidR="00756AB7" w:rsidRPr="005060E0" w:rsidRDefault="004B40ED" w:rsidP="00756AB7">
            <w:pPr>
              <w:widowControl w:val="0"/>
              <w:spacing w:after="0" w:line="240" w:lineRule="auto"/>
              <w:jc w:val="center"/>
              <w:rPr>
                <w:rFonts w:eastAsia="Times New Roman" w:cs="Arial"/>
                <w:color w:val="808080" w:themeColor="background1" w:themeShade="80"/>
                <w:sz w:val="16"/>
                <w:szCs w:val="16"/>
                <w:lang w:eastAsia="en-AU"/>
              </w:rPr>
            </w:pPr>
            <w:r>
              <w:rPr>
                <w:rFonts w:eastAsia="Times New Roman" w:cs="Arial"/>
                <w:color w:val="808080" w:themeColor="background1" w:themeShade="80"/>
                <w:sz w:val="16"/>
                <w:szCs w:val="16"/>
                <w:lang w:eastAsia="en-AU"/>
              </w:rPr>
              <w:t>–</w:t>
            </w:r>
          </w:p>
        </w:tc>
        <w:tc>
          <w:tcPr>
            <w:tcW w:w="997" w:type="pct"/>
            <w:tcBorders>
              <w:top w:val="dotted" w:sz="4" w:space="0" w:color="606072"/>
              <w:left w:val="nil"/>
              <w:bottom w:val="dotted" w:sz="4" w:space="0" w:color="606072"/>
              <w:right w:val="single" w:sz="4" w:space="0" w:color="606072"/>
            </w:tcBorders>
            <w:shd w:val="clear" w:color="000000" w:fill="FFFFFF"/>
            <w:vAlign w:val="center"/>
          </w:tcPr>
          <w:p w14:paraId="58585ED9" w14:textId="2082BC3D" w:rsidR="00756AB7" w:rsidRPr="005060E0" w:rsidRDefault="004B40ED" w:rsidP="00756AB7">
            <w:pPr>
              <w:widowControl w:val="0"/>
              <w:spacing w:after="0" w:line="240" w:lineRule="auto"/>
              <w:jc w:val="center"/>
              <w:rPr>
                <w:rFonts w:eastAsia="Times New Roman" w:cs="Arial"/>
                <w:color w:val="808080" w:themeColor="background1" w:themeShade="80"/>
                <w:sz w:val="16"/>
                <w:szCs w:val="16"/>
                <w:lang w:eastAsia="en-AU"/>
              </w:rPr>
            </w:pPr>
            <w:r>
              <w:rPr>
                <w:rFonts w:eastAsia="Times New Roman" w:cs="Arial"/>
                <w:color w:val="808080" w:themeColor="background1" w:themeShade="80"/>
                <w:sz w:val="16"/>
                <w:szCs w:val="16"/>
                <w:lang w:eastAsia="en-AU"/>
              </w:rPr>
              <w:t>–</w:t>
            </w:r>
          </w:p>
        </w:tc>
      </w:tr>
      <w:tr w:rsidR="00756AB7" w:rsidRPr="005060E0" w14:paraId="20A353C5" w14:textId="77777777" w:rsidTr="00A70751">
        <w:trPr>
          <w:trHeight w:hRule="exact" w:val="340"/>
        </w:trPr>
        <w:tc>
          <w:tcPr>
            <w:tcW w:w="5000" w:type="pct"/>
            <w:gridSpan w:val="6"/>
            <w:tcBorders>
              <w:top w:val="single" w:sz="4" w:space="0" w:color="606072"/>
              <w:left w:val="single" w:sz="4" w:space="0" w:color="606072"/>
              <w:bottom w:val="dotted" w:sz="4" w:space="0" w:color="606072"/>
              <w:right w:val="single" w:sz="4" w:space="0" w:color="606072"/>
            </w:tcBorders>
            <w:shd w:val="clear" w:color="auto" w:fill="DEDFE3" w:themeFill="text2" w:themeFillTint="33"/>
            <w:tcMar>
              <w:left w:w="57" w:type="dxa"/>
              <w:right w:w="28" w:type="dxa"/>
            </w:tcMar>
            <w:vAlign w:val="center"/>
          </w:tcPr>
          <w:p w14:paraId="704BA26E" w14:textId="66DAB943" w:rsidR="00756AB7" w:rsidRPr="005060E0" w:rsidRDefault="00756AB7" w:rsidP="00756AB7">
            <w:pPr>
              <w:widowControl w:val="0"/>
              <w:spacing w:after="0" w:line="240" w:lineRule="auto"/>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GB"/>
              </w:rPr>
              <w:t>Ho</w:t>
            </w:r>
            <w:r w:rsidRPr="005060E0">
              <w:rPr>
                <w:rFonts w:eastAsia="Times New Roman" w:cs="Arial"/>
                <w:color w:val="000000"/>
                <w:sz w:val="16"/>
                <w:szCs w:val="16"/>
                <w:shd w:val="clear" w:color="auto" w:fill="DEDFE3" w:themeFill="text2" w:themeFillTint="33"/>
                <w:lang w:eastAsia="en-GB"/>
              </w:rPr>
              <w:t>s</w:t>
            </w:r>
            <w:r w:rsidRPr="005060E0">
              <w:rPr>
                <w:rFonts w:eastAsia="Times New Roman" w:cs="Arial"/>
                <w:color w:val="000000"/>
                <w:sz w:val="16"/>
                <w:szCs w:val="16"/>
                <w:lang w:eastAsia="en-GB"/>
              </w:rPr>
              <w:t>pital admissions, cardiovascular (65+ years)</w:t>
            </w:r>
          </w:p>
        </w:tc>
      </w:tr>
      <w:tr w:rsidR="00756AB7" w:rsidRPr="005060E0" w14:paraId="0A04D1EA" w14:textId="77777777" w:rsidTr="00A70751">
        <w:trPr>
          <w:trHeight w:hRule="exact" w:val="283"/>
        </w:trPr>
        <w:tc>
          <w:tcPr>
            <w:tcW w:w="867" w:type="pct"/>
            <w:tcBorders>
              <w:top w:val="single" w:sz="4" w:space="0" w:color="606072"/>
              <w:left w:val="single" w:sz="4" w:space="0" w:color="606072"/>
              <w:bottom w:val="dotted" w:sz="4" w:space="0" w:color="606072"/>
              <w:right w:val="single" w:sz="4" w:space="0" w:color="606072"/>
            </w:tcBorders>
            <w:shd w:val="clear" w:color="auto" w:fill="F2F2F2" w:themeFill="background1" w:themeFillShade="F2"/>
            <w:tcMar>
              <w:left w:w="57" w:type="dxa"/>
              <w:right w:w="28" w:type="dxa"/>
            </w:tcMar>
            <w:vAlign w:val="center"/>
          </w:tcPr>
          <w:p w14:paraId="34D15F25" w14:textId="6EE0FDC4" w:rsidR="00756AB7" w:rsidRPr="005060E0" w:rsidRDefault="00A70751" w:rsidP="00756AB7">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NSW and Victoria</w:t>
            </w:r>
          </w:p>
        </w:tc>
        <w:tc>
          <w:tcPr>
            <w:tcW w:w="146" w:type="pct"/>
            <w:tcBorders>
              <w:top w:val="single" w:sz="4" w:space="0" w:color="606072"/>
              <w:left w:val="nil"/>
              <w:bottom w:val="dotted" w:sz="4" w:space="0" w:color="606072"/>
              <w:right w:val="nil"/>
            </w:tcBorders>
            <w:shd w:val="clear" w:color="000000" w:fill="FFFFFF"/>
            <w:vAlign w:val="center"/>
          </w:tcPr>
          <w:p w14:paraId="5F3BD938" w14:textId="77777777" w:rsidR="00756AB7" w:rsidRPr="005060E0" w:rsidRDefault="00756AB7" w:rsidP="00756AB7">
            <w:pPr>
              <w:widowControl w:val="0"/>
              <w:spacing w:after="0" w:line="240" w:lineRule="auto"/>
              <w:rPr>
                <w:rFonts w:eastAsia="Times New Roman" w:cs="Arial"/>
                <w:sz w:val="16"/>
                <w:szCs w:val="16"/>
                <w:lang w:eastAsia="en-AU"/>
              </w:rPr>
            </w:pPr>
          </w:p>
        </w:tc>
        <w:tc>
          <w:tcPr>
            <w:tcW w:w="996" w:type="pct"/>
            <w:tcBorders>
              <w:top w:val="single" w:sz="4" w:space="0" w:color="606072"/>
              <w:left w:val="nil"/>
              <w:bottom w:val="dotted" w:sz="4" w:space="0" w:color="606072"/>
              <w:right w:val="nil"/>
            </w:tcBorders>
            <w:shd w:val="clear" w:color="000000" w:fill="FFFFFF"/>
            <w:vAlign w:val="center"/>
          </w:tcPr>
          <w:p w14:paraId="16091DD3" w14:textId="314E21D0" w:rsidR="00756AB7" w:rsidRPr="005060E0" w:rsidRDefault="00756AB7" w:rsidP="00756AB7">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GB"/>
              </w:rPr>
              <w:t>543</w:t>
            </w:r>
          </w:p>
        </w:tc>
        <w:tc>
          <w:tcPr>
            <w:tcW w:w="997" w:type="pct"/>
            <w:tcBorders>
              <w:top w:val="single" w:sz="4" w:space="0" w:color="606072"/>
              <w:left w:val="nil"/>
              <w:bottom w:val="dotted" w:sz="4" w:space="0" w:color="606072"/>
              <w:right w:val="nil"/>
            </w:tcBorders>
            <w:shd w:val="clear" w:color="000000" w:fill="FFFFFF"/>
            <w:vAlign w:val="center"/>
          </w:tcPr>
          <w:p w14:paraId="76C9F161" w14:textId="1D73E39C" w:rsidR="00756AB7" w:rsidRPr="005060E0" w:rsidRDefault="00756AB7" w:rsidP="00756AB7">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GB"/>
              </w:rPr>
              <w:t>848</w:t>
            </w:r>
          </w:p>
        </w:tc>
        <w:tc>
          <w:tcPr>
            <w:tcW w:w="997" w:type="pct"/>
            <w:tcBorders>
              <w:top w:val="single" w:sz="4" w:space="0" w:color="606072"/>
              <w:left w:val="nil"/>
              <w:bottom w:val="dotted" w:sz="4" w:space="0" w:color="606072"/>
              <w:right w:val="nil"/>
            </w:tcBorders>
            <w:shd w:val="clear" w:color="000000" w:fill="FFFFFF"/>
            <w:vAlign w:val="center"/>
          </w:tcPr>
          <w:p w14:paraId="3C3E0C40" w14:textId="01EF903F" w:rsidR="00756AB7" w:rsidRPr="005060E0" w:rsidRDefault="00756AB7" w:rsidP="00756AB7">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GB"/>
              </w:rPr>
              <w:t>208</w:t>
            </w:r>
          </w:p>
        </w:tc>
        <w:tc>
          <w:tcPr>
            <w:tcW w:w="997" w:type="pct"/>
            <w:tcBorders>
              <w:top w:val="single" w:sz="4" w:space="0" w:color="606072"/>
              <w:left w:val="nil"/>
              <w:bottom w:val="dotted" w:sz="4" w:space="0" w:color="606072"/>
              <w:right w:val="single" w:sz="4" w:space="0" w:color="606072"/>
            </w:tcBorders>
            <w:shd w:val="clear" w:color="000000" w:fill="FFFFFF"/>
            <w:vAlign w:val="center"/>
          </w:tcPr>
          <w:p w14:paraId="6035C649" w14:textId="6B28A6FA" w:rsidR="00756AB7" w:rsidRPr="005060E0" w:rsidRDefault="00756AB7" w:rsidP="00756AB7">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GB"/>
              </w:rPr>
              <w:t>490</w:t>
            </w:r>
          </w:p>
        </w:tc>
      </w:tr>
      <w:tr w:rsidR="00756AB7" w:rsidRPr="005060E0" w14:paraId="487D063D" w14:textId="77777777" w:rsidTr="00A70751">
        <w:trPr>
          <w:trHeight w:hRule="exact" w:val="283"/>
        </w:trPr>
        <w:tc>
          <w:tcPr>
            <w:tcW w:w="867" w:type="pct"/>
            <w:tcBorders>
              <w:top w:val="dotted" w:sz="4" w:space="0" w:color="606072"/>
              <w:left w:val="single" w:sz="4" w:space="0" w:color="606072"/>
              <w:bottom w:val="dotted" w:sz="4" w:space="0" w:color="606072"/>
              <w:right w:val="single" w:sz="4" w:space="0" w:color="606072"/>
            </w:tcBorders>
            <w:shd w:val="clear" w:color="auto" w:fill="F2F2F2" w:themeFill="background1" w:themeFillShade="F2"/>
            <w:tcMar>
              <w:left w:w="57" w:type="dxa"/>
              <w:right w:w="28" w:type="dxa"/>
            </w:tcMar>
            <w:vAlign w:val="center"/>
          </w:tcPr>
          <w:p w14:paraId="75F5A6FE" w14:textId="75EB2B83" w:rsidR="00756AB7" w:rsidRPr="005060E0" w:rsidRDefault="00756AB7" w:rsidP="00756AB7">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Other airsheds</w:t>
            </w:r>
          </w:p>
        </w:tc>
        <w:tc>
          <w:tcPr>
            <w:tcW w:w="146" w:type="pct"/>
            <w:tcBorders>
              <w:top w:val="dotted" w:sz="4" w:space="0" w:color="606072"/>
              <w:left w:val="nil"/>
              <w:bottom w:val="dotted" w:sz="4" w:space="0" w:color="606072"/>
              <w:right w:val="nil"/>
            </w:tcBorders>
            <w:shd w:val="clear" w:color="000000" w:fill="FFFFFF"/>
            <w:vAlign w:val="center"/>
          </w:tcPr>
          <w:p w14:paraId="6C1445D2" w14:textId="77777777" w:rsidR="00756AB7" w:rsidRPr="005060E0" w:rsidRDefault="00756AB7" w:rsidP="00756AB7">
            <w:pPr>
              <w:widowControl w:val="0"/>
              <w:spacing w:after="0" w:line="240" w:lineRule="auto"/>
              <w:rPr>
                <w:rFonts w:eastAsia="Times New Roman" w:cs="Arial"/>
                <w:sz w:val="16"/>
                <w:szCs w:val="16"/>
                <w:lang w:eastAsia="en-AU"/>
              </w:rPr>
            </w:pPr>
          </w:p>
        </w:tc>
        <w:tc>
          <w:tcPr>
            <w:tcW w:w="996" w:type="pct"/>
            <w:tcBorders>
              <w:top w:val="dotted" w:sz="4" w:space="0" w:color="606072"/>
              <w:left w:val="nil"/>
              <w:bottom w:val="dotted" w:sz="4" w:space="0" w:color="606072"/>
              <w:right w:val="nil"/>
            </w:tcBorders>
            <w:shd w:val="clear" w:color="000000" w:fill="FFFFFF"/>
            <w:vAlign w:val="center"/>
          </w:tcPr>
          <w:p w14:paraId="60C78AB0" w14:textId="0EB1FC48" w:rsidR="00756AB7" w:rsidRPr="005060E0" w:rsidRDefault="00756AB7" w:rsidP="00756AB7">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GB"/>
              </w:rPr>
              <w:t>811</w:t>
            </w:r>
          </w:p>
        </w:tc>
        <w:tc>
          <w:tcPr>
            <w:tcW w:w="997" w:type="pct"/>
            <w:tcBorders>
              <w:top w:val="dotted" w:sz="4" w:space="0" w:color="606072"/>
              <w:left w:val="nil"/>
              <w:bottom w:val="dotted" w:sz="4" w:space="0" w:color="606072"/>
              <w:right w:val="nil"/>
            </w:tcBorders>
            <w:shd w:val="clear" w:color="000000" w:fill="FFFFFF"/>
            <w:vAlign w:val="center"/>
          </w:tcPr>
          <w:p w14:paraId="62207673" w14:textId="01334196" w:rsidR="00756AB7" w:rsidRPr="005060E0" w:rsidRDefault="004B40ED" w:rsidP="00756AB7">
            <w:pPr>
              <w:widowControl w:val="0"/>
              <w:spacing w:after="0" w:line="240" w:lineRule="auto"/>
              <w:jc w:val="center"/>
              <w:rPr>
                <w:rFonts w:eastAsia="Times New Roman" w:cs="Arial"/>
                <w:color w:val="808080" w:themeColor="background1" w:themeShade="80"/>
                <w:sz w:val="16"/>
                <w:szCs w:val="16"/>
                <w:lang w:eastAsia="en-AU"/>
              </w:rPr>
            </w:pPr>
            <w:r>
              <w:rPr>
                <w:rFonts w:eastAsia="Times New Roman" w:cs="Arial"/>
                <w:color w:val="808080" w:themeColor="background1" w:themeShade="80"/>
                <w:sz w:val="16"/>
                <w:szCs w:val="16"/>
                <w:lang w:eastAsia="en-AU"/>
              </w:rPr>
              <w:t>–</w:t>
            </w:r>
          </w:p>
        </w:tc>
        <w:tc>
          <w:tcPr>
            <w:tcW w:w="997" w:type="pct"/>
            <w:tcBorders>
              <w:top w:val="dotted" w:sz="4" w:space="0" w:color="606072"/>
              <w:left w:val="nil"/>
              <w:bottom w:val="dotted" w:sz="4" w:space="0" w:color="606072"/>
              <w:right w:val="nil"/>
            </w:tcBorders>
            <w:shd w:val="clear" w:color="000000" w:fill="FFFFFF"/>
            <w:vAlign w:val="center"/>
          </w:tcPr>
          <w:p w14:paraId="126D04EE" w14:textId="7797759E" w:rsidR="00756AB7" w:rsidRPr="005060E0" w:rsidRDefault="004B40ED" w:rsidP="00756AB7">
            <w:pPr>
              <w:widowControl w:val="0"/>
              <w:spacing w:after="0" w:line="240" w:lineRule="auto"/>
              <w:jc w:val="center"/>
              <w:rPr>
                <w:rFonts w:eastAsia="Times New Roman" w:cs="Arial"/>
                <w:color w:val="808080" w:themeColor="background1" w:themeShade="80"/>
                <w:sz w:val="16"/>
                <w:szCs w:val="16"/>
                <w:lang w:eastAsia="en-AU"/>
              </w:rPr>
            </w:pPr>
            <w:r>
              <w:rPr>
                <w:rFonts w:eastAsia="Times New Roman" w:cs="Arial"/>
                <w:color w:val="808080" w:themeColor="background1" w:themeShade="80"/>
                <w:sz w:val="16"/>
                <w:szCs w:val="16"/>
                <w:lang w:eastAsia="en-AU"/>
              </w:rPr>
              <w:t>–</w:t>
            </w:r>
          </w:p>
        </w:tc>
        <w:tc>
          <w:tcPr>
            <w:tcW w:w="997" w:type="pct"/>
            <w:tcBorders>
              <w:top w:val="dotted" w:sz="4" w:space="0" w:color="606072"/>
              <w:left w:val="nil"/>
              <w:bottom w:val="dotted" w:sz="4" w:space="0" w:color="606072"/>
              <w:right w:val="single" w:sz="4" w:space="0" w:color="606072"/>
            </w:tcBorders>
            <w:shd w:val="clear" w:color="000000" w:fill="FFFFFF"/>
            <w:vAlign w:val="center"/>
          </w:tcPr>
          <w:p w14:paraId="30BFC889" w14:textId="68AEEB67" w:rsidR="00756AB7" w:rsidRPr="005060E0" w:rsidRDefault="004B40ED" w:rsidP="00756AB7">
            <w:pPr>
              <w:widowControl w:val="0"/>
              <w:spacing w:after="0" w:line="240" w:lineRule="auto"/>
              <w:jc w:val="center"/>
              <w:rPr>
                <w:rFonts w:eastAsia="Times New Roman" w:cs="Arial"/>
                <w:color w:val="808080" w:themeColor="background1" w:themeShade="80"/>
                <w:sz w:val="16"/>
                <w:szCs w:val="16"/>
                <w:lang w:eastAsia="en-AU"/>
              </w:rPr>
            </w:pPr>
            <w:r>
              <w:rPr>
                <w:rFonts w:eastAsia="Times New Roman" w:cs="Arial"/>
                <w:color w:val="808080" w:themeColor="background1" w:themeShade="80"/>
                <w:sz w:val="16"/>
                <w:szCs w:val="16"/>
                <w:lang w:eastAsia="en-AU"/>
              </w:rPr>
              <w:t>–</w:t>
            </w:r>
          </w:p>
        </w:tc>
      </w:tr>
      <w:tr w:rsidR="00756AB7" w:rsidRPr="005060E0" w14:paraId="70190DF2" w14:textId="77777777" w:rsidTr="00A70751">
        <w:trPr>
          <w:trHeight w:hRule="exact" w:val="340"/>
        </w:trPr>
        <w:tc>
          <w:tcPr>
            <w:tcW w:w="5000" w:type="pct"/>
            <w:gridSpan w:val="6"/>
            <w:tcBorders>
              <w:top w:val="single" w:sz="4" w:space="0" w:color="606072"/>
              <w:left w:val="single" w:sz="4" w:space="0" w:color="606072"/>
              <w:bottom w:val="dotted" w:sz="4" w:space="0" w:color="606072"/>
              <w:right w:val="single" w:sz="4" w:space="0" w:color="606072"/>
            </w:tcBorders>
            <w:shd w:val="clear" w:color="auto" w:fill="DEDFE3" w:themeFill="text2" w:themeFillTint="33"/>
            <w:tcMar>
              <w:left w:w="57" w:type="dxa"/>
              <w:right w:w="28" w:type="dxa"/>
            </w:tcMar>
            <w:vAlign w:val="center"/>
          </w:tcPr>
          <w:p w14:paraId="4356B2E0" w14:textId="4769D3A9" w:rsidR="00756AB7" w:rsidRPr="005060E0" w:rsidRDefault="00756AB7" w:rsidP="00756AB7">
            <w:pPr>
              <w:widowControl w:val="0"/>
              <w:spacing w:after="0" w:line="240" w:lineRule="auto"/>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GB"/>
              </w:rPr>
              <w:t>Hospital admissions, respiratory (65+ years)</w:t>
            </w:r>
          </w:p>
        </w:tc>
      </w:tr>
      <w:tr w:rsidR="00756AB7" w:rsidRPr="005060E0" w14:paraId="328E0856" w14:textId="77777777" w:rsidTr="00A70751">
        <w:trPr>
          <w:trHeight w:hRule="exact" w:val="283"/>
        </w:trPr>
        <w:tc>
          <w:tcPr>
            <w:tcW w:w="867" w:type="pct"/>
            <w:tcBorders>
              <w:top w:val="single" w:sz="4" w:space="0" w:color="606072"/>
              <w:left w:val="single" w:sz="4" w:space="0" w:color="606072"/>
              <w:bottom w:val="dotted" w:sz="4" w:space="0" w:color="606072"/>
              <w:right w:val="single" w:sz="4" w:space="0" w:color="606072"/>
            </w:tcBorders>
            <w:shd w:val="clear" w:color="auto" w:fill="F2F2F2" w:themeFill="background1" w:themeFillShade="F2"/>
            <w:tcMar>
              <w:left w:w="57" w:type="dxa"/>
              <w:right w:w="28" w:type="dxa"/>
            </w:tcMar>
            <w:vAlign w:val="center"/>
          </w:tcPr>
          <w:p w14:paraId="0DA76DC9" w14:textId="69DA2359" w:rsidR="00756AB7" w:rsidRPr="005060E0" w:rsidRDefault="00A70751" w:rsidP="00756AB7">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NSW and Victoria</w:t>
            </w:r>
          </w:p>
        </w:tc>
        <w:tc>
          <w:tcPr>
            <w:tcW w:w="146" w:type="pct"/>
            <w:tcBorders>
              <w:top w:val="single" w:sz="4" w:space="0" w:color="606072"/>
              <w:left w:val="nil"/>
              <w:bottom w:val="dotted" w:sz="4" w:space="0" w:color="606072"/>
              <w:right w:val="nil"/>
            </w:tcBorders>
            <w:shd w:val="clear" w:color="000000" w:fill="FFFFFF"/>
            <w:vAlign w:val="center"/>
            <w:hideMark/>
          </w:tcPr>
          <w:p w14:paraId="6B2B7695" w14:textId="77777777" w:rsidR="00756AB7" w:rsidRPr="005060E0" w:rsidRDefault="00756AB7" w:rsidP="00756AB7">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 </w:t>
            </w:r>
          </w:p>
        </w:tc>
        <w:tc>
          <w:tcPr>
            <w:tcW w:w="996" w:type="pct"/>
            <w:tcBorders>
              <w:top w:val="single" w:sz="4" w:space="0" w:color="606072"/>
              <w:left w:val="nil"/>
              <w:bottom w:val="dotted" w:sz="4" w:space="0" w:color="606072"/>
              <w:right w:val="nil"/>
            </w:tcBorders>
            <w:shd w:val="clear" w:color="000000" w:fill="FFFFFF"/>
            <w:vAlign w:val="center"/>
          </w:tcPr>
          <w:p w14:paraId="7D7125AA" w14:textId="54AF1B40" w:rsidR="00756AB7" w:rsidRPr="005060E0" w:rsidRDefault="00756AB7" w:rsidP="00756AB7">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GB"/>
              </w:rPr>
              <w:t>313</w:t>
            </w:r>
          </w:p>
        </w:tc>
        <w:tc>
          <w:tcPr>
            <w:tcW w:w="997" w:type="pct"/>
            <w:tcBorders>
              <w:top w:val="single" w:sz="4" w:space="0" w:color="606072"/>
              <w:left w:val="nil"/>
              <w:bottom w:val="dotted" w:sz="4" w:space="0" w:color="606072"/>
              <w:right w:val="nil"/>
            </w:tcBorders>
            <w:shd w:val="clear" w:color="000000" w:fill="FFFFFF"/>
            <w:vAlign w:val="center"/>
          </w:tcPr>
          <w:p w14:paraId="78BEEE8E" w14:textId="5CB55B5D" w:rsidR="00756AB7" w:rsidRPr="005060E0" w:rsidRDefault="00756AB7" w:rsidP="00756AB7">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GB"/>
              </w:rPr>
              <w:t>480</w:t>
            </w:r>
          </w:p>
        </w:tc>
        <w:tc>
          <w:tcPr>
            <w:tcW w:w="997" w:type="pct"/>
            <w:tcBorders>
              <w:top w:val="single" w:sz="4" w:space="0" w:color="606072"/>
              <w:left w:val="nil"/>
              <w:bottom w:val="dotted" w:sz="4" w:space="0" w:color="606072"/>
              <w:right w:val="nil"/>
            </w:tcBorders>
            <w:shd w:val="clear" w:color="000000" w:fill="FFFFFF"/>
            <w:vAlign w:val="center"/>
          </w:tcPr>
          <w:p w14:paraId="4FD2AAE8" w14:textId="347ED4F4" w:rsidR="00756AB7" w:rsidRPr="005060E0" w:rsidRDefault="00756AB7" w:rsidP="00756AB7">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GB"/>
              </w:rPr>
              <w:t>118</w:t>
            </w:r>
          </w:p>
        </w:tc>
        <w:tc>
          <w:tcPr>
            <w:tcW w:w="997" w:type="pct"/>
            <w:tcBorders>
              <w:top w:val="single" w:sz="4" w:space="0" w:color="606072"/>
              <w:left w:val="nil"/>
              <w:bottom w:val="dotted" w:sz="4" w:space="0" w:color="606072"/>
              <w:right w:val="single" w:sz="4" w:space="0" w:color="606072"/>
            </w:tcBorders>
            <w:shd w:val="clear" w:color="000000" w:fill="FFFFFF"/>
            <w:vAlign w:val="center"/>
          </w:tcPr>
          <w:p w14:paraId="45719C82" w14:textId="59637F91" w:rsidR="00756AB7" w:rsidRPr="005060E0" w:rsidRDefault="00756AB7" w:rsidP="00756AB7">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GB"/>
              </w:rPr>
              <w:t>277</w:t>
            </w:r>
          </w:p>
        </w:tc>
      </w:tr>
      <w:tr w:rsidR="00756AB7" w:rsidRPr="005060E0" w14:paraId="5AAF0E0C" w14:textId="77777777" w:rsidTr="00A70751">
        <w:trPr>
          <w:trHeight w:hRule="exact" w:val="283"/>
        </w:trPr>
        <w:tc>
          <w:tcPr>
            <w:tcW w:w="867" w:type="pct"/>
            <w:tcBorders>
              <w:top w:val="dotted" w:sz="4" w:space="0" w:color="606072"/>
              <w:left w:val="single" w:sz="4" w:space="0" w:color="606072"/>
              <w:bottom w:val="single" w:sz="4" w:space="0" w:color="606072"/>
              <w:right w:val="single" w:sz="4" w:space="0" w:color="606072"/>
            </w:tcBorders>
            <w:shd w:val="clear" w:color="auto" w:fill="F2F2F2" w:themeFill="background1" w:themeFillShade="F2"/>
            <w:tcMar>
              <w:left w:w="57" w:type="dxa"/>
              <w:right w:w="28" w:type="dxa"/>
            </w:tcMar>
            <w:vAlign w:val="center"/>
          </w:tcPr>
          <w:p w14:paraId="0DE28E4E" w14:textId="77777777" w:rsidR="00756AB7" w:rsidRPr="005060E0" w:rsidRDefault="00756AB7" w:rsidP="00756AB7">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Other airsheds</w:t>
            </w:r>
          </w:p>
        </w:tc>
        <w:tc>
          <w:tcPr>
            <w:tcW w:w="146" w:type="pct"/>
            <w:tcBorders>
              <w:top w:val="dotted" w:sz="4" w:space="0" w:color="606072"/>
              <w:left w:val="nil"/>
              <w:bottom w:val="single" w:sz="4" w:space="0" w:color="606072"/>
              <w:right w:val="nil"/>
            </w:tcBorders>
            <w:shd w:val="clear" w:color="000000" w:fill="FFFFFF"/>
            <w:vAlign w:val="center"/>
            <w:hideMark/>
          </w:tcPr>
          <w:p w14:paraId="477A0F9E" w14:textId="77777777" w:rsidR="00756AB7" w:rsidRPr="005060E0" w:rsidRDefault="00756AB7" w:rsidP="00756AB7">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 </w:t>
            </w:r>
          </w:p>
        </w:tc>
        <w:tc>
          <w:tcPr>
            <w:tcW w:w="996" w:type="pct"/>
            <w:tcBorders>
              <w:top w:val="dotted" w:sz="4" w:space="0" w:color="606072"/>
              <w:left w:val="nil"/>
              <w:bottom w:val="single" w:sz="4" w:space="0" w:color="606072"/>
              <w:right w:val="nil"/>
            </w:tcBorders>
            <w:shd w:val="clear" w:color="000000" w:fill="FFFFFF"/>
            <w:vAlign w:val="center"/>
          </w:tcPr>
          <w:p w14:paraId="30B5EC9A" w14:textId="57407DDB" w:rsidR="00756AB7" w:rsidRPr="005060E0" w:rsidRDefault="00756AB7" w:rsidP="00756AB7">
            <w:pPr>
              <w:widowControl w:val="0"/>
              <w:spacing w:after="0" w:line="240" w:lineRule="auto"/>
              <w:jc w:val="center"/>
              <w:rPr>
                <w:rFonts w:eastAsia="Times New Roman" w:cs="Arial"/>
                <w:sz w:val="16"/>
                <w:szCs w:val="16"/>
                <w:lang w:eastAsia="en-AU"/>
              </w:rPr>
            </w:pPr>
            <w:r w:rsidRPr="005060E0">
              <w:rPr>
                <w:rFonts w:eastAsia="Times New Roman" w:cs="Arial"/>
                <w:color w:val="000000"/>
                <w:sz w:val="16"/>
                <w:szCs w:val="16"/>
                <w:lang w:eastAsia="en-GB"/>
              </w:rPr>
              <w:t>470</w:t>
            </w:r>
          </w:p>
        </w:tc>
        <w:tc>
          <w:tcPr>
            <w:tcW w:w="997" w:type="pct"/>
            <w:tcBorders>
              <w:top w:val="dotted" w:sz="4" w:space="0" w:color="606072"/>
              <w:left w:val="nil"/>
              <w:bottom w:val="single" w:sz="4" w:space="0" w:color="606072"/>
              <w:right w:val="nil"/>
            </w:tcBorders>
            <w:shd w:val="clear" w:color="000000" w:fill="FFFFFF"/>
            <w:vAlign w:val="center"/>
          </w:tcPr>
          <w:p w14:paraId="4E429F5E" w14:textId="53A0BFC6" w:rsidR="00756AB7" w:rsidRPr="005060E0" w:rsidRDefault="004B40ED" w:rsidP="00756AB7">
            <w:pPr>
              <w:widowControl w:val="0"/>
              <w:spacing w:after="0" w:line="240" w:lineRule="auto"/>
              <w:jc w:val="center"/>
              <w:rPr>
                <w:rFonts w:eastAsia="Times New Roman" w:cs="Arial"/>
                <w:sz w:val="16"/>
                <w:szCs w:val="16"/>
                <w:lang w:eastAsia="en-AU"/>
              </w:rPr>
            </w:pPr>
            <w:r>
              <w:rPr>
                <w:rFonts w:eastAsia="Times New Roman" w:cs="Arial"/>
                <w:color w:val="000000"/>
                <w:sz w:val="16"/>
                <w:szCs w:val="16"/>
                <w:lang w:eastAsia="en-GB"/>
              </w:rPr>
              <w:t>–</w:t>
            </w:r>
          </w:p>
        </w:tc>
        <w:tc>
          <w:tcPr>
            <w:tcW w:w="997" w:type="pct"/>
            <w:tcBorders>
              <w:top w:val="dotted" w:sz="4" w:space="0" w:color="606072"/>
              <w:left w:val="nil"/>
              <w:bottom w:val="single" w:sz="4" w:space="0" w:color="606072"/>
              <w:right w:val="nil"/>
            </w:tcBorders>
            <w:shd w:val="clear" w:color="000000" w:fill="FFFFFF"/>
            <w:vAlign w:val="center"/>
          </w:tcPr>
          <w:p w14:paraId="6CE8C7AA" w14:textId="219373BB" w:rsidR="00756AB7" w:rsidRPr="005060E0" w:rsidRDefault="004B40ED" w:rsidP="00756AB7">
            <w:pPr>
              <w:widowControl w:val="0"/>
              <w:spacing w:after="0" w:line="240" w:lineRule="auto"/>
              <w:jc w:val="center"/>
              <w:rPr>
                <w:rFonts w:eastAsia="Times New Roman" w:cs="Arial"/>
                <w:sz w:val="16"/>
                <w:szCs w:val="16"/>
                <w:lang w:eastAsia="en-AU"/>
              </w:rPr>
            </w:pPr>
            <w:r>
              <w:rPr>
                <w:rFonts w:eastAsia="Times New Roman" w:cs="Arial"/>
                <w:color w:val="000000"/>
                <w:sz w:val="16"/>
                <w:szCs w:val="16"/>
                <w:lang w:eastAsia="en-GB"/>
              </w:rPr>
              <w:t>–</w:t>
            </w:r>
          </w:p>
        </w:tc>
        <w:tc>
          <w:tcPr>
            <w:tcW w:w="997" w:type="pct"/>
            <w:tcBorders>
              <w:top w:val="dotted" w:sz="4" w:space="0" w:color="606072"/>
              <w:left w:val="nil"/>
              <w:bottom w:val="single" w:sz="4" w:space="0" w:color="606072"/>
              <w:right w:val="single" w:sz="4" w:space="0" w:color="606072"/>
            </w:tcBorders>
            <w:shd w:val="clear" w:color="000000" w:fill="FFFFFF"/>
            <w:vAlign w:val="center"/>
          </w:tcPr>
          <w:p w14:paraId="1975E3C0" w14:textId="0C7F917F" w:rsidR="00756AB7" w:rsidRPr="005060E0" w:rsidRDefault="004B40ED" w:rsidP="00756AB7">
            <w:pPr>
              <w:widowControl w:val="0"/>
              <w:spacing w:after="0" w:line="240" w:lineRule="auto"/>
              <w:jc w:val="center"/>
              <w:rPr>
                <w:rFonts w:eastAsia="Times New Roman" w:cs="Arial"/>
                <w:color w:val="808080" w:themeColor="background1" w:themeShade="80"/>
                <w:sz w:val="16"/>
                <w:szCs w:val="16"/>
                <w:lang w:eastAsia="en-AU"/>
              </w:rPr>
            </w:pPr>
            <w:r>
              <w:rPr>
                <w:rFonts w:eastAsia="Times New Roman" w:cs="Arial"/>
                <w:color w:val="000000"/>
                <w:sz w:val="16"/>
                <w:szCs w:val="16"/>
                <w:lang w:eastAsia="en-GB"/>
              </w:rPr>
              <w:t>–</w:t>
            </w:r>
          </w:p>
        </w:tc>
      </w:tr>
      <w:tr w:rsidR="00756AB7" w:rsidRPr="005060E0" w14:paraId="7F489CE5" w14:textId="77777777" w:rsidTr="00A70751">
        <w:trPr>
          <w:trHeight w:val="340"/>
        </w:trPr>
        <w:tc>
          <w:tcPr>
            <w:tcW w:w="5000" w:type="pct"/>
            <w:gridSpan w:val="6"/>
            <w:tcBorders>
              <w:top w:val="nil"/>
              <w:left w:val="single" w:sz="4" w:space="0" w:color="606072"/>
              <w:bottom w:val="nil"/>
              <w:right w:val="single" w:sz="4" w:space="0" w:color="606072"/>
            </w:tcBorders>
            <w:shd w:val="clear" w:color="auto" w:fill="DEDFE3" w:themeFill="text2" w:themeFillTint="33"/>
            <w:noWrap/>
            <w:tcMar>
              <w:left w:w="57" w:type="dxa"/>
              <w:right w:w="28" w:type="dxa"/>
            </w:tcMar>
            <w:vAlign w:val="center"/>
            <w:hideMark/>
          </w:tcPr>
          <w:p w14:paraId="08BABF46" w14:textId="163412A0" w:rsidR="00756AB7" w:rsidRPr="005060E0" w:rsidRDefault="00756AB7" w:rsidP="00756AB7">
            <w:pPr>
              <w:widowControl w:val="0"/>
              <w:spacing w:after="0" w:line="240" w:lineRule="auto"/>
              <w:rPr>
                <w:rFonts w:eastAsia="Times New Roman" w:cs="Arial"/>
                <w:sz w:val="16"/>
                <w:szCs w:val="16"/>
                <w:lang w:eastAsia="en-AU"/>
              </w:rPr>
            </w:pPr>
            <w:r w:rsidRPr="005060E0">
              <w:rPr>
                <w:rFonts w:eastAsia="Times New Roman" w:cs="Arial"/>
                <w:color w:val="000000"/>
                <w:sz w:val="16"/>
                <w:szCs w:val="16"/>
                <w:lang w:eastAsia="en-GB"/>
              </w:rPr>
              <w:t>Hospital admissions, respiratory (15</w:t>
            </w:r>
            <w:r w:rsidR="00DB1A41">
              <w:rPr>
                <w:rFonts w:eastAsia="Times New Roman" w:cs="Arial"/>
                <w:color w:val="000000"/>
                <w:sz w:val="16"/>
                <w:szCs w:val="16"/>
                <w:lang w:eastAsia="en-GB"/>
              </w:rPr>
              <w:t>–</w:t>
            </w:r>
            <w:r w:rsidRPr="005060E0">
              <w:rPr>
                <w:rFonts w:eastAsia="Times New Roman" w:cs="Arial"/>
                <w:color w:val="000000"/>
                <w:sz w:val="16"/>
                <w:szCs w:val="16"/>
                <w:lang w:eastAsia="en-GB"/>
              </w:rPr>
              <w:t>64 years)</w:t>
            </w:r>
          </w:p>
        </w:tc>
      </w:tr>
      <w:tr w:rsidR="00756AB7" w:rsidRPr="005060E0" w14:paraId="5748FDF2" w14:textId="77777777" w:rsidTr="00A70751">
        <w:trPr>
          <w:trHeight w:hRule="exact" w:val="283"/>
        </w:trPr>
        <w:tc>
          <w:tcPr>
            <w:tcW w:w="867" w:type="pct"/>
            <w:tcBorders>
              <w:top w:val="single" w:sz="4" w:space="0" w:color="606072"/>
              <w:left w:val="single" w:sz="4" w:space="0" w:color="606072"/>
              <w:bottom w:val="dotted" w:sz="4" w:space="0" w:color="606072"/>
              <w:right w:val="single" w:sz="4" w:space="0" w:color="606072"/>
            </w:tcBorders>
            <w:shd w:val="clear" w:color="auto" w:fill="F2F2F2" w:themeFill="background1" w:themeFillShade="F2"/>
            <w:tcMar>
              <w:left w:w="57" w:type="dxa"/>
              <w:right w:w="28" w:type="dxa"/>
            </w:tcMar>
            <w:vAlign w:val="center"/>
          </w:tcPr>
          <w:p w14:paraId="1FB7ED70" w14:textId="7C096025" w:rsidR="00756AB7" w:rsidRPr="005060E0" w:rsidRDefault="00A70751" w:rsidP="00756AB7">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NSW and Victoria</w:t>
            </w:r>
          </w:p>
        </w:tc>
        <w:tc>
          <w:tcPr>
            <w:tcW w:w="146" w:type="pct"/>
            <w:tcBorders>
              <w:top w:val="single" w:sz="4" w:space="0" w:color="606072"/>
              <w:left w:val="nil"/>
              <w:bottom w:val="dotted" w:sz="4" w:space="0" w:color="606072"/>
              <w:right w:val="nil"/>
            </w:tcBorders>
            <w:shd w:val="clear" w:color="000000" w:fill="FFFFFF"/>
            <w:vAlign w:val="center"/>
            <w:hideMark/>
          </w:tcPr>
          <w:p w14:paraId="6E1C990F" w14:textId="77777777" w:rsidR="00756AB7" w:rsidRPr="005060E0" w:rsidRDefault="00756AB7" w:rsidP="00756AB7">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 </w:t>
            </w:r>
          </w:p>
        </w:tc>
        <w:tc>
          <w:tcPr>
            <w:tcW w:w="996" w:type="pct"/>
            <w:tcBorders>
              <w:top w:val="single" w:sz="4" w:space="0" w:color="606072"/>
              <w:left w:val="nil"/>
              <w:bottom w:val="dotted" w:sz="4" w:space="0" w:color="606072"/>
              <w:right w:val="nil"/>
            </w:tcBorders>
            <w:shd w:val="clear" w:color="000000" w:fill="FFFFFF"/>
            <w:vAlign w:val="center"/>
          </w:tcPr>
          <w:p w14:paraId="5A28B734" w14:textId="2FBF17D9" w:rsidR="00756AB7" w:rsidRPr="005060E0" w:rsidRDefault="003B2046" w:rsidP="00756AB7">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GB"/>
              </w:rPr>
              <w:t>252</w:t>
            </w:r>
          </w:p>
        </w:tc>
        <w:tc>
          <w:tcPr>
            <w:tcW w:w="997" w:type="pct"/>
            <w:tcBorders>
              <w:top w:val="single" w:sz="4" w:space="0" w:color="606072"/>
              <w:left w:val="nil"/>
              <w:bottom w:val="dotted" w:sz="4" w:space="0" w:color="606072"/>
              <w:right w:val="nil"/>
            </w:tcBorders>
            <w:shd w:val="clear" w:color="000000" w:fill="FFFFFF"/>
            <w:vAlign w:val="center"/>
          </w:tcPr>
          <w:p w14:paraId="67092F50" w14:textId="54E28EF8" w:rsidR="00756AB7" w:rsidRPr="005060E0" w:rsidRDefault="003B2046" w:rsidP="00756AB7">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GB"/>
              </w:rPr>
              <w:t>209</w:t>
            </w:r>
          </w:p>
        </w:tc>
        <w:tc>
          <w:tcPr>
            <w:tcW w:w="997" w:type="pct"/>
            <w:tcBorders>
              <w:top w:val="single" w:sz="4" w:space="0" w:color="606072"/>
              <w:left w:val="nil"/>
              <w:bottom w:val="dotted" w:sz="4" w:space="0" w:color="606072"/>
              <w:right w:val="nil"/>
            </w:tcBorders>
            <w:shd w:val="clear" w:color="000000" w:fill="FFFFFF"/>
            <w:vAlign w:val="center"/>
          </w:tcPr>
          <w:p w14:paraId="6668FFB4" w14:textId="10E2B224" w:rsidR="00756AB7" w:rsidRPr="005060E0" w:rsidRDefault="003B2046" w:rsidP="00756AB7">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GB"/>
              </w:rPr>
              <w:t>51</w:t>
            </w:r>
          </w:p>
        </w:tc>
        <w:tc>
          <w:tcPr>
            <w:tcW w:w="997" w:type="pct"/>
            <w:tcBorders>
              <w:top w:val="single" w:sz="4" w:space="0" w:color="606072"/>
              <w:left w:val="nil"/>
              <w:bottom w:val="dotted" w:sz="4" w:space="0" w:color="606072"/>
              <w:right w:val="single" w:sz="4" w:space="0" w:color="606072"/>
            </w:tcBorders>
            <w:shd w:val="clear" w:color="000000" w:fill="FFFFFF"/>
            <w:vAlign w:val="center"/>
          </w:tcPr>
          <w:p w14:paraId="660B36FA" w14:textId="384EDC58" w:rsidR="00756AB7" w:rsidRPr="005060E0" w:rsidRDefault="003B2046" w:rsidP="00756AB7">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GB"/>
              </w:rPr>
              <w:t>122</w:t>
            </w:r>
          </w:p>
        </w:tc>
      </w:tr>
      <w:tr w:rsidR="00756AB7" w:rsidRPr="005060E0" w14:paraId="2F8571BB" w14:textId="77777777" w:rsidTr="00A70751">
        <w:trPr>
          <w:trHeight w:hRule="exact" w:val="283"/>
        </w:trPr>
        <w:tc>
          <w:tcPr>
            <w:tcW w:w="867" w:type="pct"/>
            <w:tcBorders>
              <w:top w:val="dotted" w:sz="4" w:space="0" w:color="606072"/>
              <w:left w:val="single" w:sz="4" w:space="0" w:color="606072"/>
              <w:bottom w:val="single" w:sz="4" w:space="0" w:color="606072"/>
              <w:right w:val="single" w:sz="4" w:space="0" w:color="606072"/>
            </w:tcBorders>
            <w:shd w:val="clear" w:color="auto" w:fill="F2F2F2" w:themeFill="background1" w:themeFillShade="F2"/>
            <w:tcMar>
              <w:left w:w="57" w:type="dxa"/>
              <w:right w:w="28" w:type="dxa"/>
            </w:tcMar>
            <w:vAlign w:val="center"/>
          </w:tcPr>
          <w:p w14:paraId="264300B0" w14:textId="77777777" w:rsidR="00756AB7" w:rsidRPr="005060E0" w:rsidRDefault="00756AB7" w:rsidP="00756AB7">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Other airsheds</w:t>
            </w:r>
          </w:p>
        </w:tc>
        <w:tc>
          <w:tcPr>
            <w:tcW w:w="146" w:type="pct"/>
            <w:tcBorders>
              <w:top w:val="dotted" w:sz="4" w:space="0" w:color="606072"/>
              <w:left w:val="nil"/>
              <w:bottom w:val="single" w:sz="4" w:space="0" w:color="606072"/>
              <w:right w:val="nil"/>
            </w:tcBorders>
            <w:shd w:val="clear" w:color="000000" w:fill="FFFFFF"/>
            <w:vAlign w:val="center"/>
            <w:hideMark/>
          </w:tcPr>
          <w:p w14:paraId="737E1642" w14:textId="77777777" w:rsidR="00756AB7" w:rsidRPr="005060E0" w:rsidRDefault="00756AB7" w:rsidP="00756AB7">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 </w:t>
            </w:r>
          </w:p>
        </w:tc>
        <w:tc>
          <w:tcPr>
            <w:tcW w:w="996" w:type="pct"/>
            <w:tcBorders>
              <w:top w:val="dotted" w:sz="4" w:space="0" w:color="606072"/>
              <w:left w:val="nil"/>
              <w:bottom w:val="single" w:sz="4" w:space="0" w:color="606072"/>
              <w:right w:val="nil"/>
            </w:tcBorders>
            <w:shd w:val="clear" w:color="000000" w:fill="FFFFFF"/>
            <w:vAlign w:val="center"/>
          </w:tcPr>
          <w:p w14:paraId="4728D644" w14:textId="11EA7658" w:rsidR="00756AB7" w:rsidRPr="005060E0" w:rsidRDefault="003B2046" w:rsidP="00756AB7">
            <w:pPr>
              <w:widowControl w:val="0"/>
              <w:spacing w:after="0" w:line="240" w:lineRule="auto"/>
              <w:jc w:val="center"/>
              <w:rPr>
                <w:rFonts w:eastAsia="Times New Roman" w:cs="Arial"/>
                <w:sz w:val="16"/>
                <w:szCs w:val="16"/>
                <w:lang w:eastAsia="en-AU"/>
              </w:rPr>
            </w:pPr>
            <w:r w:rsidRPr="005060E0">
              <w:rPr>
                <w:rFonts w:eastAsia="Times New Roman" w:cs="Arial"/>
                <w:color w:val="000000"/>
                <w:sz w:val="16"/>
                <w:szCs w:val="16"/>
                <w:lang w:eastAsia="en-GB"/>
              </w:rPr>
              <w:t>472</w:t>
            </w:r>
          </w:p>
        </w:tc>
        <w:tc>
          <w:tcPr>
            <w:tcW w:w="997" w:type="pct"/>
            <w:tcBorders>
              <w:top w:val="dotted" w:sz="4" w:space="0" w:color="606072"/>
              <w:left w:val="nil"/>
              <w:bottom w:val="single" w:sz="4" w:space="0" w:color="606072"/>
              <w:right w:val="nil"/>
            </w:tcBorders>
            <w:shd w:val="clear" w:color="000000" w:fill="FFFFFF"/>
            <w:vAlign w:val="center"/>
          </w:tcPr>
          <w:p w14:paraId="04B0C4F3" w14:textId="5B4C620E" w:rsidR="00756AB7" w:rsidRPr="005060E0" w:rsidRDefault="004B40ED" w:rsidP="00756AB7">
            <w:pPr>
              <w:widowControl w:val="0"/>
              <w:spacing w:after="0" w:line="240" w:lineRule="auto"/>
              <w:jc w:val="center"/>
              <w:rPr>
                <w:rFonts w:eastAsia="Times New Roman" w:cs="Arial"/>
                <w:sz w:val="16"/>
                <w:szCs w:val="16"/>
                <w:lang w:eastAsia="en-AU"/>
              </w:rPr>
            </w:pPr>
            <w:r>
              <w:rPr>
                <w:rFonts w:eastAsia="Times New Roman" w:cs="Arial"/>
                <w:color w:val="808080" w:themeColor="background1" w:themeShade="80"/>
                <w:sz w:val="16"/>
                <w:szCs w:val="16"/>
                <w:lang w:eastAsia="en-AU"/>
              </w:rPr>
              <w:t>–</w:t>
            </w:r>
          </w:p>
        </w:tc>
        <w:tc>
          <w:tcPr>
            <w:tcW w:w="997" w:type="pct"/>
            <w:tcBorders>
              <w:top w:val="dotted" w:sz="4" w:space="0" w:color="606072"/>
              <w:left w:val="nil"/>
              <w:bottom w:val="single" w:sz="4" w:space="0" w:color="606072"/>
              <w:right w:val="nil"/>
            </w:tcBorders>
            <w:shd w:val="clear" w:color="000000" w:fill="FFFFFF"/>
            <w:vAlign w:val="center"/>
          </w:tcPr>
          <w:p w14:paraId="0C805461" w14:textId="5BE82EB9" w:rsidR="00756AB7" w:rsidRPr="005060E0" w:rsidRDefault="004B40ED" w:rsidP="00756AB7">
            <w:pPr>
              <w:widowControl w:val="0"/>
              <w:spacing w:after="0" w:line="240" w:lineRule="auto"/>
              <w:jc w:val="center"/>
              <w:rPr>
                <w:rFonts w:eastAsia="Times New Roman" w:cs="Arial"/>
                <w:sz w:val="16"/>
                <w:szCs w:val="16"/>
                <w:lang w:eastAsia="en-AU"/>
              </w:rPr>
            </w:pPr>
            <w:r>
              <w:rPr>
                <w:rFonts w:eastAsia="Times New Roman" w:cs="Arial"/>
                <w:color w:val="808080" w:themeColor="background1" w:themeShade="80"/>
                <w:sz w:val="16"/>
                <w:szCs w:val="16"/>
                <w:lang w:eastAsia="en-AU"/>
              </w:rPr>
              <w:t>–</w:t>
            </w:r>
          </w:p>
        </w:tc>
        <w:tc>
          <w:tcPr>
            <w:tcW w:w="997" w:type="pct"/>
            <w:tcBorders>
              <w:top w:val="dotted" w:sz="4" w:space="0" w:color="606072"/>
              <w:left w:val="nil"/>
              <w:bottom w:val="single" w:sz="4" w:space="0" w:color="606072"/>
              <w:right w:val="single" w:sz="4" w:space="0" w:color="606072"/>
            </w:tcBorders>
            <w:shd w:val="clear" w:color="000000" w:fill="FFFFFF"/>
            <w:vAlign w:val="center"/>
          </w:tcPr>
          <w:p w14:paraId="0656158D" w14:textId="632B0B2D" w:rsidR="00756AB7" w:rsidRPr="005060E0" w:rsidRDefault="004B40ED" w:rsidP="00756AB7">
            <w:pPr>
              <w:widowControl w:val="0"/>
              <w:spacing w:after="0" w:line="240" w:lineRule="auto"/>
              <w:jc w:val="center"/>
              <w:rPr>
                <w:rFonts w:eastAsia="Times New Roman" w:cs="Arial"/>
                <w:color w:val="808080" w:themeColor="background1" w:themeShade="80"/>
                <w:sz w:val="16"/>
                <w:szCs w:val="16"/>
                <w:lang w:eastAsia="en-AU"/>
              </w:rPr>
            </w:pPr>
            <w:r>
              <w:rPr>
                <w:rFonts w:eastAsia="Times New Roman" w:cs="Arial"/>
                <w:color w:val="808080" w:themeColor="background1" w:themeShade="80"/>
                <w:sz w:val="16"/>
                <w:szCs w:val="16"/>
                <w:lang w:eastAsia="en-AU"/>
              </w:rPr>
              <w:t>–</w:t>
            </w:r>
          </w:p>
        </w:tc>
      </w:tr>
      <w:tr w:rsidR="00756AB7" w:rsidRPr="005060E0" w14:paraId="287C3137" w14:textId="77777777" w:rsidTr="00A70751">
        <w:trPr>
          <w:trHeight w:val="340"/>
        </w:trPr>
        <w:tc>
          <w:tcPr>
            <w:tcW w:w="5000" w:type="pct"/>
            <w:gridSpan w:val="6"/>
            <w:tcBorders>
              <w:top w:val="nil"/>
              <w:left w:val="single" w:sz="4" w:space="0" w:color="606072"/>
              <w:bottom w:val="nil"/>
              <w:right w:val="single" w:sz="4" w:space="0" w:color="606072"/>
            </w:tcBorders>
            <w:shd w:val="clear" w:color="auto" w:fill="DEDFE3" w:themeFill="text2" w:themeFillTint="33"/>
            <w:noWrap/>
            <w:tcMar>
              <w:left w:w="57" w:type="dxa"/>
              <w:right w:w="28" w:type="dxa"/>
            </w:tcMar>
            <w:vAlign w:val="center"/>
            <w:hideMark/>
          </w:tcPr>
          <w:p w14:paraId="2D68CC8E" w14:textId="0DA01054" w:rsidR="00756AB7" w:rsidRPr="005060E0" w:rsidRDefault="00756AB7" w:rsidP="00756AB7">
            <w:pPr>
              <w:widowControl w:val="0"/>
              <w:spacing w:after="0" w:line="240" w:lineRule="auto"/>
              <w:rPr>
                <w:rFonts w:eastAsia="Times New Roman" w:cs="Arial"/>
                <w:color w:val="000000"/>
                <w:sz w:val="16"/>
                <w:szCs w:val="16"/>
                <w:lang w:eastAsia="en-AU"/>
              </w:rPr>
            </w:pPr>
            <w:r w:rsidRPr="005060E0">
              <w:rPr>
                <w:rFonts w:eastAsia="Times New Roman" w:cs="Arial"/>
                <w:color w:val="000000"/>
                <w:sz w:val="16"/>
                <w:szCs w:val="16"/>
                <w:lang w:eastAsia="en-GB"/>
              </w:rPr>
              <w:t>Emergency department visits, asthma (&lt;15 years)</w:t>
            </w:r>
          </w:p>
        </w:tc>
      </w:tr>
      <w:tr w:rsidR="00756AB7" w:rsidRPr="005060E0" w14:paraId="237F4586" w14:textId="77777777" w:rsidTr="00A70751">
        <w:trPr>
          <w:trHeight w:hRule="exact" w:val="283"/>
        </w:trPr>
        <w:tc>
          <w:tcPr>
            <w:tcW w:w="867" w:type="pct"/>
            <w:tcBorders>
              <w:top w:val="single" w:sz="4" w:space="0" w:color="606072"/>
              <w:left w:val="single" w:sz="4" w:space="0" w:color="606072"/>
              <w:bottom w:val="dotted" w:sz="4" w:space="0" w:color="606072"/>
              <w:right w:val="single" w:sz="4" w:space="0" w:color="606072"/>
            </w:tcBorders>
            <w:shd w:val="clear" w:color="000000" w:fill="F2F2F2"/>
            <w:tcMar>
              <w:left w:w="57" w:type="dxa"/>
              <w:right w:w="28" w:type="dxa"/>
            </w:tcMar>
            <w:vAlign w:val="center"/>
          </w:tcPr>
          <w:p w14:paraId="3F78C55A" w14:textId="3E723250" w:rsidR="00756AB7" w:rsidRPr="005060E0" w:rsidRDefault="00A70751" w:rsidP="00756AB7">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NSW and Victoria</w:t>
            </w:r>
          </w:p>
        </w:tc>
        <w:tc>
          <w:tcPr>
            <w:tcW w:w="146" w:type="pct"/>
            <w:tcBorders>
              <w:top w:val="single" w:sz="4" w:space="0" w:color="606072"/>
              <w:left w:val="nil"/>
              <w:bottom w:val="dotted" w:sz="4" w:space="0" w:color="606072"/>
              <w:right w:val="nil"/>
            </w:tcBorders>
            <w:shd w:val="clear" w:color="000000" w:fill="FFFFFF"/>
            <w:vAlign w:val="center"/>
            <w:hideMark/>
          </w:tcPr>
          <w:p w14:paraId="1737D448" w14:textId="77777777" w:rsidR="00756AB7" w:rsidRPr="005060E0" w:rsidRDefault="00756AB7" w:rsidP="00756AB7">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 </w:t>
            </w:r>
          </w:p>
        </w:tc>
        <w:tc>
          <w:tcPr>
            <w:tcW w:w="996" w:type="pct"/>
            <w:tcBorders>
              <w:top w:val="single" w:sz="4" w:space="0" w:color="606072"/>
              <w:left w:val="nil"/>
              <w:bottom w:val="dotted" w:sz="4" w:space="0" w:color="606072"/>
              <w:right w:val="nil"/>
            </w:tcBorders>
            <w:shd w:val="clear" w:color="000000" w:fill="FFFFFF"/>
            <w:vAlign w:val="center"/>
          </w:tcPr>
          <w:p w14:paraId="53D785AD" w14:textId="17E04DF2" w:rsidR="00756AB7" w:rsidRPr="005060E0" w:rsidRDefault="00756AB7" w:rsidP="00756AB7">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GB"/>
              </w:rPr>
              <w:t>22</w:t>
            </w:r>
          </w:p>
        </w:tc>
        <w:tc>
          <w:tcPr>
            <w:tcW w:w="997" w:type="pct"/>
            <w:tcBorders>
              <w:top w:val="single" w:sz="4" w:space="0" w:color="606072"/>
              <w:left w:val="nil"/>
              <w:bottom w:val="dotted" w:sz="4" w:space="0" w:color="606072"/>
              <w:right w:val="nil"/>
            </w:tcBorders>
            <w:shd w:val="clear" w:color="000000" w:fill="FFFFFF"/>
            <w:vAlign w:val="center"/>
          </w:tcPr>
          <w:p w14:paraId="0E302E8B" w14:textId="131AFD21" w:rsidR="00756AB7" w:rsidRPr="005060E0" w:rsidRDefault="00756AB7" w:rsidP="00756AB7">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GB"/>
              </w:rPr>
              <w:t>209</w:t>
            </w:r>
          </w:p>
        </w:tc>
        <w:tc>
          <w:tcPr>
            <w:tcW w:w="997" w:type="pct"/>
            <w:tcBorders>
              <w:top w:val="single" w:sz="4" w:space="0" w:color="606072"/>
              <w:left w:val="nil"/>
              <w:bottom w:val="dotted" w:sz="4" w:space="0" w:color="606072"/>
              <w:right w:val="nil"/>
            </w:tcBorders>
            <w:shd w:val="clear" w:color="000000" w:fill="FFFFFF"/>
            <w:vAlign w:val="center"/>
          </w:tcPr>
          <w:p w14:paraId="6976452A" w14:textId="0D6DA805" w:rsidR="00756AB7" w:rsidRPr="005060E0" w:rsidRDefault="00756AB7" w:rsidP="00756AB7">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GB"/>
              </w:rPr>
              <w:t>51</w:t>
            </w:r>
          </w:p>
        </w:tc>
        <w:tc>
          <w:tcPr>
            <w:tcW w:w="997" w:type="pct"/>
            <w:tcBorders>
              <w:top w:val="single" w:sz="4" w:space="0" w:color="606072"/>
              <w:left w:val="nil"/>
              <w:bottom w:val="dotted" w:sz="4" w:space="0" w:color="606072"/>
              <w:right w:val="single" w:sz="4" w:space="0" w:color="606072"/>
            </w:tcBorders>
            <w:shd w:val="clear" w:color="000000" w:fill="FFFFFF"/>
            <w:vAlign w:val="center"/>
          </w:tcPr>
          <w:p w14:paraId="07C4C9D3" w14:textId="0D857BBE" w:rsidR="00756AB7" w:rsidRPr="005060E0" w:rsidRDefault="00756AB7" w:rsidP="00756AB7">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GB"/>
              </w:rPr>
              <w:t>122</w:t>
            </w:r>
          </w:p>
        </w:tc>
      </w:tr>
      <w:tr w:rsidR="00756AB7" w:rsidRPr="005060E0" w14:paraId="589A450B" w14:textId="77777777" w:rsidTr="00A70751">
        <w:trPr>
          <w:trHeight w:hRule="exact" w:val="283"/>
        </w:trPr>
        <w:tc>
          <w:tcPr>
            <w:tcW w:w="867" w:type="pct"/>
            <w:tcBorders>
              <w:top w:val="dotted" w:sz="4" w:space="0" w:color="606072"/>
              <w:left w:val="single" w:sz="4" w:space="0" w:color="606072"/>
              <w:bottom w:val="single" w:sz="4" w:space="0" w:color="606072"/>
              <w:right w:val="single" w:sz="4" w:space="0" w:color="606072"/>
            </w:tcBorders>
            <w:shd w:val="clear" w:color="000000" w:fill="F2F2F2"/>
            <w:tcMar>
              <w:left w:w="57" w:type="dxa"/>
              <w:right w:w="28" w:type="dxa"/>
            </w:tcMar>
            <w:vAlign w:val="center"/>
          </w:tcPr>
          <w:p w14:paraId="649ADD0D" w14:textId="77777777" w:rsidR="00756AB7" w:rsidRPr="005060E0" w:rsidRDefault="00756AB7" w:rsidP="00756AB7">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Other airsheds</w:t>
            </w:r>
          </w:p>
        </w:tc>
        <w:tc>
          <w:tcPr>
            <w:tcW w:w="146" w:type="pct"/>
            <w:tcBorders>
              <w:top w:val="dotted" w:sz="4" w:space="0" w:color="606072"/>
              <w:left w:val="nil"/>
              <w:bottom w:val="single" w:sz="4" w:space="0" w:color="606072"/>
              <w:right w:val="nil"/>
            </w:tcBorders>
            <w:shd w:val="clear" w:color="000000" w:fill="FFFFFF"/>
            <w:vAlign w:val="center"/>
            <w:hideMark/>
          </w:tcPr>
          <w:p w14:paraId="241F1E7B" w14:textId="77777777" w:rsidR="00756AB7" w:rsidRPr="005060E0" w:rsidRDefault="00756AB7" w:rsidP="00756AB7">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 </w:t>
            </w:r>
          </w:p>
        </w:tc>
        <w:tc>
          <w:tcPr>
            <w:tcW w:w="996" w:type="pct"/>
            <w:tcBorders>
              <w:top w:val="dotted" w:sz="4" w:space="0" w:color="606072"/>
              <w:left w:val="nil"/>
              <w:bottom w:val="single" w:sz="4" w:space="0" w:color="606072"/>
              <w:right w:val="nil"/>
            </w:tcBorders>
            <w:shd w:val="clear" w:color="000000" w:fill="FFFFFF"/>
            <w:vAlign w:val="center"/>
          </w:tcPr>
          <w:p w14:paraId="58E11798" w14:textId="449B5006" w:rsidR="00756AB7" w:rsidRPr="005060E0" w:rsidRDefault="00756AB7" w:rsidP="00756AB7">
            <w:pPr>
              <w:widowControl w:val="0"/>
              <w:spacing w:after="0" w:line="240" w:lineRule="auto"/>
              <w:jc w:val="center"/>
              <w:rPr>
                <w:rFonts w:eastAsia="Times New Roman" w:cs="Arial"/>
                <w:sz w:val="16"/>
                <w:szCs w:val="16"/>
                <w:lang w:eastAsia="en-AU"/>
              </w:rPr>
            </w:pPr>
            <w:r w:rsidRPr="005060E0">
              <w:rPr>
                <w:rFonts w:eastAsia="Times New Roman" w:cs="Arial"/>
                <w:color w:val="000000"/>
                <w:sz w:val="16"/>
                <w:szCs w:val="16"/>
                <w:lang w:eastAsia="en-GB"/>
              </w:rPr>
              <w:t>37</w:t>
            </w:r>
          </w:p>
        </w:tc>
        <w:tc>
          <w:tcPr>
            <w:tcW w:w="997" w:type="pct"/>
            <w:tcBorders>
              <w:top w:val="dotted" w:sz="4" w:space="0" w:color="606072"/>
              <w:left w:val="nil"/>
              <w:bottom w:val="single" w:sz="4" w:space="0" w:color="606072"/>
              <w:right w:val="nil"/>
            </w:tcBorders>
            <w:shd w:val="clear" w:color="000000" w:fill="FFFFFF"/>
            <w:vAlign w:val="center"/>
          </w:tcPr>
          <w:p w14:paraId="4E5303ED" w14:textId="37082BEF" w:rsidR="00756AB7" w:rsidRPr="005060E0" w:rsidRDefault="004B40ED" w:rsidP="00756AB7">
            <w:pPr>
              <w:widowControl w:val="0"/>
              <w:spacing w:after="0" w:line="240" w:lineRule="auto"/>
              <w:jc w:val="center"/>
              <w:rPr>
                <w:rFonts w:eastAsia="Times New Roman" w:cs="Arial"/>
                <w:sz w:val="16"/>
                <w:szCs w:val="16"/>
                <w:lang w:eastAsia="en-AU"/>
              </w:rPr>
            </w:pPr>
            <w:r>
              <w:rPr>
                <w:rFonts w:eastAsia="Times New Roman" w:cs="Arial"/>
                <w:color w:val="808080" w:themeColor="background1" w:themeShade="80"/>
                <w:sz w:val="16"/>
                <w:szCs w:val="16"/>
                <w:lang w:eastAsia="en-AU"/>
              </w:rPr>
              <w:t>–</w:t>
            </w:r>
          </w:p>
        </w:tc>
        <w:tc>
          <w:tcPr>
            <w:tcW w:w="997" w:type="pct"/>
            <w:tcBorders>
              <w:top w:val="dotted" w:sz="4" w:space="0" w:color="606072"/>
              <w:left w:val="nil"/>
              <w:bottom w:val="single" w:sz="4" w:space="0" w:color="606072"/>
              <w:right w:val="nil"/>
            </w:tcBorders>
            <w:shd w:val="clear" w:color="000000" w:fill="FFFFFF"/>
            <w:vAlign w:val="center"/>
          </w:tcPr>
          <w:p w14:paraId="61CA6F8A" w14:textId="033F3E37" w:rsidR="00756AB7" w:rsidRPr="005060E0" w:rsidRDefault="004B40ED" w:rsidP="00756AB7">
            <w:pPr>
              <w:widowControl w:val="0"/>
              <w:spacing w:after="0" w:line="240" w:lineRule="auto"/>
              <w:jc w:val="center"/>
              <w:rPr>
                <w:rFonts w:eastAsia="Times New Roman" w:cs="Arial"/>
                <w:sz w:val="16"/>
                <w:szCs w:val="16"/>
                <w:lang w:eastAsia="en-AU"/>
              </w:rPr>
            </w:pPr>
            <w:r>
              <w:rPr>
                <w:rFonts w:eastAsia="Times New Roman" w:cs="Arial"/>
                <w:color w:val="808080" w:themeColor="background1" w:themeShade="80"/>
                <w:sz w:val="16"/>
                <w:szCs w:val="16"/>
                <w:lang w:eastAsia="en-AU"/>
              </w:rPr>
              <w:t>–</w:t>
            </w:r>
          </w:p>
        </w:tc>
        <w:tc>
          <w:tcPr>
            <w:tcW w:w="997" w:type="pct"/>
            <w:tcBorders>
              <w:top w:val="dotted" w:sz="4" w:space="0" w:color="606072"/>
              <w:left w:val="nil"/>
              <w:bottom w:val="single" w:sz="4" w:space="0" w:color="606072"/>
              <w:right w:val="single" w:sz="4" w:space="0" w:color="606072"/>
            </w:tcBorders>
            <w:shd w:val="clear" w:color="000000" w:fill="FFFFFF"/>
            <w:vAlign w:val="center"/>
          </w:tcPr>
          <w:p w14:paraId="4471B0D9" w14:textId="0D049426" w:rsidR="00756AB7" w:rsidRPr="005060E0" w:rsidRDefault="004B40ED" w:rsidP="00756AB7">
            <w:pPr>
              <w:widowControl w:val="0"/>
              <w:spacing w:after="0" w:line="240" w:lineRule="auto"/>
              <w:jc w:val="center"/>
              <w:rPr>
                <w:rFonts w:eastAsia="Times New Roman" w:cs="Arial"/>
                <w:color w:val="808080" w:themeColor="background1" w:themeShade="80"/>
                <w:sz w:val="16"/>
                <w:szCs w:val="16"/>
                <w:lang w:eastAsia="en-AU"/>
              </w:rPr>
            </w:pPr>
            <w:r>
              <w:rPr>
                <w:rFonts w:eastAsia="Times New Roman" w:cs="Arial"/>
                <w:color w:val="808080" w:themeColor="background1" w:themeShade="80"/>
                <w:sz w:val="16"/>
                <w:szCs w:val="16"/>
                <w:lang w:eastAsia="en-AU"/>
              </w:rPr>
              <w:t>–</w:t>
            </w:r>
          </w:p>
        </w:tc>
      </w:tr>
    </w:tbl>
    <w:p w14:paraId="2E40AABB" w14:textId="3348B3DA" w:rsidR="00627461" w:rsidRPr="005060E0" w:rsidRDefault="00627461" w:rsidP="00CB3A58">
      <w:pPr>
        <w:pStyle w:val="ListParagraph"/>
        <w:numPr>
          <w:ilvl w:val="0"/>
          <w:numId w:val="64"/>
        </w:numPr>
        <w:rPr>
          <w:rStyle w:val="PBTablecaptionChar"/>
          <w:rFonts w:eastAsiaTheme="minorHAnsi"/>
          <w:bCs w:val="0"/>
        </w:rPr>
      </w:pPr>
      <w:bookmarkStart w:id="179" w:name="_Toc508261203"/>
      <w:r w:rsidRPr="005060E0">
        <w:rPr>
          <w:sz w:val="16"/>
          <w:szCs w:val="16"/>
        </w:rPr>
        <w:t xml:space="preserve">‘All-cause mortality’ refers to acute mortality events that are estimated to shorten life by </w:t>
      </w:r>
      <w:r w:rsidR="006E1664">
        <w:rPr>
          <w:sz w:val="16"/>
          <w:szCs w:val="16"/>
        </w:rPr>
        <w:t>six</w:t>
      </w:r>
      <w:r w:rsidRPr="005060E0">
        <w:rPr>
          <w:sz w:val="16"/>
          <w:szCs w:val="16"/>
        </w:rPr>
        <w:t xml:space="preserve"> months.</w:t>
      </w:r>
    </w:p>
    <w:p w14:paraId="51D91F85" w14:textId="6A12F0C5" w:rsidR="007A6D8D" w:rsidRPr="005060E0" w:rsidRDefault="007A6D8D" w:rsidP="000B3B3D">
      <w:pPr>
        <w:pStyle w:val="Heading4"/>
      </w:pPr>
      <w:r w:rsidRPr="005060E0">
        <w:t>Annual average standards</w:t>
      </w:r>
      <w:bookmarkEnd w:id="179"/>
    </w:p>
    <w:p w14:paraId="64EF4CFA" w14:textId="55211AA3" w:rsidR="00250533" w:rsidRPr="005060E0" w:rsidRDefault="007A6D8D" w:rsidP="007A6D8D">
      <w:pPr>
        <w:rPr>
          <w:rFonts w:eastAsia="Arial"/>
          <w:szCs w:val="20"/>
        </w:rPr>
      </w:pPr>
      <w:r w:rsidRPr="005060E0">
        <w:rPr>
          <w:lang w:eastAsia="en-AU"/>
        </w:rPr>
        <w:t>It was shown in the air quality study (Appendix A, Section 2.3) that the current NEPM standard for annual average NO</w:t>
      </w:r>
      <w:r w:rsidRPr="005060E0">
        <w:rPr>
          <w:vertAlign w:val="subscript"/>
          <w:lang w:eastAsia="en-AU"/>
        </w:rPr>
        <w:t>2</w:t>
      </w:r>
      <w:r w:rsidR="00250533" w:rsidRPr="005060E0">
        <w:rPr>
          <w:lang w:eastAsia="en-AU"/>
        </w:rPr>
        <w:t xml:space="preserve"> of 30 ppb</w:t>
      </w:r>
      <w:r w:rsidRPr="005060E0">
        <w:rPr>
          <w:lang w:eastAsia="en-AU"/>
        </w:rPr>
        <w:t xml:space="preserve"> </w:t>
      </w:r>
      <w:r w:rsidR="00250533" w:rsidRPr="005060E0">
        <w:rPr>
          <w:lang w:eastAsia="en-AU"/>
        </w:rPr>
        <w:t>and the proposed standard of 19 ppb are</w:t>
      </w:r>
      <w:r w:rsidRPr="005060E0">
        <w:rPr>
          <w:lang w:eastAsia="en-AU"/>
        </w:rPr>
        <w:t xml:space="preserve"> met in all airsheds.</w:t>
      </w:r>
      <w:r w:rsidR="00250533" w:rsidRPr="005060E0">
        <w:rPr>
          <w:lang w:eastAsia="en-AU"/>
        </w:rPr>
        <w:t xml:space="preserve"> </w:t>
      </w:r>
      <w:r w:rsidR="00250533" w:rsidRPr="005060E0">
        <w:rPr>
          <w:rFonts w:eastAsia="Arial" w:cs="Arial"/>
          <w:szCs w:val="20"/>
        </w:rPr>
        <w:t>There have historically been exceedances of the proposed standard of 10 ppb in Sydney, the Port Phillip Region and Wollongong.</w:t>
      </w:r>
      <w:r w:rsidR="00250533" w:rsidRPr="005060E0">
        <w:rPr>
          <w:rFonts w:eastAsia="Arial"/>
          <w:szCs w:val="20"/>
        </w:rPr>
        <w:t xml:space="preserve"> In Sydney and the Port Phillip Region the exceedances of the 10 ppb standard have occurred at multiple stations and in multiple years.</w:t>
      </w:r>
    </w:p>
    <w:p w14:paraId="5EA0B24A" w14:textId="07289148" w:rsidR="00F55D4F" w:rsidRPr="005060E0" w:rsidRDefault="00F55D4F" w:rsidP="00F55D4F">
      <w:pPr>
        <w:rPr>
          <w:lang w:eastAsia="en-AU"/>
        </w:rPr>
      </w:pPr>
      <w:r w:rsidRPr="005060E0">
        <w:rPr>
          <w:lang w:eastAsia="en-AU"/>
        </w:rPr>
        <w:t>Because average airshed concentrations were below the HRAPIE cut-off for long-term NO</w:t>
      </w:r>
      <w:r w:rsidRPr="00126BED">
        <w:rPr>
          <w:vertAlign w:val="subscript"/>
          <w:lang w:eastAsia="en-AU"/>
        </w:rPr>
        <w:t>2</w:t>
      </w:r>
      <w:r w:rsidRPr="005060E0">
        <w:rPr>
          <w:lang w:eastAsia="en-AU"/>
        </w:rPr>
        <w:t xml:space="preserve"> concentrations of 20 </w:t>
      </w:r>
      <w:r w:rsidRPr="005060E0">
        <w:rPr>
          <w:rFonts w:ascii="Calibri" w:hAnsi="Calibri" w:cs="Calibri"/>
          <w:lang w:eastAsia="en-AU"/>
        </w:rPr>
        <w:t>µ</w:t>
      </w:r>
      <w:r w:rsidRPr="005060E0">
        <w:rPr>
          <w:lang w:eastAsia="en-AU"/>
        </w:rPr>
        <w:t>g/m</w:t>
      </w:r>
      <w:r w:rsidRPr="005060E0">
        <w:rPr>
          <w:vertAlign w:val="superscript"/>
          <w:lang w:eastAsia="en-AU"/>
        </w:rPr>
        <w:t>3</w:t>
      </w:r>
      <w:r w:rsidRPr="005060E0">
        <w:rPr>
          <w:lang w:eastAsia="en-AU"/>
        </w:rPr>
        <w:t xml:space="preserve"> (around 10 ppb</w:t>
      </w:r>
      <w:r w:rsidR="004B40ED">
        <w:rPr>
          <w:lang w:eastAsia="en-AU"/>
        </w:rPr>
        <w:t>,</w:t>
      </w:r>
      <w:r w:rsidRPr="005060E0">
        <w:rPr>
          <w:lang w:eastAsia="en-AU"/>
        </w:rPr>
        <w:t xml:space="preserve"> i.e. the lowest proposed standard), no health benefits of meeting the standards could be determined.</w:t>
      </w:r>
    </w:p>
    <w:p w14:paraId="6613438D" w14:textId="65A7EDF8" w:rsidR="00D54E34" w:rsidRPr="005060E0" w:rsidRDefault="00D54E34" w:rsidP="00D54E34">
      <w:pPr>
        <w:rPr>
          <w:lang w:eastAsia="en-AU"/>
        </w:rPr>
      </w:pPr>
      <w:r w:rsidRPr="005060E0">
        <w:rPr>
          <w:lang w:eastAsia="en-AU"/>
        </w:rPr>
        <w:t>It is worth noting that reducing the maximum 1-hour values to meet 40 ppb alone does not lead to the meeting of the 10 ppb annual average standard</w:t>
      </w:r>
      <w:r w:rsidR="004B40ED">
        <w:rPr>
          <w:lang w:eastAsia="en-AU"/>
        </w:rPr>
        <w:t>;</w:t>
      </w:r>
      <w:r w:rsidRPr="005060E0">
        <w:rPr>
          <w:lang w:eastAsia="en-AU"/>
        </w:rPr>
        <w:t xml:space="preserve"> </w:t>
      </w:r>
      <w:r w:rsidR="004B40ED">
        <w:rPr>
          <w:lang w:eastAsia="en-AU"/>
        </w:rPr>
        <w:t>h</w:t>
      </w:r>
      <w:r w:rsidRPr="005060E0">
        <w:rPr>
          <w:lang w:eastAsia="en-AU"/>
        </w:rPr>
        <w:t>owever, in all cases assessed, meeting the 10 ppb annual standard leads to the 40 ppb 1</w:t>
      </w:r>
      <w:r w:rsidR="004B40ED">
        <w:rPr>
          <w:lang w:eastAsia="en-AU"/>
        </w:rPr>
        <w:t>-</w:t>
      </w:r>
      <w:r w:rsidRPr="005060E0">
        <w:rPr>
          <w:lang w:eastAsia="en-AU"/>
        </w:rPr>
        <w:t>hour standard being met.</w:t>
      </w:r>
    </w:p>
    <w:p w14:paraId="48C521C3" w14:textId="766124DF" w:rsidR="00F078BE" w:rsidRPr="005060E0" w:rsidRDefault="00F078BE" w:rsidP="0043533F">
      <w:pPr>
        <w:pStyle w:val="Heading2"/>
      </w:pPr>
      <w:bookmarkStart w:id="180" w:name="_Toc3278972"/>
      <w:r w:rsidRPr="005060E0">
        <w:t>Cost</w:t>
      </w:r>
      <w:r w:rsidR="00875B93" w:rsidRPr="005060E0">
        <w:t>–</w:t>
      </w:r>
      <w:r w:rsidRPr="005060E0">
        <w:t>benefit analysis</w:t>
      </w:r>
      <w:bookmarkEnd w:id="180"/>
    </w:p>
    <w:p w14:paraId="31006AD9" w14:textId="259B3504" w:rsidR="005778F6" w:rsidRPr="005060E0" w:rsidRDefault="005E4128" w:rsidP="000704F3">
      <w:pPr>
        <w:rPr>
          <w:szCs w:val="20"/>
        </w:rPr>
      </w:pPr>
      <w:r w:rsidRPr="005060E0">
        <w:rPr>
          <w:szCs w:val="20"/>
        </w:rPr>
        <w:t>The ful</w:t>
      </w:r>
      <w:r w:rsidR="00533FC5" w:rsidRPr="005060E0">
        <w:rPr>
          <w:szCs w:val="20"/>
        </w:rPr>
        <w:t>l CBA</w:t>
      </w:r>
      <w:r w:rsidR="00D242D0" w:rsidRPr="005060E0">
        <w:rPr>
          <w:szCs w:val="20"/>
        </w:rPr>
        <w:t xml:space="preserve"> can be found in</w:t>
      </w:r>
      <w:r w:rsidRPr="005060E0">
        <w:rPr>
          <w:szCs w:val="20"/>
        </w:rPr>
        <w:t xml:space="preserve"> Appendix C, and the findings for NO</w:t>
      </w:r>
      <w:r w:rsidRPr="005060E0">
        <w:rPr>
          <w:szCs w:val="20"/>
          <w:vertAlign w:val="subscript"/>
        </w:rPr>
        <w:t>2</w:t>
      </w:r>
      <w:r w:rsidRPr="005060E0">
        <w:rPr>
          <w:szCs w:val="20"/>
        </w:rPr>
        <w:t xml:space="preserve"> are presented in Chapter </w:t>
      </w:r>
      <w:r w:rsidRPr="005060E0">
        <w:rPr>
          <w:szCs w:val="20"/>
        </w:rPr>
        <w:fldChar w:fldCharType="begin"/>
      </w:r>
      <w:r w:rsidRPr="005060E0">
        <w:rPr>
          <w:szCs w:val="20"/>
        </w:rPr>
        <w:instrText xml:space="preserve"> REF _Ref508614107 \n \h  \* MERGEFORMAT </w:instrText>
      </w:r>
      <w:r w:rsidRPr="005060E0">
        <w:rPr>
          <w:szCs w:val="20"/>
        </w:rPr>
      </w:r>
      <w:r w:rsidRPr="005060E0">
        <w:rPr>
          <w:szCs w:val="20"/>
        </w:rPr>
        <w:fldChar w:fldCharType="separate"/>
      </w:r>
      <w:r w:rsidR="00F2067C">
        <w:rPr>
          <w:szCs w:val="20"/>
        </w:rPr>
        <w:t>9</w:t>
      </w:r>
      <w:r w:rsidRPr="005060E0">
        <w:rPr>
          <w:szCs w:val="20"/>
        </w:rPr>
        <w:fldChar w:fldCharType="end"/>
      </w:r>
      <w:r w:rsidRPr="005060E0">
        <w:rPr>
          <w:szCs w:val="20"/>
        </w:rPr>
        <w:t>.</w:t>
      </w:r>
      <w:r w:rsidR="000704F3" w:rsidRPr="005060E0">
        <w:rPr>
          <w:szCs w:val="20"/>
        </w:rPr>
        <w:t xml:space="preserve"> The </w:t>
      </w:r>
      <w:r w:rsidR="003150A1" w:rsidRPr="005060E0">
        <w:rPr>
          <w:szCs w:val="20"/>
        </w:rPr>
        <w:t xml:space="preserve">range of the </w:t>
      </w:r>
      <w:r w:rsidR="000704F3" w:rsidRPr="005060E0">
        <w:rPr>
          <w:szCs w:val="20"/>
        </w:rPr>
        <w:t>aggregate</w:t>
      </w:r>
      <w:r w:rsidR="003150A1" w:rsidRPr="005060E0">
        <w:rPr>
          <w:szCs w:val="20"/>
        </w:rPr>
        <w:t>d</w:t>
      </w:r>
      <w:r w:rsidR="000704F3" w:rsidRPr="005060E0">
        <w:rPr>
          <w:szCs w:val="20"/>
        </w:rPr>
        <w:t xml:space="preserve"> </w:t>
      </w:r>
      <w:r w:rsidR="005778F6" w:rsidRPr="005060E0">
        <w:rPr>
          <w:szCs w:val="20"/>
        </w:rPr>
        <w:t xml:space="preserve">historical </w:t>
      </w:r>
      <w:r w:rsidR="000704F3" w:rsidRPr="005060E0">
        <w:rPr>
          <w:szCs w:val="20"/>
        </w:rPr>
        <w:t>health cost due to NO</w:t>
      </w:r>
      <w:r w:rsidR="000704F3" w:rsidRPr="005060E0">
        <w:rPr>
          <w:szCs w:val="20"/>
          <w:vertAlign w:val="subscript"/>
        </w:rPr>
        <w:t>2</w:t>
      </w:r>
      <w:r w:rsidR="000704F3" w:rsidRPr="005060E0">
        <w:rPr>
          <w:szCs w:val="20"/>
        </w:rPr>
        <w:t xml:space="preserve"> for all jurisdict</w:t>
      </w:r>
      <w:r w:rsidR="00D242D0" w:rsidRPr="005060E0">
        <w:rPr>
          <w:szCs w:val="20"/>
        </w:rPr>
        <w:t>ions over the period 2010</w:t>
      </w:r>
      <w:r w:rsidR="00DF4D3A" w:rsidRPr="005060E0">
        <w:rPr>
          <w:szCs w:val="20"/>
        </w:rPr>
        <w:t>–20</w:t>
      </w:r>
      <w:r w:rsidR="00D242D0" w:rsidRPr="005060E0">
        <w:rPr>
          <w:szCs w:val="20"/>
        </w:rPr>
        <w:t>14 wa</w:t>
      </w:r>
      <w:r w:rsidR="000704F3" w:rsidRPr="005060E0">
        <w:rPr>
          <w:szCs w:val="20"/>
        </w:rPr>
        <w:t>s</w:t>
      </w:r>
      <w:r w:rsidR="00622534" w:rsidRPr="005060E0">
        <w:rPr>
          <w:szCs w:val="20"/>
        </w:rPr>
        <w:t xml:space="preserve"> $265 million</w:t>
      </w:r>
      <w:r w:rsidR="00D50EBA" w:rsidRPr="005060E0">
        <w:rPr>
          <w:szCs w:val="20"/>
        </w:rPr>
        <w:t xml:space="preserve"> to $761 million (based on the different CRF groups</w:t>
      </w:r>
      <w:r w:rsidR="00665C9E" w:rsidRPr="005060E0">
        <w:rPr>
          <w:szCs w:val="20"/>
        </w:rPr>
        <w:t xml:space="preserve"> from the sensitivity tests</w:t>
      </w:r>
      <w:r w:rsidR="00D50EBA" w:rsidRPr="005060E0">
        <w:rPr>
          <w:szCs w:val="20"/>
        </w:rPr>
        <w:t>)</w:t>
      </w:r>
      <w:r w:rsidR="00D50EBA" w:rsidRPr="005060E0">
        <w:rPr>
          <w:rStyle w:val="FootnoteReference"/>
          <w:szCs w:val="20"/>
        </w:rPr>
        <w:footnoteReference w:id="27"/>
      </w:r>
      <w:r w:rsidR="00622534" w:rsidRPr="005060E0">
        <w:rPr>
          <w:szCs w:val="20"/>
        </w:rPr>
        <w:t xml:space="preserve">. This is </w:t>
      </w:r>
      <w:r w:rsidR="000704F3" w:rsidRPr="005060E0">
        <w:rPr>
          <w:szCs w:val="20"/>
        </w:rPr>
        <w:t>higher than the corresponding value for SO</w:t>
      </w:r>
      <w:r w:rsidR="000704F3" w:rsidRPr="005060E0">
        <w:rPr>
          <w:szCs w:val="20"/>
          <w:vertAlign w:val="subscript"/>
        </w:rPr>
        <w:t>2</w:t>
      </w:r>
      <w:r w:rsidR="00622534" w:rsidRPr="005060E0">
        <w:rPr>
          <w:szCs w:val="20"/>
        </w:rPr>
        <w:t>, and slightly higher than</w:t>
      </w:r>
      <w:r w:rsidR="000704F3" w:rsidRPr="005060E0">
        <w:rPr>
          <w:szCs w:val="20"/>
        </w:rPr>
        <w:t xml:space="preserve"> that for O</w:t>
      </w:r>
      <w:r w:rsidR="000704F3" w:rsidRPr="005060E0">
        <w:rPr>
          <w:szCs w:val="20"/>
          <w:vertAlign w:val="subscript"/>
        </w:rPr>
        <w:t>3</w:t>
      </w:r>
      <w:r w:rsidR="000704F3" w:rsidRPr="005060E0">
        <w:rPr>
          <w:szCs w:val="20"/>
        </w:rPr>
        <w:t>.</w:t>
      </w:r>
    </w:p>
    <w:p w14:paraId="02E80807" w14:textId="07D080CB" w:rsidR="000704F3" w:rsidRPr="005060E0" w:rsidRDefault="000704F3" w:rsidP="000704F3">
      <w:pPr>
        <w:rPr>
          <w:szCs w:val="20"/>
        </w:rPr>
      </w:pPr>
      <w:r w:rsidRPr="005060E0">
        <w:rPr>
          <w:szCs w:val="20"/>
        </w:rPr>
        <w:t>The a</w:t>
      </w:r>
      <w:r w:rsidR="00D242D0" w:rsidRPr="005060E0">
        <w:rPr>
          <w:szCs w:val="20"/>
        </w:rPr>
        <w:t xml:space="preserve">batement measures modelled </w:t>
      </w:r>
      <w:r w:rsidR="00A2582D" w:rsidRPr="005060E0">
        <w:rPr>
          <w:szCs w:val="20"/>
        </w:rPr>
        <w:t>(</w:t>
      </w:r>
      <w:r w:rsidR="005778F6" w:rsidRPr="005060E0">
        <w:rPr>
          <w:szCs w:val="20"/>
        </w:rPr>
        <w:t>over the period 2021</w:t>
      </w:r>
      <w:r w:rsidR="00DF4D3A" w:rsidRPr="005060E0">
        <w:rPr>
          <w:szCs w:val="20"/>
        </w:rPr>
        <w:t>–20</w:t>
      </w:r>
      <w:r w:rsidR="005778F6" w:rsidRPr="005060E0">
        <w:rPr>
          <w:szCs w:val="20"/>
        </w:rPr>
        <w:t xml:space="preserve">40) </w:t>
      </w:r>
      <w:r w:rsidR="00D242D0" w:rsidRPr="005060E0">
        <w:rPr>
          <w:szCs w:val="20"/>
        </w:rPr>
        <w:t>we</w:t>
      </w:r>
      <w:r w:rsidRPr="005060E0">
        <w:rPr>
          <w:szCs w:val="20"/>
        </w:rPr>
        <w:t xml:space="preserve">re clearly not </w:t>
      </w:r>
      <w:r w:rsidR="00DC4829" w:rsidRPr="005060E0">
        <w:rPr>
          <w:szCs w:val="20"/>
        </w:rPr>
        <w:t xml:space="preserve">economically efficient </w:t>
      </w:r>
      <w:r w:rsidRPr="005060E0">
        <w:rPr>
          <w:szCs w:val="20"/>
        </w:rPr>
        <w:t>at the national level for NO</w:t>
      </w:r>
      <w:r w:rsidRPr="005060E0">
        <w:rPr>
          <w:szCs w:val="20"/>
          <w:vertAlign w:val="subscript"/>
        </w:rPr>
        <w:t>2</w:t>
      </w:r>
      <w:r w:rsidR="005778F6" w:rsidRPr="005060E0">
        <w:rPr>
          <w:szCs w:val="20"/>
        </w:rPr>
        <w:t>, with a cost of around $24.4 billion and a benefit of $1.3</w:t>
      </w:r>
      <w:r w:rsidRPr="005060E0">
        <w:rPr>
          <w:szCs w:val="20"/>
        </w:rPr>
        <w:t xml:space="preserve"> billion</w:t>
      </w:r>
      <w:r w:rsidR="005778F6" w:rsidRPr="005060E0">
        <w:rPr>
          <w:szCs w:val="20"/>
        </w:rPr>
        <w:t xml:space="preserve"> (when the co-benefit of the reduction in PM</w:t>
      </w:r>
      <w:r w:rsidR="005778F6" w:rsidRPr="005060E0">
        <w:rPr>
          <w:szCs w:val="20"/>
          <w:vertAlign w:val="subscript"/>
        </w:rPr>
        <w:t>2.5</w:t>
      </w:r>
      <w:r w:rsidR="005778F6" w:rsidRPr="005060E0">
        <w:rPr>
          <w:szCs w:val="20"/>
        </w:rPr>
        <w:t xml:space="preserve"> emissions was considered)</w:t>
      </w:r>
      <w:r w:rsidRPr="005060E0">
        <w:rPr>
          <w:szCs w:val="20"/>
        </w:rPr>
        <w:t>. The measures were not economically efficient in any jurisdiction.</w:t>
      </w:r>
    </w:p>
    <w:p w14:paraId="2FBA5BE5" w14:textId="3E1576E2" w:rsidR="00C702AC" w:rsidRPr="005060E0" w:rsidRDefault="005E4128" w:rsidP="0043533F">
      <w:pPr>
        <w:pStyle w:val="Heading2"/>
      </w:pPr>
      <w:bookmarkStart w:id="181" w:name="_Toc3278973"/>
      <w:r w:rsidRPr="005060E0">
        <w:t>N</w:t>
      </w:r>
      <w:r w:rsidR="00C702AC" w:rsidRPr="005060E0">
        <w:t>on-qua</w:t>
      </w:r>
      <w:r w:rsidR="00EB11D5" w:rsidRPr="005060E0">
        <w:t>ntified</w:t>
      </w:r>
      <w:r w:rsidR="00C702AC" w:rsidRPr="005060E0">
        <w:t xml:space="preserve"> benefits and disbenefits</w:t>
      </w:r>
      <w:bookmarkEnd w:id="181"/>
    </w:p>
    <w:p w14:paraId="0797A114" w14:textId="143A43EF" w:rsidR="00464820" w:rsidRPr="005060E0" w:rsidRDefault="00464820" w:rsidP="0079331C">
      <w:pPr>
        <w:autoSpaceDE w:val="0"/>
        <w:autoSpaceDN w:val="0"/>
        <w:adjustRightInd w:val="0"/>
        <w:spacing w:after="120"/>
      </w:pPr>
      <w:r w:rsidRPr="005060E0">
        <w:t>NO</w:t>
      </w:r>
      <w:r w:rsidRPr="005060E0">
        <w:rPr>
          <w:vertAlign w:val="subscript"/>
        </w:rPr>
        <w:t>2</w:t>
      </w:r>
      <w:r w:rsidRPr="005060E0">
        <w:t xml:space="preserve"> is associated with impacts on crops and vegetation</w:t>
      </w:r>
      <w:r w:rsidR="00211FFD" w:rsidRPr="005060E0">
        <w:t>,</w:t>
      </w:r>
      <w:r w:rsidRPr="005060E0">
        <w:t xml:space="preserve"> as well as nit</w:t>
      </w:r>
      <w:r w:rsidR="0079331C" w:rsidRPr="005060E0">
        <w:t>rification of lakes and rivers. Exposures to NO</w:t>
      </w:r>
      <w:r w:rsidR="0079331C" w:rsidRPr="005060E0">
        <w:rPr>
          <w:vertAlign w:val="subscript"/>
        </w:rPr>
        <w:t>2</w:t>
      </w:r>
      <w:r w:rsidR="0079331C" w:rsidRPr="005060E0">
        <w:t>, nitric oxide (NO), peroxyacetyl nitrate (PAN), and nitric acid (HNO</w:t>
      </w:r>
      <w:r w:rsidR="0079331C" w:rsidRPr="005060E0">
        <w:rPr>
          <w:vertAlign w:val="subscript"/>
        </w:rPr>
        <w:t>3</w:t>
      </w:r>
      <w:r w:rsidR="0079331C" w:rsidRPr="005060E0">
        <w:t xml:space="preserve">) cause similar forms of plant foliar injury and decreased growth (USEPA 2016). </w:t>
      </w:r>
      <w:r w:rsidRPr="005060E0">
        <w:t>NO</w:t>
      </w:r>
      <w:r w:rsidRPr="005060E0">
        <w:rPr>
          <w:vertAlign w:val="subscript"/>
        </w:rPr>
        <w:t>2</w:t>
      </w:r>
      <w:r w:rsidRPr="005060E0">
        <w:t xml:space="preserve"> also plays an important role in the atmospheric reactions that create partic</w:t>
      </w:r>
      <w:r w:rsidR="00211FFD" w:rsidRPr="005060E0">
        <w:t>ulate matter, ground-level O</w:t>
      </w:r>
      <w:r w:rsidR="00211FFD" w:rsidRPr="005060E0">
        <w:rPr>
          <w:vertAlign w:val="subscript"/>
        </w:rPr>
        <w:t>3</w:t>
      </w:r>
      <w:r w:rsidRPr="005060E0">
        <w:t xml:space="preserve"> (photochemical smog) and acid rain. NO</w:t>
      </w:r>
      <w:r w:rsidRPr="005060E0">
        <w:rPr>
          <w:vertAlign w:val="subscript"/>
        </w:rPr>
        <w:t>2</w:t>
      </w:r>
      <w:r w:rsidRPr="005060E0">
        <w:t xml:space="preserve"> can cause adverse effects on respiratory systems of animals</w:t>
      </w:r>
      <w:r w:rsidR="00B00321" w:rsidRPr="005060E0">
        <w:t xml:space="preserve">. </w:t>
      </w:r>
      <w:r w:rsidRPr="005060E0">
        <w:t xml:space="preserve">As the </w:t>
      </w:r>
      <w:r w:rsidR="00FE23DB" w:rsidRPr="005060E0">
        <w:t>AAQ NEPM</w:t>
      </w:r>
      <w:r w:rsidRPr="005060E0">
        <w:t xml:space="preserve"> standards are based on the protection of human health </w:t>
      </w:r>
      <w:r w:rsidR="00211FFD" w:rsidRPr="005060E0">
        <w:t>(</w:t>
      </w:r>
      <w:r w:rsidR="00F078BE" w:rsidRPr="005060E0">
        <w:t>consistent with the g</w:t>
      </w:r>
      <w:r w:rsidRPr="005060E0">
        <w:t xml:space="preserve">oal of the </w:t>
      </w:r>
      <w:r w:rsidR="00211FFD" w:rsidRPr="005060E0">
        <w:t xml:space="preserve">AAQ </w:t>
      </w:r>
      <w:r w:rsidRPr="005060E0">
        <w:t>NEPM</w:t>
      </w:r>
      <w:r w:rsidR="00211FFD" w:rsidRPr="005060E0">
        <w:t>)</w:t>
      </w:r>
      <w:r w:rsidRPr="005060E0">
        <w:t>, standards have not been derived for these vegetation and othe</w:t>
      </w:r>
      <w:r w:rsidR="00211FFD" w:rsidRPr="005060E0">
        <w:t>r ecological effects</w:t>
      </w:r>
      <w:r w:rsidR="00C80082">
        <w:t>;</w:t>
      </w:r>
      <w:r w:rsidR="00211FFD" w:rsidRPr="005060E0">
        <w:t xml:space="preserve"> </w:t>
      </w:r>
      <w:r w:rsidR="00C80082">
        <w:t>h</w:t>
      </w:r>
      <w:r w:rsidRPr="005060E0">
        <w:t>owever, any reduction in NO</w:t>
      </w:r>
      <w:r w:rsidRPr="005060E0">
        <w:rPr>
          <w:vertAlign w:val="subscript"/>
        </w:rPr>
        <w:t>2</w:t>
      </w:r>
      <w:r w:rsidRPr="005060E0">
        <w:t xml:space="preserve"> levels resulting from the adoption of more stringent standards will also lead to reductions</w:t>
      </w:r>
      <w:r w:rsidR="00211FFD" w:rsidRPr="005060E0">
        <w:t xml:space="preserve"> in the effects on vegetation. </w:t>
      </w:r>
      <w:r w:rsidRPr="005060E0">
        <w:t>It should be noted that in overseas jurisdictions where standards have been developed to protect vegetation, such as the US and Canada, these standards are equivalent to the health based standards in some cases.</w:t>
      </w:r>
    </w:p>
    <w:p w14:paraId="08471DF1" w14:textId="6B621581" w:rsidR="00973CFB" w:rsidRPr="005060E0" w:rsidRDefault="0079331C" w:rsidP="0079331C">
      <w:r w:rsidRPr="005060E0">
        <w:t>Heo et al</w:t>
      </w:r>
      <w:r w:rsidR="00973CFB" w:rsidRPr="005060E0">
        <w:t>.</w:t>
      </w:r>
      <w:r w:rsidRPr="005060E0">
        <w:t xml:space="preserve"> (2016) estimate</w:t>
      </w:r>
      <w:r w:rsidR="00973CFB" w:rsidRPr="005060E0">
        <w:t>d</w:t>
      </w:r>
      <w:r w:rsidRPr="005060E0">
        <w:t xml:space="preserve"> a range of marginal social costs of US$3,800−14,000 per tonne NO</w:t>
      </w:r>
      <w:r w:rsidRPr="005060E0">
        <w:rPr>
          <w:vertAlign w:val="subscript"/>
        </w:rPr>
        <w:t>X</w:t>
      </w:r>
      <w:r w:rsidR="00973CFB" w:rsidRPr="005060E0">
        <w:t xml:space="preserve"> emission</w:t>
      </w:r>
      <w:r w:rsidR="00B00321" w:rsidRPr="005060E0">
        <w:t xml:space="preserve">. </w:t>
      </w:r>
      <w:r w:rsidR="00973CFB" w:rsidRPr="005060E0">
        <w:t>As with SO</w:t>
      </w:r>
      <w:r w:rsidR="00973CFB" w:rsidRPr="005060E0">
        <w:rPr>
          <w:vertAlign w:val="subscript"/>
        </w:rPr>
        <w:t>2</w:t>
      </w:r>
      <w:r w:rsidR="00C80082">
        <w:t>,</w:t>
      </w:r>
      <w:r w:rsidR="00973CFB" w:rsidRPr="005060E0">
        <w:t xml:space="preserve"> </w:t>
      </w:r>
      <w:r w:rsidR="00C80082">
        <w:t>s</w:t>
      </w:r>
      <w:r w:rsidR="00973CFB" w:rsidRPr="005060E0">
        <w:t>uch values would result in very large potential benefits</w:t>
      </w:r>
      <w:r w:rsidR="00C80082">
        <w:t>;</w:t>
      </w:r>
      <w:r w:rsidR="00973CFB" w:rsidRPr="005060E0">
        <w:t xml:space="preserve"> </w:t>
      </w:r>
      <w:r w:rsidR="00C80082">
        <w:t>h</w:t>
      </w:r>
      <w:r w:rsidR="00973CFB" w:rsidRPr="005060E0">
        <w:t>owever, for the reasons noted in Appendix C, it would not be appropriate to include these benefits in the CBA.</w:t>
      </w:r>
    </w:p>
    <w:p w14:paraId="58D52114" w14:textId="3EAE7AE6" w:rsidR="00E92583" w:rsidRPr="005060E0" w:rsidRDefault="00627CAE" w:rsidP="0043533F">
      <w:pPr>
        <w:pStyle w:val="Heading2"/>
      </w:pPr>
      <w:bookmarkStart w:id="182" w:name="_Toc3278974"/>
      <w:r w:rsidRPr="005060E0">
        <w:t>E</w:t>
      </w:r>
      <w:r w:rsidR="009B7316" w:rsidRPr="005060E0">
        <w:t>xposure-</w:t>
      </w:r>
      <w:r w:rsidR="00E92583" w:rsidRPr="005060E0">
        <w:t>reduction</w:t>
      </w:r>
      <w:r w:rsidR="009B7316" w:rsidRPr="005060E0">
        <w:t xml:space="preserve"> framework</w:t>
      </w:r>
      <w:bookmarkEnd w:id="182"/>
    </w:p>
    <w:p w14:paraId="370C4B27" w14:textId="11B7C4B6" w:rsidR="00360058" w:rsidRPr="005060E0" w:rsidRDefault="00410099" w:rsidP="007B6FA0">
      <w:r w:rsidRPr="005060E0">
        <w:t xml:space="preserve">It </w:t>
      </w:r>
      <w:r w:rsidR="00622534" w:rsidRPr="005060E0">
        <w:t xml:space="preserve">has been observed in this </w:t>
      </w:r>
      <w:r w:rsidR="00DF05A9" w:rsidRPr="005060E0">
        <w:t>Impact Statement</w:t>
      </w:r>
      <w:r w:rsidRPr="005060E0">
        <w:t xml:space="preserve"> that</w:t>
      </w:r>
      <w:r w:rsidR="00704BAC" w:rsidRPr="005060E0">
        <w:t xml:space="preserve"> there are </w:t>
      </w:r>
      <w:r w:rsidR="007F6516" w:rsidRPr="005060E0">
        <w:t>health effects associated with exposure to NO</w:t>
      </w:r>
      <w:r w:rsidR="007F6516" w:rsidRPr="005060E0">
        <w:rPr>
          <w:vertAlign w:val="subscript"/>
        </w:rPr>
        <w:t>2</w:t>
      </w:r>
      <w:r w:rsidR="007F6516" w:rsidRPr="005060E0">
        <w:t xml:space="preserve"> in Au</w:t>
      </w:r>
      <w:r w:rsidRPr="005060E0">
        <w:t>stralian cities</w:t>
      </w:r>
      <w:r w:rsidR="00622534" w:rsidRPr="005060E0">
        <w:t xml:space="preserve"> and</w:t>
      </w:r>
      <w:r w:rsidRPr="005060E0">
        <w:t xml:space="preserve"> regional centres,</w:t>
      </w:r>
      <w:r w:rsidR="007F6516" w:rsidRPr="005060E0">
        <w:t xml:space="preserve"> even though the current </w:t>
      </w:r>
      <w:r w:rsidR="00FE23DB" w:rsidRPr="005060E0">
        <w:t>AAQ NEPM</w:t>
      </w:r>
      <w:r w:rsidR="007F6516" w:rsidRPr="005060E0">
        <w:t xml:space="preserve"> standards are met</w:t>
      </w:r>
      <w:r w:rsidRPr="005060E0">
        <w:t xml:space="preserve"> in most airsheds</w:t>
      </w:r>
      <w:r w:rsidR="007F6516" w:rsidRPr="005060E0">
        <w:t>.</w:t>
      </w:r>
      <w:r w:rsidRPr="005060E0">
        <w:t xml:space="preserve"> </w:t>
      </w:r>
      <w:r w:rsidR="007F6516" w:rsidRPr="005060E0">
        <w:t>The HRA has shown t</w:t>
      </w:r>
      <w:r w:rsidRPr="005060E0">
        <w:t>here would be health benefits associated with</w:t>
      </w:r>
      <w:r w:rsidR="007F6516" w:rsidRPr="005060E0">
        <w:t xml:space="preserve"> the adoption of the 1-hour standard </w:t>
      </w:r>
      <w:r w:rsidRPr="005060E0">
        <w:t>of 40 ppb</w:t>
      </w:r>
      <w:r w:rsidR="00FD0D39">
        <w:t>;</w:t>
      </w:r>
      <w:r w:rsidRPr="005060E0">
        <w:t xml:space="preserve"> </w:t>
      </w:r>
      <w:r w:rsidR="00FD0D39">
        <w:t>h</w:t>
      </w:r>
      <w:r w:rsidR="007F6516" w:rsidRPr="005060E0">
        <w:t>owever, increased population growth and associated motor vehicle</w:t>
      </w:r>
      <w:r w:rsidRPr="005060E0">
        <w:t xml:space="preserve"> kilometres travelled (VKT) could make</w:t>
      </w:r>
      <w:r w:rsidR="00E419F6" w:rsidRPr="005060E0">
        <w:t xml:space="preserve"> it</w:t>
      </w:r>
      <w:r w:rsidRPr="005060E0">
        <w:t xml:space="preserve"> challenging for the larger jurisdictions to meet</w:t>
      </w:r>
      <w:r w:rsidR="007F6516" w:rsidRPr="005060E0">
        <w:t xml:space="preserve"> the standards in the future</w:t>
      </w:r>
      <w:r w:rsidR="00AF7729" w:rsidRPr="005060E0">
        <w:t>. The introduction of an exposure-</w:t>
      </w:r>
      <w:r w:rsidR="009B7316" w:rsidRPr="005060E0">
        <w:t>reduction framework</w:t>
      </w:r>
      <w:r w:rsidR="007F6516" w:rsidRPr="005060E0">
        <w:t xml:space="preserve"> for NO</w:t>
      </w:r>
      <w:r w:rsidR="007F6516" w:rsidRPr="005060E0">
        <w:rPr>
          <w:vertAlign w:val="subscript"/>
        </w:rPr>
        <w:t>2</w:t>
      </w:r>
      <w:r w:rsidR="007F6516" w:rsidRPr="005060E0">
        <w:t xml:space="preserve"> would provide a framework for individual jurisdictions to reduce th</w:t>
      </w:r>
      <w:r w:rsidR="00AF7729" w:rsidRPr="005060E0">
        <w:t>is risk across the population. Given the importance of NO</w:t>
      </w:r>
      <w:r w:rsidR="00AF7729" w:rsidRPr="005060E0">
        <w:rPr>
          <w:vertAlign w:val="subscript"/>
        </w:rPr>
        <w:t>2</w:t>
      </w:r>
      <w:r w:rsidR="00AF44BA" w:rsidRPr="005060E0">
        <w:t xml:space="preserve"> in O</w:t>
      </w:r>
      <w:r w:rsidR="00AF44BA" w:rsidRPr="005060E0">
        <w:rPr>
          <w:vertAlign w:val="subscript"/>
        </w:rPr>
        <w:t>3</w:t>
      </w:r>
      <w:r w:rsidR="00AF7729" w:rsidRPr="005060E0">
        <w:t xml:space="preserve"> fo</w:t>
      </w:r>
      <w:r w:rsidR="009B7316" w:rsidRPr="005060E0">
        <w:t>rmation, a corresponding exposure-reduction framework</w:t>
      </w:r>
      <w:r w:rsidR="00AF7729" w:rsidRPr="005060E0">
        <w:t xml:space="preserve"> would be advisable for O</w:t>
      </w:r>
      <w:r w:rsidR="00AF7729" w:rsidRPr="005060E0">
        <w:rPr>
          <w:vertAlign w:val="subscript"/>
        </w:rPr>
        <w:t>3</w:t>
      </w:r>
      <w:r w:rsidR="00AF7729" w:rsidRPr="005060E0">
        <w:t xml:space="preserve"> (see Section </w:t>
      </w:r>
      <w:r w:rsidR="00F00BFB" w:rsidRPr="005060E0">
        <w:fldChar w:fldCharType="begin"/>
      </w:r>
      <w:r w:rsidR="00F00BFB" w:rsidRPr="005060E0">
        <w:instrText xml:space="preserve"> REF _Ref508619512 \n \h </w:instrText>
      </w:r>
      <w:r w:rsidR="00360058" w:rsidRPr="005060E0">
        <w:instrText xml:space="preserve"> \* MERGEFORMAT </w:instrText>
      </w:r>
      <w:r w:rsidR="00F00BFB" w:rsidRPr="005060E0">
        <w:fldChar w:fldCharType="separate"/>
      </w:r>
      <w:r w:rsidR="00F2067C">
        <w:t>8.12</w:t>
      </w:r>
      <w:r w:rsidR="00F00BFB" w:rsidRPr="005060E0">
        <w:fldChar w:fldCharType="end"/>
      </w:r>
      <w:r w:rsidR="00AF7729" w:rsidRPr="005060E0">
        <w:t>).</w:t>
      </w:r>
      <w:r w:rsidR="00277D5E" w:rsidRPr="005060E0">
        <w:t xml:space="preserve"> </w:t>
      </w:r>
    </w:p>
    <w:p w14:paraId="2F6FF265" w14:textId="7F7E4CC2" w:rsidR="00627CAE" w:rsidRPr="005060E0" w:rsidRDefault="005128BC" w:rsidP="0043533F">
      <w:pPr>
        <w:pStyle w:val="Heading2"/>
      </w:pPr>
      <w:bookmarkStart w:id="183" w:name="_Toc3278975"/>
      <w:r w:rsidRPr="005060E0">
        <w:t xml:space="preserve">Summary of nitrogen dioxide </w:t>
      </w:r>
      <w:r w:rsidR="00627CAE" w:rsidRPr="005060E0">
        <w:t>assessment</w:t>
      </w:r>
      <w:bookmarkEnd w:id="183"/>
    </w:p>
    <w:p w14:paraId="74B2C8DB" w14:textId="58D7EADE" w:rsidR="00627CAE" w:rsidRPr="005060E0" w:rsidRDefault="00627CAE" w:rsidP="00060BB8">
      <w:pPr>
        <w:pStyle w:val="Heading3"/>
      </w:pPr>
      <w:r w:rsidRPr="005060E0">
        <w:t xml:space="preserve">What does the recent health evidence </w:t>
      </w:r>
      <w:r w:rsidR="002043F7" w:rsidRPr="005060E0">
        <w:t>tell us</w:t>
      </w:r>
      <w:r w:rsidRPr="005060E0">
        <w:t>?</w:t>
      </w:r>
    </w:p>
    <w:p w14:paraId="49D7E797" w14:textId="1C6A5C14" w:rsidR="00F078BE" w:rsidRPr="005060E0" w:rsidRDefault="00F078BE" w:rsidP="00F078BE">
      <w:r w:rsidRPr="005060E0">
        <w:t>In recent years there has been a significant increase in the number of studies that have investigated the effects of NO</w:t>
      </w:r>
      <w:r w:rsidRPr="005060E0">
        <w:rPr>
          <w:vertAlign w:val="subscript"/>
        </w:rPr>
        <w:t>2</w:t>
      </w:r>
      <w:r w:rsidRPr="005060E0">
        <w:t xml:space="preserve"> on health. The results of the recent studies have strengthened the evidence base for independent effects of NO</w:t>
      </w:r>
      <w:r w:rsidRPr="005060E0">
        <w:rPr>
          <w:vertAlign w:val="subscript"/>
        </w:rPr>
        <w:t>2</w:t>
      </w:r>
      <w:r w:rsidRPr="005060E0">
        <w:t xml:space="preserve"> on health, and for long-term effects, and have led to the </w:t>
      </w:r>
      <w:r w:rsidR="0062251B" w:rsidRPr="005060E0">
        <w:t xml:space="preserve">tightening </w:t>
      </w:r>
      <w:r w:rsidRPr="005060E0">
        <w:t>of air quality standards for NO</w:t>
      </w:r>
      <w:r w:rsidRPr="005060E0">
        <w:rPr>
          <w:vertAlign w:val="subscript"/>
        </w:rPr>
        <w:t>2</w:t>
      </w:r>
      <w:r w:rsidRPr="005060E0">
        <w:t xml:space="preserve"> in some countries.</w:t>
      </w:r>
    </w:p>
    <w:p w14:paraId="52597766" w14:textId="120D738D" w:rsidR="00F078BE" w:rsidRPr="005060E0" w:rsidRDefault="00F078BE" w:rsidP="00F078BE">
      <w:pPr>
        <w:spacing w:after="120" w:line="288" w:lineRule="auto"/>
        <w:rPr>
          <w:szCs w:val="20"/>
        </w:rPr>
      </w:pPr>
      <w:r w:rsidRPr="005060E0">
        <w:rPr>
          <w:szCs w:val="20"/>
        </w:rPr>
        <w:t>Short-term exposure to NO</w:t>
      </w:r>
      <w:r w:rsidRPr="005060E0">
        <w:rPr>
          <w:szCs w:val="20"/>
          <w:vertAlign w:val="subscript"/>
        </w:rPr>
        <w:t>2</w:t>
      </w:r>
      <w:r w:rsidRPr="005060E0">
        <w:rPr>
          <w:szCs w:val="20"/>
        </w:rPr>
        <w:t xml:space="preserve"> levels currently experienced in Australian cities </w:t>
      </w:r>
      <w:r w:rsidR="00FD0D39">
        <w:rPr>
          <w:szCs w:val="20"/>
        </w:rPr>
        <w:t>has</w:t>
      </w:r>
      <w:r w:rsidR="00FD0D39" w:rsidRPr="005060E0">
        <w:rPr>
          <w:szCs w:val="20"/>
        </w:rPr>
        <w:t xml:space="preserve"> </w:t>
      </w:r>
      <w:r w:rsidRPr="005060E0">
        <w:rPr>
          <w:szCs w:val="20"/>
        </w:rPr>
        <w:t xml:space="preserve">been associated with the main health outcomes identified above. </w:t>
      </w:r>
      <w:r w:rsidR="000F4AAA" w:rsidRPr="005060E0">
        <w:rPr>
          <w:szCs w:val="20"/>
        </w:rPr>
        <w:t>At the time of conducting the literature review n</w:t>
      </w:r>
      <w:r w:rsidRPr="005060E0">
        <w:rPr>
          <w:szCs w:val="20"/>
        </w:rPr>
        <w:t>o studies investigating the long-term effects of exposure to NO</w:t>
      </w:r>
      <w:r w:rsidRPr="005060E0">
        <w:rPr>
          <w:szCs w:val="20"/>
          <w:vertAlign w:val="subscript"/>
        </w:rPr>
        <w:t>2</w:t>
      </w:r>
      <w:r w:rsidRPr="005060E0">
        <w:rPr>
          <w:szCs w:val="20"/>
        </w:rPr>
        <w:t xml:space="preserve"> on health </w:t>
      </w:r>
      <w:r w:rsidR="000F4AAA" w:rsidRPr="005060E0">
        <w:rPr>
          <w:szCs w:val="20"/>
        </w:rPr>
        <w:t xml:space="preserve">had </w:t>
      </w:r>
      <w:r w:rsidRPr="005060E0">
        <w:rPr>
          <w:szCs w:val="20"/>
        </w:rPr>
        <w:t>been conducted in Australia.</w:t>
      </w:r>
    </w:p>
    <w:p w14:paraId="4B3F331C" w14:textId="77777777" w:rsidR="00627CAE" w:rsidRPr="005060E0" w:rsidRDefault="00627CAE" w:rsidP="00060BB8">
      <w:pPr>
        <w:pStyle w:val="Heading3"/>
      </w:pPr>
      <w:r w:rsidRPr="005060E0">
        <w:t>What do the WHO guidelines and international standards tell us?</w:t>
      </w:r>
    </w:p>
    <w:p w14:paraId="18E17521" w14:textId="69D0921A" w:rsidR="00F078BE" w:rsidRPr="005060E0" w:rsidRDefault="00F078BE" w:rsidP="00F078BE">
      <w:pPr>
        <w:widowControl w:val="0"/>
      </w:pPr>
      <w:r w:rsidRPr="005060E0">
        <w:t>As with SO</w:t>
      </w:r>
      <w:r w:rsidRPr="005060E0">
        <w:rPr>
          <w:vertAlign w:val="subscript"/>
        </w:rPr>
        <w:t>2</w:t>
      </w:r>
      <w:r w:rsidRPr="005060E0">
        <w:t>, the current AAQ NEPM standards for 1-hour and annual average NO</w:t>
      </w:r>
      <w:r w:rsidRPr="005060E0">
        <w:rPr>
          <w:vertAlign w:val="subscript"/>
        </w:rPr>
        <w:t>2</w:t>
      </w:r>
      <w:r w:rsidRPr="005060E0">
        <w:t xml:space="preserve"> are less stringent than the international standards</w:t>
      </w:r>
      <w:r w:rsidR="00CB3A58" w:rsidRPr="005060E0">
        <w:t xml:space="preserve"> and </w:t>
      </w:r>
      <w:r w:rsidR="00FD0D39">
        <w:t xml:space="preserve">the </w:t>
      </w:r>
      <w:r w:rsidR="00CB3A58" w:rsidRPr="005060E0">
        <w:t>WHO</w:t>
      </w:r>
      <w:r w:rsidR="0059156D">
        <w:t xml:space="preserve"> guidelines</w:t>
      </w:r>
      <w:r w:rsidRPr="005060E0">
        <w:t xml:space="preserve">, with the exception of the USEPA annual average. </w:t>
      </w:r>
      <w:r w:rsidR="00657E9C" w:rsidRPr="005060E0">
        <w:t>The NO</w:t>
      </w:r>
      <w:r w:rsidR="00657E9C" w:rsidRPr="005060E0">
        <w:rPr>
          <w:vertAlign w:val="subscript"/>
        </w:rPr>
        <w:t>2</w:t>
      </w:r>
      <w:r w:rsidR="00657E9C" w:rsidRPr="005060E0">
        <w:t xml:space="preserve"> standards in the AAQ NEPM were adopted in 1998 and were based on the understanding of the health effects at the time.</w:t>
      </w:r>
    </w:p>
    <w:p w14:paraId="76296A40" w14:textId="77777777" w:rsidR="00627CAE" w:rsidRPr="005060E0" w:rsidRDefault="00627CAE" w:rsidP="00060BB8">
      <w:pPr>
        <w:pStyle w:val="Heading3"/>
      </w:pPr>
      <w:r w:rsidRPr="005060E0">
        <w:t>What do the air quality measurements and modelling tell us?</w:t>
      </w:r>
    </w:p>
    <w:p w14:paraId="557EBF90" w14:textId="326566E9" w:rsidR="00416F40" w:rsidRPr="005060E0" w:rsidRDefault="00B72E32" w:rsidP="00416F40">
      <w:pPr>
        <w:rPr>
          <w:rFonts w:cs="Arial"/>
        </w:rPr>
      </w:pPr>
      <w:r w:rsidRPr="005060E0">
        <w:t>The air quality assessment and future modelling has shown that</w:t>
      </w:r>
      <w:r w:rsidRPr="005060E0">
        <w:rPr>
          <w:rFonts w:cs="Arial"/>
        </w:rPr>
        <w:t xml:space="preserve"> </w:t>
      </w:r>
      <w:r w:rsidR="00416F40" w:rsidRPr="005060E0">
        <w:rPr>
          <w:rFonts w:cs="Arial"/>
        </w:rPr>
        <w:t>NO</w:t>
      </w:r>
      <w:r w:rsidR="00416F40" w:rsidRPr="005060E0">
        <w:rPr>
          <w:rFonts w:cs="Arial"/>
          <w:vertAlign w:val="subscript"/>
        </w:rPr>
        <w:t xml:space="preserve">2 </w:t>
      </w:r>
      <w:r w:rsidR="00416F40" w:rsidRPr="005060E0">
        <w:rPr>
          <w:rFonts w:cs="Arial"/>
        </w:rPr>
        <w:t>concentrations in both the maj</w:t>
      </w:r>
      <w:r w:rsidRPr="005060E0">
        <w:rPr>
          <w:rFonts w:cs="Arial"/>
        </w:rPr>
        <w:t>or cities and regional centres have historically been</w:t>
      </w:r>
      <w:r w:rsidR="00416F40" w:rsidRPr="005060E0">
        <w:rPr>
          <w:rFonts w:cs="Arial"/>
        </w:rPr>
        <w:t xml:space="preserve"> </w:t>
      </w:r>
      <w:r w:rsidR="00207797" w:rsidRPr="005060E0">
        <w:rPr>
          <w:rFonts w:cs="Arial"/>
        </w:rPr>
        <w:t xml:space="preserve">and </w:t>
      </w:r>
      <w:r w:rsidR="0059156D">
        <w:rPr>
          <w:rFonts w:cs="Arial"/>
        </w:rPr>
        <w:t xml:space="preserve">are </w:t>
      </w:r>
      <w:r w:rsidR="00207797" w:rsidRPr="005060E0">
        <w:rPr>
          <w:rFonts w:cs="Arial"/>
        </w:rPr>
        <w:t xml:space="preserve">likely to continue to be </w:t>
      </w:r>
      <w:r w:rsidR="00416F40" w:rsidRPr="005060E0">
        <w:rPr>
          <w:rFonts w:cs="Arial"/>
        </w:rPr>
        <w:t>below the current AAQ NEPM standards (120 ppb for the 1-hour average, and 30 ppb for the annual average).</w:t>
      </w:r>
    </w:p>
    <w:p w14:paraId="4909E537" w14:textId="6570DBE7" w:rsidR="001B4749" w:rsidRPr="005060E0" w:rsidRDefault="001B4749" w:rsidP="001B4749">
      <w:pPr>
        <w:widowControl w:val="0"/>
      </w:pPr>
      <w:r w:rsidRPr="005060E0">
        <w:rPr>
          <w:lang w:eastAsia="en-AU"/>
        </w:rPr>
        <w:t>The proposed 1-hour standards of 80 ppb and 97 ppb are also currently met</w:t>
      </w:r>
      <w:r w:rsidR="0059156D">
        <w:rPr>
          <w:lang w:eastAsia="en-AU"/>
        </w:rPr>
        <w:t>;</w:t>
      </w:r>
      <w:r w:rsidRPr="005060E0">
        <w:rPr>
          <w:lang w:eastAsia="en-AU"/>
        </w:rPr>
        <w:t xml:space="preserve"> </w:t>
      </w:r>
      <w:r w:rsidR="0059156D">
        <w:rPr>
          <w:lang w:eastAsia="en-AU"/>
        </w:rPr>
        <w:t>h</w:t>
      </w:r>
      <w:r w:rsidRPr="005060E0">
        <w:rPr>
          <w:lang w:eastAsia="en-AU"/>
        </w:rPr>
        <w:t>owever, there have historically been exceedances i</w:t>
      </w:r>
      <w:r w:rsidR="003E19FA" w:rsidRPr="005060E0">
        <w:rPr>
          <w:lang w:eastAsia="en-AU"/>
        </w:rPr>
        <w:t xml:space="preserve">n </w:t>
      </w:r>
      <w:r w:rsidRPr="005060E0">
        <w:rPr>
          <w:lang w:eastAsia="en-AU"/>
        </w:rPr>
        <w:t>most airsheds of the proposed 1-hour standard of 40 ppb.</w:t>
      </w:r>
      <w:r w:rsidRPr="005060E0">
        <w:t xml:space="preserve"> All the proposed standards are predicted to be met in all modelled locations except Sydney. The 1-hour 40 ppb standard is the only standard predicted to be exceeded in Sydney.</w:t>
      </w:r>
    </w:p>
    <w:p w14:paraId="69432734" w14:textId="64A4C367" w:rsidR="00C22FF7" w:rsidRPr="005060E0" w:rsidRDefault="00C22FF7" w:rsidP="00C22FF7">
      <w:pPr>
        <w:pStyle w:val="ListBullet"/>
        <w:numPr>
          <w:ilvl w:val="0"/>
          <w:numId w:val="0"/>
        </w:numPr>
        <w:rPr>
          <w:rFonts w:eastAsia="Arial" w:cs="Arial"/>
          <w:szCs w:val="20"/>
        </w:rPr>
      </w:pPr>
      <w:r w:rsidRPr="005060E0">
        <w:rPr>
          <w:rFonts w:eastAsia="Arial" w:cs="Arial"/>
          <w:szCs w:val="20"/>
        </w:rPr>
        <w:t>For annual mean NO</w:t>
      </w:r>
      <w:r w:rsidRPr="005060E0">
        <w:rPr>
          <w:rFonts w:eastAsia="Arial" w:cs="Arial"/>
          <w:szCs w:val="20"/>
          <w:vertAlign w:val="subscript"/>
        </w:rPr>
        <w:t>2</w:t>
      </w:r>
      <w:r w:rsidRPr="005060E0">
        <w:rPr>
          <w:rFonts w:eastAsia="Arial" w:cs="Arial"/>
          <w:szCs w:val="20"/>
        </w:rPr>
        <w:t xml:space="preserve"> there have been no exceedances of the proposed standard of 19 ppb</w:t>
      </w:r>
      <w:r w:rsidR="0059156D">
        <w:rPr>
          <w:rFonts w:eastAsia="Arial" w:cs="Arial"/>
          <w:szCs w:val="20"/>
        </w:rPr>
        <w:t>;</w:t>
      </w:r>
      <w:r w:rsidRPr="005060E0">
        <w:rPr>
          <w:rFonts w:eastAsia="Arial" w:cs="Arial"/>
          <w:szCs w:val="20"/>
        </w:rPr>
        <w:t xml:space="preserve"> </w:t>
      </w:r>
      <w:r w:rsidR="0059156D">
        <w:rPr>
          <w:rFonts w:eastAsia="Arial" w:cs="Arial"/>
          <w:szCs w:val="20"/>
        </w:rPr>
        <w:t>h</w:t>
      </w:r>
      <w:r w:rsidRPr="005060E0">
        <w:rPr>
          <w:rFonts w:eastAsia="Arial" w:cs="Arial"/>
          <w:szCs w:val="20"/>
        </w:rPr>
        <w:t>owever, in Sydney and the Port Phillip Region there have been exceedances of the proposed standard of 10 ppb at multiple stations and in multiple years.</w:t>
      </w:r>
    </w:p>
    <w:p w14:paraId="02C8E3BF" w14:textId="5117FF36" w:rsidR="00D12542" w:rsidRPr="005060E0" w:rsidRDefault="00D12542" w:rsidP="00D12542">
      <w:pPr>
        <w:rPr>
          <w:szCs w:val="20"/>
        </w:rPr>
      </w:pPr>
      <w:r w:rsidRPr="005060E0">
        <w:rPr>
          <w:szCs w:val="20"/>
        </w:rPr>
        <w:t>There was some uncertainty in the future modelling for NO</w:t>
      </w:r>
      <w:r w:rsidRPr="005060E0">
        <w:rPr>
          <w:szCs w:val="20"/>
          <w:vertAlign w:val="subscript"/>
        </w:rPr>
        <w:t>2</w:t>
      </w:r>
      <w:r w:rsidRPr="005060E0">
        <w:rPr>
          <w:szCs w:val="20"/>
        </w:rPr>
        <w:t>. For example, it appears that the numbers of exceedances of the proposed NO</w:t>
      </w:r>
      <w:r w:rsidRPr="005060E0">
        <w:rPr>
          <w:szCs w:val="20"/>
          <w:vertAlign w:val="subscript"/>
        </w:rPr>
        <w:t>2</w:t>
      </w:r>
      <w:r w:rsidRPr="005060E0">
        <w:rPr>
          <w:szCs w:val="20"/>
        </w:rPr>
        <w:t xml:space="preserve"> standards were underestimated in Sydney and the Port Phillip Region, and it is possible that fewer exceedances of the standard could occur in practice without </w:t>
      </w:r>
      <w:r w:rsidR="00E36CDD" w:rsidRPr="005060E0">
        <w:rPr>
          <w:szCs w:val="20"/>
        </w:rPr>
        <w:t xml:space="preserve">the </w:t>
      </w:r>
      <w:r w:rsidRPr="005060E0">
        <w:rPr>
          <w:szCs w:val="20"/>
        </w:rPr>
        <w:t xml:space="preserve">Abatement Package. </w:t>
      </w:r>
    </w:p>
    <w:p w14:paraId="141D73AD" w14:textId="77777777" w:rsidR="00627CAE" w:rsidRPr="005060E0" w:rsidRDefault="00627CAE" w:rsidP="00060BB8">
      <w:pPr>
        <w:pStyle w:val="Heading3"/>
      </w:pPr>
      <w:r w:rsidRPr="005060E0">
        <w:t>What does the HRA tell us?</w:t>
      </w:r>
    </w:p>
    <w:p w14:paraId="27B30D3C" w14:textId="621F3DFB" w:rsidR="00822562" w:rsidRPr="005060E0" w:rsidRDefault="00F96393" w:rsidP="00822562">
      <w:pPr>
        <w:rPr>
          <w:lang w:eastAsia="en-AU"/>
        </w:rPr>
      </w:pPr>
      <w:r w:rsidRPr="005060E0">
        <w:rPr>
          <w:lang w:eastAsia="en-AU"/>
        </w:rPr>
        <w:t>In recent years,</w:t>
      </w:r>
      <w:r w:rsidR="00822562" w:rsidRPr="005060E0">
        <w:rPr>
          <w:lang w:eastAsia="en-AU"/>
        </w:rPr>
        <w:t xml:space="preserve"> levels of NO</w:t>
      </w:r>
      <w:r w:rsidR="00822562" w:rsidRPr="005060E0">
        <w:rPr>
          <w:vertAlign w:val="subscript"/>
          <w:lang w:eastAsia="en-AU"/>
        </w:rPr>
        <w:t>2</w:t>
      </w:r>
      <w:r w:rsidR="00822562" w:rsidRPr="005060E0">
        <w:rPr>
          <w:lang w:eastAsia="en-AU"/>
        </w:rPr>
        <w:t xml:space="preserve"> in Australian </w:t>
      </w:r>
      <w:r w:rsidR="00704BAC" w:rsidRPr="005060E0">
        <w:rPr>
          <w:lang w:eastAsia="en-AU"/>
        </w:rPr>
        <w:t xml:space="preserve">airsheds have had an </w:t>
      </w:r>
      <w:r w:rsidR="00822562" w:rsidRPr="005060E0">
        <w:rPr>
          <w:lang w:eastAsia="en-AU"/>
        </w:rPr>
        <w:t>impact on public health, especially in the more urbanised airsheds of Sydney and Melbourne. In Sydney and Melbourne</w:t>
      </w:r>
      <w:r w:rsidR="00E36CDD" w:rsidRPr="005060E0">
        <w:rPr>
          <w:lang w:eastAsia="en-AU"/>
        </w:rPr>
        <w:t>,</w:t>
      </w:r>
      <w:r w:rsidR="00822562" w:rsidRPr="005060E0">
        <w:rPr>
          <w:lang w:eastAsia="en-AU"/>
        </w:rPr>
        <w:t xml:space="preserve"> the health burden is projected to increase in the future under the BAU scenario. Although the Abatement Package scenario leads to some reductions in the incidence of the health outcomes, in some cases there is little improvement (and even some increases) relative to the 2010</w:t>
      </w:r>
      <w:r w:rsidR="00DF4D3A" w:rsidRPr="005060E0">
        <w:rPr>
          <w:lang w:eastAsia="en-AU"/>
        </w:rPr>
        <w:t>–20</w:t>
      </w:r>
      <w:r w:rsidR="00822562" w:rsidRPr="005060E0">
        <w:rPr>
          <w:lang w:eastAsia="en-AU"/>
        </w:rPr>
        <w:t>14 average.</w:t>
      </w:r>
    </w:p>
    <w:p w14:paraId="67B6AC3C" w14:textId="406E3276" w:rsidR="00822562" w:rsidRPr="005060E0" w:rsidRDefault="00F96393" w:rsidP="00822562">
      <w:pPr>
        <w:widowControl w:val="0"/>
        <w:rPr>
          <w:lang w:eastAsia="en-AU"/>
        </w:rPr>
      </w:pPr>
      <w:r w:rsidRPr="005060E0">
        <w:rPr>
          <w:lang w:eastAsia="en-AU"/>
        </w:rPr>
        <w:t>T</w:t>
      </w:r>
      <w:r w:rsidR="00704BAC" w:rsidRPr="005060E0">
        <w:t xml:space="preserve">here would be a </w:t>
      </w:r>
      <w:r w:rsidRPr="005060E0">
        <w:t xml:space="preserve">health benefit </w:t>
      </w:r>
      <w:r w:rsidR="00822562" w:rsidRPr="005060E0">
        <w:rPr>
          <w:lang w:eastAsia="en-AU"/>
        </w:rPr>
        <w:t>in Sydney if the proposed 1-hour standard for NO</w:t>
      </w:r>
      <w:r w:rsidR="00822562" w:rsidRPr="005060E0">
        <w:rPr>
          <w:vertAlign w:val="subscript"/>
          <w:lang w:eastAsia="en-AU"/>
        </w:rPr>
        <w:t>2</w:t>
      </w:r>
      <w:r w:rsidR="00822562" w:rsidRPr="005060E0">
        <w:rPr>
          <w:lang w:eastAsia="en-AU"/>
        </w:rPr>
        <w:t xml:space="preserve"> of 40 ppb could be met. </w:t>
      </w:r>
    </w:p>
    <w:p w14:paraId="7135EFC2" w14:textId="77777777" w:rsidR="00BA2AE2" w:rsidRPr="005060E0" w:rsidRDefault="00BA2AE2" w:rsidP="00BA2AE2">
      <w:pPr>
        <w:pStyle w:val="Heading3"/>
        <w:rPr>
          <w:lang w:eastAsia="en-AU"/>
        </w:rPr>
      </w:pPr>
      <w:r w:rsidRPr="005060E0">
        <w:rPr>
          <w:lang w:eastAsia="en-AU"/>
        </w:rPr>
        <w:t>What does the CBA tell us?</w:t>
      </w:r>
    </w:p>
    <w:p w14:paraId="7A1F145F" w14:textId="72558C93" w:rsidR="00BA2AE2" w:rsidRPr="005060E0" w:rsidRDefault="00BA2AE2" w:rsidP="00F55D4F">
      <w:r w:rsidRPr="005060E0">
        <w:rPr>
          <w:szCs w:val="20"/>
        </w:rPr>
        <w:t xml:space="preserve">The abatement measures modelled were clearly not </w:t>
      </w:r>
      <w:r w:rsidR="00DC4829" w:rsidRPr="005060E0">
        <w:rPr>
          <w:szCs w:val="20"/>
        </w:rPr>
        <w:t xml:space="preserve">economically efficient </w:t>
      </w:r>
      <w:r w:rsidR="005B3113" w:rsidRPr="005060E0">
        <w:rPr>
          <w:szCs w:val="20"/>
        </w:rPr>
        <w:t>at the national level for N</w:t>
      </w:r>
      <w:r w:rsidRPr="005060E0">
        <w:rPr>
          <w:szCs w:val="20"/>
        </w:rPr>
        <w:t>O</w:t>
      </w:r>
      <w:r w:rsidRPr="005060E0">
        <w:rPr>
          <w:szCs w:val="20"/>
          <w:vertAlign w:val="subscript"/>
        </w:rPr>
        <w:t>2</w:t>
      </w:r>
      <w:r w:rsidRPr="005060E0">
        <w:rPr>
          <w:szCs w:val="20"/>
        </w:rPr>
        <w:t>, with a cost of around $24.4 billion and a benefit of $1</w:t>
      </w:r>
      <w:r w:rsidR="005B3113" w:rsidRPr="005060E0">
        <w:rPr>
          <w:szCs w:val="20"/>
        </w:rPr>
        <w:t>.4 b</w:t>
      </w:r>
      <w:r w:rsidRPr="005060E0">
        <w:rPr>
          <w:szCs w:val="20"/>
        </w:rPr>
        <w:t>illion. T</w:t>
      </w:r>
      <w:r w:rsidRPr="005060E0">
        <w:t xml:space="preserve">he benefits were relatively low because of the low population where the reductions </w:t>
      </w:r>
      <w:r w:rsidR="005B3113" w:rsidRPr="005060E0">
        <w:t>in concentrations</w:t>
      </w:r>
      <w:r w:rsidRPr="005060E0">
        <w:t xml:space="preserve"> would occur. Abatement measures would </w:t>
      </w:r>
      <w:r w:rsidR="0059156D">
        <w:t xml:space="preserve">be </w:t>
      </w:r>
      <w:r w:rsidRPr="005060E0">
        <w:t>more suitably implemented at a jurisdiction level.</w:t>
      </w:r>
    </w:p>
    <w:p w14:paraId="014071A4" w14:textId="2BAD4BE4" w:rsidR="00E92583" w:rsidRPr="005060E0" w:rsidRDefault="00E92583" w:rsidP="0043533F">
      <w:pPr>
        <w:pStyle w:val="Heading2"/>
      </w:pPr>
      <w:bookmarkStart w:id="184" w:name="_Toc3278976"/>
      <w:r w:rsidRPr="005060E0">
        <w:t>Recommendations</w:t>
      </w:r>
      <w:bookmarkEnd w:id="184"/>
    </w:p>
    <w:p w14:paraId="4D6F0E7A" w14:textId="15014E98" w:rsidR="00627CAE" w:rsidRPr="005060E0" w:rsidRDefault="00627CAE" w:rsidP="001D5E69">
      <w:pPr>
        <w:pStyle w:val="Heading3"/>
      </w:pPr>
      <w:r w:rsidRPr="005060E0">
        <w:t>What NO</w:t>
      </w:r>
      <w:r w:rsidRPr="005060E0">
        <w:rPr>
          <w:vertAlign w:val="subscript"/>
        </w:rPr>
        <w:t>2</w:t>
      </w:r>
      <w:r w:rsidRPr="005060E0">
        <w:t xml:space="preserve"> standards should be adopted to protect health?</w:t>
      </w:r>
    </w:p>
    <w:p w14:paraId="0BAF47F9" w14:textId="7F30A8D5" w:rsidR="000421AD" w:rsidRPr="005060E0" w:rsidRDefault="000421AD" w:rsidP="000421AD">
      <w:r w:rsidRPr="005060E0">
        <w:t>The following sections provide the recommendations for the variation of the NO</w:t>
      </w:r>
      <w:r w:rsidRPr="005060E0">
        <w:rPr>
          <w:vertAlign w:val="subscript"/>
        </w:rPr>
        <w:t>2</w:t>
      </w:r>
      <w:r w:rsidRPr="005060E0">
        <w:t xml:space="preserve"> standards in the AAQ NEPM, and the supporting rationale. Where long-term future goals have been recommended, these have been considered to be achievable in the Australian jurisdictions, based on the available evidence.</w:t>
      </w:r>
    </w:p>
    <w:p w14:paraId="237C6641" w14:textId="77777777" w:rsidR="00675BE3" w:rsidRPr="005060E0" w:rsidRDefault="00675BE3" w:rsidP="00675BE3">
      <w:pPr>
        <w:pStyle w:val="Heading4"/>
      </w:pPr>
      <w:r w:rsidRPr="005060E0">
        <w:t>1-hour standard</w:t>
      </w:r>
    </w:p>
    <w:p w14:paraId="5C83E155" w14:textId="56FEEA33" w:rsidR="00E35B48" w:rsidRPr="005060E0" w:rsidRDefault="0059156D" w:rsidP="00E35B48">
      <w:r>
        <w:t>The</w:t>
      </w:r>
      <w:r w:rsidRPr="005060E0">
        <w:t xml:space="preserve"> </w:t>
      </w:r>
      <w:r w:rsidR="00E35B48" w:rsidRPr="005060E0">
        <w:t>standard for 1-hour NO</w:t>
      </w:r>
      <w:r w:rsidR="00E35B48" w:rsidRPr="005060E0">
        <w:rPr>
          <w:vertAlign w:val="subscript"/>
        </w:rPr>
        <w:t>2</w:t>
      </w:r>
      <w:r w:rsidR="00E35B48" w:rsidRPr="005060E0">
        <w:t xml:space="preserve"> </w:t>
      </w:r>
      <w:r w:rsidR="00E35B48" w:rsidRPr="005060E0">
        <w:rPr>
          <w:rFonts w:asciiTheme="minorHAnsi" w:hAnsiTheme="minorHAnsi" w:cstheme="minorHAnsi"/>
          <w:szCs w:val="20"/>
        </w:rPr>
        <w:t xml:space="preserve">in the AAQ NEPM is </w:t>
      </w:r>
      <w:r w:rsidR="004F17A2" w:rsidRPr="005060E0">
        <w:rPr>
          <w:rFonts w:asciiTheme="minorHAnsi" w:hAnsiTheme="minorHAnsi" w:cstheme="minorHAnsi"/>
          <w:szCs w:val="20"/>
        </w:rPr>
        <w:t>120 </w:t>
      </w:r>
      <w:r w:rsidR="00E35B48" w:rsidRPr="005060E0">
        <w:rPr>
          <w:rFonts w:asciiTheme="minorHAnsi" w:hAnsiTheme="minorHAnsi" w:cstheme="minorHAnsi"/>
          <w:szCs w:val="20"/>
        </w:rPr>
        <w:t xml:space="preserve">ppb, </w:t>
      </w:r>
      <w:r w:rsidR="00E35B48" w:rsidRPr="005060E0">
        <w:t xml:space="preserve">whereas the lowest standard in other leading countries </w:t>
      </w:r>
      <w:r w:rsidR="00207797" w:rsidRPr="005060E0">
        <w:t xml:space="preserve">and </w:t>
      </w:r>
      <w:r>
        <w:t xml:space="preserve">the </w:t>
      </w:r>
      <w:r w:rsidR="00207797" w:rsidRPr="005060E0">
        <w:t xml:space="preserve">WHO </w:t>
      </w:r>
      <w:r>
        <w:t xml:space="preserve">guidelines </w:t>
      </w:r>
      <w:r w:rsidR="00E35B48" w:rsidRPr="005060E0">
        <w:t xml:space="preserve">is 97 ppb. </w:t>
      </w:r>
    </w:p>
    <w:p w14:paraId="31448951" w14:textId="4E7E1AF8" w:rsidR="00E35B48" w:rsidRPr="005060E0" w:rsidRDefault="004F17A2" w:rsidP="00675BE3">
      <w:r w:rsidRPr="005060E0">
        <w:t xml:space="preserve">Although it has not been investigated in this </w:t>
      </w:r>
      <w:r w:rsidR="00DF05A9" w:rsidRPr="005060E0">
        <w:t>Impact Statement</w:t>
      </w:r>
      <w:r w:rsidRPr="005060E0">
        <w:t>, a more stringent Austr</w:t>
      </w:r>
      <w:r w:rsidR="00323767" w:rsidRPr="005060E0">
        <w:t>al</w:t>
      </w:r>
      <w:r w:rsidRPr="005060E0">
        <w:t>ian standard of 90</w:t>
      </w:r>
      <w:r w:rsidR="009E1687" w:rsidRPr="005060E0">
        <w:t> </w:t>
      </w:r>
      <w:r w:rsidRPr="005060E0">
        <w:t xml:space="preserve">ppb would </w:t>
      </w:r>
      <w:r w:rsidR="00E35B48" w:rsidRPr="005060E0">
        <w:t xml:space="preserve">generally </w:t>
      </w:r>
      <w:r w:rsidRPr="005060E0">
        <w:t xml:space="preserve">be achievable in </w:t>
      </w:r>
      <w:r w:rsidR="007141EF" w:rsidRPr="005060E0">
        <w:t xml:space="preserve">all </w:t>
      </w:r>
      <w:r w:rsidRPr="005060E0">
        <w:t xml:space="preserve">Australia </w:t>
      </w:r>
      <w:r w:rsidR="00E35B48" w:rsidRPr="005060E0">
        <w:t>jurisdictions and would contribute to driving improvement. This is therefore recommended for incorporation into the AAQ NEPM.</w:t>
      </w:r>
    </w:p>
    <w:p w14:paraId="7514AD86" w14:textId="3A98BB00" w:rsidR="007141EF" w:rsidRPr="005060E0" w:rsidRDefault="00E35B48" w:rsidP="002E2154">
      <w:pPr>
        <w:spacing w:after="360"/>
      </w:pPr>
      <w:r w:rsidRPr="005060E0">
        <w:t>In the longer</w:t>
      </w:r>
      <w:r w:rsidR="0059156D">
        <w:t xml:space="preserve"> </w:t>
      </w:r>
      <w:r w:rsidRPr="005060E0">
        <w:t xml:space="preserve">term, </w:t>
      </w:r>
      <w:r w:rsidR="002E2154" w:rsidRPr="005060E0">
        <w:t>a more stringent goal for 1-hour NO</w:t>
      </w:r>
      <w:r w:rsidR="002E2154" w:rsidRPr="005060E0">
        <w:rPr>
          <w:vertAlign w:val="subscript"/>
        </w:rPr>
        <w:t>2</w:t>
      </w:r>
      <w:r w:rsidR="002E2154" w:rsidRPr="005060E0">
        <w:t xml:space="preserve"> than 90 ppb should be considered, </w:t>
      </w:r>
      <w:r w:rsidR="007141EF" w:rsidRPr="005060E0">
        <w:t>as the evidence of health impacts at levels below this is clear.</w:t>
      </w:r>
      <w:r w:rsidR="002E2154" w:rsidRPr="005060E0">
        <w:t xml:space="preserve"> </w:t>
      </w:r>
      <w:r w:rsidR="007141EF" w:rsidRPr="005060E0">
        <w:t xml:space="preserve">The 1-hour standard </w:t>
      </w:r>
      <w:r w:rsidR="0059156D">
        <w:t xml:space="preserve">of </w:t>
      </w:r>
      <w:r w:rsidR="002E2154" w:rsidRPr="005060E0">
        <w:t xml:space="preserve">80 ppb has </w:t>
      </w:r>
      <w:r w:rsidR="007141EF" w:rsidRPr="005060E0">
        <w:t>been met in most jurisdictions, with small numbers of exceedances in Sydney, Adelaide and Canberra. Again, these are not predicted to occur in the future under the BAU scenario.</w:t>
      </w:r>
      <w:r w:rsidR="002E2154" w:rsidRPr="005060E0">
        <w:t xml:space="preserve"> The standard of 80 ppb would therefore be an appropriate</w:t>
      </w:r>
      <w:r w:rsidR="00D12542" w:rsidRPr="005060E0">
        <w:t xml:space="preserve"> longer-term</w:t>
      </w:r>
      <w:r w:rsidR="002E2154" w:rsidRPr="005060E0">
        <w:t xml:space="preserve"> goal</w:t>
      </w:r>
      <w:r w:rsidR="00040725" w:rsidRPr="005060E0">
        <w:t xml:space="preserve"> as part of an exposure</w:t>
      </w:r>
      <w:r w:rsidR="0011733C" w:rsidRPr="005060E0">
        <w:t>-</w:t>
      </w:r>
      <w:r w:rsidR="00040725" w:rsidRPr="005060E0">
        <w:t xml:space="preserve">reduction framework (see Section </w:t>
      </w:r>
      <w:r w:rsidR="0059156D">
        <w:fldChar w:fldCharType="begin"/>
      </w:r>
      <w:r w:rsidR="0059156D">
        <w:instrText xml:space="preserve"> REF _Ref1732896 \r \h </w:instrText>
      </w:r>
      <w:r w:rsidR="0059156D">
        <w:fldChar w:fldCharType="separate"/>
      </w:r>
      <w:r w:rsidR="00F2067C">
        <w:t>7.12.4</w:t>
      </w:r>
      <w:r w:rsidR="0059156D">
        <w:fldChar w:fldCharType="end"/>
      </w:r>
      <w:r w:rsidR="00040725" w:rsidRPr="005060E0">
        <w:t>)</w:t>
      </w:r>
      <w:r w:rsidR="002E2154" w:rsidRPr="005060E0">
        <w:t xml:space="preserve">. </w:t>
      </w:r>
      <w:r w:rsidR="004F17A2" w:rsidRPr="005060E0">
        <w:t>C</w:t>
      </w:r>
      <w:r w:rsidR="00675BE3" w:rsidRPr="005060E0">
        <w:t xml:space="preserve">ompliance </w:t>
      </w:r>
      <w:r w:rsidR="002E2154" w:rsidRPr="005060E0">
        <w:t>with the</w:t>
      </w:r>
      <w:r w:rsidR="00675BE3" w:rsidRPr="005060E0">
        <w:t xml:space="preserve"> standard of 40 ppb has historically not been possible in all jurisdictions and would not be possible in Sydney in the future, even with the Abatement Package. As already noted, the Abatement Package itself would be very uneconomic.</w:t>
      </w:r>
    </w:p>
    <w:p w14:paraId="32B2B151" w14:textId="000B4596" w:rsidR="007141EF" w:rsidRPr="005060E0" w:rsidRDefault="007141EF" w:rsidP="00675BE3">
      <w:r w:rsidRPr="005060E0">
        <w:rPr>
          <w:rFonts w:asciiTheme="minorHAnsi" w:hAnsiTheme="minorHAnsi" w:cstheme="minorHAnsi"/>
          <w:noProof/>
          <w:szCs w:val="20"/>
          <w:lang w:eastAsia="en-AU"/>
        </w:rPr>
        <mc:AlternateContent>
          <mc:Choice Requires="wps">
            <w:drawing>
              <wp:inline distT="0" distB="0" distL="0" distR="0" wp14:anchorId="0E333C86" wp14:editId="5E73682E">
                <wp:extent cx="6086475" cy="447675"/>
                <wp:effectExtent l="0" t="0" r="28575" b="28575"/>
                <wp:docPr id="674" name="Text Box 674"/>
                <wp:cNvGraphicFramePr/>
                <a:graphic xmlns:a="http://schemas.openxmlformats.org/drawingml/2006/main">
                  <a:graphicData uri="http://schemas.microsoft.com/office/word/2010/wordprocessingShape">
                    <wps:wsp>
                      <wps:cNvSpPr txBox="1"/>
                      <wps:spPr>
                        <a:xfrm>
                          <a:off x="0" y="0"/>
                          <a:ext cx="6086475" cy="447675"/>
                        </a:xfrm>
                        <a:prstGeom prst="rect">
                          <a:avLst/>
                        </a:prstGeom>
                        <a:solidFill>
                          <a:schemeClr val="tx2">
                            <a:lumMod val="20000"/>
                            <a:lumOff val="80000"/>
                          </a:schemeClr>
                        </a:solidFill>
                        <a:ln w="6350">
                          <a:solidFill>
                            <a:schemeClr val="tx2">
                              <a:lumMod val="40000"/>
                              <a:lumOff val="60000"/>
                            </a:schemeClr>
                          </a:solidFill>
                        </a:ln>
                      </wps:spPr>
                      <wps:txbx>
                        <w:txbxContent>
                          <w:p w14:paraId="1735458F" w14:textId="1BDE9D45" w:rsidR="00B246FA" w:rsidRPr="0059156D" w:rsidRDefault="00B246FA" w:rsidP="00E20C55">
                            <w:pPr>
                              <w:pStyle w:val="ListBullet"/>
                              <w:numPr>
                                <w:ilvl w:val="0"/>
                                <w:numId w:val="0"/>
                              </w:numPr>
                            </w:pPr>
                            <w:r>
                              <w:rPr>
                                <w:b/>
                              </w:rPr>
                              <w:t>Recommendation 10</w:t>
                            </w:r>
                            <w:r w:rsidRPr="004F17A2">
                              <w:rPr>
                                <w:b/>
                              </w:rPr>
                              <w:t>:</w:t>
                            </w:r>
                            <w:r>
                              <w:t xml:space="preserve"> The 1</w:t>
                            </w:r>
                            <w:r w:rsidRPr="00290827">
                              <w:t>-hour</w:t>
                            </w:r>
                            <w:r>
                              <w:t xml:space="preserve"> standard for N</w:t>
                            </w:r>
                            <w:r w:rsidRPr="00290827">
                              <w:t>O</w:t>
                            </w:r>
                            <w:r w:rsidRPr="00290827">
                              <w:rPr>
                                <w:vertAlign w:val="subscript"/>
                              </w:rPr>
                              <w:t>2</w:t>
                            </w:r>
                            <w:r w:rsidRPr="00290827">
                              <w:t xml:space="preserve"> in the AAQ NEPM </w:t>
                            </w:r>
                            <w:r w:rsidRPr="008149F4">
                              <w:t>should be</w:t>
                            </w:r>
                            <w:r>
                              <w:t xml:space="preserve"> retained, and the numerical value of the </w:t>
                            </w:r>
                            <w:r w:rsidRPr="00E35B48">
                              <w:t>standard should be reduced to 90 ppb.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333C86" id="Text Box 674" o:spid="_x0000_s1042" type="#_x0000_t202" style="width:479.2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NuWcgIAACMFAAAOAAAAZHJzL2Uyb0RvYy54bWysVF1P2zAUfZ+0/2D5fSTtQgoRKeqKmCYx&#10;QIKJZ9dx2kiO7dluE/brd+w0pbCPh2kvyfW91/frnOuLy76VZCesa7Qq6eQkpUQorqtGrUv67fH6&#10;wxklzjNVMamVKOmzcPRy/v7dRWcKMdUbLSthCYIoV3SmpBvvTZEkjm9Ey9yJNkLBWGvbMo+jXSeV&#10;ZR2itzKZpmmedNpWxmounIP2ajDSeYxf14L7u7p2whNZUtTm49fG7yp8k/kFK9aWmU3D92Wwf6ii&#10;ZY1C0kOoK+YZ2drml1Btw612uvYnXLeJruuGi9gDupmkb7p52DAjYi8YjjOHMbn/F5bf7u4taaqS&#10;5rOMEsVagPQoek8+6Z4EHSbUGVfA8cHA1fcwAOlR76AMjfe1bcMfLRHYMevnw3xDOA5lnp7l2eyU&#10;Eg5bls1yyAifvNw21vnPQrckCCW1wC+Ole1unB9cR5eQzGnZVNeNlPEQOCOW0pIdA9q+n8arctt+&#10;1dWgA2PSPeZQgxmD+mxUo5LIvBAl1vUqgVSkQxMfT9MY+JXtcO3PybMxCyuOk+ej+m/JYZMKFQUk&#10;hokHyferPmI3yUc4Vrp6BkpWD0x3hl83GOUNc/6eWVAbwGBd/R0+tdToR+8lSjba/vidPviDcbBS&#10;0mFVSuq+b5kVlMgvClw8n2RZ2K14yE5nUxzssWV1bFHbdqmBzwQPg+FRDP5ejmJtdfuErV6ErDAx&#10;xZEbgI7i0g8LjFeBi8UiOmGbDPM36sHwEDrwIRDlsX9i1uzZ5MHDWz0uFSvekGrwDTeVXmy9rpvI&#10;uDDoYar7+WMTIzf2r0ZY9eNz9Hp52+Y/AQAA//8DAFBLAwQUAAYACAAAACEA5ITWv9wAAAAEAQAA&#10;DwAAAGRycy9kb3ducmV2LnhtbEyPzU7DMBCE70i8g7VI3KhNpdA2xKn4KfRMWwS9beMliRqvo9hp&#10;07fHcGkvK41mNPNtNh9sIw7U+dqxhvuRAkFcOFNzqWGzfrubgvAB2WDjmDScyMM8v77KMDXuyB90&#10;WIVSxBL2KWqoQmhTKX1RkUU/ci1x9H5cZzFE2ZXSdHiM5baRY6UepMWa40KFLb1UVOxXvdXwTJ/7&#10;baJw8f493pxe14uvbT9ban17Mzw9ggg0hHMY/vAjOuSRaed6Nl40GuIj4f9Gb5ZMExA7DROVgMwz&#10;eQmf/wIAAP//AwBQSwECLQAUAAYACAAAACEAtoM4kv4AAADhAQAAEwAAAAAAAAAAAAAAAAAAAAAA&#10;W0NvbnRlbnRfVHlwZXNdLnhtbFBLAQItABQABgAIAAAAIQA4/SH/1gAAAJQBAAALAAAAAAAAAAAA&#10;AAAAAC8BAABfcmVscy8ucmVsc1BLAQItABQABgAIAAAAIQBIwNuWcgIAACMFAAAOAAAAAAAAAAAA&#10;AAAAAC4CAABkcnMvZTJvRG9jLnhtbFBLAQItABQABgAIAAAAIQDkhNa/3AAAAAQBAAAPAAAAAAAA&#10;AAAAAAAAAMwEAABkcnMvZG93bnJldi54bWxQSwUGAAAAAAQABADzAAAA1QUAAAAA&#10;" fillcolor="#dedfe3 [671]" strokecolor="#bdbfc8 [1311]" strokeweight=".5pt">
                <v:textbox>
                  <w:txbxContent>
                    <w:p w14:paraId="1735458F" w14:textId="1BDE9D45" w:rsidR="00B246FA" w:rsidRPr="0059156D" w:rsidRDefault="00B246FA" w:rsidP="00E20C55">
                      <w:pPr>
                        <w:pStyle w:val="ListBullet"/>
                        <w:numPr>
                          <w:ilvl w:val="0"/>
                          <w:numId w:val="0"/>
                        </w:numPr>
                      </w:pPr>
                      <w:r>
                        <w:rPr>
                          <w:b/>
                        </w:rPr>
                        <w:t>Recommendation 10</w:t>
                      </w:r>
                      <w:r w:rsidRPr="004F17A2">
                        <w:rPr>
                          <w:b/>
                        </w:rPr>
                        <w:t>:</w:t>
                      </w:r>
                      <w:r>
                        <w:t xml:space="preserve"> The 1</w:t>
                      </w:r>
                      <w:r w:rsidRPr="00290827">
                        <w:t>-hour</w:t>
                      </w:r>
                      <w:r>
                        <w:t xml:space="preserve"> standard for N</w:t>
                      </w:r>
                      <w:r w:rsidRPr="00290827">
                        <w:t>O</w:t>
                      </w:r>
                      <w:r w:rsidRPr="00290827">
                        <w:rPr>
                          <w:vertAlign w:val="subscript"/>
                        </w:rPr>
                        <w:t>2</w:t>
                      </w:r>
                      <w:r w:rsidRPr="00290827">
                        <w:t xml:space="preserve"> in the AAQ NEPM </w:t>
                      </w:r>
                      <w:r w:rsidRPr="008149F4">
                        <w:t>should be</w:t>
                      </w:r>
                      <w:r>
                        <w:t xml:space="preserve"> retained, and the numerical value of the </w:t>
                      </w:r>
                      <w:r w:rsidRPr="00E35B48">
                        <w:t>standard should be reduced to 90 ppb.</w:t>
                      </w:r>
                    </w:p>
                  </w:txbxContent>
                </v:textbox>
                <w10:anchorlock/>
              </v:shape>
            </w:pict>
          </mc:Fallback>
        </mc:AlternateContent>
      </w:r>
    </w:p>
    <w:p w14:paraId="0026BCE8" w14:textId="77777777" w:rsidR="00675BE3" w:rsidRPr="005060E0" w:rsidRDefault="00675BE3" w:rsidP="00675BE3">
      <w:pPr>
        <w:pStyle w:val="Heading4"/>
      </w:pPr>
      <w:r w:rsidRPr="005060E0">
        <w:t>Annual standard</w:t>
      </w:r>
    </w:p>
    <w:p w14:paraId="6CC1CF76" w14:textId="7017A510" w:rsidR="00675BE3" w:rsidRPr="005060E0" w:rsidRDefault="009715D0" w:rsidP="00675BE3">
      <w:pPr>
        <w:widowControl w:val="0"/>
      </w:pPr>
      <w:r w:rsidRPr="005060E0">
        <w:t>The AAQ NEPM standard for annual mean NO</w:t>
      </w:r>
      <w:r w:rsidRPr="005060E0">
        <w:rPr>
          <w:vertAlign w:val="subscript"/>
        </w:rPr>
        <w:t>2</w:t>
      </w:r>
      <w:r w:rsidRPr="005060E0">
        <w:t xml:space="preserve"> of 30 ppb is lower than the standard in </w:t>
      </w:r>
      <w:r w:rsidR="005948E0">
        <w:t xml:space="preserve">the </w:t>
      </w:r>
      <w:r w:rsidRPr="005060E0">
        <w:t xml:space="preserve">US (53 ppb), but still higher than </w:t>
      </w:r>
      <w:r w:rsidR="00DB049A" w:rsidRPr="005060E0">
        <w:t>the WHO guideline</w:t>
      </w:r>
      <w:r w:rsidR="000B5ED7" w:rsidRPr="005060E0">
        <w:t>s</w:t>
      </w:r>
      <w:r w:rsidR="00DB049A" w:rsidRPr="005060E0">
        <w:t xml:space="preserve"> and standards </w:t>
      </w:r>
      <w:r w:rsidRPr="005060E0">
        <w:t>in Europe (19 ppb).</w:t>
      </w:r>
      <w:r w:rsidR="00DB049A" w:rsidRPr="005060E0">
        <w:t xml:space="preserve"> The historical monitoring data and the model projections indicate that a standard of 19 ppb would be achievable in the Australian </w:t>
      </w:r>
      <w:r w:rsidR="009E1687" w:rsidRPr="005060E0">
        <w:t>airsheds and</w:t>
      </w:r>
      <w:r w:rsidR="00DB049A" w:rsidRPr="005060E0">
        <w:t xml:space="preserve"> would align Australia with the tightest international standards.</w:t>
      </w:r>
    </w:p>
    <w:p w14:paraId="5CE3588C" w14:textId="56DD7136" w:rsidR="009715D0" w:rsidRPr="005060E0" w:rsidRDefault="00DB049A" w:rsidP="00C22FF7">
      <w:r w:rsidRPr="005060E0">
        <w:t>A</w:t>
      </w:r>
      <w:r w:rsidR="00B36AEC" w:rsidRPr="005060E0">
        <w:t>n</w:t>
      </w:r>
      <w:r w:rsidRPr="005060E0">
        <w:t xml:space="preserve"> annual NO</w:t>
      </w:r>
      <w:r w:rsidRPr="005060E0">
        <w:rPr>
          <w:vertAlign w:val="subscript"/>
        </w:rPr>
        <w:t>2</w:t>
      </w:r>
      <w:r w:rsidRPr="005060E0">
        <w:t xml:space="preserve"> standard of 10 ppb would not appear to be achievable in several jurisdictions based on the historical monitoring data. Although it has not been assessed in this </w:t>
      </w:r>
      <w:r w:rsidR="00DF05A9" w:rsidRPr="005060E0">
        <w:t>Impact Statement</w:t>
      </w:r>
      <w:r w:rsidRPr="005060E0">
        <w:t>,</w:t>
      </w:r>
      <w:r w:rsidR="00C22FF7" w:rsidRPr="005060E0">
        <w:t xml:space="preserve"> an intermediate standard of 15 </w:t>
      </w:r>
      <w:r w:rsidRPr="005060E0">
        <w:t>ppb ought to be achievable, and this is recommended as a longer-term goal to drive further improvement.</w:t>
      </w:r>
    </w:p>
    <w:p w14:paraId="44C552E3" w14:textId="6838900D" w:rsidR="009715D0" w:rsidRPr="0059156D" w:rsidRDefault="009715D0" w:rsidP="00675BE3">
      <w:pPr>
        <w:widowControl w:val="0"/>
      </w:pPr>
      <w:r w:rsidRPr="005060E0">
        <w:rPr>
          <w:rFonts w:asciiTheme="minorHAnsi" w:hAnsiTheme="minorHAnsi" w:cstheme="minorHAnsi"/>
          <w:noProof/>
          <w:szCs w:val="20"/>
          <w:lang w:eastAsia="en-AU"/>
        </w:rPr>
        <mc:AlternateContent>
          <mc:Choice Requires="wps">
            <w:drawing>
              <wp:inline distT="0" distB="0" distL="0" distR="0" wp14:anchorId="5CFB2B9F" wp14:editId="10237F7B">
                <wp:extent cx="6086475" cy="476250"/>
                <wp:effectExtent l="0" t="0" r="28575" b="19050"/>
                <wp:docPr id="678" name="Text Box 678"/>
                <wp:cNvGraphicFramePr/>
                <a:graphic xmlns:a="http://schemas.openxmlformats.org/drawingml/2006/main">
                  <a:graphicData uri="http://schemas.microsoft.com/office/word/2010/wordprocessingShape">
                    <wps:wsp>
                      <wps:cNvSpPr txBox="1"/>
                      <wps:spPr>
                        <a:xfrm>
                          <a:off x="0" y="0"/>
                          <a:ext cx="6086475" cy="476250"/>
                        </a:xfrm>
                        <a:prstGeom prst="rect">
                          <a:avLst/>
                        </a:prstGeom>
                        <a:solidFill>
                          <a:schemeClr val="tx2">
                            <a:lumMod val="20000"/>
                            <a:lumOff val="80000"/>
                          </a:schemeClr>
                        </a:solidFill>
                        <a:ln w="6350">
                          <a:solidFill>
                            <a:schemeClr val="tx2">
                              <a:lumMod val="40000"/>
                              <a:lumOff val="60000"/>
                            </a:schemeClr>
                          </a:solidFill>
                        </a:ln>
                      </wps:spPr>
                      <wps:txbx>
                        <w:txbxContent>
                          <w:p w14:paraId="3FC5A41D" w14:textId="0889E2D4" w:rsidR="00B246FA" w:rsidRPr="00310CA6" w:rsidRDefault="00B246FA" w:rsidP="00310CA6">
                            <w:pPr>
                              <w:pStyle w:val="ListBullet"/>
                              <w:numPr>
                                <w:ilvl w:val="0"/>
                                <w:numId w:val="0"/>
                              </w:numPr>
                              <w:rPr>
                                <w:b/>
                              </w:rPr>
                            </w:pPr>
                            <w:r>
                              <w:rPr>
                                <w:b/>
                              </w:rPr>
                              <w:t>Recommendation 11</w:t>
                            </w:r>
                            <w:r w:rsidRPr="004F17A2">
                              <w:rPr>
                                <w:b/>
                              </w:rPr>
                              <w:t>:</w:t>
                            </w:r>
                            <w:r>
                              <w:t xml:space="preserve"> The annual standard for N</w:t>
                            </w:r>
                            <w:r w:rsidRPr="00290827">
                              <w:t>O</w:t>
                            </w:r>
                            <w:r w:rsidRPr="00290827">
                              <w:rPr>
                                <w:vertAlign w:val="subscript"/>
                              </w:rPr>
                              <w:t>2</w:t>
                            </w:r>
                            <w:r w:rsidRPr="00290827">
                              <w:t xml:space="preserve"> in the AAQ NEPM </w:t>
                            </w:r>
                            <w:r w:rsidRPr="008149F4">
                              <w:t>should be</w:t>
                            </w:r>
                            <w:r>
                              <w:t xml:space="preserve"> retained, and the numerical value of the </w:t>
                            </w:r>
                            <w:r w:rsidRPr="00E35B48">
                              <w:t xml:space="preserve">standard should be reduced to </w:t>
                            </w:r>
                            <w:r>
                              <w:t>19</w:t>
                            </w:r>
                            <w:r w:rsidRPr="00E35B48">
                              <w:t xml:space="preserve"> ppb.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FB2B9F" id="Text Box 678" o:spid="_x0000_s1043" type="#_x0000_t202" style="width:479.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AxbQIAACMFAAAOAAAAZHJzL2Uyb0RvYy54bWysVN9P2zAQfp+0/8Hy+0jblZZFpKgrYprE&#10;AAkmnl3HaSM5Ps92m7C/fp+dBjo27QHtxTnfXe7X953PL7pGs71yviZT8PHJiDNlJJW12RT8+8PV&#10;hzPOfBCmFJqMKviT8vxi8f7deWtzNaEt6VI5hiDG560t+DYEm2eZl1vVCH9CVhkYK3KNCLi6TVY6&#10;0SJ6o7PJaDTLWnKldSSV99Be9ka+SPGrSslwW1VeBaYLjtpCOl061/HMFuci3zhht7U8lCHeUEUj&#10;aoOkz6EuRRBs5+o/QjW1dOSpCieSmoyqqpYq9YBuxqNX3dxvhVWpFwzH2+cx+f8XVt7s7xyry4LP&#10;5oDKiAYgPagusM/UsajDhFrrczjeW7iGDgYgPeg9lLHxrnJN/KIlBjtm/fQ83xhOQjkbnc2m81PO&#10;JGzT+WxymgDIXv62zocvihoWhYI74JfGKvbXPqASuA4uMZknXZdXtdbpEjmjVtqxvQDaoZukX/Wu&#10;+UZlrwNjRgfMoQYzevXZoEb4xLwYJSX7LYE2rEUTH1H1W5JPhywiP04+G9T/Sg6bNqgoItFPPEqh&#10;W3cJu/F8gGNN5RNQctQz3Vt5VWOU18KHO+FAbQCDdQ23OCpN6IcOEmdbcj//po/+YBysnLVYlYL7&#10;HzvhFGf6qwEXP42n07hb6TI9nU9wcceW9bHF7JoVAZ8xHgYrkxj9gx7EylHziK1exqwwCSORG4AO&#10;4ir0C4xXQarlMjlhm6wI1+beyhg64hOJ8tA9CmcPbArg4Q0NSyXyV6TqfeOfhpa7QFWdGBcH3U/1&#10;MH9sYuLG4dWIq358T14vb9viFwAAAP//AwBQSwMEFAAGAAgAAAAhAEHZ1qrcAAAABAEAAA8AAABk&#10;cnMvZG93bnJldi54bWxMj81OwzAQhO9IvIO1SNyoTaXQNsSp+Cn0TFsEvW3jJYkar6PYadO3x3Bp&#10;LyuNZjTzbTYfbCMO1PnasYb7kQJBXDhTc6lhs367m4LwAdlg45g0nMjDPL++yjA17sgfdFiFUsQS&#10;9ilqqEJoUyl9UZFFP3ItcfR+XGcxRNmV0nR4jOW2kWOlHqTFmuNChS29VFTsV73V8Eyf+22icPH+&#10;Pd6cXteLr20/W2p9ezM8PYIINIRzGP7wIzrkkWnnejZeNBriI+H/Rm+WTBMQOw2TRIHMM3kJn/8C&#10;AAD//wMAUEsBAi0AFAAGAAgAAAAhALaDOJL+AAAA4QEAABMAAAAAAAAAAAAAAAAAAAAAAFtDb250&#10;ZW50X1R5cGVzXS54bWxQSwECLQAUAAYACAAAACEAOP0h/9YAAACUAQAACwAAAAAAAAAAAAAAAAAv&#10;AQAAX3JlbHMvLnJlbHNQSwECLQAUAAYACAAAACEAa1lAMW0CAAAjBQAADgAAAAAAAAAAAAAAAAAu&#10;AgAAZHJzL2Uyb0RvYy54bWxQSwECLQAUAAYACAAAACEAQdnWqtwAAAAEAQAADwAAAAAAAAAAAAAA&#10;AADHBAAAZHJzL2Rvd25yZXYueG1sUEsFBgAAAAAEAAQA8wAAANAFAAAAAA==&#10;" fillcolor="#dedfe3 [671]" strokecolor="#bdbfc8 [1311]" strokeweight=".5pt">
                <v:textbox>
                  <w:txbxContent>
                    <w:p w14:paraId="3FC5A41D" w14:textId="0889E2D4" w:rsidR="00B246FA" w:rsidRPr="00310CA6" w:rsidRDefault="00B246FA" w:rsidP="00310CA6">
                      <w:pPr>
                        <w:pStyle w:val="ListBullet"/>
                        <w:numPr>
                          <w:ilvl w:val="0"/>
                          <w:numId w:val="0"/>
                        </w:numPr>
                        <w:rPr>
                          <w:b/>
                        </w:rPr>
                      </w:pPr>
                      <w:r>
                        <w:rPr>
                          <w:b/>
                        </w:rPr>
                        <w:t>Recommendation 11</w:t>
                      </w:r>
                      <w:r w:rsidRPr="004F17A2">
                        <w:rPr>
                          <w:b/>
                        </w:rPr>
                        <w:t>:</w:t>
                      </w:r>
                      <w:r>
                        <w:t xml:space="preserve"> The annual standard for N</w:t>
                      </w:r>
                      <w:r w:rsidRPr="00290827">
                        <w:t>O</w:t>
                      </w:r>
                      <w:r w:rsidRPr="00290827">
                        <w:rPr>
                          <w:vertAlign w:val="subscript"/>
                        </w:rPr>
                        <w:t>2</w:t>
                      </w:r>
                      <w:r w:rsidRPr="00290827">
                        <w:t xml:space="preserve"> in the AAQ NEPM </w:t>
                      </w:r>
                      <w:r w:rsidRPr="008149F4">
                        <w:t>should be</w:t>
                      </w:r>
                      <w:r>
                        <w:t xml:space="preserve"> retained, and the numerical value of the </w:t>
                      </w:r>
                      <w:r w:rsidRPr="00E35B48">
                        <w:t xml:space="preserve">standard should be reduced to </w:t>
                      </w:r>
                      <w:r>
                        <w:t>19</w:t>
                      </w:r>
                      <w:r w:rsidRPr="00E35B48">
                        <w:t xml:space="preserve"> ppb. </w:t>
                      </w:r>
                    </w:p>
                  </w:txbxContent>
                </v:textbox>
                <w10:anchorlock/>
              </v:shape>
            </w:pict>
          </mc:Fallback>
        </mc:AlternateContent>
      </w:r>
    </w:p>
    <w:p w14:paraId="05138D75" w14:textId="5F803F40" w:rsidR="00627CAE" w:rsidRPr="005060E0" w:rsidRDefault="00627CAE" w:rsidP="001D5E69">
      <w:pPr>
        <w:pStyle w:val="Heading3"/>
      </w:pPr>
      <w:r w:rsidRPr="005060E0">
        <w:t>What form should the standards take?</w:t>
      </w:r>
    </w:p>
    <w:p w14:paraId="463D8A33" w14:textId="199C8C4C" w:rsidR="00AF7729" w:rsidRPr="005060E0" w:rsidRDefault="00AF7729" w:rsidP="00AF7729">
      <w:pPr>
        <w:pStyle w:val="ListBullet"/>
        <w:numPr>
          <w:ilvl w:val="0"/>
          <w:numId w:val="0"/>
        </w:numPr>
      </w:pPr>
      <w:r w:rsidRPr="005060E0">
        <w:t>T</w:t>
      </w:r>
      <w:r w:rsidR="001C660D" w:rsidRPr="005060E0">
        <w:t xml:space="preserve">he analysis of </w:t>
      </w:r>
      <w:r w:rsidRPr="005060E0">
        <w:t xml:space="preserve">the </w:t>
      </w:r>
      <w:r w:rsidR="001C660D" w:rsidRPr="005060E0">
        <w:t>NO</w:t>
      </w:r>
      <w:r w:rsidR="001C660D" w:rsidRPr="005060E0">
        <w:rPr>
          <w:vertAlign w:val="subscript"/>
        </w:rPr>
        <w:t>2</w:t>
      </w:r>
      <w:r w:rsidR="001C660D" w:rsidRPr="005060E0">
        <w:t xml:space="preserve"> </w:t>
      </w:r>
      <w:r w:rsidRPr="005060E0">
        <w:t xml:space="preserve">monitoring </w:t>
      </w:r>
      <w:r w:rsidR="001C660D" w:rsidRPr="005060E0">
        <w:t>dat</w:t>
      </w:r>
      <w:r w:rsidRPr="005060E0">
        <w:t xml:space="preserve">a </w:t>
      </w:r>
      <w:r w:rsidR="001C660D" w:rsidRPr="005060E0">
        <w:t xml:space="preserve">for </w:t>
      </w:r>
      <w:r w:rsidRPr="005060E0">
        <w:t>the period 2010</w:t>
      </w:r>
      <w:r w:rsidR="00DF4D3A" w:rsidRPr="005060E0">
        <w:t>–20</w:t>
      </w:r>
      <w:r w:rsidRPr="005060E0">
        <w:t>16 showed that</w:t>
      </w:r>
      <w:r w:rsidR="001C660D" w:rsidRPr="005060E0">
        <w:t xml:space="preserve"> the</w:t>
      </w:r>
      <w:r w:rsidR="00F55D4F" w:rsidRPr="005060E0">
        <w:t>re were no exceptional events</w:t>
      </w:r>
      <w:r w:rsidRPr="005060E0">
        <w:t xml:space="preserve"> that </w:t>
      </w:r>
      <w:r w:rsidR="001C660D" w:rsidRPr="005060E0">
        <w:t xml:space="preserve">led to exceedances of the </w:t>
      </w:r>
      <w:r w:rsidRPr="005060E0">
        <w:t>1-hour (or annual mean) standards</w:t>
      </w:r>
      <w:r w:rsidR="00CF24BD" w:rsidRPr="005060E0">
        <w:t xml:space="preserve"> in any of the airsheds</w:t>
      </w:r>
      <w:r w:rsidRPr="005060E0">
        <w:t xml:space="preserve">. Given </w:t>
      </w:r>
      <w:r w:rsidR="00704BAC" w:rsidRPr="005060E0">
        <w:t xml:space="preserve">the </w:t>
      </w:r>
      <w:r w:rsidR="001C660D" w:rsidRPr="005060E0">
        <w:t>health burden associated with NO</w:t>
      </w:r>
      <w:r w:rsidR="001C660D" w:rsidRPr="005060E0">
        <w:rPr>
          <w:vertAlign w:val="subscript"/>
        </w:rPr>
        <w:t>2</w:t>
      </w:r>
      <w:r w:rsidRPr="005060E0">
        <w:t xml:space="preserve">, </w:t>
      </w:r>
      <w:r w:rsidR="001C660D" w:rsidRPr="005060E0">
        <w:t>it is recommende</w:t>
      </w:r>
      <w:r w:rsidRPr="005060E0">
        <w:t>d that the form of the 1-hour standard should be the maximum value with no allowable exceedances.</w:t>
      </w:r>
      <w:r w:rsidR="006C1CD8" w:rsidRPr="005060E0">
        <w:t xml:space="preserve"> This is consistent with the WHO guideline</w:t>
      </w:r>
      <w:r w:rsidR="000B5ED7" w:rsidRPr="005060E0">
        <w:t>s</w:t>
      </w:r>
      <w:r w:rsidR="006C1CD8" w:rsidRPr="005060E0">
        <w:t xml:space="preserve">, and more stringent than the form of the standard in </w:t>
      </w:r>
      <w:r w:rsidR="007116E3" w:rsidRPr="005060E0">
        <w:t>other leading countries</w:t>
      </w:r>
      <w:r w:rsidR="006C1CD8" w:rsidRPr="005060E0">
        <w:t>.</w:t>
      </w:r>
    </w:p>
    <w:p w14:paraId="153C6CE6" w14:textId="500785B8" w:rsidR="001C660D" w:rsidRPr="005060E0" w:rsidRDefault="001C660D" w:rsidP="001C660D">
      <w:r w:rsidRPr="005060E0">
        <w:t xml:space="preserve">As there is no </w:t>
      </w:r>
      <w:r w:rsidR="00D50F74" w:rsidRPr="005060E0">
        <w:t>evidence that bushfires, hazard reduction burns</w:t>
      </w:r>
      <w:r w:rsidRPr="005060E0">
        <w:t xml:space="preserve"> or agricultural burning leads to elevated NO</w:t>
      </w:r>
      <w:r w:rsidRPr="005060E0">
        <w:rPr>
          <w:vertAlign w:val="subscript"/>
        </w:rPr>
        <w:t>2</w:t>
      </w:r>
      <w:r w:rsidR="00D852AA" w:rsidRPr="005060E0">
        <w:t xml:space="preserve"> levels, an exceptional</w:t>
      </w:r>
      <w:r w:rsidRPr="005060E0">
        <w:t xml:space="preserve"> event rule is not applicable for NO</w:t>
      </w:r>
      <w:r w:rsidRPr="005060E0">
        <w:rPr>
          <w:vertAlign w:val="subscript"/>
        </w:rPr>
        <w:t>2</w:t>
      </w:r>
      <w:r w:rsidRPr="005060E0">
        <w:t>.</w:t>
      </w:r>
    </w:p>
    <w:p w14:paraId="4BA1C6C0" w14:textId="46D5908E" w:rsidR="00E0189C" w:rsidRPr="005060E0" w:rsidRDefault="00E0189C" w:rsidP="001C660D">
      <w:r w:rsidRPr="005060E0">
        <w:rPr>
          <w:rFonts w:asciiTheme="minorHAnsi" w:hAnsiTheme="minorHAnsi" w:cstheme="minorHAnsi"/>
          <w:noProof/>
          <w:szCs w:val="20"/>
          <w:lang w:eastAsia="en-AU"/>
        </w:rPr>
        <mc:AlternateContent>
          <mc:Choice Requires="wps">
            <w:drawing>
              <wp:inline distT="0" distB="0" distL="0" distR="0" wp14:anchorId="0A175F39" wp14:editId="3DACB3B2">
                <wp:extent cx="6086475" cy="476250"/>
                <wp:effectExtent l="0" t="0" r="28575" b="19050"/>
                <wp:docPr id="681" name="Text Box 681"/>
                <wp:cNvGraphicFramePr/>
                <a:graphic xmlns:a="http://schemas.openxmlformats.org/drawingml/2006/main">
                  <a:graphicData uri="http://schemas.microsoft.com/office/word/2010/wordprocessingShape">
                    <wps:wsp>
                      <wps:cNvSpPr txBox="1"/>
                      <wps:spPr>
                        <a:xfrm>
                          <a:off x="0" y="0"/>
                          <a:ext cx="6086475" cy="476250"/>
                        </a:xfrm>
                        <a:prstGeom prst="rect">
                          <a:avLst/>
                        </a:prstGeom>
                        <a:solidFill>
                          <a:schemeClr val="tx2">
                            <a:lumMod val="20000"/>
                            <a:lumOff val="80000"/>
                          </a:schemeClr>
                        </a:solidFill>
                        <a:ln w="6350">
                          <a:solidFill>
                            <a:schemeClr val="tx2">
                              <a:lumMod val="40000"/>
                              <a:lumOff val="60000"/>
                            </a:schemeClr>
                          </a:solidFill>
                        </a:ln>
                      </wps:spPr>
                      <wps:txbx>
                        <w:txbxContent>
                          <w:p w14:paraId="1852849A" w14:textId="29A0C180" w:rsidR="00B246FA" w:rsidRPr="00310CA6" w:rsidRDefault="00B246FA" w:rsidP="00E0189C">
                            <w:pPr>
                              <w:pStyle w:val="ListBullet"/>
                              <w:numPr>
                                <w:ilvl w:val="0"/>
                                <w:numId w:val="0"/>
                              </w:numPr>
                              <w:rPr>
                                <w:b/>
                              </w:rPr>
                            </w:pPr>
                            <w:r>
                              <w:rPr>
                                <w:b/>
                              </w:rPr>
                              <w:t>Recommendation 12</w:t>
                            </w:r>
                            <w:r w:rsidRPr="004F17A2">
                              <w:rPr>
                                <w:b/>
                              </w:rPr>
                              <w:t>:</w:t>
                            </w:r>
                            <w:r>
                              <w:t xml:space="preserve"> </w:t>
                            </w:r>
                            <w:r w:rsidRPr="00E0189C">
                              <w:t>The form of both the 1-hour and annual NO</w:t>
                            </w:r>
                            <w:r w:rsidRPr="00E0189C">
                              <w:rPr>
                                <w:vertAlign w:val="subscript"/>
                              </w:rPr>
                              <w:t>2</w:t>
                            </w:r>
                            <w:r w:rsidRPr="00E0189C">
                              <w:t xml:space="preserve"> standards should be the maximum value with no allowable exceedances.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175F39" id="Text Box 681" o:spid="_x0000_s1044" type="#_x0000_t202" style="width:479.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FtbAIAACMFAAAOAAAAZHJzL2Uyb0RvYy54bWysVN9P2zAQfp+0/8Hy+0jbldJFpKgDMU1i&#10;gEQnnl3HaSM5Ps92m7C/fp+dBjo27QHtxTnfXe7X953PL7pGs71yviZT8PHJiDNlJJW12RT8++r6&#10;w5wzH4QphSajCv6kPL9YvH933tpcTWhLulSOIYjxeWsLvg3B5lnm5VY1wp+QVQbGilwjAq5uk5VO&#10;tIje6GwyGs2yllxpHUnlPbRXvZEvUvyqUjLcVZVXgemCo7aQTpfOdTyzxbnIN07YbS0PZYg3VNGI&#10;2iDpc6grEQTbufqPUE0tHXmqwomkJqOqqqVKPaCb8ehVNw9bYVXqBcPx9nlM/v+Flbf7e8fqsuCz&#10;+ZgzIxqAtFJdYJ+pY1GHCbXW53B8sHANHQxAetB7KGPjXeWa+EVLDHbM+ul5vjGchHI2ms+mZ6ec&#10;SdimZ7PJaQIge/nbOh++KGpYFArugF8aq9jf+IBK4Dq4xGSedF1e11qnS+SMutSO7QXQDt0k/ap3&#10;zTcqex0YMzpgDjWY0avngxrhE/NilJTstwTasBZNfETVb0k+HbKI/Dj5bFD/Kzls2qCiiEQ/8SiF&#10;bt0l7MbzAY41lU9AyVHPdG/ldY1R3ggf7oUDtQEM1jXc4ag0oR86SJxtyf38mz76g3GwctZiVQru&#10;f+yEU5zprwZc/DSeTuNupcv09GyCizu2rI8tZtdcEvAB21BdEqN/0INYOWoesdXLmBUmYSRyA9BB&#10;vAz9AuNVkGq5TE7YJivCjXmwMoaO+ESirLpH4eyBTQE8vKVhqUT+ilS9b/zT0HIXqKoT4+Kg+6ke&#10;5o9NTNw4vBpx1Y/vyevlbVv8AgAA//8DAFBLAwQUAAYACAAAACEAQdnWqtwAAAAEAQAADwAAAGRy&#10;cy9kb3ducmV2LnhtbEyPzU7DMBCE70i8g7VI3KhNpdA2xKn4KfRMWwS9beMliRqvo9hp07fHcGkv&#10;K41mNPNtNh9sIw7U+dqxhvuRAkFcOFNzqWGzfrubgvAB2WDjmDScyMM8v77KMDXuyB90WIVSxBL2&#10;KWqoQmhTKX1RkUU/ci1x9H5cZzFE2ZXSdHiM5baRY6UepMWa40KFLb1UVOxXvdXwTJ/7baJw8f49&#10;3pxe14uvbT9ban17Mzw9ggg0hHMY/vAjOuSRaed6Nl40GuIj4f9Gb5ZMExA7DZNEgcwzeQmf/wIA&#10;AP//AwBQSwECLQAUAAYACAAAACEAtoM4kv4AAADhAQAAEwAAAAAAAAAAAAAAAAAAAAAAW0NvbnRl&#10;bnRfVHlwZXNdLnhtbFBLAQItABQABgAIAAAAIQA4/SH/1gAAAJQBAAALAAAAAAAAAAAAAAAAAC8B&#10;AABfcmVscy8ucmVsc1BLAQItABQABgAIAAAAIQC3+6FtbAIAACMFAAAOAAAAAAAAAAAAAAAAAC4C&#10;AABkcnMvZTJvRG9jLnhtbFBLAQItABQABgAIAAAAIQBB2daq3AAAAAQBAAAPAAAAAAAAAAAAAAAA&#10;AMYEAABkcnMvZG93bnJldi54bWxQSwUGAAAAAAQABADzAAAAzwUAAAAA&#10;" fillcolor="#dedfe3 [671]" strokecolor="#bdbfc8 [1311]" strokeweight=".5pt">
                <v:textbox>
                  <w:txbxContent>
                    <w:p w14:paraId="1852849A" w14:textId="29A0C180" w:rsidR="00B246FA" w:rsidRPr="00310CA6" w:rsidRDefault="00B246FA" w:rsidP="00E0189C">
                      <w:pPr>
                        <w:pStyle w:val="ListBullet"/>
                        <w:numPr>
                          <w:ilvl w:val="0"/>
                          <w:numId w:val="0"/>
                        </w:numPr>
                        <w:rPr>
                          <w:b/>
                        </w:rPr>
                      </w:pPr>
                      <w:r>
                        <w:rPr>
                          <w:b/>
                        </w:rPr>
                        <w:t>Recommendation 12</w:t>
                      </w:r>
                      <w:r w:rsidRPr="004F17A2">
                        <w:rPr>
                          <w:b/>
                        </w:rPr>
                        <w:t>:</w:t>
                      </w:r>
                      <w:r>
                        <w:t xml:space="preserve"> </w:t>
                      </w:r>
                      <w:r w:rsidRPr="00E0189C">
                        <w:t>The form of both the 1-hour and annual NO</w:t>
                      </w:r>
                      <w:r w:rsidRPr="00E0189C">
                        <w:rPr>
                          <w:vertAlign w:val="subscript"/>
                        </w:rPr>
                        <w:t>2</w:t>
                      </w:r>
                      <w:r w:rsidRPr="00E0189C">
                        <w:t xml:space="preserve"> standards should be the maximum value with no allowable exceedances.</w:t>
                      </w:r>
                    </w:p>
                  </w:txbxContent>
                </v:textbox>
                <w10:anchorlock/>
              </v:shape>
            </w:pict>
          </mc:Fallback>
        </mc:AlternateContent>
      </w:r>
    </w:p>
    <w:p w14:paraId="24181C20" w14:textId="16502572" w:rsidR="00F43BC0" w:rsidRPr="005060E0" w:rsidRDefault="00F43BC0" w:rsidP="001D5E69">
      <w:pPr>
        <w:pStyle w:val="Heading3"/>
      </w:pPr>
      <w:r w:rsidRPr="005060E0">
        <w:t>Are the recommended standards achievable with reasonable measures?</w:t>
      </w:r>
    </w:p>
    <w:p w14:paraId="2AC35974" w14:textId="77777777" w:rsidR="001B4749" w:rsidRPr="005060E0" w:rsidRDefault="001B4749" w:rsidP="001B4749">
      <w:r w:rsidRPr="005060E0">
        <w:t>Historically, the proposed 1-hour standards of 97 ppb and 80 ppb have been met in most jurisdictions. There have been small numbers of exceedances in Sydney, Adelaide and Canberra, but these are not predicted to occur in the future under the BAU scenario.</w:t>
      </w:r>
    </w:p>
    <w:p w14:paraId="43B575D3" w14:textId="0B3E3C09" w:rsidR="001B4749" w:rsidRPr="005060E0" w:rsidRDefault="001B4749" w:rsidP="001B4749">
      <w:pPr>
        <w:pStyle w:val="ListBullet"/>
        <w:numPr>
          <w:ilvl w:val="0"/>
          <w:numId w:val="0"/>
        </w:numPr>
        <w:rPr>
          <w:rFonts w:cs="Arial"/>
          <w:szCs w:val="20"/>
        </w:rPr>
      </w:pPr>
      <w:r w:rsidRPr="005060E0">
        <w:rPr>
          <w:rFonts w:eastAsia="Arial" w:cs="Arial"/>
          <w:szCs w:val="20"/>
        </w:rPr>
        <w:t>There have been no exceedances of the proposed standard of 19 ppb for annual mean NO</w:t>
      </w:r>
      <w:r w:rsidRPr="005060E0">
        <w:rPr>
          <w:rFonts w:eastAsia="Arial" w:cs="Arial"/>
          <w:szCs w:val="20"/>
          <w:vertAlign w:val="subscript"/>
        </w:rPr>
        <w:t>2</w:t>
      </w:r>
      <w:r w:rsidRPr="005060E0">
        <w:rPr>
          <w:rFonts w:eastAsia="Arial" w:cs="Arial"/>
          <w:szCs w:val="20"/>
        </w:rPr>
        <w:t>, and this is predicted to continue in the future.</w:t>
      </w:r>
    </w:p>
    <w:p w14:paraId="16F4E961" w14:textId="12406928" w:rsidR="00F96393" w:rsidRPr="005060E0" w:rsidRDefault="00F96393" w:rsidP="001D5E69">
      <w:pPr>
        <w:pStyle w:val="Heading3"/>
      </w:pPr>
      <w:bookmarkStart w:id="185" w:name="_Ref1732896"/>
      <w:r w:rsidRPr="005060E0">
        <w:t>Shou</w:t>
      </w:r>
      <w:r w:rsidR="009B7316" w:rsidRPr="005060E0">
        <w:t>ld an exposure-reduction framework</w:t>
      </w:r>
      <w:r w:rsidRPr="005060E0">
        <w:t xml:space="preserve"> </w:t>
      </w:r>
      <w:r w:rsidR="00ED1321">
        <w:t>for NO</w:t>
      </w:r>
      <w:r w:rsidR="00ED1321" w:rsidRPr="00B272EE">
        <w:rPr>
          <w:vertAlign w:val="subscript"/>
        </w:rPr>
        <w:t>2</w:t>
      </w:r>
      <w:r w:rsidR="00ED1321">
        <w:t xml:space="preserve"> </w:t>
      </w:r>
      <w:r w:rsidRPr="005060E0">
        <w:t>be considered?</w:t>
      </w:r>
      <w:bookmarkEnd w:id="185"/>
    </w:p>
    <w:p w14:paraId="5936E915" w14:textId="261FD6AE" w:rsidR="004B5EE8" w:rsidRPr="005060E0" w:rsidRDefault="00095ABF" w:rsidP="00ED1321">
      <w:pPr>
        <w:spacing w:after="480"/>
      </w:pPr>
      <w:r w:rsidRPr="005060E0">
        <w:t>An exposure-</w:t>
      </w:r>
      <w:r w:rsidR="009B7316" w:rsidRPr="005060E0">
        <w:t>reduction framework</w:t>
      </w:r>
      <w:r w:rsidRPr="005060E0">
        <w:t xml:space="preserve"> (and target) for NO</w:t>
      </w:r>
      <w:r w:rsidRPr="005060E0">
        <w:rPr>
          <w:vertAlign w:val="subscript"/>
        </w:rPr>
        <w:t>2</w:t>
      </w:r>
      <w:r w:rsidR="00682AE2" w:rsidRPr="005060E0">
        <w:t xml:space="preserve"> should be established</w:t>
      </w:r>
      <w:r w:rsidR="00F96393" w:rsidRPr="005060E0">
        <w:t xml:space="preserve"> to reduce population exposu</w:t>
      </w:r>
      <w:r w:rsidRPr="005060E0">
        <w:t xml:space="preserve">re and associated health risk. </w:t>
      </w:r>
      <w:r w:rsidR="00F96393" w:rsidRPr="005060E0">
        <w:t>Given the close relation between NO</w:t>
      </w:r>
      <w:r w:rsidR="00F96393" w:rsidRPr="005060E0">
        <w:rPr>
          <w:vertAlign w:val="subscript"/>
        </w:rPr>
        <w:t>2</w:t>
      </w:r>
      <w:r w:rsidR="00AF44BA" w:rsidRPr="005060E0">
        <w:t xml:space="preserve"> and O</w:t>
      </w:r>
      <w:r w:rsidR="00AF44BA" w:rsidRPr="005060E0">
        <w:rPr>
          <w:vertAlign w:val="subscript"/>
        </w:rPr>
        <w:t>3</w:t>
      </w:r>
      <w:r w:rsidR="009B7316" w:rsidRPr="005060E0">
        <w:t>, an exposure-reduction framework</w:t>
      </w:r>
      <w:r w:rsidR="00F96393" w:rsidRPr="005060E0">
        <w:t xml:space="preserve"> </w:t>
      </w:r>
      <w:r w:rsidR="00ED1321">
        <w:t>for NO</w:t>
      </w:r>
      <w:r w:rsidR="00ED1321" w:rsidRPr="00B272EE">
        <w:rPr>
          <w:vertAlign w:val="subscript"/>
        </w:rPr>
        <w:t>2</w:t>
      </w:r>
      <w:r w:rsidR="00ED1321">
        <w:t xml:space="preserve"> </w:t>
      </w:r>
      <w:r w:rsidR="00F96393" w:rsidRPr="005060E0">
        <w:t>would need to be consis</w:t>
      </w:r>
      <w:r w:rsidR="00AF44BA" w:rsidRPr="005060E0">
        <w:t>tent with that adopted for O</w:t>
      </w:r>
      <w:r w:rsidR="00AF44BA" w:rsidRPr="005060E0">
        <w:rPr>
          <w:vertAlign w:val="subscript"/>
        </w:rPr>
        <w:t>3</w:t>
      </w:r>
      <w:r w:rsidR="00ED1321">
        <w:t>,</w:t>
      </w:r>
      <w:r w:rsidR="00F96393" w:rsidRPr="005060E0">
        <w:t xml:space="preserve"> to ensure the reductions required in NO</w:t>
      </w:r>
      <w:r w:rsidR="00F96393" w:rsidRPr="005060E0">
        <w:rPr>
          <w:vertAlign w:val="subscript"/>
        </w:rPr>
        <w:t>2</w:t>
      </w:r>
      <w:r w:rsidRPr="005060E0">
        <w:t xml:space="preserve"> </w:t>
      </w:r>
      <w:r w:rsidR="00ED1321">
        <w:t>also enable</w:t>
      </w:r>
      <w:r w:rsidR="00AF44BA" w:rsidRPr="005060E0">
        <w:t xml:space="preserve"> any target for O</w:t>
      </w:r>
      <w:r w:rsidR="00AF44BA" w:rsidRPr="005060E0">
        <w:rPr>
          <w:vertAlign w:val="subscript"/>
        </w:rPr>
        <w:t>3</w:t>
      </w:r>
      <w:r w:rsidRPr="005060E0">
        <w:t xml:space="preserve"> exposure</w:t>
      </w:r>
      <w:r w:rsidR="0011733C" w:rsidRPr="005060E0">
        <w:t>-</w:t>
      </w:r>
      <w:r w:rsidRPr="005060E0">
        <w:t xml:space="preserve">reduction </w:t>
      </w:r>
      <w:r w:rsidR="00ED1321">
        <w:t>to be</w:t>
      </w:r>
      <w:r w:rsidRPr="005060E0">
        <w:t xml:space="preserve"> achieved</w:t>
      </w:r>
      <w:r w:rsidR="00F96393" w:rsidRPr="005060E0">
        <w:t>.</w:t>
      </w:r>
      <w:r w:rsidR="00277D5E" w:rsidRPr="005060E0">
        <w:t xml:space="preserve"> </w:t>
      </w:r>
      <w:bookmarkStart w:id="186" w:name="_Hlk515542557"/>
      <w:r w:rsidR="00277D5E" w:rsidRPr="005060E0">
        <w:t>Consistent with the approach used in the AAQ</w:t>
      </w:r>
      <w:r w:rsidR="00BC4F5D" w:rsidRPr="005060E0">
        <w:t> </w:t>
      </w:r>
      <w:r w:rsidR="00277D5E" w:rsidRPr="005060E0">
        <w:t xml:space="preserve">NEPM </w:t>
      </w:r>
      <w:r w:rsidR="00ED1321">
        <w:t>variation</w:t>
      </w:r>
      <w:r w:rsidR="00ED1321" w:rsidRPr="005060E0">
        <w:t xml:space="preserve"> </w:t>
      </w:r>
      <w:r w:rsidR="00277D5E" w:rsidRPr="005060E0">
        <w:t>for PM</w:t>
      </w:r>
      <w:r w:rsidR="00277D5E" w:rsidRPr="005060E0">
        <w:rPr>
          <w:vertAlign w:val="subscript"/>
        </w:rPr>
        <w:t>2.5</w:t>
      </w:r>
      <w:r w:rsidR="00277D5E" w:rsidRPr="005060E0">
        <w:t>, it is recommended that jurisdictions evaluate and report population exposure to NO</w:t>
      </w:r>
      <w:r w:rsidR="00277D5E" w:rsidRPr="005060E0">
        <w:rPr>
          <w:vertAlign w:val="subscript"/>
        </w:rPr>
        <w:t>2</w:t>
      </w:r>
      <w:r w:rsidR="00277D5E" w:rsidRPr="005060E0">
        <w:t xml:space="preserve"> annually from the commencement of the varied AAQ NEPM. Jurisdictions should agree on any procedures or methods to ensure consistency. To be consistent with the AAQ NEPM</w:t>
      </w:r>
      <w:r w:rsidR="00BC4F5D" w:rsidRPr="005060E0">
        <w:t>,</w:t>
      </w:r>
      <w:r w:rsidR="00277D5E" w:rsidRPr="005060E0">
        <w:t xml:space="preserve"> it is also proposed that a simplified response to implementing an exposure</w:t>
      </w:r>
      <w:r w:rsidR="0011733C" w:rsidRPr="005060E0">
        <w:t>-</w:t>
      </w:r>
      <w:r w:rsidR="00277D5E" w:rsidRPr="005060E0">
        <w:t>reduction framework for NO</w:t>
      </w:r>
      <w:r w:rsidR="00277D5E" w:rsidRPr="005060E0">
        <w:rPr>
          <w:vertAlign w:val="subscript"/>
        </w:rPr>
        <w:t>2</w:t>
      </w:r>
      <w:r w:rsidR="00277D5E" w:rsidRPr="005060E0">
        <w:t xml:space="preserve"> is adopted – th</w:t>
      </w:r>
      <w:r w:rsidR="00BC4F5D" w:rsidRPr="005060E0">
        <w:t xml:space="preserve">is is achieved through the </w:t>
      </w:r>
      <w:r w:rsidR="00277D5E" w:rsidRPr="005060E0">
        <w:t>setting of a long</w:t>
      </w:r>
      <w:r w:rsidR="00BC4F5D" w:rsidRPr="005060E0">
        <w:noBreakHyphen/>
      </w:r>
      <w:r w:rsidR="00277D5E" w:rsidRPr="005060E0">
        <w:t xml:space="preserve">term annual average </w:t>
      </w:r>
      <w:r w:rsidR="00F65A03" w:rsidRPr="005060E0">
        <w:t>goal</w:t>
      </w:r>
      <w:r w:rsidR="00277D5E" w:rsidRPr="005060E0">
        <w:t xml:space="preserve"> for NO</w:t>
      </w:r>
      <w:r w:rsidR="00277D5E" w:rsidRPr="005060E0">
        <w:rPr>
          <w:vertAlign w:val="subscript"/>
        </w:rPr>
        <w:t>2</w:t>
      </w:r>
      <w:r w:rsidR="00277D5E" w:rsidRPr="005060E0">
        <w:t>.</w:t>
      </w:r>
    </w:p>
    <w:bookmarkEnd w:id="186"/>
    <w:p w14:paraId="7123E696" w14:textId="3756B018" w:rsidR="00682AE2" w:rsidRPr="005060E0" w:rsidRDefault="00682AE2" w:rsidP="00F96393">
      <w:r w:rsidRPr="005060E0">
        <w:rPr>
          <w:rFonts w:asciiTheme="minorHAnsi" w:hAnsiTheme="minorHAnsi" w:cstheme="minorHAnsi"/>
          <w:noProof/>
          <w:szCs w:val="20"/>
          <w:lang w:eastAsia="en-AU"/>
        </w:rPr>
        <mc:AlternateContent>
          <mc:Choice Requires="wps">
            <w:drawing>
              <wp:inline distT="0" distB="0" distL="0" distR="0" wp14:anchorId="3F20C9F4" wp14:editId="65B26232">
                <wp:extent cx="6086475" cy="2317750"/>
                <wp:effectExtent l="0" t="0" r="28575" b="25400"/>
                <wp:docPr id="680" name="Text Box 680"/>
                <wp:cNvGraphicFramePr/>
                <a:graphic xmlns:a="http://schemas.openxmlformats.org/drawingml/2006/main">
                  <a:graphicData uri="http://schemas.microsoft.com/office/word/2010/wordprocessingShape">
                    <wps:wsp>
                      <wps:cNvSpPr txBox="1"/>
                      <wps:spPr>
                        <a:xfrm>
                          <a:off x="0" y="0"/>
                          <a:ext cx="6086475" cy="2317750"/>
                        </a:xfrm>
                        <a:prstGeom prst="rect">
                          <a:avLst/>
                        </a:prstGeom>
                        <a:solidFill>
                          <a:schemeClr val="tx2">
                            <a:lumMod val="20000"/>
                            <a:lumOff val="80000"/>
                          </a:schemeClr>
                        </a:solidFill>
                        <a:ln w="6350">
                          <a:solidFill>
                            <a:schemeClr val="tx2">
                              <a:lumMod val="40000"/>
                              <a:lumOff val="60000"/>
                            </a:schemeClr>
                          </a:solidFill>
                        </a:ln>
                      </wps:spPr>
                      <wps:txbx>
                        <w:txbxContent>
                          <w:p w14:paraId="5D609F38" w14:textId="2723F9D7" w:rsidR="00B246FA" w:rsidRDefault="00B246FA" w:rsidP="00682AE2">
                            <w:pPr>
                              <w:rPr>
                                <w:szCs w:val="20"/>
                              </w:rPr>
                            </w:pPr>
                            <w:r>
                              <w:rPr>
                                <w:b/>
                              </w:rPr>
                              <w:t>Recommendation 13</w:t>
                            </w:r>
                            <w:r w:rsidRPr="00C14F6B">
                              <w:rPr>
                                <w:b/>
                              </w:rPr>
                              <w:t>:</w:t>
                            </w:r>
                            <w:r>
                              <w:t xml:space="preserve"> </w:t>
                            </w:r>
                            <w:r w:rsidRPr="00682AE2">
                              <w:rPr>
                                <w:szCs w:val="20"/>
                              </w:rPr>
                              <w:t>An exposure-reduct</w:t>
                            </w:r>
                            <w:r>
                              <w:rPr>
                                <w:szCs w:val="20"/>
                              </w:rPr>
                              <w:t>ion framework, in the form of a long-term goal for NO</w:t>
                            </w:r>
                            <w:r>
                              <w:rPr>
                                <w:szCs w:val="20"/>
                                <w:vertAlign w:val="subscript"/>
                              </w:rPr>
                              <w:t>2</w:t>
                            </w:r>
                            <w:r>
                              <w:rPr>
                                <w:szCs w:val="20"/>
                              </w:rPr>
                              <w:t>,</w:t>
                            </w:r>
                            <w:r w:rsidRPr="00682AE2">
                              <w:rPr>
                                <w:szCs w:val="20"/>
                              </w:rPr>
                              <w:t xml:space="preserve"> should be established to reduce population exposure and associated health risk.</w:t>
                            </w:r>
                          </w:p>
                          <w:p w14:paraId="35B1AD35" w14:textId="1C9817C1" w:rsidR="00B246FA" w:rsidRDefault="00B246FA" w:rsidP="00682AE2">
                            <w:r w:rsidRPr="00E35B48">
                              <w:rPr>
                                <w:b/>
                              </w:rPr>
                              <w:t>R</w:t>
                            </w:r>
                            <w:r>
                              <w:rPr>
                                <w:b/>
                              </w:rPr>
                              <w:t>ecommendation 14</w:t>
                            </w:r>
                            <w:r w:rsidRPr="00E35B48">
                              <w:rPr>
                                <w:b/>
                              </w:rPr>
                              <w:t>:</w:t>
                            </w:r>
                            <w:r w:rsidRPr="00E35B48">
                              <w:t xml:space="preserve"> A </w:t>
                            </w:r>
                            <w:r>
                              <w:t>future 1-hour NO</w:t>
                            </w:r>
                            <w:r w:rsidRPr="00E20C55">
                              <w:rPr>
                                <w:vertAlign w:val="subscript"/>
                              </w:rPr>
                              <w:t>2</w:t>
                            </w:r>
                            <w:r>
                              <w:t xml:space="preserve"> standard </w:t>
                            </w:r>
                            <w:r w:rsidRPr="00E35B48">
                              <w:t xml:space="preserve">of 80 ppb is recommended for implementation </w:t>
                            </w:r>
                            <w:r>
                              <w:t>from</w:t>
                            </w:r>
                            <w:r w:rsidRPr="00E35B48">
                              <w:t xml:space="preserve"> 2025 </w:t>
                            </w:r>
                            <w:r w:rsidRPr="007126F7">
                              <w:t xml:space="preserve">as part of an exposure-reduction framework </w:t>
                            </w:r>
                            <w:r w:rsidRPr="00E35B48">
                              <w:t>(this timeframe is consistent with the goals for PM</w:t>
                            </w:r>
                            <w:r w:rsidRPr="00E35B48">
                              <w:rPr>
                                <w:vertAlign w:val="subscript"/>
                              </w:rPr>
                              <w:t>2.5</w:t>
                            </w:r>
                            <w:r w:rsidRPr="00E35B48">
                              <w:t xml:space="preserve"> in the AAQ NEPM).</w:t>
                            </w:r>
                          </w:p>
                          <w:p w14:paraId="1EE29B07" w14:textId="0C04E73F" w:rsidR="00B246FA" w:rsidRDefault="00B246FA" w:rsidP="00682AE2">
                            <w:pPr>
                              <w:rPr>
                                <w:szCs w:val="20"/>
                              </w:rPr>
                            </w:pPr>
                            <w:r w:rsidRPr="00E20C55">
                              <w:rPr>
                                <w:b/>
                                <w:szCs w:val="20"/>
                              </w:rPr>
                              <w:t xml:space="preserve">Recommendation </w:t>
                            </w:r>
                            <w:r>
                              <w:rPr>
                                <w:b/>
                                <w:szCs w:val="20"/>
                              </w:rPr>
                              <w:t>15</w:t>
                            </w:r>
                            <w:r w:rsidRPr="00E20C55">
                              <w:rPr>
                                <w:b/>
                                <w:szCs w:val="20"/>
                              </w:rPr>
                              <w:t>:</w:t>
                            </w:r>
                            <w:r w:rsidRPr="00277D5E">
                              <w:rPr>
                                <w:szCs w:val="20"/>
                              </w:rPr>
                              <w:t xml:space="preserve"> A </w:t>
                            </w:r>
                            <w:r>
                              <w:rPr>
                                <w:szCs w:val="20"/>
                              </w:rPr>
                              <w:t>future annual NO</w:t>
                            </w:r>
                            <w:r w:rsidRPr="00E20C55">
                              <w:rPr>
                                <w:szCs w:val="20"/>
                                <w:vertAlign w:val="subscript"/>
                              </w:rPr>
                              <w:t>2</w:t>
                            </w:r>
                            <w:r>
                              <w:rPr>
                                <w:szCs w:val="20"/>
                              </w:rPr>
                              <w:t xml:space="preserve"> standard </w:t>
                            </w:r>
                            <w:r w:rsidRPr="00277D5E">
                              <w:rPr>
                                <w:szCs w:val="20"/>
                              </w:rPr>
                              <w:t xml:space="preserve">of 15 ppb is recommended for implementation </w:t>
                            </w:r>
                            <w:r>
                              <w:rPr>
                                <w:szCs w:val="20"/>
                              </w:rPr>
                              <w:t>from</w:t>
                            </w:r>
                            <w:r w:rsidRPr="00277D5E">
                              <w:rPr>
                                <w:szCs w:val="20"/>
                              </w:rPr>
                              <w:t xml:space="preserve"> 2025 </w:t>
                            </w:r>
                            <w:r w:rsidRPr="007126F7">
                              <w:rPr>
                                <w:szCs w:val="20"/>
                              </w:rPr>
                              <w:t xml:space="preserve">as part of an exposure-reduction framework </w:t>
                            </w:r>
                            <w:r w:rsidRPr="00277D5E">
                              <w:rPr>
                                <w:szCs w:val="20"/>
                              </w:rPr>
                              <w:t>(this timeframe is consistent with the goals for PM</w:t>
                            </w:r>
                            <w:r w:rsidRPr="00E20C55">
                              <w:rPr>
                                <w:szCs w:val="20"/>
                                <w:vertAlign w:val="subscript"/>
                              </w:rPr>
                              <w:t>2.5</w:t>
                            </w:r>
                            <w:r w:rsidRPr="00277D5E">
                              <w:rPr>
                                <w:szCs w:val="20"/>
                              </w:rPr>
                              <w:t xml:space="preserve"> in the AAQ NEPM).</w:t>
                            </w:r>
                          </w:p>
                          <w:p w14:paraId="482C0D53" w14:textId="2DF5E4C6" w:rsidR="00B246FA" w:rsidRDefault="00B246FA" w:rsidP="00682AE2">
                            <w:pPr>
                              <w:rPr>
                                <w:szCs w:val="20"/>
                              </w:rPr>
                            </w:pPr>
                            <w:r w:rsidRPr="00E20C55">
                              <w:rPr>
                                <w:b/>
                                <w:szCs w:val="20"/>
                              </w:rPr>
                              <w:t xml:space="preserve">Recommendation </w:t>
                            </w:r>
                            <w:r>
                              <w:rPr>
                                <w:b/>
                                <w:szCs w:val="20"/>
                              </w:rPr>
                              <w:t>16</w:t>
                            </w:r>
                            <w:r w:rsidRPr="00E20C55">
                              <w:rPr>
                                <w:b/>
                                <w:szCs w:val="20"/>
                              </w:rPr>
                              <w:t>:</w:t>
                            </w:r>
                            <w:r>
                              <w:rPr>
                                <w:szCs w:val="20"/>
                              </w:rPr>
                              <w:t xml:space="preserve"> Jurisdictions should also commence annual reporting on population exposure to NO</w:t>
                            </w:r>
                            <w:r w:rsidRPr="00E20C55">
                              <w:rPr>
                                <w:szCs w:val="20"/>
                                <w:vertAlign w:val="subscript"/>
                              </w:rPr>
                              <w:t>2</w:t>
                            </w:r>
                            <w:r>
                              <w:rPr>
                                <w:szCs w:val="20"/>
                              </w:rPr>
                              <w:t xml:space="preserve"> from the commencement of a varied AAQ NEPM.</w:t>
                            </w:r>
                          </w:p>
                          <w:p w14:paraId="5D0802C4" w14:textId="77777777" w:rsidR="00B246FA" w:rsidRPr="00310CA6" w:rsidRDefault="00B246FA" w:rsidP="00682AE2">
                            <w:pPr>
                              <w:pStyle w:val="ListBullet"/>
                              <w:numPr>
                                <w:ilvl w:val="0"/>
                                <w:numId w:val="0"/>
                              </w:num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20C9F4" id="Text Box 680" o:spid="_x0000_s1045" type="#_x0000_t202" style="width:479.2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jKybQIAACQFAAAOAAAAZHJzL2Uyb0RvYy54bWysVN9P2zAQfp+0/8Hy+0hbSlsiUtSBmCYx&#10;QIKJZ9dxaCTH59luE/bX77PTQMemPaC9OOe7y/36vvPZeddotlPO12QKPj4acaaMpLI2TwX//nD1&#10;acGZD8KUQpNRBX9Wnp8vP344a22uJrQhXSrHEMT4vLUF34Rg8yzzcqMa4Y/IKgNjRa4RAVf3lJVO&#10;tIje6GwyGs2yllxpHUnlPbSXvZEvU/yqUjLcVpVXgemCo7aQTpfOdTyz5ZnIn5ywm1ruyxDvqKIR&#10;tUHSl1CXIgi2dfUfoZpaOvJUhSNJTUZVVUuVekA349Gbbu43wqrUC4bj7cuY/P8LK292d47VZcFn&#10;C8zHiAYgPagusM/UsajDhFrrczjeW7iGDgYgPeg9lLHxrnJN/KIlBjtiPb/MN4aTUM5Gi9l0fsKZ&#10;hG1yPJ7PT1L87PV363z4oqhhUSi4A4BprmJ37QNKgevgErN50nV5VWudLpE06kI7thOAO3ST9Kve&#10;Nt+o7HWgzGgPOtSgRq9eDGqET9SLUVKy3xJow1p0cYyq35N8OmQR+WHy2aD+V3LYtEFFEYp+5FEK&#10;3bpL4I1PBzzWVD4DJkc91b2VVzVGeS18uBMO3AYy2Ndwi6PShH5oL3G2Iffzb/roD8rBylmLXSm4&#10;/7EVTnGmvxqQ8XQ8ncblSpfpyXyCizu0rA8tZttcEPAZ42WwMonRP+hBrBw1j1jrVcwKkzASuQHo&#10;IF6EfoPxLEi1WiUnrJMV4drcWxlDR3wiUR66R+Hsnk0BRLyhYatE/oZUvW/809BqG6iqE+PioPup&#10;7uePVUzc2D8bcdcP78nr9XFb/gIAAP//AwBQSwMEFAAGAAgAAAAhAKGUGxXdAAAABQEAAA8AAABk&#10;cnMvZG93bnJldi54bWxMj0tPwzAQhO9I/AdrkbhRm6JUbYhT8Shw7gO1vW3jJYkar6PYadN/j+EC&#10;l5VGM5r5NpsPthEn6nztWMP9SIEgLpypudSwWb/dTUH4gGywcUwaLuRhnl9fZZgad+YlnVahFLGE&#10;fYoaqhDaVEpfVGTRj1xLHL0v11kMUXalNB2eY7lt5FipibRYc1yosKWXiorjqrcanunzuE8ULt53&#10;483ldb3Y7vvZh9a3N8PTI4hAQ/gLww9+RIc8Mh1cz8aLRkN8JPze6M2SaQLioOFhkiiQeSb/0+ff&#10;AAAA//8DAFBLAQItABQABgAIAAAAIQC2gziS/gAAAOEBAAATAAAAAAAAAAAAAAAAAAAAAABbQ29u&#10;dGVudF9UeXBlc10ueG1sUEsBAi0AFAAGAAgAAAAhADj9If/WAAAAlAEAAAsAAAAAAAAAAAAAAAAA&#10;LwEAAF9yZWxzLy5yZWxzUEsBAi0AFAAGAAgAAAAhADz2MrJtAgAAJAUAAA4AAAAAAAAAAAAAAAAA&#10;LgIAAGRycy9lMm9Eb2MueG1sUEsBAi0AFAAGAAgAAAAhAKGUGxXdAAAABQEAAA8AAAAAAAAAAAAA&#10;AAAAxwQAAGRycy9kb3ducmV2LnhtbFBLBQYAAAAABAAEAPMAAADRBQAAAAA=&#10;" fillcolor="#dedfe3 [671]" strokecolor="#bdbfc8 [1311]" strokeweight=".5pt">
                <v:textbox>
                  <w:txbxContent>
                    <w:p w14:paraId="5D609F38" w14:textId="2723F9D7" w:rsidR="00B246FA" w:rsidRDefault="00B246FA" w:rsidP="00682AE2">
                      <w:pPr>
                        <w:rPr>
                          <w:szCs w:val="20"/>
                        </w:rPr>
                      </w:pPr>
                      <w:r>
                        <w:rPr>
                          <w:b/>
                        </w:rPr>
                        <w:t>Recommendation 13</w:t>
                      </w:r>
                      <w:r w:rsidRPr="00C14F6B">
                        <w:rPr>
                          <w:b/>
                        </w:rPr>
                        <w:t>:</w:t>
                      </w:r>
                      <w:r>
                        <w:t xml:space="preserve"> </w:t>
                      </w:r>
                      <w:r w:rsidRPr="00682AE2">
                        <w:rPr>
                          <w:szCs w:val="20"/>
                        </w:rPr>
                        <w:t>An exposure-reduct</w:t>
                      </w:r>
                      <w:r>
                        <w:rPr>
                          <w:szCs w:val="20"/>
                        </w:rPr>
                        <w:t>ion framework, in the form of a long-term goal for NO</w:t>
                      </w:r>
                      <w:r>
                        <w:rPr>
                          <w:szCs w:val="20"/>
                          <w:vertAlign w:val="subscript"/>
                        </w:rPr>
                        <w:t>2</w:t>
                      </w:r>
                      <w:r>
                        <w:rPr>
                          <w:szCs w:val="20"/>
                        </w:rPr>
                        <w:t>,</w:t>
                      </w:r>
                      <w:r w:rsidRPr="00682AE2">
                        <w:rPr>
                          <w:szCs w:val="20"/>
                        </w:rPr>
                        <w:t xml:space="preserve"> should be established to reduce population exposure and associated health risk.</w:t>
                      </w:r>
                    </w:p>
                    <w:p w14:paraId="35B1AD35" w14:textId="1C9817C1" w:rsidR="00B246FA" w:rsidRDefault="00B246FA" w:rsidP="00682AE2">
                      <w:r w:rsidRPr="00E35B48">
                        <w:rPr>
                          <w:b/>
                        </w:rPr>
                        <w:t>R</w:t>
                      </w:r>
                      <w:r>
                        <w:rPr>
                          <w:b/>
                        </w:rPr>
                        <w:t>ecommendation 14</w:t>
                      </w:r>
                      <w:r w:rsidRPr="00E35B48">
                        <w:rPr>
                          <w:b/>
                        </w:rPr>
                        <w:t>:</w:t>
                      </w:r>
                      <w:r w:rsidRPr="00E35B48">
                        <w:t xml:space="preserve"> A </w:t>
                      </w:r>
                      <w:r>
                        <w:t>future 1-hour NO</w:t>
                      </w:r>
                      <w:r w:rsidRPr="00E20C55">
                        <w:rPr>
                          <w:vertAlign w:val="subscript"/>
                        </w:rPr>
                        <w:t>2</w:t>
                      </w:r>
                      <w:r>
                        <w:t xml:space="preserve"> standard </w:t>
                      </w:r>
                      <w:r w:rsidRPr="00E35B48">
                        <w:t xml:space="preserve">of 80 ppb is recommended for implementation </w:t>
                      </w:r>
                      <w:r>
                        <w:t>from</w:t>
                      </w:r>
                      <w:r w:rsidRPr="00E35B48">
                        <w:t xml:space="preserve"> 2025 </w:t>
                      </w:r>
                      <w:r w:rsidRPr="007126F7">
                        <w:t xml:space="preserve">as part of an exposure-reduction framework </w:t>
                      </w:r>
                      <w:r w:rsidRPr="00E35B48">
                        <w:t>(this timeframe is consistent with the goals for PM</w:t>
                      </w:r>
                      <w:r w:rsidRPr="00E35B48">
                        <w:rPr>
                          <w:vertAlign w:val="subscript"/>
                        </w:rPr>
                        <w:t>2.5</w:t>
                      </w:r>
                      <w:r w:rsidRPr="00E35B48">
                        <w:t xml:space="preserve"> in the AAQ NEPM).</w:t>
                      </w:r>
                    </w:p>
                    <w:p w14:paraId="1EE29B07" w14:textId="0C04E73F" w:rsidR="00B246FA" w:rsidRDefault="00B246FA" w:rsidP="00682AE2">
                      <w:pPr>
                        <w:rPr>
                          <w:szCs w:val="20"/>
                        </w:rPr>
                      </w:pPr>
                      <w:r w:rsidRPr="00E20C55">
                        <w:rPr>
                          <w:b/>
                          <w:szCs w:val="20"/>
                        </w:rPr>
                        <w:t xml:space="preserve">Recommendation </w:t>
                      </w:r>
                      <w:r>
                        <w:rPr>
                          <w:b/>
                          <w:szCs w:val="20"/>
                        </w:rPr>
                        <w:t>15</w:t>
                      </w:r>
                      <w:r w:rsidRPr="00E20C55">
                        <w:rPr>
                          <w:b/>
                          <w:szCs w:val="20"/>
                        </w:rPr>
                        <w:t>:</w:t>
                      </w:r>
                      <w:r w:rsidRPr="00277D5E">
                        <w:rPr>
                          <w:szCs w:val="20"/>
                        </w:rPr>
                        <w:t xml:space="preserve"> A </w:t>
                      </w:r>
                      <w:r>
                        <w:rPr>
                          <w:szCs w:val="20"/>
                        </w:rPr>
                        <w:t>future annual NO</w:t>
                      </w:r>
                      <w:r w:rsidRPr="00E20C55">
                        <w:rPr>
                          <w:szCs w:val="20"/>
                          <w:vertAlign w:val="subscript"/>
                        </w:rPr>
                        <w:t>2</w:t>
                      </w:r>
                      <w:r>
                        <w:rPr>
                          <w:szCs w:val="20"/>
                        </w:rPr>
                        <w:t xml:space="preserve"> standard </w:t>
                      </w:r>
                      <w:r w:rsidRPr="00277D5E">
                        <w:rPr>
                          <w:szCs w:val="20"/>
                        </w:rPr>
                        <w:t xml:space="preserve">of 15 ppb is recommended for implementation </w:t>
                      </w:r>
                      <w:r>
                        <w:rPr>
                          <w:szCs w:val="20"/>
                        </w:rPr>
                        <w:t>from</w:t>
                      </w:r>
                      <w:r w:rsidRPr="00277D5E">
                        <w:rPr>
                          <w:szCs w:val="20"/>
                        </w:rPr>
                        <w:t xml:space="preserve"> 2025 </w:t>
                      </w:r>
                      <w:r w:rsidRPr="007126F7">
                        <w:rPr>
                          <w:szCs w:val="20"/>
                        </w:rPr>
                        <w:t xml:space="preserve">as part of an exposure-reduction framework </w:t>
                      </w:r>
                      <w:r w:rsidRPr="00277D5E">
                        <w:rPr>
                          <w:szCs w:val="20"/>
                        </w:rPr>
                        <w:t>(this timeframe is consistent with the goals for PM</w:t>
                      </w:r>
                      <w:r w:rsidRPr="00E20C55">
                        <w:rPr>
                          <w:szCs w:val="20"/>
                          <w:vertAlign w:val="subscript"/>
                        </w:rPr>
                        <w:t>2.5</w:t>
                      </w:r>
                      <w:r w:rsidRPr="00277D5E">
                        <w:rPr>
                          <w:szCs w:val="20"/>
                        </w:rPr>
                        <w:t xml:space="preserve"> in the AAQ NEPM).</w:t>
                      </w:r>
                    </w:p>
                    <w:p w14:paraId="482C0D53" w14:textId="2DF5E4C6" w:rsidR="00B246FA" w:rsidRDefault="00B246FA" w:rsidP="00682AE2">
                      <w:pPr>
                        <w:rPr>
                          <w:szCs w:val="20"/>
                        </w:rPr>
                      </w:pPr>
                      <w:r w:rsidRPr="00E20C55">
                        <w:rPr>
                          <w:b/>
                          <w:szCs w:val="20"/>
                        </w:rPr>
                        <w:t xml:space="preserve">Recommendation </w:t>
                      </w:r>
                      <w:r>
                        <w:rPr>
                          <w:b/>
                          <w:szCs w:val="20"/>
                        </w:rPr>
                        <w:t>16</w:t>
                      </w:r>
                      <w:r w:rsidRPr="00E20C55">
                        <w:rPr>
                          <w:b/>
                          <w:szCs w:val="20"/>
                        </w:rPr>
                        <w:t>:</w:t>
                      </w:r>
                      <w:r>
                        <w:rPr>
                          <w:szCs w:val="20"/>
                        </w:rPr>
                        <w:t xml:space="preserve"> Jurisdictions should also commence annual reporting on population exposure to NO</w:t>
                      </w:r>
                      <w:r w:rsidRPr="00E20C55">
                        <w:rPr>
                          <w:szCs w:val="20"/>
                          <w:vertAlign w:val="subscript"/>
                        </w:rPr>
                        <w:t>2</w:t>
                      </w:r>
                      <w:r>
                        <w:rPr>
                          <w:szCs w:val="20"/>
                        </w:rPr>
                        <w:t xml:space="preserve"> from the commencement of a varied AAQ NEPM.</w:t>
                      </w:r>
                    </w:p>
                    <w:p w14:paraId="5D0802C4" w14:textId="77777777" w:rsidR="00B246FA" w:rsidRPr="00310CA6" w:rsidRDefault="00B246FA" w:rsidP="00682AE2">
                      <w:pPr>
                        <w:pStyle w:val="ListBullet"/>
                        <w:numPr>
                          <w:ilvl w:val="0"/>
                          <w:numId w:val="0"/>
                        </w:numPr>
                        <w:rPr>
                          <w:b/>
                        </w:rPr>
                      </w:pPr>
                    </w:p>
                  </w:txbxContent>
                </v:textbox>
                <w10:anchorlock/>
              </v:shape>
            </w:pict>
          </mc:Fallback>
        </mc:AlternateContent>
      </w:r>
    </w:p>
    <w:p w14:paraId="13AE5C1E" w14:textId="6C5078F5" w:rsidR="004D01D5" w:rsidRPr="005060E0" w:rsidRDefault="004D01D5">
      <w:pPr>
        <w:spacing w:after="160" w:line="259" w:lineRule="auto"/>
      </w:pPr>
      <w:r w:rsidRPr="005060E0">
        <w:br w:type="page"/>
      </w:r>
    </w:p>
    <w:p w14:paraId="3862DA5A" w14:textId="152F38A3" w:rsidR="004D01D5" w:rsidRPr="005060E0" w:rsidRDefault="004D01D5">
      <w:pPr>
        <w:spacing w:after="160" w:line="259" w:lineRule="auto"/>
      </w:pPr>
      <w:r w:rsidRPr="005060E0">
        <w:rPr>
          <w:noProof/>
          <w:lang w:eastAsia="en-AU"/>
        </w:rPr>
        <mc:AlternateContent>
          <mc:Choice Requires="wps">
            <w:drawing>
              <wp:inline distT="0" distB="0" distL="0" distR="0" wp14:anchorId="4614F19A" wp14:editId="1776A083">
                <wp:extent cx="6080125" cy="5492338"/>
                <wp:effectExtent l="0" t="0" r="15875" b="13335"/>
                <wp:docPr id="465" name="Text Box 465"/>
                <wp:cNvGraphicFramePr/>
                <a:graphic xmlns:a="http://schemas.openxmlformats.org/drawingml/2006/main">
                  <a:graphicData uri="http://schemas.microsoft.com/office/word/2010/wordprocessingShape">
                    <wps:wsp>
                      <wps:cNvSpPr txBox="1"/>
                      <wps:spPr>
                        <a:xfrm>
                          <a:off x="0" y="0"/>
                          <a:ext cx="6080125" cy="5492338"/>
                        </a:xfrm>
                        <a:prstGeom prst="rect">
                          <a:avLst/>
                        </a:prstGeom>
                        <a:ln>
                          <a:solidFill>
                            <a:schemeClr val="accent1">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59B87F0A" w14:textId="59175D19" w:rsidR="00B246FA" w:rsidRDefault="00B246FA" w:rsidP="004D01D5">
                            <w:pPr>
                              <w:rPr>
                                <w:b/>
                                <w:sz w:val="24"/>
                              </w:rPr>
                            </w:pPr>
                            <w:r w:rsidRPr="001E2A91">
                              <w:rPr>
                                <w:b/>
                                <w:sz w:val="24"/>
                              </w:rPr>
                              <w:t xml:space="preserve">Chapter </w:t>
                            </w:r>
                            <w:r>
                              <w:rPr>
                                <w:b/>
                                <w:sz w:val="24"/>
                              </w:rPr>
                              <w:t>7</w:t>
                            </w:r>
                            <w:r w:rsidRPr="001E2A91">
                              <w:rPr>
                                <w:b/>
                                <w:sz w:val="24"/>
                              </w:rPr>
                              <w:t xml:space="preserve"> – Key </w:t>
                            </w:r>
                            <w:r>
                              <w:rPr>
                                <w:b/>
                                <w:sz w:val="24"/>
                              </w:rPr>
                              <w:t>p</w:t>
                            </w:r>
                            <w:r w:rsidRPr="001E2A91">
                              <w:rPr>
                                <w:b/>
                                <w:sz w:val="24"/>
                              </w:rPr>
                              <w:t>oints</w:t>
                            </w:r>
                          </w:p>
                          <w:p w14:paraId="7CEBD42D" w14:textId="7C6990AC" w:rsidR="00B246FA" w:rsidRDefault="00B246FA" w:rsidP="00FB1521">
                            <w:pPr>
                              <w:pStyle w:val="ListParagraph"/>
                              <w:numPr>
                                <w:ilvl w:val="0"/>
                                <w:numId w:val="70"/>
                              </w:numPr>
                              <w:ind w:hanging="357"/>
                              <w:contextualSpacing w:val="0"/>
                            </w:pPr>
                            <w:r>
                              <w:t>NO</w:t>
                            </w:r>
                            <w:r w:rsidRPr="00FB1521">
                              <w:t>2</w:t>
                            </w:r>
                            <w:r>
                              <w:t xml:space="preserve"> has a strong odour and is a reactive gas that has a reddish-brown colour at typical atmospheric temperatures. NO</w:t>
                            </w:r>
                            <w:r w:rsidRPr="00FB1521">
                              <w:t>2</w:t>
                            </w:r>
                            <w:r>
                              <w:t xml:space="preserve"> is also a precursor of photochemical smog and contributes to secondary particle formation by reaction with ammonia to form nitrate salts. </w:t>
                            </w:r>
                          </w:p>
                          <w:p w14:paraId="7E37C937" w14:textId="77777777" w:rsidR="00B246FA" w:rsidRDefault="00B246FA" w:rsidP="00FB1521">
                            <w:pPr>
                              <w:pStyle w:val="ListParagraph"/>
                              <w:numPr>
                                <w:ilvl w:val="0"/>
                                <w:numId w:val="70"/>
                              </w:numPr>
                              <w:ind w:hanging="357"/>
                              <w:contextualSpacing w:val="0"/>
                            </w:pPr>
                            <w:r>
                              <w:t>Natural sources of NO</w:t>
                            </w:r>
                            <w:r w:rsidRPr="00FB1521">
                              <w:t>2</w:t>
                            </w:r>
                            <w:r>
                              <w:t xml:space="preserve"> include bacterial respiration, volcanoes and the extreme heating of air during lightning strikes. The main anthropogenic source of NO</w:t>
                            </w:r>
                            <w:r w:rsidRPr="00FB1521">
                              <w:t>2</w:t>
                            </w:r>
                            <w:r>
                              <w:t xml:space="preserve"> is fuel combustion, and in urban areas the largest contributor is road vehicle exhaust. Other sources include the burning of coal, oil, or natural gas, and industrial processes.</w:t>
                            </w:r>
                          </w:p>
                          <w:p w14:paraId="3D2F4163" w14:textId="77777777" w:rsidR="00B246FA" w:rsidRDefault="00B246FA" w:rsidP="00FB1521">
                            <w:pPr>
                              <w:pStyle w:val="ListParagraph"/>
                              <w:numPr>
                                <w:ilvl w:val="0"/>
                                <w:numId w:val="70"/>
                              </w:numPr>
                              <w:ind w:hanging="357"/>
                              <w:contextualSpacing w:val="0"/>
                            </w:pPr>
                            <w:r>
                              <w:t>NO</w:t>
                            </w:r>
                            <w:r w:rsidRPr="00FB1521">
                              <w:t>2</w:t>
                            </w:r>
                            <w:r>
                              <w:t xml:space="preserve"> may be harmful to the lungs, especially for children, the elderly and people with lung disease. It may also exacerbate pre-existing respiratory conditions such as asthma.</w:t>
                            </w:r>
                          </w:p>
                          <w:p w14:paraId="58EC36EC" w14:textId="3D2B7A5D" w:rsidR="00B246FA" w:rsidRDefault="00B246FA" w:rsidP="00FB1521">
                            <w:pPr>
                              <w:pStyle w:val="ListParagraph"/>
                              <w:numPr>
                                <w:ilvl w:val="0"/>
                                <w:numId w:val="70"/>
                              </w:numPr>
                              <w:ind w:hanging="357"/>
                              <w:contextualSpacing w:val="0"/>
                            </w:pPr>
                            <w:r>
                              <w:t>NO</w:t>
                            </w:r>
                            <w:r w:rsidRPr="00FB1521">
                              <w:t>2</w:t>
                            </w:r>
                            <w:r>
                              <w:t xml:space="preserve"> levels in Australian cities are below the current air quality standards. In recent years (2010–2016), NO</w:t>
                            </w:r>
                            <w:r w:rsidRPr="00FB1521">
                              <w:t>2</w:t>
                            </w:r>
                            <w:r>
                              <w:t xml:space="preserve"> concentrations in all jurisdictions have been relatively stable.</w:t>
                            </w:r>
                          </w:p>
                          <w:p w14:paraId="7903F245" w14:textId="07240D13" w:rsidR="00B246FA" w:rsidRDefault="00B246FA" w:rsidP="00FB1521">
                            <w:pPr>
                              <w:pStyle w:val="ListParagraph"/>
                              <w:numPr>
                                <w:ilvl w:val="0"/>
                                <w:numId w:val="70"/>
                              </w:numPr>
                              <w:ind w:hanging="357"/>
                              <w:contextualSpacing w:val="0"/>
                            </w:pPr>
                            <w:r>
                              <w:t>Projections indicate NO</w:t>
                            </w:r>
                            <w:r w:rsidRPr="00FB1521">
                              <w:t>2</w:t>
                            </w:r>
                            <w:r>
                              <w:t xml:space="preserve"> concentrations are likely to remain relatively stable in most airsheds that were modelled if emissions continue as forecast with no abatement. </w:t>
                            </w:r>
                          </w:p>
                          <w:p w14:paraId="2772288B" w14:textId="78E004DA" w:rsidR="00B246FA" w:rsidRDefault="00B246FA" w:rsidP="00FB1521">
                            <w:pPr>
                              <w:pStyle w:val="ListParagraph"/>
                              <w:numPr>
                                <w:ilvl w:val="0"/>
                                <w:numId w:val="70"/>
                              </w:numPr>
                              <w:ind w:hanging="357"/>
                              <w:contextualSpacing w:val="0"/>
                            </w:pPr>
                            <w:r>
                              <w:t>Historical air quality assessment and future modelling has shown that most of the proposed NO</w:t>
                            </w:r>
                            <w:r w:rsidRPr="00FB1521">
                              <w:t>2</w:t>
                            </w:r>
                            <w:r>
                              <w:t xml:space="preserve"> standards can be met now and into the future without the need for additional abatement measures, except for the most stringent proposed standards. An Abatement Package of possible measures reduced some of these exceedances.</w:t>
                            </w:r>
                          </w:p>
                          <w:p w14:paraId="618A307D" w14:textId="123E4E12" w:rsidR="00B246FA" w:rsidRDefault="00B246FA" w:rsidP="00FB1521">
                            <w:pPr>
                              <w:pStyle w:val="ListParagraph"/>
                              <w:numPr>
                                <w:ilvl w:val="0"/>
                                <w:numId w:val="70"/>
                              </w:numPr>
                              <w:ind w:hanging="357"/>
                              <w:contextualSpacing w:val="0"/>
                            </w:pPr>
                            <w:r>
                              <w:t>In recent years (2010–2014), levels of NO</w:t>
                            </w:r>
                            <w:r w:rsidRPr="00FB1521">
                              <w:t>2</w:t>
                            </w:r>
                            <w:r>
                              <w:t xml:space="preserve"> in Australian airsheds have had an impact on public health, especially in the more urbanised airsheds of Sydney and Melbourne – the health burden is projected to increase in the future in these cities if emissions continue as forecast with no abatement. </w:t>
                            </w:r>
                          </w:p>
                          <w:p w14:paraId="3B5ED452" w14:textId="45270E77" w:rsidR="00B246FA" w:rsidRPr="004D01D5" w:rsidRDefault="00B246FA" w:rsidP="00FB1521">
                            <w:pPr>
                              <w:pStyle w:val="ListParagraph"/>
                              <w:numPr>
                                <w:ilvl w:val="0"/>
                                <w:numId w:val="70"/>
                              </w:numPr>
                              <w:ind w:hanging="357"/>
                              <w:contextualSpacing w:val="0"/>
                            </w:pPr>
                            <w:r>
                              <w:t>An exposure-reduction framework for NO</w:t>
                            </w:r>
                            <w:r w:rsidRPr="000949BD">
                              <w:rPr>
                                <w:vertAlign w:val="subscript"/>
                              </w:rPr>
                              <w:t>2</w:t>
                            </w:r>
                            <w:r>
                              <w:t xml:space="preserve"> could provide a framework to reduce the risk across the population of not meeting future standards for larger jurisdictions, particularly given increased population growth and associated motor vehicle kilometres travelled.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14F19A" id="Text Box 465" o:spid="_x0000_s1046" type="#_x0000_t202" style="width:478.75pt;height:43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MWpwIAALAFAAAOAAAAZHJzL2Uyb0RvYy54bWysVN9P2zAQfp+0/8Hy+0haSgcVKepATJMY&#10;oMHEs+vYNJrt82y3SffX72wnoWJIk6b1wXXu93f+7s4vOq3ITjjfgKno5KikRBgOdWOeK/r98frD&#10;KSU+MFMzBUZUdC88vVi+f3fe2oWYwgZULRzBIMYvWlvRTQh2URSeb4Rm/gisMKiU4DQL+Omei9qx&#10;FqNrVUzLcl604GrrgAvvUXqVlXSZ4kspeLiT0otAVEWxtpBOl851PIvlOVs8O2Y3De/LYP9QhWaN&#10;waRjqCsWGNm65o9QuuEOPMhwxEEXIGXDRcKAaCblKzQPG2ZFwoLN8XZsk/9/Yfnt7t6Rpq7obH5C&#10;iWEaH+lRdIF8go5EGXaotX6Bhg8WTUOHCnzpQe5RGIF30un4j5AI6rHX+7G/MRxH4bw8LSdTTMNR&#10;dzI7mx4fn8Y4xYu7dT58FqBJvFTU4QOmvrLdjQ/ZdDCJ2ZSJpwfV1NeNUukjUkdcKkd2DB+dcS5M&#10;mKQgaqu/Qp3l8xJ/+flRjCTJ4tkgxpoSCWOkVOFBEtTFxEXsS8afbmGvRC7qm5DYU0Q8TXnHQIcl&#10;zXvkyqB1dJMIYHTMBb9yVIgj96C3jW4isXx0LP+ecfRIWcGE0Vk3BtxbAeofY+ZsP6DPmCP80K27&#10;RKRpamsUraHeI2Uc5LHzll83+Kw3zId75nDOkCW4O8IdHlJBW1Hob5RswP16Sx7tkf6opaTFua2o&#10;/7llTlCivhgcjLPJbBYHPX3MTj5iNcQdataHGrPVl4AsmeCWsjxdo31Qw1U60E+4YlYxK6qY4Zi7&#10;omG4Xoa8TXBFcbFaJSMcbcvCjXmwPIaObY6kfeyemLM9swMOxS0ME84WrwiebaOngdU2gGwS+1+6&#10;2j8AroXEzn6Fxb1z+J2sXhbt8jcAAAD//wMAUEsDBBQABgAIAAAAIQB1xRRZ3QAAAAUBAAAPAAAA&#10;ZHJzL2Rvd25yZXYueG1sTI9bS8NAEIXfBf/DMoJvdqPY2qTZlOIFBGmhtX2fZqdJcC9hd9um/97R&#10;F305MJzhnO+U88EacaIQO+8U3I8yEORqrzvXKNh+vt1NQcSETqPxjhRcKMK8ur4qsdD+7NZ02qRG&#10;cIiLBSpoU+oLKWPdksU48j059g4+WEx8hkbqgGcOt0Y+ZNlEWuwcN7TY03NL9dfmaLnkUn8s8sPO&#10;LHG7Dt17t3rxryulbm+GxQxEoiH9PcMPPqNDxUx7f3Q6CqOAh6RfZS8fP41B7BVMJ485yKqU/+mr&#10;bwAAAP//AwBQSwECLQAUAAYACAAAACEAtoM4kv4AAADhAQAAEwAAAAAAAAAAAAAAAAAAAAAAW0Nv&#10;bnRlbnRfVHlwZXNdLnhtbFBLAQItABQABgAIAAAAIQA4/SH/1gAAAJQBAAALAAAAAAAAAAAAAAAA&#10;AC8BAABfcmVscy8ucmVsc1BLAQItABQABgAIAAAAIQDIovMWpwIAALAFAAAOAAAAAAAAAAAAAAAA&#10;AC4CAABkcnMvZTJvRG9jLnhtbFBLAQItABQABgAIAAAAIQB1xRRZ3QAAAAUBAAAPAAAAAAAAAAAA&#10;AAAAAAEFAABkcnMvZG93bnJldi54bWxQSwUGAAAAAAQABADzAAAACwYAAAAA&#10;" fillcolor="white [3201]" strokecolor="#40b4ff [1940]" strokeweight="2pt">
                <v:textbox>
                  <w:txbxContent>
                    <w:p w14:paraId="59B87F0A" w14:textId="59175D19" w:rsidR="00B246FA" w:rsidRDefault="00B246FA" w:rsidP="004D01D5">
                      <w:pPr>
                        <w:rPr>
                          <w:b/>
                          <w:sz w:val="24"/>
                        </w:rPr>
                      </w:pPr>
                      <w:r w:rsidRPr="001E2A91">
                        <w:rPr>
                          <w:b/>
                          <w:sz w:val="24"/>
                        </w:rPr>
                        <w:t xml:space="preserve">Chapter </w:t>
                      </w:r>
                      <w:r>
                        <w:rPr>
                          <w:b/>
                          <w:sz w:val="24"/>
                        </w:rPr>
                        <w:t>7</w:t>
                      </w:r>
                      <w:r w:rsidRPr="001E2A91">
                        <w:rPr>
                          <w:b/>
                          <w:sz w:val="24"/>
                        </w:rPr>
                        <w:t xml:space="preserve"> – Key </w:t>
                      </w:r>
                      <w:r>
                        <w:rPr>
                          <w:b/>
                          <w:sz w:val="24"/>
                        </w:rPr>
                        <w:t>p</w:t>
                      </w:r>
                      <w:r w:rsidRPr="001E2A91">
                        <w:rPr>
                          <w:b/>
                          <w:sz w:val="24"/>
                        </w:rPr>
                        <w:t>oints</w:t>
                      </w:r>
                    </w:p>
                    <w:p w14:paraId="7CEBD42D" w14:textId="7C6990AC" w:rsidR="00B246FA" w:rsidRDefault="00B246FA" w:rsidP="00FB1521">
                      <w:pPr>
                        <w:pStyle w:val="ListParagraph"/>
                        <w:numPr>
                          <w:ilvl w:val="0"/>
                          <w:numId w:val="70"/>
                        </w:numPr>
                        <w:ind w:hanging="357"/>
                        <w:contextualSpacing w:val="0"/>
                      </w:pPr>
                      <w:bookmarkStart w:id="187" w:name="_GoBack"/>
                      <w:r>
                        <w:t>NO</w:t>
                      </w:r>
                      <w:r w:rsidRPr="00FB1521">
                        <w:t>2</w:t>
                      </w:r>
                      <w:r>
                        <w:t xml:space="preserve"> has a strong odour and is a reactive gas that has a reddish-brown colour at typical atmospheric temperatures. NO</w:t>
                      </w:r>
                      <w:r w:rsidRPr="00FB1521">
                        <w:t>2</w:t>
                      </w:r>
                      <w:r>
                        <w:t xml:space="preserve"> is also a precursor of photochemical smog and contributes to secondary particle formation by reaction with ammonia to form nitrate salts. </w:t>
                      </w:r>
                    </w:p>
                    <w:p w14:paraId="7E37C937" w14:textId="77777777" w:rsidR="00B246FA" w:rsidRDefault="00B246FA" w:rsidP="00FB1521">
                      <w:pPr>
                        <w:pStyle w:val="ListParagraph"/>
                        <w:numPr>
                          <w:ilvl w:val="0"/>
                          <w:numId w:val="70"/>
                        </w:numPr>
                        <w:ind w:hanging="357"/>
                        <w:contextualSpacing w:val="0"/>
                      </w:pPr>
                      <w:r>
                        <w:t>Natural sources of NO</w:t>
                      </w:r>
                      <w:r w:rsidRPr="00FB1521">
                        <w:t>2</w:t>
                      </w:r>
                      <w:r>
                        <w:t xml:space="preserve"> include bacterial respiration, volcanoes and the extreme heating of air during lightning strikes. The main anthropogenic source of NO</w:t>
                      </w:r>
                      <w:r w:rsidRPr="00FB1521">
                        <w:t>2</w:t>
                      </w:r>
                      <w:r>
                        <w:t xml:space="preserve"> is fuel combustion, and in urban areas the largest contributor is road vehicle exhaust. Other sources include the burning of coal, oil, or natural gas, and industrial processes.</w:t>
                      </w:r>
                    </w:p>
                    <w:p w14:paraId="3D2F4163" w14:textId="77777777" w:rsidR="00B246FA" w:rsidRDefault="00B246FA" w:rsidP="00FB1521">
                      <w:pPr>
                        <w:pStyle w:val="ListParagraph"/>
                        <w:numPr>
                          <w:ilvl w:val="0"/>
                          <w:numId w:val="70"/>
                        </w:numPr>
                        <w:ind w:hanging="357"/>
                        <w:contextualSpacing w:val="0"/>
                      </w:pPr>
                      <w:r>
                        <w:t>NO</w:t>
                      </w:r>
                      <w:r w:rsidRPr="00FB1521">
                        <w:t>2</w:t>
                      </w:r>
                      <w:r>
                        <w:t xml:space="preserve"> may be harmful to the lungs, especially for children, the elderly and people with lung disease. It may also exacerbate pre-existing respiratory conditions such as asthma.</w:t>
                      </w:r>
                    </w:p>
                    <w:p w14:paraId="58EC36EC" w14:textId="3D2B7A5D" w:rsidR="00B246FA" w:rsidRDefault="00B246FA" w:rsidP="00FB1521">
                      <w:pPr>
                        <w:pStyle w:val="ListParagraph"/>
                        <w:numPr>
                          <w:ilvl w:val="0"/>
                          <w:numId w:val="70"/>
                        </w:numPr>
                        <w:ind w:hanging="357"/>
                        <w:contextualSpacing w:val="0"/>
                      </w:pPr>
                      <w:r>
                        <w:t>NO</w:t>
                      </w:r>
                      <w:r w:rsidRPr="00FB1521">
                        <w:t>2</w:t>
                      </w:r>
                      <w:r>
                        <w:t xml:space="preserve"> levels in Australian cities are below the current air quality standards. In recent years (2010–2016), NO</w:t>
                      </w:r>
                      <w:r w:rsidRPr="00FB1521">
                        <w:t>2</w:t>
                      </w:r>
                      <w:r>
                        <w:t xml:space="preserve"> concentrations in all jurisdictions have been relatively stable.</w:t>
                      </w:r>
                    </w:p>
                    <w:p w14:paraId="7903F245" w14:textId="07240D13" w:rsidR="00B246FA" w:rsidRDefault="00B246FA" w:rsidP="00FB1521">
                      <w:pPr>
                        <w:pStyle w:val="ListParagraph"/>
                        <w:numPr>
                          <w:ilvl w:val="0"/>
                          <w:numId w:val="70"/>
                        </w:numPr>
                        <w:ind w:hanging="357"/>
                        <w:contextualSpacing w:val="0"/>
                      </w:pPr>
                      <w:r>
                        <w:t>Projections indicate NO</w:t>
                      </w:r>
                      <w:r w:rsidRPr="00FB1521">
                        <w:t>2</w:t>
                      </w:r>
                      <w:r>
                        <w:t xml:space="preserve"> concentrations are likely to remain relatively stable in most airsheds that were modelled if emissions continue as forecast with no abatement. </w:t>
                      </w:r>
                    </w:p>
                    <w:p w14:paraId="2772288B" w14:textId="78E004DA" w:rsidR="00B246FA" w:rsidRDefault="00B246FA" w:rsidP="00FB1521">
                      <w:pPr>
                        <w:pStyle w:val="ListParagraph"/>
                        <w:numPr>
                          <w:ilvl w:val="0"/>
                          <w:numId w:val="70"/>
                        </w:numPr>
                        <w:ind w:hanging="357"/>
                        <w:contextualSpacing w:val="0"/>
                      </w:pPr>
                      <w:r>
                        <w:t>Historical air quality assessment and future modelling has shown that most of the proposed NO</w:t>
                      </w:r>
                      <w:r w:rsidRPr="00FB1521">
                        <w:t>2</w:t>
                      </w:r>
                      <w:r>
                        <w:t xml:space="preserve"> standards can be met now and into the future without the need for additional abatement measures, except for the most stringent proposed standards. An Abatement Package of possible measures reduced some of these exceedances.</w:t>
                      </w:r>
                    </w:p>
                    <w:p w14:paraId="618A307D" w14:textId="123E4E12" w:rsidR="00B246FA" w:rsidRDefault="00B246FA" w:rsidP="00FB1521">
                      <w:pPr>
                        <w:pStyle w:val="ListParagraph"/>
                        <w:numPr>
                          <w:ilvl w:val="0"/>
                          <w:numId w:val="70"/>
                        </w:numPr>
                        <w:ind w:hanging="357"/>
                        <w:contextualSpacing w:val="0"/>
                      </w:pPr>
                      <w:r>
                        <w:t>In recent years (2010–2014), levels of NO</w:t>
                      </w:r>
                      <w:r w:rsidRPr="00FB1521">
                        <w:t>2</w:t>
                      </w:r>
                      <w:r>
                        <w:t xml:space="preserve"> in Australian airsheds have had an impact on public health, especially in the more urbanised airsheds of Sydney and Melbourne – the health burden is projected to increase in the future in these cities if emissions continue as forecast with no abatement. </w:t>
                      </w:r>
                    </w:p>
                    <w:bookmarkEnd w:id="187"/>
                    <w:p w14:paraId="3B5ED452" w14:textId="45270E77" w:rsidR="00B246FA" w:rsidRPr="004D01D5" w:rsidRDefault="00B246FA" w:rsidP="00FB1521">
                      <w:pPr>
                        <w:pStyle w:val="ListParagraph"/>
                        <w:numPr>
                          <w:ilvl w:val="0"/>
                          <w:numId w:val="70"/>
                        </w:numPr>
                        <w:ind w:hanging="357"/>
                        <w:contextualSpacing w:val="0"/>
                      </w:pPr>
                      <w:r>
                        <w:t>An exposure-reduction framework for NO</w:t>
                      </w:r>
                      <w:r w:rsidRPr="000949BD">
                        <w:rPr>
                          <w:vertAlign w:val="subscript"/>
                        </w:rPr>
                        <w:t>2</w:t>
                      </w:r>
                      <w:r>
                        <w:t xml:space="preserve"> could provide a framework to reduce the risk across the population of not meeting future standards for larger jurisdictions, particularly given increased population growth and associated motor vehicle kilometres travelled.</w:t>
                      </w:r>
                    </w:p>
                  </w:txbxContent>
                </v:textbox>
                <w10:anchorlock/>
              </v:shape>
            </w:pict>
          </mc:Fallback>
        </mc:AlternateContent>
      </w:r>
    </w:p>
    <w:p w14:paraId="3952706A" w14:textId="77777777" w:rsidR="000949BD" w:rsidRPr="005060E0" w:rsidRDefault="000949BD">
      <w:pPr>
        <w:spacing w:after="160" w:line="259" w:lineRule="auto"/>
      </w:pPr>
      <w:r w:rsidRPr="005060E0">
        <w:br w:type="page"/>
      </w:r>
    </w:p>
    <w:p w14:paraId="5641CACA" w14:textId="77777777" w:rsidR="00762C3C" w:rsidRPr="005060E0" w:rsidRDefault="004D01D5">
      <w:pPr>
        <w:spacing w:after="160" w:line="259" w:lineRule="auto"/>
      </w:pPr>
      <w:r w:rsidRPr="005060E0">
        <w:rPr>
          <w:noProof/>
          <w:lang w:eastAsia="en-AU"/>
        </w:rPr>
        <mc:AlternateContent>
          <mc:Choice Requires="wps">
            <w:drawing>
              <wp:inline distT="0" distB="0" distL="0" distR="0" wp14:anchorId="443EC7E2" wp14:editId="3FD449BA">
                <wp:extent cx="6080166" cy="3398807"/>
                <wp:effectExtent l="0" t="0" r="15875" b="11430"/>
                <wp:docPr id="466" name="Text Box 466"/>
                <wp:cNvGraphicFramePr/>
                <a:graphic xmlns:a="http://schemas.openxmlformats.org/drawingml/2006/main">
                  <a:graphicData uri="http://schemas.microsoft.com/office/word/2010/wordprocessingShape">
                    <wps:wsp>
                      <wps:cNvSpPr txBox="1"/>
                      <wps:spPr>
                        <a:xfrm>
                          <a:off x="0" y="0"/>
                          <a:ext cx="6080166" cy="3398807"/>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4FDD84C" w14:textId="0662BB08" w:rsidR="00B246FA" w:rsidRDefault="00B246FA" w:rsidP="004D01D5">
                            <w:pPr>
                              <w:rPr>
                                <w:b/>
                                <w:sz w:val="24"/>
                              </w:rPr>
                            </w:pPr>
                            <w:r w:rsidRPr="000949BD">
                              <w:rPr>
                                <w:b/>
                                <w:sz w:val="24"/>
                              </w:rPr>
                              <w:t xml:space="preserve">Chapter </w:t>
                            </w:r>
                            <w:r>
                              <w:rPr>
                                <w:b/>
                                <w:sz w:val="24"/>
                              </w:rPr>
                              <w:t>7</w:t>
                            </w:r>
                            <w:r w:rsidRPr="000949BD">
                              <w:rPr>
                                <w:b/>
                                <w:sz w:val="24"/>
                              </w:rPr>
                              <w:t xml:space="preserve"> – Consultation </w:t>
                            </w:r>
                            <w:r>
                              <w:rPr>
                                <w:b/>
                                <w:sz w:val="24"/>
                              </w:rPr>
                              <w:t>q</w:t>
                            </w:r>
                            <w:r w:rsidRPr="000949BD">
                              <w:rPr>
                                <w:b/>
                                <w:sz w:val="24"/>
                              </w:rPr>
                              <w:t>uestions</w:t>
                            </w:r>
                          </w:p>
                          <w:p w14:paraId="095FB800" w14:textId="77777777" w:rsidR="00B246FA" w:rsidRPr="004D01D5" w:rsidRDefault="00B246FA" w:rsidP="00B81325">
                            <w:pPr>
                              <w:pStyle w:val="ListParagraph"/>
                              <w:numPr>
                                <w:ilvl w:val="0"/>
                                <w:numId w:val="70"/>
                              </w:numPr>
                              <w:ind w:hanging="357"/>
                              <w:contextualSpacing w:val="0"/>
                            </w:pPr>
                            <w:r w:rsidRPr="004D01D5">
                              <w:t>Do you agree with the recommendations made in this report for the NO</w:t>
                            </w:r>
                            <w:r w:rsidRPr="000949BD">
                              <w:rPr>
                                <w:vertAlign w:val="subscript"/>
                              </w:rPr>
                              <w:t>2</w:t>
                            </w:r>
                            <w:r w:rsidRPr="004D01D5">
                              <w:t xml:space="preserve"> standards? Your answer should consider whether you agree:</w:t>
                            </w:r>
                          </w:p>
                          <w:p w14:paraId="38228A0E" w14:textId="6E7224A8" w:rsidR="00B246FA" w:rsidRPr="000949BD" w:rsidRDefault="00B246FA" w:rsidP="00B81325">
                            <w:pPr>
                              <w:pStyle w:val="ListParagraph"/>
                              <w:numPr>
                                <w:ilvl w:val="0"/>
                                <w:numId w:val="79"/>
                              </w:numPr>
                              <w:ind w:hanging="357"/>
                              <w:contextualSpacing w:val="0"/>
                            </w:pPr>
                            <w:r>
                              <w:t>with</w:t>
                            </w:r>
                            <w:r w:rsidRPr="000949BD">
                              <w:t xml:space="preserve"> retain</w:t>
                            </w:r>
                            <w:r>
                              <w:t>ing</w:t>
                            </w:r>
                            <w:r w:rsidRPr="000949BD">
                              <w:t xml:space="preserve"> the averaging periods of 1-hour and annual for NO</w:t>
                            </w:r>
                            <w:r w:rsidRPr="000949BD">
                              <w:rPr>
                                <w:vertAlign w:val="subscript"/>
                              </w:rPr>
                              <w:t>2</w:t>
                            </w:r>
                          </w:p>
                          <w:p w14:paraId="2016FB74" w14:textId="7750B518" w:rsidR="00B246FA" w:rsidRPr="000949BD" w:rsidRDefault="00B246FA" w:rsidP="00B81325">
                            <w:pPr>
                              <w:pStyle w:val="ListParagraph"/>
                              <w:numPr>
                                <w:ilvl w:val="0"/>
                                <w:numId w:val="79"/>
                              </w:numPr>
                              <w:ind w:hanging="357"/>
                              <w:contextualSpacing w:val="0"/>
                            </w:pPr>
                            <w:r>
                              <w:t>t</w:t>
                            </w:r>
                            <w:r w:rsidRPr="000949BD">
                              <w:t>hat there are no other averaging periods that should be considered for NO</w:t>
                            </w:r>
                            <w:r w:rsidRPr="000949BD">
                              <w:rPr>
                                <w:vertAlign w:val="subscript"/>
                              </w:rPr>
                              <w:t>2</w:t>
                            </w:r>
                            <w:r w:rsidRPr="000949BD">
                              <w:t xml:space="preserve"> in the future</w:t>
                            </w:r>
                          </w:p>
                          <w:p w14:paraId="2CB945BE" w14:textId="35A1263D" w:rsidR="00B246FA" w:rsidRPr="000949BD" w:rsidRDefault="00B246FA" w:rsidP="00B81325">
                            <w:pPr>
                              <w:pStyle w:val="ListParagraph"/>
                              <w:numPr>
                                <w:ilvl w:val="0"/>
                                <w:numId w:val="79"/>
                              </w:numPr>
                              <w:ind w:hanging="357"/>
                              <w:contextualSpacing w:val="0"/>
                            </w:pPr>
                            <w:r>
                              <w:t>w</w:t>
                            </w:r>
                            <w:r w:rsidRPr="000949BD">
                              <w:t>ith the preferred numerical value for the 1-hour NO</w:t>
                            </w:r>
                            <w:r w:rsidRPr="000949BD">
                              <w:rPr>
                                <w:vertAlign w:val="subscript"/>
                              </w:rPr>
                              <w:t>2</w:t>
                            </w:r>
                            <w:r w:rsidRPr="000949BD">
                              <w:t xml:space="preserve"> standard (90 ppb) and the future 1</w:t>
                            </w:r>
                            <w:r>
                              <w:noBreakHyphen/>
                            </w:r>
                            <w:r w:rsidRPr="000949BD">
                              <w:t>hour standard (80 ppb) for implementation by 2025</w:t>
                            </w:r>
                          </w:p>
                          <w:p w14:paraId="5AB55121" w14:textId="22E2FE3A" w:rsidR="00B246FA" w:rsidRPr="000949BD" w:rsidRDefault="00B246FA" w:rsidP="00B81325">
                            <w:pPr>
                              <w:pStyle w:val="ListParagraph"/>
                              <w:numPr>
                                <w:ilvl w:val="0"/>
                                <w:numId w:val="79"/>
                              </w:numPr>
                              <w:ind w:hanging="357"/>
                              <w:contextualSpacing w:val="0"/>
                            </w:pPr>
                            <w:r>
                              <w:t>w</w:t>
                            </w:r>
                            <w:r w:rsidRPr="000949BD">
                              <w:t>ith the preferred numerical value for the annual NO</w:t>
                            </w:r>
                            <w:r w:rsidRPr="000949BD">
                              <w:rPr>
                                <w:vertAlign w:val="subscript"/>
                              </w:rPr>
                              <w:t>2</w:t>
                            </w:r>
                            <w:r w:rsidRPr="000949BD">
                              <w:t xml:space="preserve"> standard (19 ppb) and the future annual standard (15 ppb) for implementation by 2025</w:t>
                            </w:r>
                          </w:p>
                          <w:p w14:paraId="78F64749" w14:textId="1EBD34A7" w:rsidR="00B246FA" w:rsidRPr="000949BD" w:rsidRDefault="00B246FA" w:rsidP="00B81325">
                            <w:pPr>
                              <w:pStyle w:val="ListParagraph"/>
                              <w:numPr>
                                <w:ilvl w:val="0"/>
                                <w:numId w:val="79"/>
                              </w:numPr>
                              <w:ind w:hanging="357"/>
                              <w:contextualSpacing w:val="0"/>
                            </w:pPr>
                            <w:r>
                              <w:t>t</w:t>
                            </w:r>
                            <w:r w:rsidRPr="000949BD">
                              <w:t>hat there should be no allowable exceedances for NO</w:t>
                            </w:r>
                            <w:r w:rsidRPr="000949BD">
                              <w:rPr>
                                <w:vertAlign w:val="subscript"/>
                              </w:rPr>
                              <w:t>2</w:t>
                            </w:r>
                            <w:r w:rsidRPr="000949BD">
                              <w:t xml:space="preserve"> standards</w:t>
                            </w:r>
                          </w:p>
                          <w:p w14:paraId="1B19B5BB" w14:textId="302F3949" w:rsidR="00B246FA" w:rsidRPr="000949BD" w:rsidRDefault="00B246FA" w:rsidP="00B81325">
                            <w:pPr>
                              <w:pStyle w:val="ListParagraph"/>
                              <w:numPr>
                                <w:ilvl w:val="0"/>
                                <w:numId w:val="79"/>
                              </w:numPr>
                              <w:ind w:hanging="357"/>
                              <w:contextualSpacing w:val="0"/>
                            </w:pPr>
                            <w:r>
                              <w:t>w</w:t>
                            </w:r>
                            <w:r w:rsidRPr="000949BD">
                              <w:t>ith the introduction of an exposure-reduction framework for NO</w:t>
                            </w:r>
                            <w:r w:rsidRPr="000949BD">
                              <w:rPr>
                                <w:vertAlign w:val="subscript"/>
                              </w:rPr>
                              <w:t>2</w:t>
                            </w:r>
                          </w:p>
                          <w:p w14:paraId="445D844D" w14:textId="1EB5789E" w:rsidR="00B246FA" w:rsidRPr="000949BD" w:rsidRDefault="00B246FA" w:rsidP="00B81325">
                            <w:pPr>
                              <w:pStyle w:val="ListParagraph"/>
                              <w:numPr>
                                <w:ilvl w:val="0"/>
                                <w:numId w:val="79"/>
                              </w:numPr>
                              <w:ind w:hanging="357"/>
                              <w:contextualSpacing w:val="0"/>
                            </w:pPr>
                            <w:r>
                              <w:t>t</w:t>
                            </w:r>
                            <w:r w:rsidRPr="004D01D5">
                              <w:t>hat jurisdictions should commence annual reporting on population exposure to NO</w:t>
                            </w:r>
                            <w:r w:rsidRPr="000949BD">
                              <w:rPr>
                                <w:vertAlign w:val="subscript"/>
                              </w:rPr>
                              <w:t>2</w:t>
                            </w:r>
                            <w:r w:rsidRPr="004D01D5">
                              <w:t xml:space="preserve"> from the commencement of a varied AAQ NEPM.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3EC7E2" id="Text Box 466" o:spid="_x0000_s1047" type="#_x0000_t202" style="width:478.75pt;height:2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740dQIAADgFAAAOAAAAZHJzL2Uyb0RvYy54bWysVN9P2zAQfp+0/8Hy+0haulIiUtSBmCYh&#10;QGsnnl3HptFsn2e7Tbq/nrPThI71adpLYt999/s7X123WpGdcL4GU9LRWU6JMByq2ryU9Mfq7tOM&#10;Eh+YqZgCI0q6F55ezz9+uGpsIcawAVUJR9CJ8UVjS7oJwRZZ5vlGaObPwAqDSglOs4BX95JVjjXo&#10;XatsnOfTrAFXWQdceI/S205J58m/lIKHRym9CESVFHML6evSdx2/2fyKFS+O2U3ND2mwf8hCs9pg&#10;0MHVLQuMbF39lytdcwceZDjjoDOQsuYi1YDVjPJ31Sw3zIpUCzbH26FN/v+55Q+7J0fqqqST6ZQS&#10;wzQOaSXaQL5AS6IMO9RYXyBwaREaWlTgpHu5R2EsvJVOxz+WRFCPvd4P/Y3uOAqn+SwfxTAcdefn&#10;l7NZfhH9ZG/m1vnwVYAm8VBShwNMfWW7ex86aA+J0ZSJsphfl0c6hb0SnfK7kFgbRh4nJ4lV4kY5&#10;smPIB8a5MCFVghkog+hoJmulBsPRKUM1GB2w0Uwktg2G+SnDPyMOFikqmDAY69qAO+Wg+tmnKzt8&#10;X31Xcyw/tOs2DXQ8zGgN1R5H56Cjv7f8rsb23jMfnphDvuO0cIfDI36kgqakcDhRsgH3+5Q84pGG&#10;qKWkwf0pqf+1ZU5Qor4ZJOjlaDKJC5cuk88XY7y4Y836WGO2+gZwJCN8LSxPx4gPqj9KB/oZV30R&#10;o6KKGY6xSxr6403othqfCi4WiwTCFbMs3Jul5dF1bHMkz6p9Zs4eGBaQnA/Qbxor3hGtw0ZLA4tt&#10;AFknFsZGd109DADXM/H48JTE/T++J9Tbgzd/BQAA//8DAFBLAwQUAAYACAAAACEA4zbHtdsAAAAF&#10;AQAADwAAAGRycy9kb3ducmV2LnhtbEyPQUvDQBCF74L/YRnBm920klpjJkWCpTfBKp4n2TEJzc6G&#10;7DZN/72rF70MPN7jvW/y7Wx7NfHoOycIy0UCiqV2ppMG4eN9d7cB5QOJod4JI1zYw7a4vsopM+4s&#10;bzwdQqNiifiMENoQhkxrX7dsyS/cwBK9LzdaClGOjTYjnWO57fUqSdbaUidxoaWBy5br4+FkEcqk&#10;3Plpv6zWF9cdPzcv8jrUe8Tbm/n5CVTgOfyF4Qc/okMRmSp3EuNVjxAfCb83eo/pQwqqQkjv0xXo&#10;Itf/6YtvAAAA//8DAFBLAQItABQABgAIAAAAIQC2gziS/gAAAOEBAAATAAAAAAAAAAAAAAAAAAAA&#10;AABbQ29udGVudF9UeXBlc10ueG1sUEsBAi0AFAAGAAgAAAAhADj9If/WAAAAlAEAAAsAAAAAAAAA&#10;AAAAAAAALwEAAF9yZWxzLy5yZWxzUEsBAi0AFAAGAAgAAAAhACrjvjR1AgAAOAUAAA4AAAAAAAAA&#10;AAAAAAAALgIAAGRycy9lMm9Eb2MueG1sUEsBAi0AFAAGAAgAAAAhAOM2x7XbAAAABQEAAA8AAAAA&#10;AAAAAAAAAAAAzwQAAGRycy9kb3ducmV2LnhtbFBLBQYAAAAABAAEAPMAAADXBQAAAAA=&#10;" fillcolor="white [3201]" strokecolor="#0076c0 [3204]" strokeweight="2pt">
                <v:textbox>
                  <w:txbxContent>
                    <w:p w14:paraId="34FDD84C" w14:textId="0662BB08" w:rsidR="00B246FA" w:rsidRDefault="00B246FA" w:rsidP="004D01D5">
                      <w:pPr>
                        <w:rPr>
                          <w:b/>
                          <w:sz w:val="24"/>
                        </w:rPr>
                      </w:pPr>
                      <w:r w:rsidRPr="000949BD">
                        <w:rPr>
                          <w:b/>
                          <w:sz w:val="24"/>
                        </w:rPr>
                        <w:t xml:space="preserve">Chapter </w:t>
                      </w:r>
                      <w:r>
                        <w:rPr>
                          <w:b/>
                          <w:sz w:val="24"/>
                        </w:rPr>
                        <w:t>7</w:t>
                      </w:r>
                      <w:r w:rsidRPr="000949BD">
                        <w:rPr>
                          <w:b/>
                          <w:sz w:val="24"/>
                        </w:rPr>
                        <w:t xml:space="preserve"> – Consultation </w:t>
                      </w:r>
                      <w:r>
                        <w:rPr>
                          <w:b/>
                          <w:sz w:val="24"/>
                        </w:rPr>
                        <w:t>q</w:t>
                      </w:r>
                      <w:r w:rsidRPr="000949BD">
                        <w:rPr>
                          <w:b/>
                          <w:sz w:val="24"/>
                        </w:rPr>
                        <w:t>uestions</w:t>
                      </w:r>
                    </w:p>
                    <w:p w14:paraId="095FB800" w14:textId="77777777" w:rsidR="00B246FA" w:rsidRPr="004D01D5" w:rsidRDefault="00B246FA" w:rsidP="00B81325">
                      <w:pPr>
                        <w:pStyle w:val="ListParagraph"/>
                        <w:numPr>
                          <w:ilvl w:val="0"/>
                          <w:numId w:val="70"/>
                        </w:numPr>
                        <w:ind w:hanging="357"/>
                        <w:contextualSpacing w:val="0"/>
                      </w:pPr>
                      <w:r w:rsidRPr="004D01D5">
                        <w:t>Do you agree with the recommendations made in this report for the NO</w:t>
                      </w:r>
                      <w:r w:rsidRPr="000949BD">
                        <w:rPr>
                          <w:vertAlign w:val="subscript"/>
                        </w:rPr>
                        <w:t>2</w:t>
                      </w:r>
                      <w:r w:rsidRPr="004D01D5">
                        <w:t xml:space="preserve"> standards? Your answer should consider whether you agree:</w:t>
                      </w:r>
                    </w:p>
                    <w:p w14:paraId="38228A0E" w14:textId="6E7224A8" w:rsidR="00B246FA" w:rsidRPr="000949BD" w:rsidRDefault="00B246FA" w:rsidP="00B81325">
                      <w:pPr>
                        <w:pStyle w:val="ListParagraph"/>
                        <w:numPr>
                          <w:ilvl w:val="0"/>
                          <w:numId w:val="79"/>
                        </w:numPr>
                        <w:ind w:hanging="357"/>
                        <w:contextualSpacing w:val="0"/>
                      </w:pPr>
                      <w:r>
                        <w:t>with</w:t>
                      </w:r>
                      <w:r w:rsidRPr="000949BD">
                        <w:t xml:space="preserve"> retain</w:t>
                      </w:r>
                      <w:r>
                        <w:t>ing</w:t>
                      </w:r>
                      <w:r w:rsidRPr="000949BD">
                        <w:t xml:space="preserve"> the averaging periods of 1-hour and annual for NO</w:t>
                      </w:r>
                      <w:r w:rsidRPr="000949BD">
                        <w:rPr>
                          <w:vertAlign w:val="subscript"/>
                        </w:rPr>
                        <w:t>2</w:t>
                      </w:r>
                    </w:p>
                    <w:p w14:paraId="2016FB74" w14:textId="7750B518" w:rsidR="00B246FA" w:rsidRPr="000949BD" w:rsidRDefault="00B246FA" w:rsidP="00B81325">
                      <w:pPr>
                        <w:pStyle w:val="ListParagraph"/>
                        <w:numPr>
                          <w:ilvl w:val="0"/>
                          <w:numId w:val="79"/>
                        </w:numPr>
                        <w:ind w:hanging="357"/>
                        <w:contextualSpacing w:val="0"/>
                      </w:pPr>
                      <w:r>
                        <w:t>t</w:t>
                      </w:r>
                      <w:r w:rsidRPr="000949BD">
                        <w:t>hat there are no other averaging periods that should be considered for NO</w:t>
                      </w:r>
                      <w:r w:rsidRPr="000949BD">
                        <w:rPr>
                          <w:vertAlign w:val="subscript"/>
                        </w:rPr>
                        <w:t>2</w:t>
                      </w:r>
                      <w:r w:rsidRPr="000949BD">
                        <w:t xml:space="preserve"> in the future</w:t>
                      </w:r>
                    </w:p>
                    <w:p w14:paraId="2CB945BE" w14:textId="35A1263D" w:rsidR="00B246FA" w:rsidRPr="000949BD" w:rsidRDefault="00B246FA" w:rsidP="00B81325">
                      <w:pPr>
                        <w:pStyle w:val="ListParagraph"/>
                        <w:numPr>
                          <w:ilvl w:val="0"/>
                          <w:numId w:val="79"/>
                        </w:numPr>
                        <w:ind w:hanging="357"/>
                        <w:contextualSpacing w:val="0"/>
                      </w:pPr>
                      <w:r>
                        <w:t>w</w:t>
                      </w:r>
                      <w:r w:rsidRPr="000949BD">
                        <w:t>ith the preferred numerical value for the 1-hour NO</w:t>
                      </w:r>
                      <w:r w:rsidRPr="000949BD">
                        <w:rPr>
                          <w:vertAlign w:val="subscript"/>
                        </w:rPr>
                        <w:t>2</w:t>
                      </w:r>
                      <w:r w:rsidRPr="000949BD">
                        <w:t xml:space="preserve"> standard (90 ppb) and the future 1</w:t>
                      </w:r>
                      <w:r>
                        <w:noBreakHyphen/>
                      </w:r>
                      <w:r w:rsidRPr="000949BD">
                        <w:t>hour standard (80 ppb) for implementation by 2025</w:t>
                      </w:r>
                    </w:p>
                    <w:p w14:paraId="5AB55121" w14:textId="22E2FE3A" w:rsidR="00B246FA" w:rsidRPr="000949BD" w:rsidRDefault="00B246FA" w:rsidP="00B81325">
                      <w:pPr>
                        <w:pStyle w:val="ListParagraph"/>
                        <w:numPr>
                          <w:ilvl w:val="0"/>
                          <w:numId w:val="79"/>
                        </w:numPr>
                        <w:ind w:hanging="357"/>
                        <w:contextualSpacing w:val="0"/>
                      </w:pPr>
                      <w:r>
                        <w:t>w</w:t>
                      </w:r>
                      <w:r w:rsidRPr="000949BD">
                        <w:t>ith the preferred numerical value for the annual NO</w:t>
                      </w:r>
                      <w:r w:rsidRPr="000949BD">
                        <w:rPr>
                          <w:vertAlign w:val="subscript"/>
                        </w:rPr>
                        <w:t>2</w:t>
                      </w:r>
                      <w:r w:rsidRPr="000949BD">
                        <w:t xml:space="preserve"> standard (19 ppb) and the future annual standard (15 ppb) for implementation by 2025</w:t>
                      </w:r>
                    </w:p>
                    <w:p w14:paraId="78F64749" w14:textId="1EBD34A7" w:rsidR="00B246FA" w:rsidRPr="000949BD" w:rsidRDefault="00B246FA" w:rsidP="00B81325">
                      <w:pPr>
                        <w:pStyle w:val="ListParagraph"/>
                        <w:numPr>
                          <w:ilvl w:val="0"/>
                          <w:numId w:val="79"/>
                        </w:numPr>
                        <w:ind w:hanging="357"/>
                        <w:contextualSpacing w:val="0"/>
                      </w:pPr>
                      <w:r>
                        <w:t>t</w:t>
                      </w:r>
                      <w:r w:rsidRPr="000949BD">
                        <w:t>hat there should be no allowable exceedances for NO</w:t>
                      </w:r>
                      <w:r w:rsidRPr="000949BD">
                        <w:rPr>
                          <w:vertAlign w:val="subscript"/>
                        </w:rPr>
                        <w:t>2</w:t>
                      </w:r>
                      <w:r w:rsidRPr="000949BD">
                        <w:t xml:space="preserve"> standards</w:t>
                      </w:r>
                    </w:p>
                    <w:p w14:paraId="1B19B5BB" w14:textId="302F3949" w:rsidR="00B246FA" w:rsidRPr="000949BD" w:rsidRDefault="00B246FA" w:rsidP="00B81325">
                      <w:pPr>
                        <w:pStyle w:val="ListParagraph"/>
                        <w:numPr>
                          <w:ilvl w:val="0"/>
                          <w:numId w:val="79"/>
                        </w:numPr>
                        <w:ind w:hanging="357"/>
                        <w:contextualSpacing w:val="0"/>
                      </w:pPr>
                      <w:r>
                        <w:t>w</w:t>
                      </w:r>
                      <w:r w:rsidRPr="000949BD">
                        <w:t>ith the introduction of an exposure-reduction framework for NO</w:t>
                      </w:r>
                      <w:r w:rsidRPr="000949BD">
                        <w:rPr>
                          <w:vertAlign w:val="subscript"/>
                        </w:rPr>
                        <w:t>2</w:t>
                      </w:r>
                    </w:p>
                    <w:p w14:paraId="445D844D" w14:textId="1EB5789E" w:rsidR="00B246FA" w:rsidRPr="000949BD" w:rsidRDefault="00B246FA" w:rsidP="00B81325">
                      <w:pPr>
                        <w:pStyle w:val="ListParagraph"/>
                        <w:numPr>
                          <w:ilvl w:val="0"/>
                          <w:numId w:val="79"/>
                        </w:numPr>
                        <w:ind w:hanging="357"/>
                        <w:contextualSpacing w:val="0"/>
                      </w:pPr>
                      <w:r>
                        <w:t>t</w:t>
                      </w:r>
                      <w:r w:rsidRPr="004D01D5">
                        <w:t>hat jurisdictions should commence annual reporting on population exposure to NO</w:t>
                      </w:r>
                      <w:r w:rsidRPr="000949BD">
                        <w:rPr>
                          <w:vertAlign w:val="subscript"/>
                        </w:rPr>
                        <w:t>2</w:t>
                      </w:r>
                      <w:r w:rsidRPr="004D01D5">
                        <w:t xml:space="preserve"> from the commencement of a varied AAQ NEPM.</w:t>
                      </w:r>
                    </w:p>
                  </w:txbxContent>
                </v:textbox>
                <w10:anchorlock/>
              </v:shape>
            </w:pict>
          </mc:Fallback>
        </mc:AlternateContent>
      </w:r>
    </w:p>
    <w:p w14:paraId="75A49677" w14:textId="1A200109" w:rsidR="004D01D5" w:rsidRPr="005060E0" w:rsidRDefault="004D01D5">
      <w:pPr>
        <w:spacing w:after="160" w:line="259" w:lineRule="auto"/>
      </w:pPr>
    </w:p>
    <w:p w14:paraId="3D08EAAF" w14:textId="77777777" w:rsidR="00762C3C" w:rsidRPr="005060E0" w:rsidRDefault="00762C3C" w:rsidP="0043533F">
      <w:pPr>
        <w:pStyle w:val="Heading1"/>
        <w:sectPr w:rsidR="00762C3C" w:rsidRPr="005060E0" w:rsidSect="005F3F40">
          <w:headerReference w:type="default" r:id="rId32"/>
          <w:footerReference w:type="default" r:id="rId33"/>
          <w:pgSz w:w="11906" w:h="16838" w:code="9"/>
          <w:pgMar w:top="1440" w:right="1133" w:bottom="1843" w:left="1134" w:header="680" w:footer="170" w:gutter="0"/>
          <w:cols w:space="708"/>
          <w:docGrid w:linePitch="360"/>
        </w:sectPr>
      </w:pPr>
      <w:bookmarkStart w:id="187" w:name="_Toc517791236"/>
      <w:bookmarkStart w:id="188" w:name="_Ref506115101"/>
      <w:bookmarkEnd w:id="187"/>
    </w:p>
    <w:p w14:paraId="5EE72F5A" w14:textId="6FC03D9F" w:rsidR="00CB16C9" w:rsidRPr="005060E0" w:rsidRDefault="00CB16C9" w:rsidP="0043533F">
      <w:pPr>
        <w:pStyle w:val="Heading1"/>
      </w:pPr>
      <w:bookmarkStart w:id="189" w:name="_Toc3278977"/>
      <w:r w:rsidRPr="005060E0">
        <w:t xml:space="preserve">Impact assessment for </w:t>
      </w:r>
      <w:bookmarkEnd w:id="188"/>
      <w:r w:rsidR="005128BC" w:rsidRPr="005060E0">
        <w:t>ozone</w:t>
      </w:r>
      <w:bookmarkEnd w:id="189"/>
    </w:p>
    <w:p w14:paraId="709B4BC8" w14:textId="6BFFB410" w:rsidR="00621E5F" w:rsidRPr="005060E0" w:rsidRDefault="00621E5F" w:rsidP="0043533F">
      <w:pPr>
        <w:pStyle w:val="Heading2"/>
      </w:pPr>
      <w:bookmarkStart w:id="190" w:name="_Ref508522159"/>
      <w:bookmarkStart w:id="191" w:name="_Toc3278978"/>
      <w:r w:rsidRPr="005060E0">
        <w:t xml:space="preserve">Characteristics </w:t>
      </w:r>
      <w:r w:rsidR="0043533F" w:rsidRPr="005060E0">
        <w:t>and sources</w:t>
      </w:r>
      <w:bookmarkEnd w:id="190"/>
      <w:bookmarkEnd w:id="191"/>
    </w:p>
    <w:p w14:paraId="039D3E99" w14:textId="216AC4A6" w:rsidR="00EE3551" w:rsidRPr="005060E0" w:rsidRDefault="00E55218" w:rsidP="00EE3551">
      <w:r w:rsidRPr="005060E0">
        <w:t>O</w:t>
      </w:r>
      <w:r w:rsidRPr="005060E0">
        <w:rPr>
          <w:vertAlign w:val="subscript"/>
        </w:rPr>
        <w:t>3</w:t>
      </w:r>
      <w:r w:rsidR="00EE3551" w:rsidRPr="005060E0">
        <w:t xml:space="preserve"> is a highly reactive gas and a major component of photochemical smog.</w:t>
      </w:r>
      <w:r w:rsidR="000949BD" w:rsidRPr="005060E0">
        <w:t xml:space="preserve"> </w:t>
      </w:r>
      <w:r w:rsidR="00EE3551" w:rsidRPr="005060E0">
        <w:t>O</w:t>
      </w:r>
      <w:r w:rsidR="00EE3551" w:rsidRPr="005060E0">
        <w:rPr>
          <w:vertAlign w:val="subscript"/>
        </w:rPr>
        <w:t>3</w:t>
      </w:r>
      <w:r w:rsidR="00EE3551" w:rsidRPr="005060E0">
        <w:t xml:space="preserve"> is known to impact on health largely through effects in the respiratory tract</w:t>
      </w:r>
      <w:r w:rsidR="00B00321" w:rsidRPr="005060E0">
        <w:t xml:space="preserve">. </w:t>
      </w:r>
      <w:r w:rsidR="00EE3551" w:rsidRPr="005060E0">
        <w:t>It can also damage vegetation and materials, and is a potent greenhouse gas.</w:t>
      </w:r>
    </w:p>
    <w:p w14:paraId="208B96CE" w14:textId="7AABFCFA" w:rsidR="00E55218" w:rsidRPr="005060E0" w:rsidRDefault="00C13007" w:rsidP="00EF2FD6">
      <w:pPr>
        <w:spacing w:after="480"/>
      </w:pPr>
      <w:r w:rsidRPr="005060E0">
        <w:t>O</w:t>
      </w:r>
      <w:r w:rsidRPr="005060E0">
        <w:rPr>
          <w:vertAlign w:val="subscript"/>
        </w:rPr>
        <w:t>3</w:t>
      </w:r>
      <w:r w:rsidRPr="005060E0">
        <w:t xml:space="preserve"> is not emitted </w:t>
      </w:r>
      <w:r w:rsidR="006E615F" w:rsidRPr="005060E0">
        <w:t>directly but</w:t>
      </w:r>
      <w:r w:rsidRPr="005060E0">
        <w:t xml:space="preserve"> </w:t>
      </w:r>
      <w:r w:rsidR="00EE3551" w:rsidRPr="005060E0">
        <w:t xml:space="preserve">is a secondary pollutant formed </w:t>
      </w:r>
      <w:r w:rsidR="003B2992" w:rsidRPr="005060E0">
        <w:t xml:space="preserve">in the atmosphere </w:t>
      </w:r>
      <w:r w:rsidR="00E55218" w:rsidRPr="005060E0">
        <w:t>by the reaction of NO</w:t>
      </w:r>
      <w:r w:rsidR="00E55218" w:rsidRPr="005060E0">
        <w:rPr>
          <w:vertAlign w:val="subscript"/>
        </w:rPr>
        <w:t>x</w:t>
      </w:r>
      <w:r w:rsidR="00EE3551" w:rsidRPr="005060E0">
        <w:t xml:space="preserve"> and VOCs</w:t>
      </w:r>
      <w:r w:rsidR="00E55218" w:rsidRPr="005060E0">
        <w:t xml:space="preserve"> in the presence of heat and </w:t>
      </w:r>
      <w:r w:rsidR="00EE3551" w:rsidRPr="005060E0">
        <w:t>sun</w:t>
      </w:r>
      <w:r w:rsidR="00E55218" w:rsidRPr="005060E0">
        <w:t>light. The combustion of fuel in vehicles is a key source of both NO</w:t>
      </w:r>
      <w:r w:rsidR="00E55218" w:rsidRPr="005060E0">
        <w:rPr>
          <w:vertAlign w:val="subscript"/>
        </w:rPr>
        <w:t>x</w:t>
      </w:r>
      <w:r w:rsidR="00E55218" w:rsidRPr="005060E0">
        <w:t xml:space="preserve"> and </w:t>
      </w:r>
      <w:r w:rsidR="006E615F" w:rsidRPr="005060E0">
        <w:t>VOCs and</w:t>
      </w:r>
      <w:r w:rsidR="00E55218" w:rsidRPr="005060E0">
        <w:t xml:space="preserve"> is therefore important in the consideration of O</w:t>
      </w:r>
      <w:r w:rsidR="00E55218" w:rsidRPr="005060E0">
        <w:rPr>
          <w:vertAlign w:val="subscript"/>
        </w:rPr>
        <w:t>3</w:t>
      </w:r>
      <w:r w:rsidR="00E55218" w:rsidRPr="005060E0">
        <w:t xml:space="preserve"> formation. The rate at which O</w:t>
      </w:r>
      <w:r w:rsidR="00E55218" w:rsidRPr="005060E0">
        <w:rPr>
          <w:vertAlign w:val="subscript"/>
        </w:rPr>
        <w:t xml:space="preserve">3 </w:t>
      </w:r>
      <w:r w:rsidR="00E55218" w:rsidRPr="005060E0">
        <w:t>is formed is limited by the amount of sunlight and the amount of VOCs available, with the quantity of O</w:t>
      </w:r>
      <w:r w:rsidR="00E55218" w:rsidRPr="005060E0">
        <w:rPr>
          <w:vertAlign w:val="subscript"/>
        </w:rPr>
        <w:t xml:space="preserve">3 </w:t>
      </w:r>
      <w:r w:rsidR="00E55218" w:rsidRPr="005060E0">
        <w:t>produced being generally limited by the amount of NO</w:t>
      </w:r>
      <w:r w:rsidR="00E55218" w:rsidRPr="005060E0">
        <w:rPr>
          <w:vertAlign w:val="subscript"/>
        </w:rPr>
        <w:t>x</w:t>
      </w:r>
      <w:r w:rsidR="00EE3551" w:rsidRPr="005060E0">
        <w:t xml:space="preserve"> available. </w:t>
      </w:r>
      <w:r w:rsidR="00E55218" w:rsidRPr="005060E0">
        <w:t>NO and NO</w:t>
      </w:r>
      <w:r w:rsidR="00E55218" w:rsidRPr="005060E0">
        <w:rPr>
          <w:vertAlign w:val="subscript"/>
        </w:rPr>
        <w:t>2</w:t>
      </w:r>
      <w:r w:rsidR="00E55218" w:rsidRPr="005060E0">
        <w:t xml:space="preserve"> react with O</w:t>
      </w:r>
      <w:r w:rsidR="00E55218" w:rsidRPr="005060E0">
        <w:rPr>
          <w:vertAlign w:val="subscript"/>
        </w:rPr>
        <w:t>3</w:t>
      </w:r>
      <w:r w:rsidR="00E55218" w:rsidRPr="005060E0">
        <w:t xml:space="preserve"> differently. NO can react </w:t>
      </w:r>
      <w:r w:rsidR="00121570">
        <w:t xml:space="preserve">directly </w:t>
      </w:r>
      <w:r w:rsidR="00E55218" w:rsidRPr="005060E0">
        <w:t>with O</w:t>
      </w:r>
      <w:r w:rsidR="00E55218" w:rsidRPr="005060E0">
        <w:rPr>
          <w:vertAlign w:val="subscript"/>
        </w:rPr>
        <w:t>3</w:t>
      </w:r>
      <w:r w:rsidR="00E55218" w:rsidRPr="005060E0">
        <w:t xml:space="preserve"> to form NO</w:t>
      </w:r>
      <w:r w:rsidR="00E55218" w:rsidRPr="005060E0">
        <w:rPr>
          <w:vertAlign w:val="subscript"/>
        </w:rPr>
        <w:t>2</w:t>
      </w:r>
      <w:r w:rsidR="00E55218" w:rsidRPr="005060E0">
        <w:t xml:space="preserve"> and O</w:t>
      </w:r>
      <w:r w:rsidR="00E55218" w:rsidRPr="005060E0">
        <w:rPr>
          <w:vertAlign w:val="subscript"/>
        </w:rPr>
        <w:t>2</w:t>
      </w:r>
      <w:r w:rsidR="00E55218" w:rsidRPr="005060E0">
        <w:t>, while NO</w:t>
      </w:r>
      <w:r w:rsidR="00E55218" w:rsidRPr="005060E0">
        <w:rPr>
          <w:vertAlign w:val="subscript"/>
        </w:rPr>
        <w:t>2</w:t>
      </w:r>
      <w:r w:rsidR="00E55218" w:rsidRPr="005060E0">
        <w:t xml:space="preserve"> plays a very important role in the formation of O</w:t>
      </w:r>
      <w:r w:rsidR="00E55218" w:rsidRPr="005060E0">
        <w:rPr>
          <w:vertAlign w:val="subscript"/>
        </w:rPr>
        <w:t>3</w:t>
      </w:r>
      <w:r w:rsidR="00E55218" w:rsidRPr="005060E0">
        <w:t xml:space="preserve">. </w:t>
      </w:r>
      <w:r w:rsidR="00E55218" w:rsidRPr="005060E0">
        <w:fldChar w:fldCharType="begin"/>
      </w:r>
      <w:r w:rsidR="00E55218" w:rsidRPr="005060E0">
        <w:instrText xml:space="preserve"> REF _Ref441472015 \h  \* MERGEFORMAT </w:instrText>
      </w:r>
      <w:r w:rsidR="00E55218" w:rsidRPr="005060E0">
        <w:fldChar w:fldCharType="separate"/>
      </w:r>
      <w:r w:rsidR="00F2067C" w:rsidRPr="005060E0">
        <w:t xml:space="preserve">Figure </w:t>
      </w:r>
      <w:r w:rsidR="00F2067C">
        <w:rPr>
          <w:noProof/>
        </w:rPr>
        <w:t>8</w:t>
      </w:r>
      <w:r w:rsidR="00F2067C" w:rsidRPr="005060E0">
        <w:rPr>
          <w:noProof/>
        </w:rPr>
        <w:noBreakHyphen/>
      </w:r>
      <w:r w:rsidR="00F2067C">
        <w:rPr>
          <w:noProof/>
        </w:rPr>
        <w:t>1</w:t>
      </w:r>
      <w:r w:rsidR="00E55218" w:rsidRPr="005060E0">
        <w:fldChar w:fldCharType="end"/>
      </w:r>
      <w:r w:rsidR="00E55218" w:rsidRPr="005060E0">
        <w:t xml:space="preserve"> illustrates these reaction mechanisms. Both reactions are important in understanding O</w:t>
      </w:r>
      <w:r w:rsidR="00E55218" w:rsidRPr="005060E0">
        <w:rPr>
          <w:vertAlign w:val="subscript"/>
        </w:rPr>
        <w:t>3</w:t>
      </w:r>
      <w:r w:rsidR="00E55218" w:rsidRPr="005060E0">
        <w:t xml:space="preserve"> formation in urban and rural regions. In urban </w:t>
      </w:r>
      <w:r w:rsidR="00EE3551" w:rsidRPr="005060E0">
        <w:t xml:space="preserve">areas </w:t>
      </w:r>
      <w:r w:rsidR="00E55218" w:rsidRPr="005060E0">
        <w:t>vehicle emissions pr</w:t>
      </w:r>
      <w:r w:rsidR="00EE3551" w:rsidRPr="005060E0">
        <w:t>ovide</w:t>
      </w:r>
      <w:r w:rsidR="00E55218" w:rsidRPr="005060E0">
        <w:t xml:space="preserve"> a </w:t>
      </w:r>
      <w:r w:rsidR="00EE3551" w:rsidRPr="005060E0">
        <w:t xml:space="preserve">large </w:t>
      </w:r>
      <w:r w:rsidR="00E55218" w:rsidRPr="005060E0">
        <w:t>source of fresh NO</w:t>
      </w:r>
      <w:r w:rsidR="00EF2FD6" w:rsidRPr="005060E0">
        <w:t xml:space="preserve"> which can </w:t>
      </w:r>
      <w:r w:rsidR="00E55218" w:rsidRPr="005060E0">
        <w:t>react with O</w:t>
      </w:r>
      <w:r w:rsidR="00E55218" w:rsidRPr="005060E0">
        <w:rPr>
          <w:vertAlign w:val="subscript"/>
        </w:rPr>
        <w:t>3</w:t>
      </w:r>
      <w:r w:rsidR="00E55218" w:rsidRPr="005060E0">
        <w:t>, lowering the O</w:t>
      </w:r>
      <w:r w:rsidR="00E55218" w:rsidRPr="005060E0">
        <w:rPr>
          <w:vertAlign w:val="subscript"/>
        </w:rPr>
        <w:t>3</w:t>
      </w:r>
      <w:r w:rsidR="00EF2FD6" w:rsidRPr="005060E0">
        <w:t xml:space="preserve"> concentrations</w:t>
      </w:r>
      <w:r w:rsidR="00E55218" w:rsidRPr="005060E0">
        <w:t>. As the NO is oxidised to NO</w:t>
      </w:r>
      <w:r w:rsidR="00E55218" w:rsidRPr="005060E0">
        <w:rPr>
          <w:vertAlign w:val="subscript"/>
        </w:rPr>
        <w:t>2</w:t>
      </w:r>
      <w:r w:rsidR="00E55218" w:rsidRPr="005060E0">
        <w:t>, this NO</w:t>
      </w:r>
      <w:r w:rsidR="00E55218" w:rsidRPr="005060E0">
        <w:rPr>
          <w:vertAlign w:val="subscript"/>
        </w:rPr>
        <w:t>2</w:t>
      </w:r>
      <w:r w:rsidR="00E55218" w:rsidRPr="005060E0">
        <w:t xml:space="preserve"> </w:t>
      </w:r>
      <w:r w:rsidR="00121570">
        <w:t>becomes</w:t>
      </w:r>
      <w:r w:rsidR="00E55218" w:rsidRPr="005060E0">
        <w:t xml:space="preserve"> available to form O</w:t>
      </w:r>
      <w:r w:rsidR="00E55218" w:rsidRPr="005060E0">
        <w:rPr>
          <w:vertAlign w:val="subscript"/>
        </w:rPr>
        <w:t>3</w:t>
      </w:r>
      <w:r w:rsidR="00E55218" w:rsidRPr="005060E0">
        <w:t xml:space="preserve"> in less urbanised regions where there is less fresh NO to directly react with O</w:t>
      </w:r>
      <w:r w:rsidR="00E55218" w:rsidRPr="005060E0">
        <w:rPr>
          <w:vertAlign w:val="subscript"/>
        </w:rPr>
        <w:t>3</w:t>
      </w:r>
      <w:r w:rsidR="00EE3551" w:rsidRPr="005060E0">
        <w:t xml:space="preserve">. </w:t>
      </w:r>
      <w:r w:rsidR="00121570">
        <w:t>I</w:t>
      </w:r>
      <w:r w:rsidR="00E55218" w:rsidRPr="005060E0">
        <w:t xml:space="preserve">n </w:t>
      </w:r>
      <w:r w:rsidR="00E55218" w:rsidRPr="005060E0">
        <w:fldChar w:fldCharType="begin"/>
      </w:r>
      <w:r w:rsidR="00E55218" w:rsidRPr="005060E0">
        <w:instrText xml:space="preserve"> REF _Ref441472015 \h  \* MERGEFORMAT </w:instrText>
      </w:r>
      <w:r w:rsidR="00E55218" w:rsidRPr="005060E0">
        <w:fldChar w:fldCharType="separate"/>
      </w:r>
      <w:r w:rsidR="00F2067C" w:rsidRPr="005060E0">
        <w:t xml:space="preserve">Figure </w:t>
      </w:r>
      <w:r w:rsidR="00F2067C">
        <w:rPr>
          <w:noProof/>
        </w:rPr>
        <w:t>8</w:t>
      </w:r>
      <w:r w:rsidR="00F2067C" w:rsidRPr="005060E0">
        <w:rPr>
          <w:noProof/>
        </w:rPr>
        <w:noBreakHyphen/>
      </w:r>
      <w:r w:rsidR="00F2067C">
        <w:rPr>
          <w:noProof/>
        </w:rPr>
        <w:t>1</w:t>
      </w:r>
      <w:r w:rsidR="00E55218" w:rsidRPr="005060E0">
        <w:fldChar w:fldCharType="end"/>
      </w:r>
      <w:r w:rsidR="00E55218" w:rsidRPr="005060E0">
        <w:t xml:space="preserve">, </w:t>
      </w:r>
      <w:r w:rsidR="00E55218" w:rsidRPr="005060E0">
        <w:rPr>
          <w:rFonts w:eastAsia="Times New Roman"/>
          <w:bCs/>
          <w:szCs w:val="20"/>
        </w:rPr>
        <w:t xml:space="preserve">M* represents a third compound (i.e. VOCs) </w:t>
      </w:r>
      <w:r w:rsidR="00121570">
        <w:rPr>
          <w:rFonts w:eastAsia="Times New Roman"/>
          <w:bCs/>
          <w:szCs w:val="20"/>
        </w:rPr>
        <w:t xml:space="preserve">that is necessary </w:t>
      </w:r>
      <w:r w:rsidR="00E55218" w:rsidRPr="005060E0">
        <w:rPr>
          <w:rFonts w:eastAsia="Times New Roman"/>
          <w:bCs/>
          <w:szCs w:val="20"/>
        </w:rPr>
        <w:t xml:space="preserve">for </w:t>
      </w:r>
      <w:r w:rsidR="00121570">
        <w:rPr>
          <w:rFonts w:eastAsia="Times New Roman"/>
          <w:bCs/>
          <w:szCs w:val="20"/>
        </w:rPr>
        <w:t xml:space="preserve">this </w:t>
      </w:r>
      <w:r w:rsidR="00E55218" w:rsidRPr="005060E0">
        <w:rPr>
          <w:rFonts w:eastAsia="Times New Roman"/>
          <w:bCs/>
          <w:szCs w:val="20"/>
        </w:rPr>
        <w:t>reaction to occur.</w:t>
      </w:r>
    </w:p>
    <w:p w14:paraId="26250EF7" w14:textId="77777777" w:rsidR="00E55218" w:rsidRPr="005060E0" w:rsidRDefault="00E55218" w:rsidP="00E55218">
      <w:pPr>
        <w:jc w:val="center"/>
      </w:pPr>
      <w:r w:rsidRPr="005060E0">
        <w:rPr>
          <w:noProof/>
          <w:lang w:eastAsia="en-AU"/>
        </w:rPr>
        <w:drawing>
          <wp:inline distT="0" distB="0" distL="0" distR="0" wp14:anchorId="226F35CE" wp14:editId="71C9E60B">
            <wp:extent cx="2340000" cy="1966753"/>
            <wp:effectExtent l="19050" t="19050" r="22225" b="146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l="5813" t="12581" r="8059" b="9052"/>
                    <a:stretch/>
                  </pic:blipFill>
                  <pic:spPr bwMode="auto">
                    <a:xfrm>
                      <a:off x="0" y="0"/>
                      <a:ext cx="2340000" cy="1966753"/>
                    </a:xfrm>
                    <a:prstGeom prst="rect">
                      <a:avLst/>
                    </a:prstGeom>
                    <a:ln>
                      <a:solidFill>
                        <a:schemeClr val="tx2"/>
                      </a:solidFill>
                    </a:ln>
                    <a:extLst>
                      <a:ext uri="{53640926-AAD7-44D8-BBD7-CCE9431645EC}">
                        <a14:shadowObscured xmlns:a14="http://schemas.microsoft.com/office/drawing/2010/main"/>
                      </a:ext>
                    </a:extLst>
                  </pic:spPr>
                </pic:pic>
              </a:graphicData>
            </a:graphic>
          </wp:inline>
        </w:drawing>
      </w:r>
    </w:p>
    <w:p w14:paraId="76BBEC90" w14:textId="4A066243" w:rsidR="00E55218" w:rsidRPr="005060E0" w:rsidRDefault="00E55218" w:rsidP="00EE3551">
      <w:pPr>
        <w:pStyle w:val="PBFigcaptions"/>
        <w:ind w:left="2268" w:right="2268"/>
      </w:pPr>
      <w:bookmarkStart w:id="192" w:name="_Ref441472015"/>
      <w:bookmarkStart w:id="193" w:name="_Toc442706888"/>
      <w:bookmarkStart w:id="194" w:name="_Toc504335266"/>
      <w:bookmarkStart w:id="195" w:name="_Toc508305324"/>
      <w:r w:rsidRPr="005060E0">
        <w:t xml:space="preserve">Figure </w:t>
      </w:r>
      <w:r w:rsidR="009863AA" w:rsidRPr="005060E0">
        <w:rPr>
          <w:noProof/>
        </w:rPr>
        <w:fldChar w:fldCharType="begin"/>
      </w:r>
      <w:r w:rsidR="009863AA" w:rsidRPr="005060E0">
        <w:rPr>
          <w:noProof/>
        </w:rPr>
        <w:instrText xml:space="preserve"> STYLEREF 1 \s </w:instrText>
      </w:r>
      <w:r w:rsidR="009863AA" w:rsidRPr="005060E0">
        <w:rPr>
          <w:noProof/>
        </w:rPr>
        <w:fldChar w:fldCharType="separate"/>
      </w:r>
      <w:r w:rsidR="00F2067C">
        <w:rPr>
          <w:noProof/>
        </w:rPr>
        <w:t>8</w:t>
      </w:r>
      <w:r w:rsidR="009863AA" w:rsidRPr="005060E0">
        <w:rPr>
          <w:noProof/>
        </w:rPr>
        <w:fldChar w:fldCharType="end"/>
      </w:r>
      <w:r w:rsidRPr="005060E0">
        <w:noBreakHyphen/>
      </w:r>
      <w:r w:rsidR="009863AA" w:rsidRPr="005060E0">
        <w:rPr>
          <w:noProof/>
        </w:rPr>
        <w:fldChar w:fldCharType="begin"/>
      </w:r>
      <w:r w:rsidR="009863AA" w:rsidRPr="005060E0">
        <w:rPr>
          <w:noProof/>
        </w:rPr>
        <w:instrText xml:space="preserve"> SEQ Figure \* ARABIC \s 1 </w:instrText>
      </w:r>
      <w:r w:rsidR="009863AA" w:rsidRPr="005060E0">
        <w:rPr>
          <w:noProof/>
        </w:rPr>
        <w:fldChar w:fldCharType="separate"/>
      </w:r>
      <w:r w:rsidR="00F2067C">
        <w:rPr>
          <w:noProof/>
        </w:rPr>
        <w:t>1</w:t>
      </w:r>
      <w:r w:rsidR="009863AA" w:rsidRPr="005060E0">
        <w:rPr>
          <w:noProof/>
        </w:rPr>
        <w:fldChar w:fldCharType="end"/>
      </w:r>
      <w:bookmarkEnd w:id="192"/>
      <w:r w:rsidR="00EE3551" w:rsidRPr="005060E0">
        <w:t xml:space="preserve">: Simplified representation of reactions between </w:t>
      </w:r>
      <w:r w:rsidRPr="005060E0">
        <w:t>oxid</w:t>
      </w:r>
      <w:r w:rsidR="00EE3551" w:rsidRPr="005060E0">
        <w:t>es of nitrogen and</w:t>
      </w:r>
      <w:r w:rsidRPr="005060E0">
        <w:t xml:space="preserve"> ozone</w:t>
      </w:r>
      <w:bookmarkEnd w:id="193"/>
      <w:bookmarkEnd w:id="194"/>
      <w:bookmarkEnd w:id="195"/>
    </w:p>
    <w:p w14:paraId="5C489601" w14:textId="70960B1B" w:rsidR="00DD7583" w:rsidRPr="005060E0" w:rsidRDefault="00DD7583" w:rsidP="00121570">
      <w:pPr>
        <w:spacing w:before="360"/>
      </w:pPr>
      <w:r w:rsidRPr="005060E0">
        <w:t>T</w:t>
      </w:r>
      <w:r w:rsidR="003C1EBF" w:rsidRPr="005060E0">
        <w:t>he sources of O</w:t>
      </w:r>
      <w:r w:rsidR="003C1EBF" w:rsidRPr="005060E0">
        <w:rPr>
          <w:vertAlign w:val="subscript"/>
        </w:rPr>
        <w:t>3</w:t>
      </w:r>
      <w:r w:rsidR="00B452DA" w:rsidRPr="005060E0">
        <w:t xml:space="preserve"> are effectively those that </w:t>
      </w:r>
      <w:r w:rsidR="003C1EBF" w:rsidRPr="005060E0">
        <w:t xml:space="preserve">relate to </w:t>
      </w:r>
      <w:r w:rsidR="00B452DA" w:rsidRPr="005060E0">
        <w:t>NO</w:t>
      </w:r>
      <w:r w:rsidR="00B452DA" w:rsidRPr="005060E0">
        <w:rPr>
          <w:vertAlign w:val="subscript"/>
        </w:rPr>
        <w:t>X</w:t>
      </w:r>
      <w:r w:rsidR="00B452DA" w:rsidRPr="005060E0">
        <w:t xml:space="preserve"> and VOCs. </w:t>
      </w:r>
      <w:r w:rsidR="00EE3551" w:rsidRPr="005060E0">
        <w:t>Sources of NO</w:t>
      </w:r>
      <w:r w:rsidR="00EE3551" w:rsidRPr="005060E0">
        <w:rPr>
          <w:vertAlign w:val="subscript"/>
        </w:rPr>
        <w:t>X</w:t>
      </w:r>
      <w:r w:rsidR="00EE3551" w:rsidRPr="005060E0">
        <w:t xml:space="preserve"> in Australia</w:t>
      </w:r>
      <w:r w:rsidR="00B452DA" w:rsidRPr="005060E0">
        <w:t xml:space="preserve">, based on </w:t>
      </w:r>
      <w:r w:rsidR="004B0E58" w:rsidRPr="005060E0">
        <w:t xml:space="preserve">estimated </w:t>
      </w:r>
      <w:r w:rsidR="00B452DA" w:rsidRPr="005060E0">
        <w:t>data from the NPI,</w:t>
      </w:r>
      <w:r w:rsidR="00EE3551" w:rsidRPr="005060E0">
        <w:t xml:space="preserve"> were discussed in Section </w:t>
      </w:r>
      <w:r w:rsidR="00EE3551" w:rsidRPr="005060E0">
        <w:fldChar w:fldCharType="begin"/>
      </w:r>
      <w:r w:rsidR="00EE3551" w:rsidRPr="005060E0">
        <w:instrText xml:space="preserve"> REF _Ref508522438 \r \h </w:instrText>
      </w:r>
      <w:r w:rsidR="00B452DA" w:rsidRPr="005060E0">
        <w:instrText xml:space="preserve"> \* MERGEFORMAT </w:instrText>
      </w:r>
      <w:r w:rsidR="00EE3551" w:rsidRPr="005060E0">
        <w:fldChar w:fldCharType="separate"/>
      </w:r>
      <w:r w:rsidR="00F2067C">
        <w:t>7.1</w:t>
      </w:r>
      <w:r w:rsidR="00EE3551" w:rsidRPr="005060E0">
        <w:fldChar w:fldCharType="end"/>
      </w:r>
      <w:r w:rsidR="00EE3551" w:rsidRPr="005060E0">
        <w:t xml:space="preserve">. </w:t>
      </w:r>
      <w:r w:rsidR="00B452DA" w:rsidRPr="005060E0">
        <w:t xml:space="preserve">Emissions of VOCs are also included in the NPI as </w:t>
      </w:r>
      <w:r w:rsidR="003C1EBF" w:rsidRPr="005060E0">
        <w:t>41 individual su</w:t>
      </w:r>
      <w:r w:rsidR="00B452DA" w:rsidRPr="005060E0">
        <w:t>bstances</w:t>
      </w:r>
      <w:r w:rsidR="003C1EBF" w:rsidRPr="005060E0">
        <w:t>. The main sources of VOCs are em</w:t>
      </w:r>
      <w:r w:rsidR="00B452DA" w:rsidRPr="005060E0">
        <w:t>issions from natural processes (e.g.</w:t>
      </w:r>
      <w:r w:rsidR="003C1EBF" w:rsidRPr="005060E0">
        <w:t xml:space="preserve"> biogenic emissions, </w:t>
      </w:r>
      <w:r w:rsidR="00D50F74" w:rsidRPr="005060E0">
        <w:t>bushfires and hazard reduction</w:t>
      </w:r>
      <w:r w:rsidR="003C1EBF" w:rsidRPr="005060E0">
        <w:t xml:space="preserve"> burns), motor vehicle emissions</w:t>
      </w:r>
      <w:r w:rsidR="00B452DA" w:rsidRPr="005060E0">
        <w:t>,</w:t>
      </w:r>
      <w:r w:rsidR="003C1EBF" w:rsidRPr="005060E0">
        <w:t xml:space="preserve"> and the use of domestic and commercial solvents. </w:t>
      </w:r>
      <w:r w:rsidR="00B452DA" w:rsidRPr="005060E0">
        <w:t xml:space="preserve">The estimates of the annual VOC emissions in each Australian airshed (for both facility and diffuse sources) are summarised in </w:t>
      </w:r>
      <w:r w:rsidR="00B452DA" w:rsidRPr="005060E0">
        <w:fldChar w:fldCharType="begin"/>
      </w:r>
      <w:r w:rsidR="00B452DA" w:rsidRPr="005060E0">
        <w:instrText xml:space="preserve"> REF _Ref508522723 \h </w:instrText>
      </w:r>
      <w:r w:rsidR="00B452DA" w:rsidRPr="005060E0">
        <w:fldChar w:fldCharType="separate"/>
      </w:r>
      <w:r w:rsidR="00F2067C" w:rsidRPr="005060E0">
        <w:t xml:space="preserve">Table </w:t>
      </w:r>
      <w:r w:rsidR="00F2067C">
        <w:rPr>
          <w:noProof/>
        </w:rPr>
        <w:t>8</w:t>
      </w:r>
      <w:r w:rsidR="00F2067C" w:rsidRPr="005060E0">
        <w:noBreakHyphen/>
      </w:r>
      <w:r w:rsidR="00F2067C">
        <w:rPr>
          <w:noProof/>
        </w:rPr>
        <w:t>1</w:t>
      </w:r>
      <w:r w:rsidR="00B452DA" w:rsidRPr="005060E0">
        <w:fldChar w:fldCharType="end"/>
      </w:r>
      <w:r w:rsidR="00B452DA" w:rsidRPr="005060E0">
        <w:t xml:space="preserve">. </w:t>
      </w:r>
      <w:r w:rsidRPr="005060E0">
        <w:t>Motor vehicle emissions are a key source of both NO</w:t>
      </w:r>
      <w:r w:rsidRPr="005060E0">
        <w:rPr>
          <w:vertAlign w:val="subscript"/>
        </w:rPr>
        <w:t>x</w:t>
      </w:r>
      <w:r w:rsidRPr="005060E0">
        <w:t xml:space="preserve"> and VOCs and are therefore important in the consideration of O</w:t>
      </w:r>
      <w:r w:rsidRPr="005060E0">
        <w:rPr>
          <w:vertAlign w:val="subscript"/>
        </w:rPr>
        <w:t>3</w:t>
      </w:r>
      <w:r w:rsidRPr="005060E0">
        <w:t xml:space="preserve"> formation.</w:t>
      </w:r>
    </w:p>
    <w:p w14:paraId="77875694" w14:textId="30A347A0" w:rsidR="00EF2FD6" w:rsidRPr="005060E0" w:rsidRDefault="00EF2FD6" w:rsidP="00EF2FD6">
      <w:pPr>
        <w:spacing w:after="480"/>
      </w:pPr>
      <w:r w:rsidRPr="005060E0">
        <w:t>O</w:t>
      </w:r>
      <w:r w:rsidRPr="005060E0">
        <w:rPr>
          <w:vertAlign w:val="subscript"/>
        </w:rPr>
        <w:t>3</w:t>
      </w:r>
      <w:r w:rsidRPr="005060E0">
        <w:t xml:space="preserve"> levels in Australia are influenced by bushfires. An analysis conducted by EPA Victoria to inform this review has shown that O</w:t>
      </w:r>
      <w:r w:rsidRPr="005060E0">
        <w:rPr>
          <w:vertAlign w:val="subscript"/>
        </w:rPr>
        <w:t>3</w:t>
      </w:r>
      <w:r w:rsidRPr="005060E0">
        <w:t xml:space="preserve"> peaks have been linked to bushfires in Victoria, Western Australia and Canberra. A review of the annual reports to </w:t>
      </w:r>
      <w:r w:rsidR="00151EEC">
        <w:t xml:space="preserve">the </w:t>
      </w:r>
      <w:r w:rsidRPr="005060E0">
        <w:t>NEPC also indicates that bushfires can have a significant impact on O</w:t>
      </w:r>
      <w:r w:rsidRPr="005060E0">
        <w:rPr>
          <w:vertAlign w:val="subscript"/>
        </w:rPr>
        <w:t>3</w:t>
      </w:r>
      <w:r w:rsidRPr="005060E0">
        <w:t xml:space="preserve"> exceedances in most jurisdictions. This link is also found internationally. For example, the USEPA has introduced an ‘exceptional events rule’ that permits exceedances of the O</w:t>
      </w:r>
      <w:r w:rsidRPr="005060E0">
        <w:rPr>
          <w:vertAlign w:val="subscript"/>
        </w:rPr>
        <w:t>3</w:t>
      </w:r>
      <w:r w:rsidRPr="005060E0">
        <w:t xml:space="preserve"> standards, where it can be shown that they are caused by major natural events such as bushfires</w:t>
      </w:r>
      <w:r w:rsidR="00B00321" w:rsidRPr="005060E0">
        <w:t xml:space="preserve">. </w:t>
      </w:r>
      <w:r w:rsidRPr="005060E0">
        <w:t>Strict guidelines have been prepared by the USEPA that need to be followed to determine such exceptional events</w:t>
      </w:r>
      <w:r w:rsidR="00B00321" w:rsidRPr="005060E0">
        <w:t xml:space="preserve">. </w:t>
      </w:r>
    </w:p>
    <w:p w14:paraId="71B5EF6F" w14:textId="4DB11392" w:rsidR="00B452DA" w:rsidRPr="005060E0" w:rsidRDefault="003C1EBF" w:rsidP="00B452DA">
      <w:pPr>
        <w:pStyle w:val="PBTablecaption"/>
      </w:pPr>
      <w:bookmarkStart w:id="196" w:name="_Ref508522723"/>
      <w:bookmarkStart w:id="197" w:name="_Toc479201757"/>
      <w:bookmarkStart w:id="198" w:name="_Toc508305387"/>
      <w:r w:rsidRPr="005060E0">
        <w:t xml:space="preserve">Table </w:t>
      </w:r>
      <w:r w:rsidR="009863AA" w:rsidRPr="005060E0">
        <w:rPr>
          <w:noProof/>
        </w:rPr>
        <w:fldChar w:fldCharType="begin"/>
      </w:r>
      <w:r w:rsidR="009863AA" w:rsidRPr="005060E0">
        <w:rPr>
          <w:noProof/>
        </w:rPr>
        <w:instrText xml:space="preserve"> STYLEREF 1 \s </w:instrText>
      </w:r>
      <w:r w:rsidR="009863AA" w:rsidRPr="005060E0">
        <w:rPr>
          <w:noProof/>
        </w:rPr>
        <w:fldChar w:fldCharType="separate"/>
      </w:r>
      <w:r w:rsidR="00F2067C">
        <w:rPr>
          <w:noProof/>
        </w:rPr>
        <w:t>8</w:t>
      </w:r>
      <w:r w:rsidR="009863AA" w:rsidRPr="005060E0">
        <w:rPr>
          <w:noProof/>
        </w:rPr>
        <w:fldChar w:fldCharType="end"/>
      </w:r>
      <w:r w:rsidRPr="005060E0">
        <w:noBreakHyphen/>
      </w:r>
      <w:r w:rsidR="009863AA" w:rsidRPr="005060E0">
        <w:rPr>
          <w:noProof/>
        </w:rPr>
        <w:fldChar w:fldCharType="begin"/>
      </w:r>
      <w:r w:rsidR="009863AA" w:rsidRPr="005060E0">
        <w:rPr>
          <w:noProof/>
        </w:rPr>
        <w:instrText xml:space="preserve"> SEQ Table \* ARABIC \s 1 </w:instrText>
      </w:r>
      <w:r w:rsidR="009863AA" w:rsidRPr="005060E0">
        <w:rPr>
          <w:noProof/>
        </w:rPr>
        <w:fldChar w:fldCharType="separate"/>
      </w:r>
      <w:r w:rsidR="00F2067C">
        <w:rPr>
          <w:noProof/>
        </w:rPr>
        <w:t>1</w:t>
      </w:r>
      <w:r w:rsidR="009863AA" w:rsidRPr="005060E0">
        <w:rPr>
          <w:noProof/>
        </w:rPr>
        <w:fldChar w:fldCharType="end"/>
      </w:r>
      <w:bookmarkEnd w:id="196"/>
      <w:r w:rsidRPr="005060E0">
        <w:t xml:space="preserve">: </w:t>
      </w:r>
      <w:bookmarkEnd w:id="197"/>
      <w:bookmarkEnd w:id="198"/>
      <w:r w:rsidR="00B452DA" w:rsidRPr="005060E0">
        <w:t xml:space="preserve">Total </w:t>
      </w:r>
      <w:r w:rsidR="004B0E58" w:rsidRPr="005060E0">
        <w:t xml:space="preserve">estimated </w:t>
      </w:r>
      <w:r w:rsidR="00B452DA" w:rsidRPr="005060E0">
        <w:t>emissions of VOCs from industrial facilities and diffuse sources (NPI, 2014</w:t>
      </w:r>
      <w:r w:rsidR="00DF4D3A" w:rsidRPr="005060E0">
        <w:t>–20</w:t>
      </w:r>
      <w:r w:rsidR="00B452DA" w:rsidRPr="005060E0">
        <w:t>15)</w:t>
      </w:r>
    </w:p>
    <w:tbl>
      <w:tblPr>
        <w:tblW w:w="5000" w:type="pct"/>
        <w:jc w:val="center"/>
        <w:tblBorders>
          <w:top w:val="single" w:sz="4" w:space="0" w:color="606372" w:themeColor="text2"/>
          <w:left w:val="single" w:sz="4" w:space="0" w:color="606372" w:themeColor="text2"/>
          <w:bottom w:val="single" w:sz="4" w:space="0" w:color="606372" w:themeColor="text2"/>
          <w:right w:val="single" w:sz="4" w:space="0" w:color="606372" w:themeColor="text2"/>
          <w:insideH w:val="single" w:sz="4" w:space="0" w:color="606372" w:themeColor="text2"/>
          <w:insideV w:val="single" w:sz="4" w:space="0" w:color="606372" w:themeColor="text2"/>
        </w:tblBorders>
        <w:tblLook w:val="04A0" w:firstRow="1" w:lastRow="0" w:firstColumn="1" w:lastColumn="0" w:noHBand="0" w:noVBand="1"/>
      </w:tblPr>
      <w:tblGrid>
        <w:gridCol w:w="5219"/>
        <w:gridCol w:w="4410"/>
      </w:tblGrid>
      <w:tr w:rsidR="00B452DA" w:rsidRPr="005060E0" w14:paraId="55A1A993" w14:textId="77777777" w:rsidTr="00D35C2D">
        <w:trPr>
          <w:trHeight w:val="378"/>
          <w:tblHeader/>
          <w:jc w:val="center"/>
        </w:trPr>
        <w:tc>
          <w:tcPr>
            <w:tcW w:w="2710" w:type="pct"/>
            <w:shd w:val="clear" w:color="auto" w:fill="606372" w:themeFill="text2"/>
            <w:noWrap/>
            <w:vAlign w:val="center"/>
            <w:hideMark/>
          </w:tcPr>
          <w:p w14:paraId="1A5B7437" w14:textId="1E78B4FB" w:rsidR="00B452DA" w:rsidRPr="005060E0" w:rsidRDefault="00B452DA" w:rsidP="004835DF">
            <w:pPr>
              <w:keepNext/>
              <w:spacing w:after="0" w:line="240" w:lineRule="auto"/>
              <w:jc w:val="center"/>
              <w:rPr>
                <w:bCs/>
                <w:color w:val="FFFFFF" w:themeColor="background1"/>
                <w:sz w:val="16"/>
                <w:szCs w:val="16"/>
                <w:lang w:bidi="en-US"/>
              </w:rPr>
            </w:pPr>
            <w:r w:rsidRPr="005060E0">
              <w:rPr>
                <w:bCs/>
                <w:color w:val="FFFFFF" w:themeColor="background1"/>
                <w:sz w:val="16"/>
                <w:szCs w:val="16"/>
                <w:lang w:bidi="en-US"/>
              </w:rPr>
              <w:t>Airshed</w:t>
            </w:r>
          </w:p>
        </w:tc>
        <w:tc>
          <w:tcPr>
            <w:tcW w:w="2290" w:type="pct"/>
            <w:shd w:val="clear" w:color="auto" w:fill="606372" w:themeFill="text2"/>
            <w:vAlign w:val="center"/>
          </w:tcPr>
          <w:p w14:paraId="53253651" w14:textId="47C9BC18" w:rsidR="00B452DA" w:rsidRPr="005060E0" w:rsidRDefault="00B452DA" w:rsidP="004835DF">
            <w:pPr>
              <w:keepNext/>
              <w:spacing w:after="0" w:line="240" w:lineRule="auto"/>
              <w:jc w:val="center"/>
              <w:rPr>
                <w:bCs/>
                <w:color w:val="FFFFFF" w:themeColor="background1"/>
                <w:sz w:val="16"/>
                <w:szCs w:val="16"/>
                <w:lang w:bidi="en-US"/>
              </w:rPr>
            </w:pPr>
            <w:r w:rsidRPr="005060E0">
              <w:rPr>
                <w:bCs/>
                <w:color w:val="FFFFFF" w:themeColor="background1"/>
                <w:sz w:val="16"/>
                <w:szCs w:val="16"/>
                <w:lang w:bidi="en-US"/>
              </w:rPr>
              <w:t>VOC emissions (tonnes/year)</w:t>
            </w:r>
          </w:p>
        </w:tc>
      </w:tr>
      <w:tr w:rsidR="00B452DA" w:rsidRPr="005060E0" w14:paraId="6B3D1CB0" w14:textId="77777777" w:rsidTr="00EF2FD6">
        <w:trPr>
          <w:trHeight w:hRule="exact" w:val="340"/>
          <w:jc w:val="center"/>
        </w:trPr>
        <w:tc>
          <w:tcPr>
            <w:tcW w:w="2710" w:type="pct"/>
            <w:noWrap/>
            <w:vAlign w:val="center"/>
          </w:tcPr>
          <w:p w14:paraId="35F358AD" w14:textId="0AA66D2A" w:rsidR="00B452DA" w:rsidRPr="005060E0" w:rsidRDefault="00B452DA" w:rsidP="00D35C2D">
            <w:pPr>
              <w:tabs>
                <w:tab w:val="left" w:pos="6804"/>
              </w:tabs>
              <w:spacing w:after="0" w:line="240" w:lineRule="auto"/>
              <w:rPr>
                <w:rFonts w:eastAsia="Times New Roman" w:cstheme="majorHAnsi"/>
                <w:bCs/>
                <w:kern w:val="32"/>
                <w:sz w:val="16"/>
                <w:szCs w:val="16"/>
                <w:lang w:bidi="en-US"/>
              </w:rPr>
            </w:pPr>
            <w:r w:rsidRPr="005060E0">
              <w:rPr>
                <w:rFonts w:eastAsia="Times New Roman" w:cstheme="majorHAnsi"/>
                <w:bCs/>
                <w:kern w:val="32"/>
                <w:sz w:val="16"/>
                <w:szCs w:val="16"/>
                <w:lang w:bidi="en-US"/>
              </w:rPr>
              <w:t>NSW: Greater Sydney</w:t>
            </w:r>
          </w:p>
        </w:tc>
        <w:tc>
          <w:tcPr>
            <w:tcW w:w="2290" w:type="pct"/>
            <w:vAlign w:val="center"/>
          </w:tcPr>
          <w:p w14:paraId="629E3AA8" w14:textId="4D6ECC6F" w:rsidR="00B452DA" w:rsidRPr="005060E0" w:rsidRDefault="00B452DA" w:rsidP="00B452DA">
            <w:pPr>
              <w:keepNext/>
              <w:tabs>
                <w:tab w:val="left" w:pos="6804"/>
              </w:tabs>
              <w:spacing w:after="0" w:line="240" w:lineRule="auto"/>
              <w:jc w:val="center"/>
              <w:rPr>
                <w:rFonts w:eastAsia="Times New Roman" w:cstheme="majorHAnsi"/>
                <w:bCs/>
                <w:kern w:val="32"/>
                <w:sz w:val="16"/>
                <w:szCs w:val="16"/>
                <w:lang w:bidi="en-US"/>
              </w:rPr>
            </w:pPr>
            <w:r w:rsidRPr="005060E0">
              <w:rPr>
                <w:rFonts w:eastAsia="Times New Roman" w:cstheme="majorHAnsi"/>
                <w:bCs/>
                <w:kern w:val="32"/>
                <w:sz w:val="16"/>
                <w:szCs w:val="16"/>
                <w:lang w:bidi="en-US"/>
              </w:rPr>
              <w:t>190,000</w:t>
            </w:r>
          </w:p>
        </w:tc>
      </w:tr>
      <w:tr w:rsidR="00B452DA" w:rsidRPr="005060E0" w14:paraId="3BA29E92" w14:textId="77777777" w:rsidTr="00EF2FD6">
        <w:trPr>
          <w:trHeight w:hRule="exact" w:val="340"/>
          <w:jc w:val="center"/>
        </w:trPr>
        <w:tc>
          <w:tcPr>
            <w:tcW w:w="2710" w:type="pct"/>
            <w:noWrap/>
            <w:vAlign w:val="center"/>
          </w:tcPr>
          <w:p w14:paraId="52FEDCBB" w14:textId="2DB6A659" w:rsidR="00B452DA" w:rsidRPr="005060E0" w:rsidRDefault="00B452DA" w:rsidP="00D35C2D">
            <w:pPr>
              <w:tabs>
                <w:tab w:val="left" w:pos="6804"/>
              </w:tabs>
              <w:spacing w:after="0" w:line="240" w:lineRule="auto"/>
              <w:rPr>
                <w:rFonts w:eastAsia="Times New Roman" w:cstheme="majorHAnsi"/>
                <w:bCs/>
                <w:kern w:val="32"/>
                <w:sz w:val="16"/>
                <w:szCs w:val="16"/>
                <w:lang w:bidi="en-US"/>
              </w:rPr>
            </w:pPr>
            <w:r w:rsidRPr="005060E0">
              <w:rPr>
                <w:rFonts w:eastAsia="Times New Roman" w:cstheme="majorHAnsi"/>
                <w:bCs/>
                <w:kern w:val="32"/>
                <w:sz w:val="16"/>
                <w:szCs w:val="16"/>
                <w:lang w:bidi="en-US"/>
              </w:rPr>
              <w:t>VIC: Port Phillip Region</w:t>
            </w:r>
          </w:p>
        </w:tc>
        <w:tc>
          <w:tcPr>
            <w:tcW w:w="2290" w:type="pct"/>
            <w:vAlign w:val="center"/>
          </w:tcPr>
          <w:p w14:paraId="00B85BB3" w14:textId="74506CF8" w:rsidR="00B452DA" w:rsidRPr="005060E0" w:rsidRDefault="00B452DA" w:rsidP="00B452DA">
            <w:pPr>
              <w:keepNext/>
              <w:tabs>
                <w:tab w:val="left" w:pos="6804"/>
              </w:tabs>
              <w:spacing w:after="0" w:line="240" w:lineRule="auto"/>
              <w:jc w:val="center"/>
              <w:rPr>
                <w:rFonts w:eastAsia="Times New Roman" w:cstheme="majorHAnsi"/>
                <w:bCs/>
                <w:kern w:val="32"/>
                <w:sz w:val="16"/>
                <w:szCs w:val="16"/>
                <w:lang w:bidi="en-US"/>
              </w:rPr>
            </w:pPr>
            <w:r w:rsidRPr="005060E0">
              <w:rPr>
                <w:rFonts w:eastAsia="Times New Roman" w:cstheme="majorHAnsi"/>
                <w:bCs/>
                <w:kern w:val="32"/>
                <w:sz w:val="16"/>
                <w:szCs w:val="16"/>
                <w:lang w:bidi="en-US"/>
              </w:rPr>
              <w:t>160,000</w:t>
            </w:r>
          </w:p>
        </w:tc>
      </w:tr>
      <w:tr w:rsidR="00B452DA" w:rsidRPr="005060E0" w14:paraId="4CF258EF" w14:textId="77777777" w:rsidTr="00EF2FD6">
        <w:trPr>
          <w:trHeight w:hRule="exact" w:val="340"/>
          <w:jc w:val="center"/>
        </w:trPr>
        <w:tc>
          <w:tcPr>
            <w:tcW w:w="2710" w:type="pct"/>
            <w:noWrap/>
            <w:vAlign w:val="center"/>
          </w:tcPr>
          <w:p w14:paraId="68AA17E3" w14:textId="53185FC0" w:rsidR="00B452DA" w:rsidRPr="005060E0" w:rsidRDefault="00B452DA" w:rsidP="00D35C2D">
            <w:pPr>
              <w:tabs>
                <w:tab w:val="left" w:pos="6804"/>
              </w:tabs>
              <w:spacing w:after="0" w:line="240" w:lineRule="auto"/>
              <w:rPr>
                <w:rFonts w:eastAsia="Times New Roman" w:cstheme="majorHAnsi"/>
                <w:bCs/>
                <w:kern w:val="32"/>
                <w:sz w:val="16"/>
                <w:szCs w:val="16"/>
                <w:lang w:bidi="en-US"/>
              </w:rPr>
            </w:pPr>
            <w:r w:rsidRPr="005060E0">
              <w:rPr>
                <w:rFonts w:eastAsia="Times New Roman" w:cstheme="majorHAnsi"/>
                <w:bCs/>
                <w:kern w:val="32"/>
                <w:sz w:val="16"/>
                <w:szCs w:val="16"/>
                <w:lang w:bidi="en-US"/>
              </w:rPr>
              <w:t>QLD: South-East Queensland</w:t>
            </w:r>
          </w:p>
        </w:tc>
        <w:tc>
          <w:tcPr>
            <w:tcW w:w="2290" w:type="pct"/>
            <w:vAlign w:val="center"/>
          </w:tcPr>
          <w:p w14:paraId="5B43A3DE" w14:textId="7C218021" w:rsidR="00B452DA" w:rsidRPr="005060E0" w:rsidRDefault="00B452DA" w:rsidP="00B452DA">
            <w:pPr>
              <w:keepNext/>
              <w:tabs>
                <w:tab w:val="left" w:pos="6804"/>
              </w:tabs>
              <w:spacing w:after="0" w:line="240" w:lineRule="auto"/>
              <w:jc w:val="center"/>
              <w:rPr>
                <w:rFonts w:eastAsia="Times New Roman" w:cstheme="majorHAnsi"/>
                <w:bCs/>
                <w:kern w:val="32"/>
                <w:sz w:val="16"/>
                <w:szCs w:val="16"/>
                <w:lang w:bidi="en-US"/>
              </w:rPr>
            </w:pPr>
            <w:r w:rsidRPr="005060E0">
              <w:rPr>
                <w:rFonts w:eastAsia="Times New Roman" w:cstheme="majorHAnsi"/>
                <w:bCs/>
                <w:kern w:val="32"/>
                <w:sz w:val="16"/>
                <w:szCs w:val="16"/>
                <w:lang w:bidi="en-US"/>
              </w:rPr>
              <w:t>310,000</w:t>
            </w:r>
          </w:p>
        </w:tc>
      </w:tr>
      <w:tr w:rsidR="00B452DA" w:rsidRPr="005060E0" w14:paraId="499817B9" w14:textId="77777777" w:rsidTr="00EF2FD6">
        <w:trPr>
          <w:trHeight w:hRule="exact" w:val="340"/>
          <w:jc w:val="center"/>
        </w:trPr>
        <w:tc>
          <w:tcPr>
            <w:tcW w:w="2710" w:type="pct"/>
            <w:noWrap/>
            <w:vAlign w:val="center"/>
          </w:tcPr>
          <w:p w14:paraId="084AA823" w14:textId="691E2429" w:rsidR="00B452DA" w:rsidRPr="005060E0" w:rsidRDefault="00B452DA" w:rsidP="00D35C2D">
            <w:pPr>
              <w:tabs>
                <w:tab w:val="left" w:pos="6804"/>
              </w:tabs>
              <w:spacing w:after="0" w:line="240" w:lineRule="auto"/>
              <w:rPr>
                <w:rFonts w:eastAsia="Times New Roman" w:cstheme="majorHAnsi"/>
                <w:bCs/>
                <w:kern w:val="32"/>
                <w:sz w:val="16"/>
                <w:szCs w:val="16"/>
                <w:lang w:bidi="en-US"/>
              </w:rPr>
            </w:pPr>
            <w:r w:rsidRPr="005060E0">
              <w:rPr>
                <w:rFonts w:eastAsia="Times New Roman" w:cstheme="majorHAnsi"/>
                <w:bCs/>
                <w:kern w:val="32"/>
                <w:sz w:val="16"/>
                <w:szCs w:val="16"/>
                <w:lang w:bidi="en-US"/>
              </w:rPr>
              <w:t>SA: Adelaide</w:t>
            </w:r>
          </w:p>
        </w:tc>
        <w:tc>
          <w:tcPr>
            <w:tcW w:w="2290" w:type="pct"/>
            <w:vAlign w:val="center"/>
          </w:tcPr>
          <w:p w14:paraId="136FF85F" w14:textId="1004A8F0" w:rsidR="00B452DA" w:rsidRPr="005060E0" w:rsidRDefault="00B452DA" w:rsidP="00B452DA">
            <w:pPr>
              <w:keepNext/>
              <w:tabs>
                <w:tab w:val="left" w:pos="6804"/>
              </w:tabs>
              <w:spacing w:after="0" w:line="240" w:lineRule="auto"/>
              <w:jc w:val="center"/>
              <w:rPr>
                <w:rFonts w:eastAsia="Times New Roman" w:cstheme="majorHAnsi"/>
                <w:bCs/>
                <w:kern w:val="32"/>
                <w:sz w:val="16"/>
                <w:szCs w:val="16"/>
                <w:lang w:bidi="en-US"/>
              </w:rPr>
            </w:pPr>
            <w:r w:rsidRPr="005060E0">
              <w:rPr>
                <w:rFonts w:eastAsia="Times New Roman" w:cstheme="majorHAnsi"/>
                <w:bCs/>
                <w:kern w:val="32"/>
                <w:sz w:val="16"/>
                <w:szCs w:val="16"/>
                <w:lang w:bidi="en-US"/>
              </w:rPr>
              <w:t>43,000</w:t>
            </w:r>
          </w:p>
        </w:tc>
      </w:tr>
      <w:tr w:rsidR="00B452DA" w:rsidRPr="005060E0" w14:paraId="06BD2A9D" w14:textId="77777777" w:rsidTr="00EF2FD6">
        <w:trPr>
          <w:trHeight w:hRule="exact" w:val="340"/>
          <w:jc w:val="center"/>
        </w:trPr>
        <w:tc>
          <w:tcPr>
            <w:tcW w:w="2710" w:type="pct"/>
            <w:noWrap/>
            <w:vAlign w:val="center"/>
          </w:tcPr>
          <w:p w14:paraId="6AD2EB6C" w14:textId="445E29D0" w:rsidR="00B452DA" w:rsidRPr="005060E0" w:rsidRDefault="00B452DA" w:rsidP="00D35C2D">
            <w:pPr>
              <w:tabs>
                <w:tab w:val="left" w:pos="6804"/>
              </w:tabs>
              <w:spacing w:after="0" w:line="240" w:lineRule="auto"/>
              <w:rPr>
                <w:rFonts w:eastAsia="Times New Roman" w:cstheme="majorHAnsi"/>
                <w:bCs/>
                <w:kern w:val="32"/>
                <w:sz w:val="16"/>
                <w:szCs w:val="16"/>
                <w:lang w:bidi="en-US"/>
              </w:rPr>
            </w:pPr>
            <w:r w:rsidRPr="005060E0">
              <w:rPr>
                <w:rFonts w:eastAsia="Times New Roman" w:cstheme="majorHAnsi"/>
                <w:bCs/>
                <w:kern w:val="32"/>
                <w:sz w:val="16"/>
                <w:szCs w:val="16"/>
                <w:lang w:bidi="en-US"/>
              </w:rPr>
              <w:t>WA: Perth</w:t>
            </w:r>
          </w:p>
        </w:tc>
        <w:tc>
          <w:tcPr>
            <w:tcW w:w="2290" w:type="pct"/>
            <w:vAlign w:val="center"/>
          </w:tcPr>
          <w:p w14:paraId="3283D633" w14:textId="55C7B142" w:rsidR="00B452DA" w:rsidRPr="005060E0" w:rsidRDefault="00B452DA" w:rsidP="00B452DA">
            <w:pPr>
              <w:keepNext/>
              <w:tabs>
                <w:tab w:val="left" w:pos="6804"/>
              </w:tabs>
              <w:spacing w:after="0" w:line="240" w:lineRule="auto"/>
              <w:jc w:val="center"/>
              <w:rPr>
                <w:rFonts w:eastAsia="Times New Roman" w:cstheme="majorHAnsi"/>
                <w:bCs/>
                <w:kern w:val="32"/>
                <w:sz w:val="16"/>
                <w:szCs w:val="16"/>
                <w:lang w:bidi="en-US"/>
              </w:rPr>
            </w:pPr>
            <w:r w:rsidRPr="005060E0">
              <w:rPr>
                <w:rFonts w:eastAsia="Times New Roman" w:cstheme="majorHAnsi"/>
                <w:bCs/>
                <w:kern w:val="32"/>
                <w:sz w:val="16"/>
                <w:szCs w:val="16"/>
                <w:lang w:bidi="en-US"/>
              </w:rPr>
              <w:t>49,000</w:t>
            </w:r>
          </w:p>
        </w:tc>
      </w:tr>
      <w:tr w:rsidR="00B452DA" w:rsidRPr="005060E0" w14:paraId="75E8A776" w14:textId="77777777" w:rsidTr="00EF2FD6">
        <w:trPr>
          <w:trHeight w:hRule="exact" w:val="340"/>
          <w:jc w:val="center"/>
        </w:trPr>
        <w:tc>
          <w:tcPr>
            <w:tcW w:w="2710" w:type="pct"/>
            <w:noWrap/>
            <w:vAlign w:val="center"/>
          </w:tcPr>
          <w:p w14:paraId="22828E17" w14:textId="6B76E022" w:rsidR="00B452DA" w:rsidRPr="005060E0" w:rsidRDefault="00B452DA" w:rsidP="00D35C2D">
            <w:pPr>
              <w:tabs>
                <w:tab w:val="left" w:pos="6804"/>
              </w:tabs>
              <w:spacing w:after="0" w:line="240" w:lineRule="auto"/>
              <w:rPr>
                <w:rFonts w:eastAsia="Times New Roman" w:cstheme="majorHAnsi"/>
                <w:bCs/>
                <w:kern w:val="32"/>
                <w:sz w:val="16"/>
                <w:szCs w:val="16"/>
                <w:lang w:bidi="en-US"/>
              </w:rPr>
            </w:pPr>
            <w:r w:rsidRPr="005060E0">
              <w:rPr>
                <w:rFonts w:eastAsia="Times New Roman" w:cstheme="majorHAnsi"/>
                <w:bCs/>
                <w:kern w:val="32"/>
                <w:sz w:val="16"/>
                <w:szCs w:val="16"/>
                <w:lang w:bidi="en-US"/>
              </w:rPr>
              <w:t>TAS: Hobart</w:t>
            </w:r>
          </w:p>
        </w:tc>
        <w:tc>
          <w:tcPr>
            <w:tcW w:w="2290" w:type="pct"/>
            <w:vAlign w:val="center"/>
          </w:tcPr>
          <w:p w14:paraId="45D0CA2B" w14:textId="129CD127" w:rsidR="00B452DA" w:rsidRPr="005060E0" w:rsidRDefault="00B452DA" w:rsidP="00B452DA">
            <w:pPr>
              <w:keepNext/>
              <w:tabs>
                <w:tab w:val="left" w:pos="6804"/>
              </w:tabs>
              <w:spacing w:after="0" w:line="240" w:lineRule="auto"/>
              <w:jc w:val="center"/>
              <w:rPr>
                <w:rFonts w:eastAsia="Times New Roman" w:cstheme="majorHAnsi"/>
                <w:bCs/>
                <w:kern w:val="32"/>
                <w:sz w:val="16"/>
                <w:szCs w:val="16"/>
                <w:lang w:bidi="en-US"/>
              </w:rPr>
            </w:pPr>
            <w:r w:rsidRPr="005060E0">
              <w:rPr>
                <w:rFonts w:eastAsia="Times New Roman" w:cstheme="majorHAnsi"/>
                <w:bCs/>
                <w:kern w:val="32"/>
                <w:sz w:val="16"/>
                <w:szCs w:val="16"/>
                <w:lang w:bidi="en-US"/>
              </w:rPr>
              <w:t>8,400</w:t>
            </w:r>
          </w:p>
        </w:tc>
      </w:tr>
      <w:tr w:rsidR="00B452DA" w:rsidRPr="005060E0" w14:paraId="4520CC3E" w14:textId="77777777" w:rsidTr="00EF2FD6">
        <w:trPr>
          <w:trHeight w:hRule="exact" w:val="340"/>
          <w:jc w:val="center"/>
        </w:trPr>
        <w:tc>
          <w:tcPr>
            <w:tcW w:w="2710" w:type="pct"/>
            <w:noWrap/>
            <w:vAlign w:val="center"/>
          </w:tcPr>
          <w:p w14:paraId="796D63E2" w14:textId="4A8174CF" w:rsidR="00B452DA" w:rsidRPr="005060E0" w:rsidRDefault="00B452DA" w:rsidP="00D35C2D">
            <w:pPr>
              <w:tabs>
                <w:tab w:val="left" w:pos="6804"/>
              </w:tabs>
              <w:spacing w:after="0" w:line="240" w:lineRule="auto"/>
              <w:rPr>
                <w:rFonts w:eastAsia="Times New Roman" w:cstheme="majorHAnsi"/>
                <w:bCs/>
                <w:kern w:val="32"/>
                <w:sz w:val="16"/>
                <w:szCs w:val="16"/>
                <w:lang w:bidi="en-US"/>
              </w:rPr>
            </w:pPr>
            <w:r w:rsidRPr="005060E0">
              <w:rPr>
                <w:rFonts w:eastAsia="Times New Roman" w:cstheme="majorHAnsi"/>
                <w:bCs/>
                <w:kern w:val="32"/>
                <w:sz w:val="16"/>
                <w:szCs w:val="16"/>
                <w:lang w:bidi="en-US"/>
              </w:rPr>
              <w:t>NT: Darwin</w:t>
            </w:r>
          </w:p>
        </w:tc>
        <w:tc>
          <w:tcPr>
            <w:tcW w:w="2290" w:type="pct"/>
            <w:vAlign w:val="center"/>
          </w:tcPr>
          <w:p w14:paraId="63AB7E7F" w14:textId="28172E5C" w:rsidR="00B452DA" w:rsidRPr="005060E0" w:rsidRDefault="00B452DA" w:rsidP="00B452DA">
            <w:pPr>
              <w:keepNext/>
              <w:tabs>
                <w:tab w:val="left" w:pos="6804"/>
              </w:tabs>
              <w:spacing w:after="0" w:line="240" w:lineRule="auto"/>
              <w:jc w:val="center"/>
              <w:rPr>
                <w:rFonts w:eastAsia="Times New Roman" w:cstheme="majorHAnsi"/>
                <w:bCs/>
                <w:kern w:val="32"/>
                <w:sz w:val="16"/>
                <w:szCs w:val="16"/>
                <w:lang w:bidi="en-US"/>
              </w:rPr>
            </w:pPr>
            <w:r w:rsidRPr="005060E0">
              <w:rPr>
                <w:rFonts w:eastAsia="Times New Roman" w:cstheme="majorHAnsi"/>
                <w:bCs/>
                <w:kern w:val="32"/>
                <w:sz w:val="16"/>
                <w:szCs w:val="16"/>
                <w:lang w:bidi="en-US"/>
              </w:rPr>
              <w:t>6,100</w:t>
            </w:r>
          </w:p>
        </w:tc>
      </w:tr>
      <w:tr w:rsidR="00B452DA" w:rsidRPr="005060E0" w14:paraId="27EA3665" w14:textId="77777777" w:rsidTr="00EF2FD6">
        <w:trPr>
          <w:trHeight w:hRule="exact" w:val="340"/>
          <w:jc w:val="center"/>
        </w:trPr>
        <w:tc>
          <w:tcPr>
            <w:tcW w:w="2710" w:type="pct"/>
            <w:noWrap/>
            <w:vAlign w:val="center"/>
          </w:tcPr>
          <w:p w14:paraId="164834E7" w14:textId="636AF7CC" w:rsidR="00B452DA" w:rsidRPr="005060E0" w:rsidRDefault="00B452DA" w:rsidP="00D35C2D">
            <w:pPr>
              <w:tabs>
                <w:tab w:val="left" w:pos="6804"/>
              </w:tabs>
              <w:spacing w:after="0" w:line="240" w:lineRule="auto"/>
              <w:rPr>
                <w:rFonts w:eastAsia="Times New Roman" w:cstheme="majorHAnsi"/>
                <w:bCs/>
                <w:kern w:val="32"/>
                <w:sz w:val="16"/>
                <w:szCs w:val="16"/>
                <w:lang w:bidi="en-US"/>
              </w:rPr>
            </w:pPr>
            <w:r w:rsidRPr="005060E0">
              <w:rPr>
                <w:rFonts w:eastAsia="Times New Roman" w:cstheme="majorHAnsi"/>
                <w:bCs/>
                <w:kern w:val="32"/>
                <w:sz w:val="16"/>
                <w:szCs w:val="16"/>
                <w:lang w:bidi="en-US"/>
              </w:rPr>
              <w:t>ACT: Canberra</w:t>
            </w:r>
          </w:p>
        </w:tc>
        <w:tc>
          <w:tcPr>
            <w:tcW w:w="2290" w:type="pct"/>
            <w:vAlign w:val="center"/>
          </w:tcPr>
          <w:p w14:paraId="1A6175A0" w14:textId="725E932D" w:rsidR="00B452DA" w:rsidRPr="005060E0" w:rsidRDefault="00B452DA" w:rsidP="00B452DA">
            <w:pPr>
              <w:keepNext/>
              <w:tabs>
                <w:tab w:val="left" w:pos="6804"/>
              </w:tabs>
              <w:spacing w:after="0" w:line="240" w:lineRule="auto"/>
              <w:jc w:val="center"/>
              <w:rPr>
                <w:rFonts w:eastAsia="Times New Roman" w:cstheme="majorHAnsi"/>
                <w:bCs/>
                <w:kern w:val="32"/>
                <w:sz w:val="16"/>
                <w:szCs w:val="16"/>
                <w:lang w:bidi="en-US"/>
              </w:rPr>
            </w:pPr>
            <w:r w:rsidRPr="005060E0">
              <w:rPr>
                <w:rFonts w:eastAsia="Times New Roman" w:cstheme="majorHAnsi"/>
                <w:bCs/>
                <w:kern w:val="32"/>
                <w:sz w:val="16"/>
                <w:szCs w:val="16"/>
                <w:lang w:bidi="en-US"/>
              </w:rPr>
              <w:t>13,000</w:t>
            </w:r>
          </w:p>
        </w:tc>
      </w:tr>
    </w:tbl>
    <w:p w14:paraId="265F4E6C" w14:textId="1179976B" w:rsidR="003C1EBF" w:rsidRPr="005060E0" w:rsidRDefault="00464820" w:rsidP="0043533F">
      <w:pPr>
        <w:pStyle w:val="Heading2"/>
      </w:pPr>
      <w:bookmarkStart w:id="199" w:name="_Toc479858858"/>
      <w:bookmarkStart w:id="200" w:name="_Toc3278979"/>
      <w:r w:rsidRPr="005060E0">
        <w:t>Health e</w:t>
      </w:r>
      <w:bookmarkEnd w:id="199"/>
      <w:r w:rsidR="0043533F" w:rsidRPr="005060E0">
        <w:t>vidence</w:t>
      </w:r>
      <w:bookmarkEnd w:id="200"/>
    </w:p>
    <w:p w14:paraId="3DE070FD" w14:textId="7A077E8D" w:rsidR="009529A6" w:rsidRPr="005060E0" w:rsidRDefault="009529A6" w:rsidP="00B839E0">
      <w:pPr>
        <w:spacing w:after="120" w:line="288" w:lineRule="auto"/>
        <w:rPr>
          <w:rFonts w:asciiTheme="minorHAnsi" w:hAnsiTheme="minorHAnsi" w:cstheme="minorHAnsi"/>
          <w:szCs w:val="20"/>
        </w:rPr>
      </w:pPr>
      <w:r w:rsidRPr="005060E0">
        <w:rPr>
          <w:rFonts w:asciiTheme="minorHAnsi" w:hAnsiTheme="minorHAnsi" w:cstheme="minorHAnsi"/>
          <w:szCs w:val="20"/>
        </w:rPr>
        <w:t>A detailed, up-to-date review of the health effects of O</w:t>
      </w:r>
      <w:r w:rsidRPr="005060E0">
        <w:rPr>
          <w:rFonts w:asciiTheme="minorHAnsi" w:hAnsiTheme="minorHAnsi" w:cstheme="minorHAnsi"/>
          <w:szCs w:val="20"/>
          <w:vertAlign w:val="subscript"/>
        </w:rPr>
        <w:t>3</w:t>
      </w:r>
      <w:r w:rsidRPr="005060E0">
        <w:rPr>
          <w:rFonts w:asciiTheme="minorHAnsi" w:hAnsiTheme="minorHAnsi" w:cstheme="minorHAnsi"/>
          <w:szCs w:val="20"/>
        </w:rPr>
        <w:t xml:space="preserve"> </w:t>
      </w:r>
      <w:r w:rsidR="00B839E0" w:rsidRPr="005060E0">
        <w:rPr>
          <w:rFonts w:asciiTheme="minorHAnsi" w:hAnsiTheme="minorHAnsi" w:cstheme="minorHAnsi"/>
          <w:szCs w:val="20"/>
        </w:rPr>
        <w:t>can be found in Appendix B</w:t>
      </w:r>
      <w:r w:rsidRPr="005060E0">
        <w:rPr>
          <w:rFonts w:asciiTheme="minorHAnsi" w:hAnsiTheme="minorHAnsi" w:cstheme="minorHAnsi"/>
          <w:szCs w:val="20"/>
        </w:rPr>
        <w:t>.</w:t>
      </w:r>
      <w:r w:rsidR="00B839E0" w:rsidRPr="005060E0">
        <w:rPr>
          <w:rFonts w:asciiTheme="minorHAnsi" w:hAnsiTheme="minorHAnsi" w:cstheme="minorHAnsi"/>
          <w:szCs w:val="20"/>
        </w:rPr>
        <w:t xml:space="preserve"> </w:t>
      </w:r>
      <w:r w:rsidR="003E19FA" w:rsidRPr="005060E0">
        <w:t>International studies have provided evidence that exposure to O</w:t>
      </w:r>
      <w:r w:rsidR="003E19FA" w:rsidRPr="005060E0">
        <w:rPr>
          <w:vertAlign w:val="subscript"/>
        </w:rPr>
        <w:t>3</w:t>
      </w:r>
      <w:r w:rsidR="003E19FA" w:rsidRPr="005060E0">
        <w:t xml:space="preserve"> is causally linked to short-term acute mortality and morbidity primarily for respiratory causes, but not long-term chronic mortality. </w:t>
      </w:r>
      <w:r w:rsidRPr="005060E0">
        <w:t>There is some evidence that O</w:t>
      </w:r>
      <w:r w:rsidRPr="005060E0">
        <w:rPr>
          <w:vertAlign w:val="subscript"/>
        </w:rPr>
        <w:t>3</w:t>
      </w:r>
      <w:r w:rsidRPr="005060E0">
        <w:t xml:space="preserve"> exposures are also associated with cardiovascular</w:t>
      </w:r>
      <w:r w:rsidR="003E19FA" w:rsidRPr="005060E0">
        <w:t xml:space="preserve"> outcomes, but the evidence is no</w:t>
      </w:r>
      <w:r w:rsidRPr="005060E0">
        <w:t>t as strong as for respiratory outcomes.</w:t>
      </w:r>
    </w:p>
    <w:p w14:paraId="7427C24C" w14:textId="7E795391" w:rsidR="009529A6" w:rsidRPr="005060E0" w:rsidRDefault="009529A6" w:rsidP="009529A6">
      <w:pPr>
        <w:widowControl w:val="0"/>
      </w:pPr>
      <w:r w:rsidRPr="005060E0">
        <w:t xml:space="preserve">The most recent reviews conducted by the international agencies including </w:t>
      </w:r>
      <w:r w:rsidR="00121570">
        <w:t xml:space="preserve">the </w:t>
      </w:r>
      <w:r w:rsidR="00886AA9" w:rsidRPr="005060E0">
        <w:t xml:space="preserve">WHO (2013b), </w:t>
      </w:r>
      <w:r w:rsidR="00683225">
        <w:t xml:space="preserve">the </w:t>
      </w:r>
      <w:r w:rsidR="00886AA9" w:rsidRPr="005060E0">
        <w:t>USEPA (2013</w:t>
      </w:r>
      <w:r w:rsidRPr="005060E0">
        <w:t xml:space="preserve">) and </w:t>
      </w:r>
      <w:r w:rsidR="00121570">
        <w:t xml:space="preserve">the </w:t>
      </w:r>
      <w:r w:rsidR="00EF63D1" w:rsidRPr="005060E0">
        <w:t xml:space="preserve">UK Committee </w:t>
      </w:r>
      <w:r w:rsidR="00121570">
        <w:t xml:space="preserve">on the </w:t>
      </w:r>
      <w:r w:rsidR="00EF63D1" w:rsidRPr="005060E0">
        <w:t xml:space="preserve">Medical Effects of Air </w:t>
      </w:r>
      <w:r w:rsidR="00121570">
        <w:t>Pollutants</w:t>
      </w:r>
      <w:r w:rsidR="00121570" w:rsidRPr="005060E0">
        <w:t xml:space="preserve"> </w:t>
      </w:r>
      <w:r w:rsidR="00EF63D1" w:rsidRPr="005060E0">
        <w:t>(</w:t>
      </w:r>
      <w:r w:rsidRPr="005060E0">
        <w:t>COMEAP</w:t>
      </w:r>
      <w:r w:rsidR="00EF63D1" w:rsidRPr="005060E0">
        <w:t xml:space="preserve"> </w:t>
      </w:r>
      <w:r w:rsidRPr="005060E0">
        <w:t>2015) have investigated the evidence on both short-term and long-term effects of O</w:t>
      </w:r>
      <w:r w:rsidRPr="005060E0">
        <w:rPr>
          <w:vertAlign w:val="subscript"/>
        </w:rPr>
        <w:t>3</w:t>
      </w:r>
      <w:r w:rsidRPr="005060E0">
        <w:t xml:space="preserve"> on health. The reviews have found there is new evidence on the associat</w:t>
      </w:r>
      <w:r w:rsidR="00B5444C" w:rsidRPr="005060E0">
        <w:t>ion</w:t>
      </w:r>
      <w:r w:rsidRPr="005060E0">
        <w:t xml:space="preserve"> </w:t>
      </w:r>
      <w:r w:rsidR="00B5444C" w:rsidRPr="005060E0">
        <w:t>between</w:t>
      </w:r>
      <w:r w:rsidRPr="005060E0">
        <w:t xml:space="preserve"> daily maximum 1-hour and 8-hour O</w:t>
      </w:r>
      <w:r w:rsidRPr="005060E0">
        <w:rPr>
          <w:vertAlign w:val="subscript"/>
        </w:rPr>
        <w:t>3</w:t>
      </w:r>
      <w:r w:rsidRPr="005060E0">
        <w:t xml:space="preserve"> concentrations </w:t>
      </w:r>
      <w:r w:rsidR="00B5444C" w:rsidRPr="005060E0">
        <w:t>and</w:t>
      </w:r>
      <w:r w:rsidRPr="005060E0">
        <w:t xml:space="preserve"> all</w:t>
      </w:r>
      <w:r w:rsidR="00627461" w:rsidRPr="005060E0">
        <w:t>-</w:t>
      </w:r>
      <w:r w:rsidRPr="005060E0">
        <w:t>cause, cardiovascular and respiratory mortality</w:t>
      </w:r>
      <w:r w:rsidR="00B5444C" w:rsidRPr="005060E0">
        <w:t>,</w:t>
      </w:r>
      <w:r w:rsidRPr="005060E0">
        <w:t xml:space="preserve"> as well as cardiovascular and respiratory hospital</w:t>
      </w:r>
      <w:r w:rsidR="00B5444C" w:rsidRPr="005060E0">
        <w:t xml:space="preserve"> admissions</w:t>
      </w:r>
      <w:r w:rsidRPr="005060E0">
        <w:t xml:space="preserve">. </w:t>
      </w:r>
      <w:r w:rsidR="00B5444C" w:rsidRPr="005060E0">
        <w:t>There is currently no convincing evidence of a threshold for short-term exposure to a daily maximum 1</w:t>
      </w:r>
      <w:r w:rsidR="009E1687" w:rsidRPr="005060E0">
        <w:t>-</w:t>
      </w:r>
      <w:r w:rsidR="00B5444C" w:rsidRPr="005060E0">
        <w:t>hour or 8-hour O</w:t>
      </w:r>
      <w:r w:rsidR="00B5444C" w:rsidRPr="005060E0">
        <w:rPr>
          <w:vertAlign w:val="subscript"/>
        </w:rPr>
        <w:t>3</w:t>
      </w:r>
      <w:r w:rsidR="00B5444C" w:rsidRPr="005060E0">
        <w:t xml:space="preserve"> concentration, or of a non-linear relationship at low concentrations. </w:t>
      </w:r>
      <w:r w:rsidRPr="005060E0">
        <w:t>The evidence base for long-term effects of O</w:t>
      </w:r>
      <w:r w:rsidRPr="005060E0">
        <w:rPr>
          <w:vertAlign w:val="subscript"/>
        </w:rPr>
        <w:t>3</w:t>
      </w:r>
      <w:r w:rsidRPr="005060E0">
        <w:t xml:space="preserve"> has also strengthened; in particular, </w:t>
      </w:r>
      <w:r w:rsidRPr="005060E0">
        <w:rPr>
          <w:rFonts w:asciiTheme="minorHAnsi" w:hAnsiTheme="minorHAnsi" w:cstheme="minorHAnsi"/>
          <w:szCs w:val="20"/>
        </w:rPr>
        <w:t>l</w:t>
      </w:r>
      <w:r w:rsidRPr="005060E0">
        <w:t>ong-term exposure to O</w:t>
      </w:r>
      <w:r w:rsidRPr="005060E0">
        <w:rPr>
          <w:vertAlign w:val="subscript"/>
        </w:rPr>
        <w:t>3</w:t>
      </w:r>
      <w:r w:rsidRPr="005060E0">
        <w:t xml:space="preserve"> is linked to the incidence of asthma, and not just the exacerbation of existing asthma. O</w:t>
      </w:r>
      <w:r w:rsidRPr="005060E0">
        <w:rPr>
          <w:vertAlign w:val="subscript"/>
        </w:rPr>
        <w:t>3</w:t>
      </w:r>
      <w:r w:rsidRPr="005060E0">
        <w:t xml:space="preserve"> was also found to be associated with a range of reproductive and developmental effects that had not previously been linked with O</w:t>
      </w:r>
      <w:r w:rsidRPr="005060E0">
        <w:rPr>
          <w:vertAlign w:val="subscript"/>
        </w:rPr>
        <w:t>3</w:t>
      </w:r>
      <w:r w:rsidRPr="005060E0">
        <w:t xml:space="preserve"> exposure. </w:t>
      </w:r>
    </w:p>
    <w:p w14:paraId="625B36DC" w14:textId="34AFE8F6" w:rsidR="0043533F" w:rsidRPr="005060E0" w:rsidRDefault="005128BC" w:rsidP="0043533F">
      <w:pPr>
        <w:pStyle w:val="Heading2"/>
      </w:pPr>
      <w:bookmarkStart w:id="201" w:name="_Toc3278980"/>
      <w:r w:rsidRPr="005060E0">
        <w:t>World Health Organization</w:t>
      </w:r>
      <w:r w:rsidR="0043533F" w:rsidRPr="005060E0">
        <w:t xml:space="preserve"> guidelines</w:t>
      </w:r>
      <w:bookmarkEnd w:id="201"/>
    </w:p>
    <w:p w14:paraId="0FAE022C" w14:textId="71441D88" w:rsidR="00906FD2" w:rsidRPr="005060E0" w:rsidRDefault="00B0062C" w:rsidP="00CB6059">
      <w:pPr>
        <w:widowControl w:val="0"/>
        <w:spacing w:after="360"/>
        <w:rPr>
          <w:rFonts w:cs="Arial"/>
          <w:szCs w:val="20"/>
        </w:rPr>
      </w:pPr>
      <w:r>
        <w:rPr>
          <w:rFonts w:asciiTheme="minorHAnsi" w:hAnsiTheme="minorHAnsi" w:cstheme="minorHAnsi"/>
          <w:szCs w:val="20"/>
        </w:rPr>
        <w:t xml:space="preserve">The </w:t>
      </w:r>
      <w:r w:rsidR="00993653" w:rsidRPr="005060E0">
        <w:rPr>
          <w:rFonts w:asciiTheme="minorHAnsi" w:hAnsiTheme="minorHAnsi" w:cstheme="minorHAnsi"/>
          <w:szCs w:val="20"/>
        </w:rPr>
        <w:t xml:space="preserve">WHO </w:t>
      </w:r>
      <w:r w:rsidR="00E15AC5" w:rsidRPr="005060E0">
        <w:rPr>
          <w:rFonts w:asciiTheme="minorHAnsi" w:hAnsiTheme="minorHAnsi" w:cstheme="minorHAnsi"/>
          <w:szCs w:val="20"/>
        </w:rPr>
        <w:t xml:space="preserve">currently has </w:t>
      </w:r>
      <w:r>
        <w:rPr>
          <w:rFonts w:asciiTheme="minorHAnsi" w:hAnsiTheme="minorHAnsi" w:cstheme="minorHAnsi"/>
          <w:szCs w:val="20"/>
        </w:rPr>
        <w:t xml:space="preserve">a </w:t>
      </w:r>
      <w:r w:rsidR="00993653" w:rsidRPr="005060E0">
        <w:rPr>
          <w:rFonts w:asciiTheme="minorHAnsi" w:hAnsiTheme="minorHAnsi" w:cstheme="minorHAnsi"/>
          <w:szCs w:val="20"/>
        </w:rPr>
        <w:t xml:space="preserve">guideline for </w:t>
      </w:r>
      <w:r w:rsidR="005B5511" w:rsidRPr="005060E0">
        <w:rPr>
          <w:rFonts w:asciiTheme="minorHAnsi" w:hAnsiTheme="minorHAnsi" w:cstheme="minorHAnsi"/>
          <w:szCs w:val="20"/>
        </w:rPr>
        <w:t xml:space="preserve">the daily maximum </w:t>
      </w:r>
      <w:r w:rsidR="00E15AC5" w:rsidRPr="005060E0">
        <w:rPr>
          <w:rFonts w:asciiTheme="minorHAnsi" w:hAnsiTheme="minorHAnsi" w:cstheme="minorHAnsi"/>
          <w:szCs w:val="20"/>
        </w:rPr>
        <w:t>rolling</w:t>
      </w:r>
      <w:r w:rsidR="00CB6059" w:rsidRPr="005060E0">
        <w:rPr>
          <w:rStyle w:val="FootnoteReference"/>
          <w:rFonts w:asciiTheme="minorHAnsi" w:hAnsiTheme="minorHAnsi" w:cstheme="minorHAnsi"/>
          <w:szCs w:val="20"/>
        </w:rPr>
        <w:footnoteReference w:id="28"/>
      </w:r>
      <w:r w:rsidR="00E15AC5" w:rsidRPr="005060E0">
        <w:rPr>
          <w:rFonts w:asciiTheme="minorHAnsi" w:hAnsiTheme="minorHAnsi" w:cstheme="minorHAnsi"/>
          <w:szCs w:val="20"/>
        </w:rPr>
        <w:t xml:space="preserve"> </w:t>
      </w:r>
      <w:r w:rsidR="00294FA8" w:rsidRPr="005060E0">
        <w:rPr>
          <w:rFonts w:asciiTheme="minorHAnsi" w:hAnsiTheme="minorHAnsi" w:cstheme="minorHAnsi"/>
          <w:szCs w:val="20"/>
        </w:rPr>
        <w:t xml:space="preserve">8-hour </w:t>
      </w:r>
      <w:r w:rsidR="00993653" w:rsidRPr="005060E0">
        <w:rPr>
          <w:rFonts w:asciiTheme="minorHAnsi" w:hAnsiTheme="minorHAnsi" w:cstheme="minorHAnsi"/>
          <w:szCs w:val="20"/>
        </w:rPr>
        <w:t>O</w:t>
      </w:r>
      <w:r w:rsidR="00993653" w:rsidRPr="005060E0">
        <w:rPr>
          <w:rFonts w:asciiTheme="minorHAnsi" w:hAnsiTheme="minorHAnsi" w:cstheme="minorHAnsi"/>
          <w:szCs w:val="20"/>
          <w:vertAlign w:val="subscript"/>
        </w:rPr>
        <w:t>3</w:t>
      </w:r>
      <w:r w:rsidR="00993653" w:rsidRPr="005060E0">
        <w:rPr>
          <w:rFonts w:asciiTheme="minorHAnsi" w:hAnsiTheme="minorHAnsi" w:cstheme="minorHAnsi"/>
          <w:szCs w:val="20"/>
        </w:rPr>
        <w:t xml:space="preserve"> </w:t>
      </w:r>
      <w:r w:rsidR="00906FD2" w:rsidRPr="005060E0">
        <w:rPr>
          <w:rFonts w:asciiTheme="minorHAnsi" w:hAnsiTheme="minorHAnsi" w:cstheme="minorHAnsi"/>
          <w:szCs w:val="20"/>
        </w:rPr>
        <w:t>concentration of 47 ppb (</w:t>
      </w:r>
      <w:r w:rsidR="00766F61" w:rsidRPr="005060E0">
        <w:rPr>
          <w:rFonts w:cs="Arial"/>
          <w:szCs w:val="20"/>
        </w:rPr>
        <w:t>100 </w:t>
      </w:r>
      <w:r w:rsidR="00906FD2" w:rsidRPr="005060E0">
        <w:rPr>
          <w:rFonts w:cs="Arial"/>
          <w:szCs w:val="20"/>
        </w:rPr>
        <w:t>μg/m</w:t>
      </w:r>
      <w:r w:rsidR="00906FD2" w:rsidRPr="005060E0">
        <w:rPr>
          <w:rFonts w:cs="Arial"/>
          <w:szCs w:val="20"/>
          <w:vertAlign w:val="superscript"/>
        </w:rPr>
        <w:t>3</w:t>
      </w:r>
      <w:r w:rsidR="00906FD2" w:rsidRPr="005060E0">
        <w:rPr>
          <w:rFonts w:asciiTheme="minorHAnsi" w:hAnsiTheme="minorHAnsi" w:cstheme="minorHAnsi"/>
          <w:szCs w:val="20"/>
        </w:rPr>
        <w:t>)</w:t>
      </w:r>
      <w:r w:rsidR="00E15AC5" w:rsidRPr="005060E0">
        <w:rPr>
          <w:rFonts w:asciiTheme="minorHAnsi" w:hAnsiTheme="minorHAnsi" w:cstheme="minorHAnsi"/>
          <w:szCs w:val="20"/>
        </w:rPr>
        <w:t>, as shown</w:t>
      </w:r>
      <w:r w:rsidR="00993653" w:rsidRPr="005060E0">
        <w:rPr>
          <w:rFonts w:asciiTheme="minorHAnsi" w:hAnsiTheme="minorHAnsi" w:cstheme="minorHAnsi"/>
          <w:szCs w:val="20"/>
        </w:rPr>
        <w:t xml:space="preserve"> in </w:t>
      </w:r>
      <w:r w:rsidR="00993653" w:rsidRPr="005060E0">
        <w:rPr>
          <w:rFonts w:asciiTheme="minorHAnsi" w:hAnsiTheme="minorHAnsi" w:cstheme="minorHAnsi"/>
          <w:szCs w:val="20"/>
        </w:rPr>
        <w:fldChar w:fldCharType="begin"/>
      </w:r>
      <w:r w:rsidR="00993653" w:rsidRPr="005060E0">
        <w:rPr>
          <w:rFonts w:asciiTheme="minorHAnsi" w:hAnsiTheme="minorHAnsi" w:cstheme="minorHAnsi"/>
          <w:szCs w:val="20"/>
        </w:rPr>
        <w:instrText xml:space="preserve"> REF _Ref508525196 \h </w:instrText>
      </w:r>
      <w:r w:rsidR="00993653" w:rsidRPr="005060E0">
        <w:rPr>
          <w:rFonts w:asciiTheme="minorHAnsi" w:hAnsiTheme="minorHAnsi" w:cstheme="minorHAnsi"/>
          <w:szCs w:val="20"/>
        </w:rPr>
      </w:r>
      <w:r w:rsidR="00993653" w:rsidRPr="005060E0">
        <w:rPr>
          <w:rFonts w:asciiTheme="minorHAnsi" w:hAnsiTheme="minorHAnsi" w:cstheme="minorHAnsi"/>
          <w:szCs w:val="20"/>
        </w:rPr>
        <w:fldChar w:fldCharType="separate"/>
      </w:r>
      <w:r w:rsidR="00F2067C" w:rsidRPr="005060E0">
        <w:t xml:space="preserve">Table </w:t>
      </w:r>
      <w:r w:rsidR="00F2067C">
        <w:rPr>
          <w:noProof/>
        </w:rPr>
        <w:t>8</w:t>
      </w:r>
      <w:r w:rsidR="00F2067C" w:rsidRPr="005060E0">
        <w:noBreakHyphen/>
      </w:r>
      <w:r w:rsidR="00F2067C">
        <w:rPr>
          <w:noProof/>
        </w:rPr>
        <w:t>2</w:t>
      </w:r>
      <w:r w:rsidR="00993653" w:rsidRPr="005060E0">
        <w:rPr>
          <w:rFonts w:asciiTheme="minorHAnsi" w:hAnsiTheme="minorHAnsi" w:cstheme="minorHAnsi"/>
          <w:szCs w:val="20"/>
        </w:rPr>
        <w:fldChar w:fldCharType="end"/>
      </w:r>
      <w:r w:rsidR="00993653" w:rsidRPr="005060E0">
        <w:rPr>
          <w:rFonts w:asciiTheme="minorHAnsi" w:hAnsiTheme="minorHAnsi" w:cstheme="minorHAnsi"/>
          <w:szCs w:val="20"/>
        </w:rPr>
        <w:t xml:space="preserve">. </w:t>
      </w:r>
      <w:r w:rsidR="00906FD2" w:rsidRPr="005060E0">
        <w:rPr>
          <w:rFonts w:asciiTheme="minorHAnsi" w:hAnsiTheme="minorHAnsi" w:cstheme="minorHAnsi"/>
          <w:szCs w:val="20"/>
        </w:rPr>
        <w:t>This was</w:t>
      </w:r>
      <w:r w:rsidR="00294FA8" w:rsidRPr="005060E0">
        <w:rPr>
          <w:rFonts w:asciiTheme="minorHAnsi" w:hAnsiTheme="minorHAnsi" w:cstheme="minorHAnsi"/>
          <w:szCs w:val="20"/>
        </w:rPr>
        <w:t xml:space="preserve"> defined in the 200</w:t>
      </w:r>
      <w:r w:rsidR="00AF44BA" w:rsidRPr="005060E0">
        <w:rPr>
          <w:rFonts w:asciiTheme="minorHAnsi" w:hAnsiTheme="minorHAnsi" w:cstheme="minorHAnsi"/>
          <w:szCs w:val="20"/>
        </w:rPr>
        <w:t>5 global update (WHO 2006), which lowered</w:t>
      </w:r>
      <w:r w:rsidR="00294FA8" w:rsidRPr="005060E0">
        <w:rPr>
          <w:rFonts w:asciiTheme="minorHAnsi" w:hAnsiTheme="minorHAnsi" w:cstheme="minorHAnsi"/>
          <w:szCs w:val="20"/>
        </w:rPr>
        <w:t xml:space="preserve"> the guideline from the </w:t>
      </w:r>
      <w:r w:rsidR="00906FD2" w:rsidRPr="005060E0">
        <w:rPr>
          <w:rFonts w:asciiTheme="minorHAnsi" w:hAnsiTheme="minorHAnsi" w:cstheme="minorHAnsi"/>
          <w:szCs w:val="20"/>
        </w:rPr>
        <w:t xml:space="preserve">previous </w:t>
      </w:r>
      <w:r w:rsidR="00294FA8" w:rsidRPr="005060E0">
        <w:rPr>
          <w:rFonts w:asciiTheme="minorHAnsi" w:hAnsiTheme="minorHAnsi" w:cstheme="minorHAnsi"/>
          <w:szCs w:val="20"/>
        </w:rPr>
        <w:t xml:space="preserve">value of </w:t>
      </w:r>
      <w:r w:rsidR="00294FA8" w:rsidRPr="005060E0">
        <w:rPr>
          <w:rFonts w:cs="Arial"/>
          <w:szCs w:val="20"/>
        </w:rPr>
        <w:t>120 μg/m</w:t>
      </w:r>
      <w:r w:rsidR="00294FA8" w:rsidRPr="005060E0">
        <w:rPr>
          <w:rFonts w:cs="Arial"/>
          <w:szCs w:val="20"/>
          <w:vertAlign w:val="superscript"/>
        </w:rPr>
        <w:t>3</w:t>
      </w:r>
      <w:r w:rsidR="00294FA8" w:rsidRPr="005060E0">
        <w:rPr>
          <w:rFonts w:cs="Arial"/>
          <w:szCs w:val="20"/>
        </w:rPr>
        <w:t xml:space="preserve"> </w:t>
      </w:r>
      <w:r w:rsidR="00906FD2" w:rsidRPr="005060E0">
        <w:rPr>
          <w:rFonts w:cs="Arial"/>
          <w:szCs w:val="20"/>
        </w:rPr>
        <w:t xml:space="preserve">defined in the second edition of </w:t>
      </w:r>
      <w:r w:rsidR="00906FD2" w:rsidRPr="005060E0">
        <w:rPr>
          <w:rFonts w:cs="Arial"/>
          <w:i/>
          <w:szCs w:val="20"/>
        </w:rPr>
        <w:t>Air Quality G</w:t>
      </w:r>
      <w:r w:rsidR="00294FA8" w:rsidRPr="005060E0">
        <w:rPr>
          <w:rFonts w:cs="Arial"/>
          <w:i/>
          <w:szCs w:val="20"/>
        </w:rPr>
        <w:t>uidelines for Europe</w:t>
      </w:r>
      <w:r w:rsidR="005B5511" w:rsidRPr="005060E0">
        <w:rPr>
          <w:rFonts w:cs="Arial"/>
          <w:szCs w:val="20"/>
        </w:rPr>
        <w:t xml:space="preserve"> (WHO 2000</w:t>
      </w:r>
      <w:r w:rsidR="00294FA8" w:rsidRPr="005060E0">
        <w:rPr>
          <w:rFonts w:cs="Arial"/>
          <w:szCs w:val="20"/>
        </w:rPr>
        <w:t>).</w:t>
      </w:r>
      <w:r w:rsidR="00294FA8" w:rsidRPr="005060E0">
        <w:rPr>
          <w:rFonts w:asciiTheme="minorHAnsi" w:hAnsiTheme="minorHAnsi" w:cstheme="minorHAnsi"/>
          <w:szCs w:val="20"/>
        </w:rPr>
        <w:t xml:space="preserve"> </w:t>
      </w:r>
      <w:r>
        <w:rPr>
          <w:rFonts w:asciiTheme="minorHAnsi" w:hAnsiTheme="minorHAnsi" w:cstheme="minorHAnsi"/>
          <w:szCs w:val="20"/>
        </w:rPr>
        <w:t xml:space="preserve">The </w:t>
      </w:r>
      <w:r w:rsidR="005B5511" w:rsidRPr="005060E0">
        <w:rPr>
          <w:rFonts w:cs="Arial"/>
          <w:szCs w:val="20"/>
        </w:rPr>
        <w:t>WHO noted that it is possible health effects could occur below 100 μg/m</w:t>
      </w:r>
      <w:r w:rsidR="005B5511" w:rsidRPr="005060E0">
        <w:rPr>
          <w:rFonts w:cs="Arial"/>
          <w:szCs w:val="20"/>
          <w:vertAlign w:val="superscript"/>
        </w:rPr>
        <w:t>3</w:t>
      </w:r>
      <w:r w:rsidR="005B5511" w:rsidRPr="005060E0">
        <w:rPr>
          <w:rFonts w:cs="Arial"/>
          <w:szCs w:val="20"/>
        </w:rPr>
        <w:t xml:space="preserve"> in some sensitive individuals. </w:t>
      </w:r>
    </w:p>
    <w:p w14:paraId="5F1A8F63" w14:textId="30DF9759" w:rsidR="00CB6059" w:rsidRPr="005060E0" w:rsidRDefault="00CB6059" w:rsidP="00CB6059">
      <w:pPr>
        <w:pStyle w:val="PBTablecaption"/>
      </w:pPr>
      <w:bookmarkStart w:id="202" w:name="_Ref508525196"/>
      <w:bookmarkStart w:id="203" w:name="_Toc508305388"/>
      <w:r w:rsidRPr="005060E0">
        <w:t xml:space="preserve">Table </w:t>
      </w:r>
      <w:r w:rsidR="009863AA" w:rsidRPr="005060E0">
        <w:rPr>
          <w:noProof/>
        </w:rPr>
        <w:fldChar w:fldCharType="begin"/>
      </w:r>
      <w:r w:rsidR="009863AA" w:rsidRPr="005060E0">
        <w:rPr>
          <w:noProof/>
        </w:rPr>
        <w:instrText xml:space="preserve"> STYLEREF 1 \s </w:instrText>
      </w:r>
      <w:r w:rsidR="009863AA" w:rsidRPr="005060E0">
        <w:rPr>
          <w:noProof/>
        </w:rPr>
        <w:fldChar w:fldCharType="separate"/>
      </w:r>
      <w:r w:rsidR="00F2067C">
        <w:rPr>
          <w:noProof/>
        </w:rPr>
        <w:t>8</w:t>
      </w:r>
      <w:r w:rsidR="009863AA" w:rsidRPr="005060E0">
        <w:rPr>
          <w:noProof/>
        </w:rPr>
        <w:fldChar w:fldCharType="end"/>
      </w:r>
      <w:r w:rsidRPr="005060E0">
        <w:noBreakHyphen/>
      </w:r>
      <w:r w:rsidR="009863AA" w:rsidRPr="005060E0">
        <w:rPr>
          <w:noProof/>
        </w:rPr>
        <w:fldChar w:fldCharType="begin"/>
      </w:r>
      <w:r w:rsidR="009863AA" w:rsidRPr="005060E0">
        <w:rPr>
          <w:noProof/>
        </w:rPr>
        <w:instrText xml:space="preserve"> SEQ Table \* ARABIC \s 1 </w:instrText>
      </w:r>
      <w:r w:rsidR="009863AA" w:rsidRPr="005060E0">
        <w:rPr>
          <w:noProof/>
        </w:rPr>
        <w:fldChar w:fldCharType="separate"/>
      </w:r>
      <w:r w:rsidR="00F2067C">
        <w:rPr>
          <w:noProof/>
        </w:rPr>
        <w:t>2</w:t>
      </w:r>
      <w:r w:rsidR="009863AA" w:rsidRPr="005060E0">
        <w:rPr>
          <w:noProof/>
        </w:rPr>
        <w:fldChar w:fldCharType="end"/>
      </w:r>
      <w:bookmarkEnd w:id="202"/>
      <w:r w:rsidRPr="005060E0">
        <w:t xml:space="preserve">: Current WHO guideline </w:t>
      </w:r>
      <w:bookmarkEnd w:id="203"/>
      <w:r w:rsidRPr="005060E0">
        <w:t>for O</w:t>
      </w:r>
      <w:r w:rsidRPr="005060E0">
        <w:rPr>
          <w:vertAlign w:val="subscript"/>
        </w:rPr>
        <w:t>3</w:t>
      </w:r>
      <w:r w:rsidRPr="005060E0">
        <w:t xml:space="preserve"> (WHO 2006)</w:t>
      </w:r>
    </w:p>
    <w:tbl>
      <w:tblPr>
        <w:tblStyle w:val="LightList-Accent11"/>
        <w:tblW w:w="5000" w:type="pct"/>
        <w:tblBorders>
          <w:top w:val="single" w:sz="4" w:space="0" w:color="606372" w:themeColor="text2"/>
          <w:left w:val="single" w:sz="4" w:space="0" w:color="606372" w:themeColor="text2"/>
          <w:bottom w:val="single" w:sz="4" w:space="0" w:color="606372" w:themeColor="text2"/>
          <w:right w:val="single" w:sz="4" w:space="0" w:color="606372" w:themeColor="text2"/>
          <w:insideH w:val="single" w:sz="4" w:space="0" w:color="606372" w:themeColor="text2"/>
          <w:insideV w:val="single" w:sz="4" w:space="0" w:color="606372" w:themeColor="text2"/>
        </w:tblBorders>
        <w:tblLook w:val="04A0" w:firstRow="1" w:lastRow="0" w:firstColumn="1" w:lastColumn="0" w:noHBand="0" w:noVBand="1"/>
      </w:tblPr>
      <w:tblGrid>
        <w:gridCol w:w="1410"/>
        <w:gridCol w:w="1026"/>
        <w:gridCol w:w="915"/>
        <w:gridCol w:w="919"/>
        <w:gridCol w:w="3994"/>
        <w:gridCol w:w="1365"/>
      </w:tblGrid>
      <w:tr w:rsidR="00CB6059" w:rsidRPr="005060E0" w14:paraId="76DE349B" w14:textId="77777777" w:rsidTr="00B839E0">
        <w:trPr>
          <w:cnfStyle w:val="100000000000" w:firstRow="1" w:lastRow="0" w:firstColumn="0" w:lastColumn="0" w:oddVBand="0" w:evenVBand="0" w:oddHBand="0" w:evenHBand="0" w:firstRowFirstColumn="0" w:firstRowLastColumn="0" w:lastRowFirstColumn="0" w:lastRowLastColumn="0"/>
          <w:trHeight w:hRule="exact" w:val="312"/>
          <w:tblHeader/>
        </w:trPr>
        <w:tc>
          <w:tcPr>
            <w:cnfStyle w:val="001000000000" w:firstRow="0" w:lastRow="0" w:firstColumn="1" w:lastColumn="0" w:oddVBand="0" w:evenVBand="0" w:oddHBand="0" w:evenHBand="0" w:firstRowFirstColumn="0" w:firstRowLastColumn="0" w:lastRowFirstColumn="0" w:lastRowLastColumn="0"/>
            <w:tcW w:w="732" w:type="pct"/>
            <w:vMerge w:val="restart"/>
            <w:shd w:val="clear" w:color="auto" w:fill="606075"/>
            <w:vAlign w:val="center"/>
          </w:tcPr>
          <w:p w14:paraId="18FBC220" w14:textId="77777777" w:rsidR="00CB6059" w:rsidRPr="005060E0" w:rsidRDefault="00CB6059" w:rsidP="00B561C0">
            <w:pPr>
              <w:spacing w:before="60" w:after="60" w:line="240" w:lineRule="auto"/>
              <w:jc w:val="center"/>
              <w:rPr>
                <w:rFonts w:cs="Arial"/>
                <w:b w:val="0"/>
                <w:color w:val="FFFFFF" w:themeColor="background1"/>
                <w:sz w:val="16"/>
                <w:szCs w:val="16"/>
                <w:lang w:val="en-AU"/>
              </w:rPr>
            </w:pPr>
            <w:r w:rsidRPr="005060E0">
              <w:rPr>
                <w:rFonts w:cs="Arial"/>
                <w:b w:val="0"/>
                <w:color w:val="FFFFFF" w:themeColor="background1"/>
                <w:sz w:val="16"/>
                <w:szCs w:val="16"/>
                <w:lang w:val="en-AU"/>
              </w:rPr>
              <w:t>Agency</w:t>
            </w:r>
          </w:p>
        </w:tc>
        <w:tc>
          <w:tcPr>
            <w:tcW w:w="533" w:type="pct"/>
            <w:vMerge w:val="restart"/>
            <w:shd w:val="clear" w:color="auto" w:fill="606075"/>
            <w:vAlign w:val="center"/>
          </w:tcPr>
          <w:p w14:paraId="0D531474" w14:textId="77777777" w:rsidR="00CB6059" w:rsidRPr="005060E0" w:rsidRDefault="00CB6059" w:rsidP="00B561C0">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Averaging period</w:t>
            </w:r>
          </w:p>
        </w:tc>
        <w:tc>
          <w:tcPr>
            <w:tcW w:w="952" w:type="pct"/>
            <w:gridSpan w:val="2"/>
            <w:shd w:val="clear" w:color="auto" w:fill="606075"/>
            <w:vAlign w:val="center"/>
          </w:tcPr>
          <w:p w14:paraId="47445CEA" w14:textId="77777777" w:rsidR="00CB6059" w:rsidRPr="005060E0" w:rsidRDefault="00CB6059" w:rsidP="00B561C0">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Guideline</w:t>
            </w:r>
            <w:r w:rsidRPr="005060E0">
              <w:rPr>
                <w:rFonts w:cs="Arial"/>
                <w:b w:val="0"/>
                <w:color w:val="FFFFFF" w:themeColor="background1"/>
                <w:sz w:val="16"/>
                <w:szCs w:val="16"/>
                <w:vertAlign w:val="superscript"/>
                <w:lang w:val="en-AU"/>
              </w:rPr>
              <w:t>(a)</w:t>
            </w:r>
          </w:p>
        </w:tc>
        <w:tc>
          <w:tcPr>
            <w:tcW w:w="2074" w:type="pct"/>
            <w:vMerge w:val="restart"/>
            <w:shd w:val="clear" w:color="auto" w:fill="606075"/>
            <w:vAlign w:val="center"/>
          </w:tcPr>
          <w:p w14:paraId="24AD4E62" w14:textId="77777777" w:rsidR="00CB6059" w:rsidRPr="005060E0" w:rsidRDefault="00CB6059" w:rsidP="00B561C0">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Form of standard</w:t>
            </w:r>
          </w:p>
        </w:tc>
        <w:tc>
          <w:tcPr>
            <w:tcW w:w="709" w:type="pct"/>
            <w:vMerge w:val="restart"/>
            <w:shd w:val="clear" w:color="auto" w:fill="606075"/>
            <w:vAlign w:val="center"/>
          </w:tcPr>
          <w:p w14:paraId="27A4C31F" w14:textId="77777777" w:rsidR="00CB6059" w:rsidRPr="005060E0" w:rsidRDefault="00CB6059" w:rsidP="00B561C0">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Allowable exceedances</w:t>
            </w:r>
          </w:p>
        </w:tc>
      </w:tr>
      <w:tr w:rsidR="00CB6059" w:rsidRPr="005060E0" w14:paraId="64379240" w14:textId="77777777" w:rsidTr="00B839E0">
        <w:trPr>
          <w:cnfStyle w:val="100000000000" w:firstRow="1" w:lastRow="0" w:firstColumn="0" w:lastColumn="0" w:oddVBand="0" w:evenVBand="0" w:oddHBand="0" w:evenHBand="0" w:firstRowFirstColumn="0" w:firstRowLastColumn="0" w:lastRowFirstColumn="0" w:lastRowLastColumn="0"/>
          <w:trHeight w:hRule="exact" w:val="312"/>
          <w:tblHeader/>
        </w:trPr>
        <w:tc>
          <w:tcPr>
            <w:cnfStyle w:val="001000000000" w:firstRow="0" w:lastRow="0" w:firstColumn="1" w:lastColumn="0" w:oddVBand="0" w:evenVBand="0" w:oddHBand="0" w:evenHBand="0" w:firstRowFirstColumn="0" w:firstRowLastColumn="0" w:lastRowFirstColumn="0" w:lastRowLastColumn="0"/>
            <w:tcW w:w="732" w:type="pct"/>
            <w:vMerge/>
            <w:tcBorders>
              <w:bottom w:val="single" w:sz="4" w:space="0" w:color="606072"/>
            </w:tcBorders>
            <w:shd w:val="clear" w:color="auto" w:fill="606075"/>
            <w:vAlign w:val="center"/>
          </w:tcPr>
          <w:p w14:paraId="45950EED" w14:textId="77777777" w:rsidR="00CB6059" w:rsidRPr="005060E0" w:rsidRDefault="00CB6059" w:rsidP="00B561C0">
            <w:pPr>
              <w:spacing w:before="60" w:after="60" w:line="240" w:lineRule="auto"/>
              <w:jc w:val="center"/>
              <w:rPr>
                <w:rFonts w:cs="Arial"/>
                <w:b w:val="0"/>
                <w:color w:val="FFFFFF" w:themeColor="background1"/>
                <w:sz w:val="16"/>
                <w:szCs w:val="16"/>
                <w:lang w:val="en-AU"/>
              </w:rPr>
            </w:pPr>
          </w:p>
        </w:tc>
        <w:tc>
          <w:tcPr>
            <w:tcW w:w="533" w:type="pct"/>
            <w:vMerge/>
            <w:tcBorders>
              <w:bottom w:val="single" w:sz="4" w:space="0" w:color="606072"/>
            </w:tcBorders>
            <w:shd w:val="clear" w:color="auto" w:fill="606075"/>
            <w:vAlign w:val="center"/>
          </w:tcPr>
          <w:p w14:paraId="026A743E" w14:textId="77777777" w:rsidR="00CB6059" w:rsidRPr="005060E0" w:rsidRDefault="00CB6059" w:rsidP="00B561C0">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p>
        </w:tc>
        <w:tc>
          <w:tcPr>
            <w:tcW w:w="475" w:type="pct"/>
            <w:tcBorders>
              <w:bottom w:val="single" w:sz="4" w:space="0" w:color="606072"/>
            </w:tcBorders>
            <w:shd w:val="clear" w:color="auto" w:fill="606075"/>
            <w:vAlign w:val="center"/>
          </w:tcPr>
          <w:p w14:paraId="48FA0F58" w14:textId="77777777" w:rsidR="00CB6059" w:rsidRPr="005060E0" w:rsidRDefault="00CB6059" w:rsidP="00B561C0">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ppb</w:t>
            </w:r>
          </w:p>
        </w:tc>
        <w:tc>
          <w:tcPr>
            <w:tcW w:w="477" w:type="pct"/>
            <w:tcBorders>
              <w:bottom w:val="single" w:sz="4" w:space="0" w:color="606072"/>
            </w:tcBorders>
            <w:shd w:val="clear" w:color="auto" w:fill="606075"/>
            <w:vAlign w:val="center"/>
          </w:tcPr>
          <w:p w14:paraId="3C2B6BE0" w14:textId="77777777" w:rsidR="00CB6059" w:rsidRPr="005060E0" w:rsidRDefault="00CB6059" w:rsidP="00B561C0">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µg/m</w:t>
            </w:r>
            <w:r w:rsidRPr="005060E0">
              <w:rPr>
                <w:rFonts w:cs="Arial"/>
                <w:b w:val="0"/>
                <w:color w:val="FFFFFF" w:themeColor="background1"/>
                <w:sz w:val="16"/>
                <w:szCs w:val="16"/>
                <w:vertAlign w:val="superscript"/>
                <w:lang w:val="en-AU"/>
              </w:rPr>
              <w:t>3</w:t>
            </w:r>
          </w:p>
        </w:tc>
        <w:tc>
          <w:tcPr>
            <w:tcW w:w="2074" w:type="pct"/>
            <w:vMerge/>
            <w:tcBorders>
              <w:bottom w:val="single" w:sz="4" w:space="0" w:color="606072"/>
            </w:tcBorders>
            <w:shd w:val="clear" w:color="auto" w:fill="606075"/>
            <w:vAlign w:val="center"/>
          </w:tcPr>
          <w:p w14:paraId="68D65719" w14:textId="77777777" w:rsidR="00CB6059" w:rsidRPr="005060E0" w:rsidRDefault="00CB6059" w:rsidP="00B561C0">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p>
        </w:tc>
        <w:tc>
          <w:tcPr>
            <w:tcW w:w="709" w:type="pct"/>
            <w:vMerge/>
            <w:tcBorders>
              <w:bottom w:val="single" w:sz="4" w:space="0" w:color="606072"/>
            </w:tcBorders>
            <w:shd w:val="clear" w:color="auto" w:fill="606075"/>
          </w:tcPr>
          <w:p w14:paraId="01D85B6A" w14:textId="77777777" w:rsidR="00CB6059" w:rsidRPr="005060E0" w:rsidRDefault="00CB6059" w:rsidP="00B561C0">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p>
        </w:tc>
      </w:tr>
      <w:tr w:rsidR="00CB6059" w:rsidRPr="005060E0" w14:paraId="210A27C9" w14:textId="77777777" w:rsidTr="007E602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32" w:type="pct"/>
            <w:tcBorders>
              <w:top w:val="single" w:sz="4" w:space="0" w:color="606072"/>
              <w:left w:val="single" w:sz="4" w:space="0" w:color="606072"/>
              <w:bottom w:val="single" w:sz="4" w:space="0" w:color="606072"/>
              <w:right w:val="single" w:sz="4" w:space="0" w:color="606072"/>
            </w:tcBorders>
            <w:vAlign w:val="center"/>
          </w:tcPr>
          <w:p w14:paraId="42F2898D" w14:textId="77777777" w:rsidR="00CB6059" w:rsidRPr="005060E0" w:rsidRDefault="00CB6059" w:rsidP="00B561C0">
            <w:pPr>
              <w:spacing w:before="60" w:after="60" w:line="240" w:lineRule="auto"/>
              <w:jc w:val="center"/>
              <w:rPr>
                <w:rFonts w:cs="Arial"/>
                <w:b w:val="0"/>
                <w:sz w:val="16"/>
                <w:szCs w:val="16"/>
                <w:lang w:val="en-AU"/>
              </w:rPr>
            </w:pPr>
            <w:r w:rsidRPr="005060E0">
              <w:rPr>
                <w:rFonts w:cs="Arial"/>
                <w:b w:val="0"/>
                <w:sz w:val="16"/>
                <w:szCs w:val="16"/>
                <w:lang w:val="en-AU"/>
              </w:rPr>
              <w:t>WHO</w:t>
            </w:r>
          </w:p>
        </w:tc>
        <w:tc>
          <w:tcPr>
            <w:tcW w:w="533" w:type="pct"/>
            <w:tcBorders>
              <w:top w:val="single" w:sz="4" w:space="0" w:color="606072"/>
              <w:left w:val="single" w:sz="4" w:space="0" w:color="606072"/>
              <w:bottom w:val="single" w:sz="4" w:space="0" w:color="606072"/>
              <w:right w:val="single" w:sz="4" w:space="0" w:color="606072"/>
            </w:tcBorders>
            <w:vAlign w:val="center"/>
          </w:tcPr>
          <w:p w14:paraId="6D93D111" w14:textId="77777777" w:rsidR="00CB6059" w:rsidRPr="005060E0" w:rsidRDefault="00CB6059" w:rsidP="00B561C0">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8-hour</w:t>
            </w:r>
            <w:r w:rsidRPr="005060E0">
              <w:rPr>
                <w:rFonts w:cs="Arial"/>
                <w:sz w:val="16"/>
                <w:szCs w:val="16"/>
                <w:vertAlign w:val="superscript"/>
                <w:lang w:val="en-AU"/>
              </w:rPr>
              <w:t>(b)</w:t>
            </w:r>
          </w:p>
        </w:tc>
        <w:tc>
          <w:tcPr>
            <w:tcW w:w="475" w:type="pct"/>
            <w:tcBorders>
              <w:top w:val="single" w:sz="4" w:space="0" w:color="606072"/>
              <w:left w:val="single" w:sz="4" w:space="0" w:color="606072"/>
              <w:bottom w:val="single" w:sz="4" w:space="0" w:color="606072"/>
              <w:right w:val="single" w:sz="4" w:space="0" w:color="606072"/>
            </w:tcBorders>
            <w:vAlign w:val="center"/>
          </w:tcPr>
          <w:p w14:paraId="5AC87A20" w14:textId="77777777" w:rsidR="00CB6059" w:rsidRPr="005060E0" w:rsidRDefault="00CB6059" w:rsidP="00B561C0">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i/>
                <w:sz w:val="16"/>
                <w:szCs w:val="16"/>
                <w:lang w:val="en-AU"/>
              </w:rPr>
            </w:pPr>
            <w:r w:rsidRPr="005060E0">
              <w:rPr>
                <w:rFonts w:cs="Arial"/>
                <w:i/>
                <w:sz w:val="16"/>
                <w:szCs w:val="16"/>
                <w:lang w:val="en-AU"/>
              </w:rPr>
              <w:t>47</w:t>
            </w:r>
          </w:p>
        </w:tc>
        <w:tc>
          <w:tcPr>
            <w:tcW w:w="477" w:type="pct"/>
            <w:tcBorders>
              <w:top w:val="single" w:sz="4" w:space="0" w:color="606072"/>
              <w:left w:val="single" w:sz="4" w:space="0" w:color="606072"/>
              <w:bottom w:val="single" w:sz="4" w:space="0" w:color="606072"/>
              <w:right w:val="single" w:sz="4" w:space="0" w:color="606072"/>
            </w:tcBorders>
            <w:vAlign w:val="center"/>
          </w:tcPr>
          <w:p w14:paraId="58020EB1" w14:textId="77777777" w:rsidR="00CB6059" w:rsidRPr="005060E0" w:rsidRDefault="00CB6059" w:rsidP="00B561C0">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100</w:t>
            </w:r>
          </w:p>
        </w:tc>
        <w:tc>
          <w:tcPr>
            <w:tcW w:w="2074" w:type="pct"/>
            <w:tcBorders>
              <w:top w:val="single" w:sz="4" w:space="0" w:color="606072"/>
              <w:left w:val="single" w:sz="4" w:space="0" w:color="606072"/>
              <w:bottom w:val="single" w:sz="4" w:space="0" w:color="606072"/>
              <w:right w:val="single" w:sz="4" w:space="0" w:color="606072"/>
            </w:tcBorders>
            <w:vAlign w:val="center"/>
          </w:tcPr>
          <w:p w14:paraId="61FA79CF" w14:textId="2332F6F0" w:rsidR="00CB6059" w:rsidRPr="005060E0" w:rsidRDefault="00B0062C" w:rsidP="00B561C0">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Pr>
                <w:rFonts w:cs="Arial"/>
                <w:sz w:val="16"/>
                <w:szCs w:val="16"/>
                <w:lang w:val="en-AU"/>
              </w:rPr>
              <w:t>–</w:t>
            </w:r>
          </w:p>
        </w:tc>
        <w:tc>
          <w:tcPr>
            <w:tcW w:w="709" w:type="pct"/>
            <w:tcBorders>
              <w:top w:val="single" w:sz="4" w:space="0" w:color="606072"/>
              <w:left w:val="single" w:sz="4" w:space="0" w:color="606072"/>
              <w:bottom w:val="single" w:sz="4" w:space="0" w:color="606072"/>
              <w:right w:val="single" w:sz="4" w:space="0" w:color="606072"/>
            </w:tcBorders>
            <w:vAlign w:val="center"/>
          </w:tcPr>
          <w:p w14:paraId="611FEE69" w14:textId="77777777" w:rsidR="00CB6059" w:rsidRPr="005060E0" w:rsidRDefault="00CB6059" w:rsidP="00B561C0">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None</w:t>
            </w:r>
          </w:p>
        </w:tc>
      </w:tr>
    </w:tbl>
    <w:p w14:paraId="1DA5043E" w14:textId="269B16F0" w:rsidR="00CB6059" w:rsidRPr="005060E0" w:rsidRDefault="00CB6059" w:rsidP="00B81325">
      <w:pPr>
        <w:pStyle w:val="ListParagraph"/>
        <w:widowControl w:val="0"/>
        <w:numPr>
          <w:ilvl w:val="0"/>
          <w:numId w:val="55"/>
        </w:numPr>
        <w:spacing w:before="60" w:after="0" w:line="240" w:lineRule="auto"/>
        <w:ind w:left="284" w:hanging="284"/>
        <w:contextualSpacing w:val="0"/>
        <w:rPr>
          <w:rFonts w:asciiTheme="minorHAnsi" w:hAnsiTheme="minorHAnsi" w:cstheme="minorHAnsi"/>
          <w:b/>
          <w:szCs w:val="20"/>
        </w:rPr>
      </w:pPr>
      <w:r w:rsidRPr="005060E0">
        <w:rPr>
          <w:sz w:val="16"/>
          <w:szCs w:val="16"/>
        </w:rPr>
        <w:t xml:space="preserve">Values in italics have been obtained using the conversion factors stated at the start of this </w:t>
      </w:r>
      <w:r w:rsidR="00DF05A9" w:rsidRPr="005060E0">
        <w:rPr>
          <w:sz w:val="16"/>
          <w:szCs w:val="16"/>
        </w:rPr>
        <w:t>Impact Statement</w:t>
      </w:r>
      <w:r w:rsidRPr="005060E0">
        <w:rPr>
          <w:sz w:val="16"/>
          <w:szCs w:val="16"/>
        </w:rPr>
        <w:t>.</w:t>
      </w:r>
    </w:p>
    <w:p w14:paraId="5EA0772B" w14:textId="77777777" w:rsidR="00CB6059" w:rsidRPr="005060E0" w:rsidRDefault="00CB6059" w:rsidP="00B81325">
      <w:pPr>
        <w:pStyle w:val="ListParagraph"/>
        <w:widowControl w:val="0"/>
        <w:numPr>
          <w:ilvl w:val="0"/>
          <w:numId w:val="55"/>
        </w:numPr>
        <w:spacing w:before="60" w:after="0" w:line="240" w:lineRule="auto"/>
        <w:ind w:left="284" w:hanging="284"/>
        <w:contextualSpacing w:val="0"/>
        <w:rPr>
          <w:rFonts w:asciiTheme="minorHAnsi" w:hAnsiTheme="minorHAnsi" w:cstheme="minorHAnsi"/>
          <w:b/>
          <w:szCs w:val="20"/>
        </w:rPr>
      </w:pPr>
      <w:r w:rsidRPr="005060E0">
        <w:rPr>
          <w:sz w:val="16"/>
          <w:szCs w:val="16"/>
        </w:rPr>
        <w:t>Maximum daily rolling 8-hour average.</w:t>
      </w:r>
    </w:p>
    <w:p w14:paraId="63852C1B" w14:textId="62564726" w:rsidR="0081690E" w:rsidRPr="00B0062C" w:rsidRDefault="00B0062C" w:rsidP="00B0062C">
      <w:pPr>
        <w:widowControl w:val="0"/>
        <w:spacing w:before="360" w:after="240"/>
      </w:pPr>
      <w:r>
        <w:rPr>
          <w:rFonts w:cs="Arial"/>
          <w:szCs w:val="20"/>
        </w:rPr>
        <w:t xml:space="preserve">The </w:t>
      </w:r>
      <w:r w:rsidR="00906FD2" w:rsidRPr="005060E0">
        <w:rPr>
          <w:rFonts w:cs="Arial"/>
          <w:szCs w:val="20"/>
        </w:rPr>
        <w:t>WHO does not define</w:t>
      </w:r>
      <w:r w:rsidR="00294FA8" w:rsidRPr="005060E0">
        <w:rPr>
          <w:rFonts w:cs="Arial"/>
          <w:szCs w:val="20"/>
        </w:rPr>
        <w:t xml:space="preserve"> a 1-hour O</w:t>
      </w:r>
      <w:r w:rsidR="00294FA8" w:rsidRPr="005060E0">
        <w:rPr>
          <w:rFonts w:cs="Arial"/>
          <w:sz w:val="13"/>
          <w:szCs w:val="13"/>
        </w:rPr>
        <w:t xml:space="preserve">3 </w:t>
      </w:r>
      <w:r w:rsidR="00906FD2" w:rsidRPr="005060E0">
        <w:rPr>
          <w:rFonts w:cs="Arial"/>
          <w:szCs w:val="20"/>
        </w:rPr>
        <w:t>guideline. I</w:t>
      </w:r>
      <w:r w:rsidR="00CB6059" w:rsidRPr="005060E0">
        <w:t>n adopting a rolling</w:t>
      </w:r>
      <w:r w:rsidR="00262278" w:rsidRPr="005060E0">
        <w:t xml:space="preserve"> 8-hour standard in place of a 1-hour </w:t>
      </w:r>
      <w:r w:rsidR="00AF44BA" w:rsidRPr="005060E0">
        <w:t xml:space="preserve">standard </w:t>
      </w:r>
      <w:r>
        <w:t xml:space="preserve">the </w:t>
      </w:r>
      <w:r w:rsidR="00AF44BA" w:rsidRPr="005060E0">
        <w:t>WHO</w:t>
      </w:r>
      <w:r w:rsidR="00262278" w:rsidRPr="005060E0">
        <w:t xml:space="preserve"> explained </w:t>
      </w:r>
      <w:r w:rsidR="00AF44BA" w:rsidRPr="005060E0">
        <w:t xml:space="preserve">that </w:t>
      </w:r>
      <w:r w:rsidR="00262278" w:rsidRPr="005060E0">
        <w:t>this was based on research indica</w:t>
      </w:r>
      <w:r w:rsidR="00AF44BA" w:rsidRPr="005060E0">
        <w:t>ting prolonged exposure to O</w:t>
      </w:r>
      <w:r w:rsidR="00AF44BA" w:rsidRPr="005060E0">
        <w:rPr>
          <w:vertAlign w:val="subscript"/>
        </w:rPr>
        <w:t>3</w:t>
      </w:r>
      <w:r w:rsidR="00262278" w:rsidRPr="005060E0">
        <w:t xml:space="preserve"> is a more significant public health risk. Hence, an 8-hour averaging period was more relevant than a 1-hour averaging period for the protection of human health</w:t>
      </w:r>
      <w:r>
        <w:t>,</w:t>
      </w:r>
      <w:r w:rsidR="00262278" w:rsidRPr="005060E0">
        <w:t xml:space="preserve"> due to the</w:t>
      </w:r>
      <w:r w:rsidR="00AF44BA" w:rsidRPr="005060E0">
        <w:t xml:space="preserve"> increasing health impacts of O</w:t>
      </w:r>
      <w:r w:rsidR="00AF44BA" w:rsidRPr="005060E0">
        <w:rPr>
          <w:vertAlign w:val="subscript"/>
        </w:rPr>
        <w:t>3</w:t>
      </w:r>
      <w:r w:rsidR="00262278" w:rsidRPr="005060E0">
        <w:t xml:space="preserve"> wi</w:t>
      </w:r>
      <w:r w:rsidR="00AF44BA" w:rsidRPr="005060E0">
        <w:t xml:space="preserve">th exposure over multiple hours. </w:t>
      </w:r>
      <w:r w:rsidR="00AF44BA" w:rsidRPr="005060E0">
        <w:rPr>
          <w:rFonts w:cs="Arial"/>
          <w:szCs w:val="20"/>
        </w:rPr>
        <w:t xml:space="preserve">The 8-hour guideline would also protect against acute 1-hour exposure </w:t>
      </w:r>
      <w:r w:rsidR="00AF44BA" w:rsidRPr="005060E0">
        <w:t xml:space="preserve">(WHO 2000; NEPC 2005). Similarly, </w:t>
      </w:r>
      <w:r>
        <w:t xml:space="preserve">the </w:t>
      </w:r>
      <w:r w:rsidR="00AF44BA" w:rsidRPr="005060E0">
        <w:t>WHO does not provide a 4-hour guideline for O</w:t>
      </w:r>
      <w:r w:rsidR="00AF44BA" w:rsidRPr="005060E0">
        <w:rPr>
          <w:vertAlign w:val="subscript"/>
        </w:rPr>
        <w:t>3</w:t>
      </w:r>
      <w:r w:rsidR="00AF44BA" w:rsidRPr="005060E0">
        <w:t>.</w:t>
      </w:r>
      <w:r w:rsidR="00DA447E" w:rsidRPr="005060E0">
        <w:rPr>
          <w:color w:val="7030A0"/>
        </w:rPr>
        <w:t xml:space="preserve"> </w:t>
      </w:r>
      <w:r w:rsidR="0081690E" w:rsidRPr="005060E0">
        <w:t>The REVIHAAP project concluded that epidemiological evidence supported health estimates based on daily maximum 8-hour O</w:t>
      </w:r>
      <w:r w:rsidR="0081690E" w:rsidRPr="005060E0">
        <w:rPr>
          <w:vertAlign w:val="subscript"/>
        </w:rPr>
        <w:t>3</w:t>
      </w:r>
      <w:r w:rsidR="0081690E" w:rsidRPr="005060E0">
        <w:t xml:space="preserve"> (WHO 2013b). </w:t>
      </w:r>
      <w:r>
        <w:t xml:space="preserve">The </w:t>
      </w:r>
      <w:r w:rsidR="0081690E" w:rsidRPr="005060E0">
        <w:t>WHO did not find evidence that a 1</w:t>
      </w:r>
      <w:r w:rsidR="0081690E" w:rsidRPr="005060E0">
        <w:noBreakHyphen/>
        <w:t>hour standard provided any additional health protection.</w:t>
      </w:r>
    </w:p>
    <w:p w14:paraId="0396723D" w14:textId="1126C477" w:rsidR="00CB16C9" w:rsidRPr="005060E0" w:rsidRDefault="00471007" w:rsidP="0043533F">
      <w:pPr>
        <w:pStyle w:val="Heading2"/>
      </w:pPr>
      <w:bookmarkStart w:id="204" w:name="_Toc3278981"/>
      <w:r w:rsidRPr="005060E0">
        <w:t>A</w:t>
      </w:r>
      <w:r w:rsidR="00CB16C9" w:rsidRPr="005060E0">
        <w:t>ir quality standards</w:t>
      </w:r>
      <w:r w:rsidRPr="005060E0">
        <w:t xml:space="preserve"> in </w:t>
      </w:r>
      <w:r w:rsidR="007116E3" w:rsidRPr="005060E0">
        <w:t>other leading countries</w:t>
      </w:r>
      <w:bookmarkEnd w:id="204"/>
    </w:p>
    <w:p w14:paraId="08FD2C87" w14:textId="74727AF1" w:rsidR="00690F83" w:rsidRPr="005060E0" w:rsidRDefault="00CB16C9" w:rsidP="00B0062C">
      <w:pPr>
        <w:spacing w:after="360"/>
      </w:pPr>
      <w:r w:rsidRPr="005060E0">
        <w:t>The current in</w:t>
      </w:r>
      <w:r w:rsidR="00AF44BA" w:rsidRPr="005060E0">
        <w:t>ternational standards</w:t>
      </w:r>
      <w:r w:rsidR="00B0062C" w:rsidRPr="005060E0">
        <w:t xml:space="preserve"> for O</w:t>
      </w:r>
      <w:r w:rsidR="00B0062C" w:rsidRPr="005060E0">
        <w:rPr>
          <w:vertAlign w:val="subscript"/>
        </w:rPr>
        <w:t>3</w:t>
      </w:r>
      <w:r w:rsidR="00AF44BA" w:rsidRPr="005060E0">
        <w:t xml:space="preserve"> to </w:t>
      </w:r>
      <w:r w:rsidRPr="005060E0">
        <w:t xml:space="preserve">protect human health are summarised in </w:t>
      </w:r>
      <w:r w:rsidRPr="005060E0">
        <w:fldChar w:fldCharType="begin"/>
      </w:r>
      <w:r w:rsidRPr="005060E0">
        <w:instrText xml:space="preserve"> REF _Ref478934525 \h  \* MERGEFORMAT </w:instrText>
      </w:r>
      <w:r w:rsidRPr="005060E0">
        <w:fldChar w:fldCharType="separate"/>
      </w:r>
      <w:r w:rsidR="00F2067C" w:rsidRPr="005060E0">
        <w:t xml:space="preserve">Table </w:t>
      </w:r>
      <w:r w:rsidR="00F2067C">
        <w:rPr>
          <w:noProof/>
        </w:rPr>
        <w:t>8</w:t>
      </w:r>
      <w:r w:rsidR="00F2067C" w:rsidRPr="005060E0">
        <w:rPr>
          <w:noProof/>
        </w:rPr>
        <w:noBreakHyphen/>
      </w:r>
      <w:r w:rsidR="00F2067C">
        <w:rPr>
          <w:noProof/>
        </w:rPr>
        <w:t>3</w:t>
      </w:r>
      <w:r w:rsidRPr="005060E0">
        <w:fldChar w:fldCharType="end"/>
      </w:r>
      <w:r w:rsidRPr="005060E0">
        <w:t xml:space="preserve">. </w:t>
      </w:r>
      <w:r w:rsidR="00C13007" w:rsidRPr="005060E0">
        <w:t>As O</w:t>
      </w:r>
      <w:r w:rsidR="00C13007" w:rsidRPr="005060E0">
        <w:rPr>
          <w:vertAlign w:val="subscript"/>
        </w:rPr>
        <w:t>3</w:t>
      </w:r>
      <w:r w:rsidR="00C13007" w:rsidRPr="005060E0">
        <w:t xml:space="preserve"> forms in the presence of sunlight, tighter O</w:t>
      </w:r>
      <w:r w:rsidR="00C13007" w:rsidRPr="005060E0">
        <w:rPr>
          <w:vertAlign w:val="subscript"/>
        </w:rPr>
        <w:t>3</w:t>
      </w:r>
      <w:r w:rsidR="00C13007" w:rsidRPr="005060E0">
        <w:t xml:space="preserve"> standards are more likely to be adopted in colder climate countries where O</w:t>
      </w:r>
      <w:r w:rsidR="00C13007" w:rsidRPr="005060E0">
        <w:rPr>
          <w:vertAlign w:val="subscript"/>
        </w:rPr>
        <w:t>3</w:t>
      </w:r>
      <w:r w:rsidR="00C13007" w:rsidRPr="005060E0">
        <w:t xml:space="preserve"> formation potential is lower. O</w:t>
      </w:r>
      <w:r w:rsidR="00C13007" w:rsidRPr="005060E0">
        <w:rPr>
          <w:vertAlign w:val="subscript"/>
        </w:rPr>
        <w:t>3</w:t>
      </w:r>
      <w:r w:rsidR="00C13007" w:rsidRPr="005060E0">
        <w:t xml:space="preserve"> is often higher and more difficult to control in large, hot metropolitan areas.</w:t>
      </w:r>
      <w:r w:rsidR="00690F83" w:rsidRPr="005060E0">
        <w:t xml:space="preserve"> Because different O</w:t>
      </w:r>
      <w:r w:rsidR="00690F83" w:rsidRPr="005060E0">
        <w:rPr>
          <w:vertAlign w:val="subscript"/>
        </w:rPr>
        <w:t>3</w:t>
      </w:r>
      <w:r w:rsidR="00690F83" w:rsidRPr="005060E0">
        <w:t xml:space="preserve"> standards have been adopted by different jurisdictions, a summary for each averaging period is provided below.</w:t>
      </w:r>
    </w:p>
    <w:p w14:paraId="55907E7D" w14:textId="6C5DD924" w:rsidR="003B2992" w:rsidRPr="005060E0" w:rsidRDefault="003B2992" w:rsidP="003B2992">
      <w:pPr>
        <w:pStyle w:val="PBTablecaption"/>
      </w:pPr>
      <w:bookmarkStart w:id="205" w:name="_Ref478934525"/>
      <w:bookmarkStart w:id="206" w:name="_Toc479201758"/>
      <w:bookmarkStart w:id="207" w:name="_Toc508305389"/>
      <w:r w:rsidRPr="005060E0">
        <w:t xml:space="preserve">Table </w:t>
      </w:r>
      <w:r w:rsidR="009863AA" w:rsidRPr="005060E0">
        <w:rPr>
          <w:noProof/>
        </w:rPr>
        <w:fldChar w:fldCharType="begin"/>
      </w:r>
      <w:r w:rsidR="009863AA" w:rsidRPr="005060E0">
        <w:rPr>
          <w:noProof/>
        </w:rPr>
        <w:instrText xml:space="preserve"> STYLEREF 1 \s </w:instrText>
      </w:r>
      <w:r w:rsidR="009863AA" w:rsidRPr="005060E0">
        <w:rPr>
          <w:noProof/>
        </w:rPr>
        <w:fldChar w:fldCharType="separate"/>
      </w:r>
      <w:r w:rsidR="00F2067C">
        <w:rPr>
          <w:noProof/>
        </w:rPr>
        <w:t>8</w:t>
      </w:r>
      <w:r w:rsidR="009863AA" w:rsidRPr="005060E0">
        <w:rPr>
          <w:noProof/>
        </w:rPr>
        <w:fldChar w:fldCharType="end"/>
      </w:r>
      <w:r w:rsidRPr="005060E0">
        <w:noBreakHyphen/>
      </w:r>
      <w:r w:rsidR="009863AA" w:rsidRPr="005060E0">
        <w:rPr>
          <w:noProof/>
        </w:rPr>
        <w:fldChar w:fldCharType="begin"/>
      </w:r>
      <w:r w:rsidR="009863AA" w:rsidRPr="005060E0">
        <w:rPr>
          <w:noProof/>
        </w:rPr>
        <w:instrText xml:space="preserve"> SEQ Table \* ARABIC \s 1 </w:instrText>
      </w:r>
      <w:r w:rsidR="009863AA" w:rsidRPr="005060E0">
        <w:rPr>
          <w:noProof/>
        </w:rPr>
        <w:fldChar w:fldCharType="separate"/>
      </w:r>
      <w:r w:rsidR="00F2067C">
        <w:rPr>
          <w:noProof/>
        </w:rPr>
        <w:t>3</w:t>
      </w:r>
      <w:r w:rsidR="009863AA" w:rsidRPr="005060E0">
        <w:rPr>
          <w:noProof/>
        </w:rPr>
        <w:fldChar w:fldCharType="end"/>
      </w:r>
      <w:bookmarkEnd w:id="205"/>
      <w:r w:rsidRPr="005060E0">
        <w:t>: International standards for O</w:t>
      </w:r>
      <w:r w:rsidRPr="005060E0">
        <w:rPr>
          <w:vertAlign w:val="subscript"/>
        </w:rPr>
        <w:t>3</w:t>
      </w:r>
      <w:bookmarkEnd w:id="206"/>
      <w:bookmarkEnd w:id="207"/>
    </w:p>
    <w:tbl>
      <w:tblPr>
        <w:tblStyle w:val="LightList-Accent11"/>
        <w:tblW w:w="5000" w:type="pct"/>
        <w:tblBorders>
          <w:top w:val="single" w:sz="4" w:space="0" w:color="606372" w:themeColor="text2"/>
          <w:left w:val="single" w:sz="4" w:space="0" w:color="606372" w:themeColor="text2"/>
          <w:bottom w:val="single" w:sz="4" w:space="0" w:color="606372" w:themeColor="text2"/>
          <w:right w:val="single" w:sz="4" w:space="0" w:color="606372" w:themeColor="text2"/>
          <w:insideH w:val="single" w:sz="4" w:space="0" w:color="606372" w:themeColor="text2"/>
          <w:insideV w:val="single" w:sz="4" w:space="0" w:color="606372" w:themeColor="text2"/>
        </w:tblBorders>
        <w:tblLook w:val="04A0" w:firstRow="1" w:lastRow="0" w:firstColumn="1" w:lastColumn="0" w:noHBand="0" w:noVBand="1"/>
      </w:tblPr>
      <w:tblGrid>
        <w:gridCol w:w="1271"/>
        <w:gridCol w:w="1843"/>
        <w:gridCol w:w="992"/>
        <w:gridCol w:w="1134"/>
        <w:gridCol w:w="2126"/>
        <w:gridCol w:w="2263"/>
      </w:tblGrid>
      <w:tr w:rsidR="003B2992" w:rsidRPr="005060E0" w14:paraId="7DBB9D85" w14:textId="77777777" w:rsidTr="007E6026">
        <w:trPr>
          <w:cnfStyle w:val="100000000000" w:firstRow="1" w:lastRow="0" w:firstColumn="0" w:lastColumn="0" w:oddVBand="0" w:evenVBand="0" w:oddHBand="0" w:evenHBand="0" w:firstRowFirstColumn="0" w:firstRowLastColumn="0" w:lastRowFirstColumn="0" w:lastRowLastColumn="0"/>
          <w:trHeight w:hRule="exact" w:val="312"/>
          <w:tblHeader/>
        </w:trPr>
        <w:tc>
          <w:tcPr>
            <w:cnfStyle w:val="001000000000" w:firstRow="0" w:lastRow="0" w:firstColumn="1" w:lastColumn="0" w:oddVBand="0" w:evenVBand="0" w:oddHBand="0" w:evenHBand="0" w:firstRowFirstColumn="0" w:firstRowLastColumn="0" w:lastRowFirstColumn="0" w:lastRowLastColumn="0"/>
            <w:tcW w:w="660" w:type="pct"/>
            <w:vMerge w:val="restart"/>
            <w:shd w:val="clear" w:color="auto" w:fill="606075"/>
            <w:vAlign w:val="center"/>
          </w:tcPr>
          <w:p w14:paraId="2351630B" w14:textId="77777777" w:rsidR="003B2992" w:rsidRPr="005060E0" w:rsidRDefault="003B2992" w:rsidP="00B561C0">
            <w:pPr>
              <w:widowControl w:val="0"/>
              <w:spacing w:after="0" w:line="240" w:lineRule="auto"/>
              <w:jc w:val="center"/>
              <w:rPr>
                <w:rFonts w:cs="Arial"/>
                <w:b w:val="0"/>
                <w:color w:val="FFFFFF" w:themeColor="background1"/>
                <w:sz w:val="16"/>
                <w:szCs w:val="16"/>
                <w:lang w:val="en-AU"/>
              </w:rPr>
            </w:pPr>
            <w:r w:rsidRPr="005060E0">
              <w:rPr>
                <w:rFonts w:cs="Arial"/>
                <w:b w:val="0"/>
                <w:color w:val="FFFFFF" w:themeColor="background1"/>
                <w:sz w:val="16"/>
                <w:szCs w:val="16"/>
                <w:lang w:val="en-AU"/>
              </w:rPr>
              <w:t>Averaging period</w:t>
            </w:r>
          </w:p>
        </w:tc>
        <w:tc>
          <w:tcPr>
            <w:tcW w:w="957" w:type="pct"/>
            <w:vMerge w:val="restart"/>
            <w:shd w:val="clear" w:color="auto" w:fill="606075"/>
            <w:vAlign w:val="center"/>
          </w:tcPr>
          <w:p w14:paraId="04516A7A" w14:textId="77777777" w:rsidR="003B2992" w:rsidRPr="005060E0" w:rsidRDefault="003B2992" w:rsidP="00B561C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Country</w:t>
            </w:r>
          </w:p>
        </w:tc>
        <w:tc>
          <w:tcPr>
            <w:tcW w:w="1104" w:type="pct"/>
            <w:gridSpan w:val="2"/>
            <w:shd w:val="clear" w:color="auto" w:fill="606075"/>
            <w:vAlign w:val="center"/>
          </w:tcPr>
          <w:p w14:paraId="426E76C1" w14:textId="77777777" w:rsidR="003B2992" w:rsidRPr="005060E0" w:rsidRDefault="003B2992" w:rsidP="00B561C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Standard</w:t>
            </w:r>
            <w:r w:rsidRPr="005060E0">
              <w:rPr>
                <w:rFonts w:cs="Arial"/>
                <w:b w:val="0"/>
                <w:color w:val="FFFFFF" w:themeColor="background1"/>
                <w:sz w:val="16"/>
                <w:szCs w:val="16"/>
                <w:vertAlign w:val="superscript"/>
                <w:lang w:val="en-AU"/>
              </w:rPr>
              <w:t>(a)</w:t>
            </w:r>
          </w:p>
        </w:tc>
        <w:tc>
          <w:tcPr>
            <w:tcW w:w="1104" w:type="pct"/>
            <w:vMerge w:val="restart"/>
            <w:shd w:val="clear" w:color="auto" w:fill="606075"/>
            <w:vAlign w:val="center"/>
          </w:tcPr>
          <w:p w14:paraId="22CE98F1" w14:textId="77777777" w:rsidR="003B2992" w:rsidRPr="005060E0" w:rsidRDefault="003B2992" w:rsidP="00B561C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Form of standard</w:t>
            </w:r>
          </w:p>
        </w:tc>
        <w:tc>
          <w:tcPr>
            <w:tcW w:w="1175" w:type="pct"/>
            <w:vMerge w:val="restart"/>
            <w:shd w:val="clear" w:color="auto" w:fill="606075"/>
            <w:vAlign w:val="center"/>
          </w:tcPr>
          <w:p w14:paraId="6ACE0C52" w14:textId="77777777" w:rsidR="003B2992" w:rsidRPr="005060E0" w:rsidRDefault="003B2992" w:rsidP="00B561C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Allowable exceedances</w:t>
            </w:r>
          </w:p>
        </w:tc>
      </w:tr>
      <w:tr w:rsidR="003B2992" w:rsidRPr="005060E0" w14:paraId="5C329C38" w14:textId="77777777" w:rsidTr="007E6026">
        <w:trPr>
          <w:cnfStyle w:val="100000000000" w:firstRow="1" w:lastRow="0" w:firstColumn="0" w:lastColumn="0" w:oddVBand="0" w:evenVBand="0" w:oddHBand="0" w:evenHBand="0" w:firstRowFirstColumn="0" w:firstRowLastColumn="0" w:lastRowFirstColumn="0" w:lastRowLastColumn="0"/>
          <w:trHeight w:hRule="exact" w:val="312"/>
          <w:tblHeader/>
        </w:trPr>
        <w:tc>
          <w:tcPr>
            <w:cnfStyle w:val="001000000000" w:firstRow="0" w:lastRow="0" w:firstColumn="1" w:lastColumn="0" w:oddVBand="0" w:evenVBand="0" w:oddHBand="0" w:evenHBand="0" w:firstRowFirstColumn="0" w:firstRowLastColumn="0" w:lastRowFirstColumn="0" w:lastRowLastColumn="0"/>
            <w:tcW w:w="660" w:type="pct"/>
            <w:vMerge/>
            <w:tcBorders>
              <w:bottom w:val="single" w:sz="4" w:space="0" w:color="606372" w:themeColor="text2"/>
            </w:tcBorders>
            <w:shd w:val="clear" w:color="auto" w:fill="606075"/>
            <w:vAlign w:val="center"/>
          </w:tcPr>
          <w:p w14:paraId="219701B6" w14:textId="77777777" w:rsidR="003B2992" w:rsidRPr="005060E0" w:rsidRDefault="003B2992" w:rsidP="00B561C0">
            <w:pPr>
              <w:widowControl w:val="0"/>
              <w:spacing w:after="0" w:line="240" w:lineRule="auto"/>
              <w:jc w:val="center"/>
              <w:rPr>
                <w:rFonts w:cs="Arial"/>
                <w:b w:val="0"/>
                <w:color w:val="FFFFFF" w:themeColor="background1"/>
                <w:sz w:val="16"/>
                <w:szCs w:val="16"/>
                <w:lang w:val="en-AU"/>
              </w:rPr>
            </w:pPr>
          </w:p>
        </w:tc>
        <w:tc>
          <w:tcPr>
            <w:tcW w:w="957" w:type="pct"/>
            <w:vMerge/>
            <w:tcBorders>
              <w:bottom w:val="single" w:sz="4" w:space="0" w:color="606372" w:themeColor="text2"/>
            </w:tcBorders>
            <w:shd w:val="clear" w:color="auto" w:fill="606075"/>
            <w:vAlign w:val="center"/>
          </w:tcPr>
          <w:p w14:paraId="3929697A" w14:textId="77777777" w:rsidR="003B2992" w:rsidRPr="005060E0" w:rsidRDefault="003B2992" w:rsidP="00B561C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p>
        </w:tc>
        <w:tc>
          <w:tcPr>
            <w:tcW w:w="515" w:type="pct"/>
            <w:tcBorders>
              <w:bottom w:val="single" w:sz="4" w:space="0" w:color="606372" w:themeColor="text2"/>
            </w:tcBorders>
            <w:shd w:val="clear" w:color="auto" w:fill="606075"/>
            <w:vAlign w:val="center"/>
          </w:tcPr>
          <w:p w14:paraId="04C0364E" w14:textId="77777777" w:rsidR="003B2992" w:rsidRPr="005060E0" w:rsidRDefault="003B2992" w:rsidP="00B561C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ppb</w:t>
            </w:r>
          </w:p>
        </w:tc>
        <w:tc>
          <w:tcPr>
            <w:tcW w:w="589" w:type="pct"/>
            <w:tcBorders>
              <w:bottom w:val="single" w:sz="4" w:space="0" w:color="606372" w:themeColor="text2"/>
            </w:tcBorders>
            <w:shd w:val="clear" w:color="auto" w:fill="606075"/>
            <w:vAlign w:val="center"/>
          </w:tcPr>
          <w:p w14:paraId="5CEFFEAA" w14:textId="77777777" w:rsidR="003B2992" w:rsidRPr="005060E0" w:rsidRDefault="003B2992" w:rsidP="00B561C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r w:rsidRPr="005060E0">
              <w:rPr>
                <w:rFonts w:cs="Arial"/>
                <w:b w:val="0"/>
                <w:color w:val="FFFFFF" w:themeColor="background1"/>
                <w:sz w:val="16"/>
                <w:szCs w:val="16"/>
                <w:lang w:val="en-AU"/>
              </w:rPr>
              <w:t>µg/m</w:t>
            </w:r>
            <w:r w:rsidRPr="005060E0">
              <w:rPr>
                <w:rFonts w:cs="Arial"/>
                <w:b w:val="0"/>
                <w:color w:val="FFFFFF" w:themeColor="background1"/>
                <w:sz w:val="16"/>
                <w:szCs w:val="16"/>
                <w:vertAlign w:val="superscript"/>
                <w:lang w:val="en-AU"/>
              </w:rPr>
              <w:t>3</w:t>
            </w:r>
          </w:p>
        </w:tc>
        <w:tc>
          <w:tcPr>
            <w:tcW w:w="1104" w:type="pct"/>
            <w:vMerge/>
            <w:tcBorders>
              <w:bottom w:val="single" w:sz="4" w:space="0" w:color="606372" w:themeColor="text2"/>
            </w:tcBorders>
            <w:shd w:val="clear" w:color="auto" w:fill="606075"/>
            <w:vAlign w:val="center"/>
          </w:tcPr>
          <w:p w14:paraId="7E099FAA" w14:textId="77777777" w:rsidR="003B2992" w:rsidRPr="005060E0" w:rsidRDefault="003B2992" w:rsidP="00B561C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p>
        </w:tc>
        <w:tc>
          <w:tcPr>
            <w:tcW w:w="1175" w:type="pct"/>
            <w:vMerge/>
            <w:tcBorders>
              <w:bottom w:val="single" w:sz="4" w:space="0" w:color="606372" w:themeColor="text2"/>
            </w:tcBorders>
            <w:shd w:val="clear" w:color="auto" w:fill="606075"/>
          </w:tcPr>
          <w:p w14:paraId="523F29C7" w14:textId="77777777" w:rsidR="003B2992" w:rsidRPr="005060E0" w:rsidRDefault="003B2992" w:rsidP="00B561C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lang w:val="en-AU"/>
              </w:rPr>
            </w:pPr>
          </w:p>
        </w:tc>
      </w:tr>
      <w:tr w:rsidR="003B2992" w:rsidRPr="005060E0" w14:paraId="6CF54BA1" w14:textId="77777777" w:rsidTr="007E602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660" w:type="pct"/>
            <w:vMerge w:val="restart"/>
            <w:tcBorders>
              <w:top w:val="single" w:sz="4" w:space="0" w:color="606372" w:themeColor="text2"/>
              <w:left w:val="single" w:sz="4" w:space="0" w:color="606372" w:themeColor="text2"/>
            </w:tcBorders>
            <w:vAlign w:val="center"/>
          </w:tcPr>
          <w:p w14:paraId="1CA003E3" w14:textId="77777777" w:rsidR="003B2992" w:rsidRPr="005060E0" w:rsidRDefault="003B2992" w:rsidP="00B561C0">
            <w:pPr>
              <w:widowControl w:val="0"/>
              <w:spacing w:after="0" w:line="240" w:lineRule="auto"/>
              <w:jc w:val="center"/>
              <w:rPr>
                <w:rFonts w:cs="Arial"/>
                <w:b w:val="0"/>
                <w:sz w:val="16"/>
                <w:szCs w:val="16"/>
                <w:lang w:val="en-AU"/>
              </w:rPr>
            </w:pPr>
            <w:r w:rsidRPr="005060E0">
              <w:rPr>
                <w:rFonts w:cs="Arial"/>
                <w:b w:val="0"/>
                <w:sz w:val="16"/>
                <w:szCs w:val="16"/>
                <w:lang w:val="en-AU"/>
              </w:rPr>
              <w:t>1-hour</w:t>
            </w:r>
          </w:p>
        </w:tc>
        <w:tc>
          <w:tcPr>
            <w:tcW w:w="957" w:type="pct"/>
            <w:tcBorders>
              <w:top w:val="single" w:sz="4" w:space="0" w:color="606372" w:themeColor="text2"/>
              <w:bottom w:val="dotted" w:sz="4" w:space="0" w:color="606072"/>
            </w:tcBorders>
            <w:shd w:val="clear" w:color="auto" w:fill="DEDFE3" w:themeFill="text2" w:themeFillTint="33"/>
            <w:vAlign w:val="center"/>
          </w:tcPr>
          <w:p w14:paraId="41C1D263" w14:textId="77777777" w:rsidR="003B2992" w:rsidRPr="005060E0" w:rsidRDefault="003B2992" w:rsidP="00B561C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Australia</w:t>
            </w:r>
          </w:p>
        </w:tc>
        <w:tc>
          <w:tcPr>
            <w:tcW w:w="515" w:type="pct"/>
            <w:tcBorders>
              <w:top w:val="single" w:sz="4" w:space="0" w:color="606372" w:themeColor="text2"/>
              <w:bottom w:val="dotted" w:sz="4" w:space="0" w:color="606072"/>
              <w:right w:val="dotted" w:sz="4" w:space="0" w:color="606072"/>
            </w:tcBorders>
            <w:shd w:val="clear" w:color="auto" w:fill="DEDFE3" w:themeFill="text2" w:themeFillTint="33"/>
            <w:vAlign w:val="center"/>
          </w:tcPr>
          <w:p w14:paraId="43B0FF46" w14:textId="77777777" w:rsidR="003B2992" w:rsidRPr="005060E0" w:rsidRDefault="003B2992" w:rsidP="00B561C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100</w:t>
            </w:r>
          </w:p>
        </w:tc>
        <w:tc>
          <w:tcPr>
            <w:tcW w:w="589" w:type="pct"/>
            <w:tcBorders>
              <w:top w:val="single" w:sz="4" w:space="0" w:color="606372" w:themeColor="text2"/>
              <w:left w:val="dotted" w:sz="4" w:space="0" w:color="606072"/>
              <w:bottom w:val="dotted" w:sz="4" w:space="0" w:color="606072"/>
            </w:tcBorders>
            <w:shd w:val="clear" w:color="auto" w:fill="DEDFE3" w:themeFill="text2" w:themeFillTint="33"/>
            <w:vAlign w:val="center"/>
          </w:tcPr>
          <w:p w14:paraId="783DFC10" w14:textId="77777777" w:rsidR="003B2992" w:rsidRPr="005060E0" w:rsidRDefault="003B2992" w:rsidP="00B561C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6"/>
                <w:szCs w:val="16"/>
                <w:lang w:val="en-AU"/>
              </w:rPr>
            </w:pPr>
            <w:r w:rsidRPr="005060E0">
              <w:rPr>
                <w:rFonts w:cs="Arial"/>
                <w:i/>
                <w:sz w:val="16"/>
                <w:szCs w:val="16"/>
                <w:lang w:val="en-AU"/>
              </w:rPr>
              <w:t>214</w:t>
            </w:r>
          </w:p>
        </w:tc>
        <w:tc>
          <w:tcPr>
            <w:tcW w:w="1104" w:type="pct"/>
            <w:tcBorders>
              <w:top w:val="single" w:sz="4" w:space="0" w:color="606372" w:themeColor="text2"/>
              <w:bottom w:val="dotted" w:sz="4" w:space="0" w:color="606072"/>
              <w:right w:val="single" w:sz="4" w:space="0" w:color="606372" w:themeColor="text2"/>
            </w:tcBorders>
            <w:shd w:val="clear" w:color="auto" w:fill="DEDFE3" w:themeFill="text2" w:themeFillTint="33"/>
            <w:vAlign w:val="center"/>
          </w:tcPr>
          <w:p w14:paraId="7CFBF7A2" w14:textId="070DE1C6" w:rsidR="003B2992" w:rsidRPr="005060E0" w:rsidRDefault="0091668A" w:rsidP="00B561C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Pr>
                <w:rFonts w:cs="Arial"/>
                <w:sz w:val="16"/>
                <w:szCs w:val="16"/>
                <w:lang w:val="en-AU"/>
              </w:rPr>
              <w:t>–</w:t>
            </w:r>
          </w:p>
        </w:tc>
        <w:tc>
          <w:tcPr>
            <w:tcW w:w="1175" w:type="pct"/>
            <w:tcBorders>
              <w:top w:val="single" w:sz="4" w:space="0" w:color="606372" w:themeColor="text2"/>
              <w:bottom w:val="dotted" w:sz="4" w:space="0" w:color="606072"/>
              <w:right w:val="single" w:sz="4" w:space="0" w:color="606372" w:themeColor="text2"/>
            </w:tcBorders>
            <w:shd w:val="clear" w:color="auto" w:fill="DEDFE3" w:themeFill="text2" w:themeFillTint="33"/>
            <w:vAlign w:val="center"/>
          </w:tcPr>
          <w:p w14:paraId="6957EB93" w14:textId="77777777" w:rsidR="003B2992" w:rsidRPr="005060E0" w:rsidRDefault="003B2992" w:rsidP="00B561C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1 day per year</w:t>
            </w:r>
          </w:p>
        </w:tc>
      </w:tr>
      <w:tr w:rsidR="0091668A" w:rsidRPr="005060E0" w14:paraId="27FCC69E" w14:textId="77777777" w:rsidTr="004A5271">
        <w:trPr>
          <w:trHeight w:hRule="exact" w:val="340"/>
        </w:trPr>
        <w:tc>
          <w:tcPr>
            <w:cnfStyle w:val="001000000000" w:firstRow="0" w:lastRow="0" w:firstColumn="1" w:lastColumn="0" w:oddVBand="0" w:evenVBand="0" w:oddHBand="0" w:evenHBand="0" w:firstRowFirstColumn="0" w:firstRowLastColumn="0" w:lastRowFirstColumn="0" w:lastRowLastColumn="0"/>
            <w:tcW w:w="660" w:type="pct"/>
            <w:vMerge/>
            <w:tcBorders>
              <w:left w:val="single" w:sz="4" w:space="0" w:color="606372" w:themeColor="text2"/>
            </w:tcBorders>
            <w:vAlign w:val="center"/>
          </w:tcPr>
          <w:p w14:paraId="1963488A" w14:textId="77777777" w:rsidR="0091668A" w:rsidRPr="005060E0" w:rsidRDefault="0091668A" w:rsidP="0091668A">
            <w:pPr>
              <w:widowControl w:val="0"/>
              <w:spacing w:after="0" w:line="240" w:lineRule="auto"/>
              <w:jc w:val="center"/>
              <w:rPr>
                <w:rFonts w:cs="Arial"/>
                <w:b w:val="0"/>
                <w:sz w:val="16"/>
                <w:szCs w:val="16"/>
                <w:lang w:val="en-AU"/>
              </w:rPr>
            </w:pPr>
          </w:p>
        </w:tc>
        <w:tc>
          <w:tcPr>
            <w:tcW w:w="957" w:type="pct"/>
            <w:tcBorders>
              <w:top w:val="dotted" w:sz="4" w:space="0" w:color="606072"/>
              <w:bottom w:val="dotted" w:sz="4" w:space="0" w:color="606372" w:themeColor="text2"/>
            </w:tcBorders>
            <w:shd w:val="clear" w:color="auto" w:fill="auto"/>
            <w:vAlign w:val="center"/>
          </w:tcPr>
          <w:p w14:paraId="10E2A316" w14:textId="77777777" w:rsidR="0091668A" w:rsidRPr="005060E0" w:rsidRDefault="0091668A" w:rsidP="0091668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New Zealand</w:t>
            </w:r>
          </w:p>
        </w:tc>
        <w:tc>
          <w:tcPr>
            <w:tcW w:w="515" w:type="pct"/>
            <w:tcBorders>
              <w:top w:val="dotted" w:sz="4" w:space="0" w:color="606072"/>
              <w:bottom w:val="dotted" w:sz="4" w:space="0" w:color="606372" w:themeColor="text2"/>
              <w:right w:val="dotted" w:sz="4" w:space="0" w:color="606072"/>
            </w:tcBorders>
            <w:shd w:val="clear" w:color="auto" w:fill="auto"/>
            <w:vAlign w:val="center"/>
          </w:tcPr>
          <w:p w14:paraId="61974B5F" w14:textId="77777777" w:rsidR="0091668A" w:rsidRPr="005060E0" w:rsidRDefault="0091668A" w:rsidP="0091668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6"/>
                <w:szCs w:val="16"/>
                <w:lang w:val="en-AU"/>
              </w:rPr>
            </w:pPr>
            <w:r w:rsidRPr="005060E0">
              <w:rPr>
                <w:rFonts w:cs="Arial"/>
                <w:i/>
                <w:sz w:val="16"/>
                <w:szCs w:val="16"/>
                <w:lang w:val="en-AU"/>
              </w:rPr>
              <w:t>70</w:t>
            </w:r>
          </w:p>
        </w:tc>
        <w:tc>
          <w:tcPr>
            <w:tcW w:w="589" w:type="pct"/>
            <w:tcBorders>
              <w:top w:val="dotted" w:sz="4" w:space="0" w:color="606072"/>
              <w:left w:val="dotted" w:sz="4" w:space="0" w:color="606072"/>
              <w:bottom w:val="dotted" w:sz="4" w:space="0" w:color="606372" w:themeColor="text2"/>
            </w:tcBorders>
            <w:shd w:val="clear" w:color="auto" w:fill="auto"/>
            <w:vAlign w:val="center"/>
          </w:tcPr>
          <w:p w14:paraId="04336730" w14:textId="77777777" w:rsidR="0091668A" w:rsidRPr="005060E0" w:rsidRDefault="0091668A" w:rsidP="0091668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150</w:t>
            </w:r>
          </w:p>
        </w:tc>
        <w:tc>
          <w:tcPr>
            <w:tcW w:w="1104" w:type="pct"/>
            <w:tcBorders>
              <w:top w:val="dotted" w:sz="4" w:space="0" w:color="606072"/>
              <w:bottom w:val="dotted" w:sz="4" w:space="0" w:color="606372" w:themeColor="text2"/>
              <w:right w:val="single" w:sz="4" w:space="0" w:color="606372" w:themeColor="text2"/>
            </w:tcBorders>
            <w:shd w:val="clear" w:color="auto" w:fill="auto"/>
          </w:tcPr>
          <w:p w14:paraId="430A5096" w14:textId="45C987F2" w:rsidR="0091668A" w:rsidRPr="005060E0" w:rsidRDefault="0091668A" w:rsidP="0091668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8F768E">
              <w:rPr>
                <w:rFonts w:cs="Arial"/>
                <w:sz w:val="16"/>
                <w:szCs w:val="16"/>
                <w:lang w:val="en-AU"/>
              </w:rPr>
              <w:t>–</w:t>
            </w:r>
          </w:p>
        </w:tc>
        <w:tc>
          <w:tcPr>
            <w:tcW w:w="1175" w:type="pct"/>
            <w:tcBorders>
              <w:top w:val="dotted" w:sz="4" w:space="0" w:color="606072"/>
              <w:bottom w:val="dotted" w:sz="4" w:space="0" w:color="606372" w:themeColor="text2"/>
              <w:right w:val="single" w:sz="4" w:space="0" w:color="606372" w:themeColor="text2"/>
            </w:tcBorders>
            <w:shd w:val="clear" w:color="auto" w:fill="auto"/>
            <w:vAlign w:val="center"/>
          </w:tcPr>
          <w:p w14:paraId="7DC27483" w14:textId="77777777" w:rsidR="0091668A" w:rsidRPr="005060E0" w:rsidRDefault="0091668A" w:rsidP="0091668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None</w:t>
            </w:r>
          </w:p>
        </w:tc>
      </w:tr>
      <w:tr w:rsidR="0091668A" w:rsidRPr="005060E0" w14:paraId="3B0EDA64" w14:textId="77777777" w:rsidTr="004A527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660" w:type="pct"/>
            <w:vMerge/>
            <w:tcBorders>
              <w:left w:val="single" w:sz="4" w:space="0" w:color="606372" w:themeColor="text2"/>
              <w:bottom w:val="single" w:sz="4" w:space="0" w:color="606372" w:themeColor="text2"/>
            </w:tcBorders>
            <w:vAlign w:val="center"/>
          </w:tcPr>
          <w:p w14:paraId="275C6D26" w14:textId="77777777" w:rsidR="0091668A" w:rsidRPr="005060E0" w:rsidRDefault="0091668A" w:rsidP="0091668A">
            <w:pPr>
              <w:widowControl w:val="0"/>
              <w:spacing w:after="0" w:line="240" w:lineRule="auto"/>
              <w:jc w:val="center"/>
              <w:rPr>
                <w:rFonts w:cs="Arial"/>
                <w:b w:val="0"/>
                <w:sz w:val="16"/>
                <w:szCs w:val="16"/>
                <w:lang w:val="en-AU"/>
              </w:rPr>
            </w:pPr>
          </w:p>
        </w:tc>
        <w:tc>
          <w:tcPr>
            <w:tcW w:w="957" w:type="pct"/>
            <w:tcBorders>
              <w:top w:val="dotted" w:sz="4" w:space="0" w:color="606372" w:themeColor="text2"/>
              <w:bottom w:val="single" w:sz="4" w:space="0" w:color="606372" w:themeColor="text2"/>
            </w:tcBorders>
            <w:shd w:val="clear" w:color="auto" w:fill="auto"/>
            <w:vAlign w:val="center"/>
          </w:tcPr>
          <w:p w14:paraId="1FD404CD" w14:textId="77777777" w:rsidR="0091668A" w:rsidRPr="005060E0" w:rsidRDefault="0091668A" w:rsidP="0091668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California EPA</w:t>
            </w:r>
          </w:p>
        </w:tc>
        <w:tc>
          <w:tcPr>
            <w:tcW w:w="515" w:type="pct"/>
            <w:tcBorders>
              <w:top w:val="dotted" w:sz="4" w:space="0" w:color="606372" w:themeColor="text2"/>
              <w:bottom w:val="single" w:sz="4" w:space="0" w:color="606372" w:themeColor="text2"/>
              <w:right w:val="dotted" w:sz="4" w:space="0" w:color="606072"/>
            </w:tcBorders>
            <w:shd w:val="clear" w:color="auto" w:fill="auto"/>
            <w:vAlign w:val="center"/>
          </w:tcPr>
          <w:p w14:paraId="23C8F694" w14:textId="77777777" w:rsidR="0091668A" w:rsidRPr="005060E0" w:rsidRDefault="0091668A" w:rsidP="0091668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6"/>
                <w:szCs w:val="16"/>
                <w:lang w:val="en-AU"/>
              </w:rPr>
            </w:pPr>
            <w:r w:rsidRPr="005060E0">
              <w:rPr>
                <w:rFonts w:cs="Arial"/>
                <w:i/>
                <w:sz w:val="16"/>
                <w:szCs w:val="16"/>
                <w:lang w:val="en-AU"/>
              </w:rPr>
              <w:t>90</w:t>
            </w:r>
          </w:p>
        </w:tc>
        <w:tc>
          <w:tcPr>
            <w:tcW w:w="589" w:type="pct"/>
            <w:tcBorders>
              <w:top w:val="dotted" w:sz="4" w:space="0" w:color="606372" w:themeColor="text2"/>
              <w:left w:val="dotted" w:sz="4" w:space="0" w:color="606072"/>
              <w:bottom w:val="single" w:sz="4" w:space="0" w:color="606372" w:themeColor="text2"/>
            </w:tcBorders>
            <w:shd w:val="clear" w:color="auto" w:fill="auto"/>
            <w:vAlign w:val="center"/>
          </w:tcPr>
          <w:p w14:paraId="6FA857E4" w14:textId="77777777" w:rsidR="0091668A" w:rsidRPr="005060E0" w:rsidRDefault="0091668A" w:rsidP="0091668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193</w:t>
            </w:r>
          </w:p>
        </w:tc>
        <w:tc>
          <w:tcPr>
            <w:tcW w:w="1104" w:type="pct"/>
            <w:tcBorders>
              <w:top w:val="dotted" w:sz="4" w:space="0" w:color="606372" w:themeColor="text2"/>
              <w:bottom w:val="single" w:sz="4" w:space="0" w:color="606372" w:themeColor="text2"/>
              <w:right w:val="single" w:sz="4" w:space="0" w:color="606372" w:themeColor="text2"/>
            </w:tcBorders>
            <w:shd w:val="clear" w:color="auto" w:fill="auto"/>
          </w:tcPr>
          <w:p w14:paraId="2840B4A6" w14:textId="159F49FC" w:rsidR="0091668A" w:rsidRPr="005060E0" w:rsidRDefault="0091668A" w:rsidP="0091668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8F768E">
              <w:rPr>
                <w:rFonts w:cs="Arial"/>
                <w:sz w:val="16"/>
                <w:szCs w:val="16"/>
                <w:lang w:val="en-AU"/>
              </w:rPr>
              <w:t>–</w:t>
            </w:r>
          </w:p>
        </w:tc>
        <w:tc>
          <w:tcPr>
            <w:tcW w:w="1175" w:type="pct"/>
            <w:tcBorders>
              <w:top w:val="dotted" w:sz="4" w:space="0" w:color="606372" w:themeColor="text2"/>
              <w:bottom w:val="single" w:sz="4" w:space="0" w:color="606372" w:themeColor="text2"/>
              <w:right w:val="single" w:sz="4" w:space="0" w:color="606372" w:themeColor="text2"/>
            </w:tcBorders>
            <w:shd w:val="clear" w:color="auto" w:fill="auto"/>
            <w:vAlign w:val="center"/>
          </w:tcPr>
          <w:p w14:paraId="555F10A8" w14:textId="77777777" w:rsidR="0091668A" w:rsidRPr="005060E0" w:rsidRDefault="0091668A" w:rsidP="0091668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None</w:t>
            </w:r>
          </w:p>
        </w:tc>
      </w:tr>
      <w:tr w:rsidR="0091668A" w:rsidRPr="005060E0" w14:paraId="34D75E16" w14:textId="77777777" w:rsidTr="004A5271">
        <w:trPr>
          <w:trHeight w:hRule="exact" w:val="340"/>
        </w:trPr>
        <w:tc>
          <w:tcPr>
            <w:cnfStyle w:val="001000000000" w:firstRow="0" w:lastRow="0" w:firstColumn="1" w:lastColumn="0" w:oddVBand="0" w:evenVBand="0" w:oddHBand="0" w:evenHBand="0" w:firstRowFirstColumn="0" w:firstRowLastColumn="0" w:lastRowFirstColumn="0" w:lastRowLastColumn="0"/>
            <w:tcW w:w="660" w:type="pct"/>
            <w:tcBorders>
              <w:top w:val="single" w:sz="4" w:space="0" w:color="606372" w:themeColor="text2"/>
              <w:left w:val="single" w:sz="4" w:space="0" w:color="606372" w:themeColor="text2"/>
            </w:tcBorders>
            <w:vAlign w:val="center"/>
          </w:tcPr>
          <w:p w14:paraId="43DD149B" w14:textId="77777777" w:rsidR="0091668A" w:rsidRPr="005060E0" w:rsidRDefault="0091668A" w:rsidP="0091668A">
            <w:pPr>
              <w:widowControl w:val="0"/>
              <w:spacing w:after="0" w:line="240" w:lineRule="auto"/>
              <w:jc w:val="center"/>
              <w:rPr>
                <w:rFonts w:cs="Arial"/>
                <w:b w:val="0"/>
                <w:sz w:val="16"/>
                <w:szCs w:val="16"/>
                <w:lang w:val="en-AU"/>
              </w:rPr>
            </w:pPr>
            <w:r w:rsidRPr="005060E0">
              <w:rPr>
                <w:rFonts w:cs="Arial"/>
                <w:b w:val="0"/>
                <w:sz w:val="16"/>
                <w:szCs w:val="16"/>
                <w:lang w:val="en-AU"/>
              </w:rPr>
              <w:t>Rolling 4-hour</w:t>
            </w:r>
          </w:p>
        </w:tc>
        <w:tc>
          <w:tcPr>
            <w:tcW w:w="957" w:type="pct"/>
            <w:tcBorders>
              <w:top w:val="single" w:sz="4" w:space="0" w:color="606372" w:themeColor="text2"/>
              <w:bottom w:val="dotted" w:sz="4" w:space="0" w:color="606372" w:themeColor="text2"/>
            </w:tcBorders>
            <w:shd w:val="clear" w:color="auto" w:fill="DEDFE3" w:themeFill="text2" w:themeFillTint="33"/>
            <w:vAlign w:val="center"/>
          </w:tcPr>
          <w:p w14:paraId="136C55D4" w14:textId="77777777" w:rsidR="0091668A" w:rsidRPr="005060E0" w:rsidRDefault="0091668A" w:rsidP="0091668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Australia</w:t>
            </w:r>
          </w:p>
        </w:tc>
        <w:tc>
          <w:tcPr>
            <w:tcW w:w="515" w:type="pct"/>
            <w:tcBorders>
              <w:top w:val="single" w:sz="4" w:space="0" w:color="606372" w:themeColor="text2"/>
              <w:bottom w:val="dotted" w:sz="4" w:space="0" w:color="606372" w:themeColor="text2"/>
              <w:right w:val="dotted" w:sz="4" w:space="0" w:color="606072"/>
            </w:tcBorders>
            <w:shd w:val="clear" w:color="auto" w:fill="DEDFE3" w:themeFill="text2" w:themeFillTint="33"/>
            <w:vAlign w:val="center"/>
          </w:tcPr>
          <w:p w14:paraId="3E255F7C" w14:textId="77777777" w:rsidR="0091668A" w:rsidRPr="005060E0" w:rsidRDefault="0091668A" w:rsidP="0091668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80</w:t>
            </w:r>
          </w:p>
        </w:tc>
        <w:tc>
          <w:tcPr>
            <w:tcW w:w="589" w:type="pct"/>
            <w:tcBorders>
              <w:top w:val="single" w:sz="4" w:space="0" w:color="606372" w:themeColor="text2"/>
              <w:left w:val="dotted" w:sz="4" w:space="0" w:color="606072"/>
              <w:bottom w:val="dotted" w:sz="4" w:space="0" w:color="606372" w:themeColor="text2"/>
            </w:tcBorders>
            <w:shd w:val="clear" w:color="auto" w:fill="DEDFE3" w:themeFill="text2" w:themeFillTint="33"/>
            <w:vAlign w:val="center"/>
          </w:tcPr>
          <w:p w14:paraId="3ACCFE1A" w14:textId="77777777" w:rsidR="0091668A" w:rsidRPr="005060E0" w:rsidRDefault="0091668A" w:rsidP="0091668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6"/>
                <w:szCs w:val="16"/>
                <w:lang w:val="en-AU"/>
              </w:rPr>
            </w:pPr>
            <w:r w:rsidRPr="005060E0">
              <w:rPr>
                <w:rFonts w:cs="Arial"/>
                <w:i/>
                <w:sz w:val="16"/>
                <w:szCs w:val="16"/>
                <w:lang w:val="en-AU"/>
              </w:rPr>
              <w:t>171</w:t>
            </w:r>
          </w:p>
        </w:tc>
        <w:tc>
          <w:tcPr>
            <w:tcW w:w="1104" w:type="pct"/>
            <w:tcBorders>
              <w:top w:val="single" w:sz="4" w:space="0" w:color="606372" w:themeColor="text2"/>
              <w:bottom w:val="dotted" w:sz="4" w:space="0" w:color="606372" w:themeColor="text2"/>
              <w:right w:val="single" w:sz="4" w:space="0" w:color="606372" w:themeColor="text2"/>
            </w:tcBorders>
            <w:shd w:val="clear" w:color="auto" w:fill="DEDFE3" w:themeFill="text2" w:themeFillTint="33"/>
          </w:tcPr>
          <w:p w14:paraId="653CEE0E" w14:textId="03642AF8" w:rsidR="0091668A" w:rsidRPr="005060E0" w:rsidRDefault="0091668A" w:rsidP="0091668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8F768E">
              <w:rPr>
                <w:rFonts w:cs="Arial"/>
                <w:sz w:val="16"/>
                <w:szCs w:val="16"/>
                <w:lang w:val="en-AU"/>
              </w:rPr>
              <w:t>–</w:t>
            </w:r>
          </w:p>
        </w:tc>
        <w:tc>
          <w:tcPr>
            <w:tcW w:w="1175" w:type="pct"/>
            <w:tcBorders>
              <w:top w:val="single" w:sz="4" w:space="0" w:color="606372" w:themeColor="text2"/>
              <w:bottom w:val="dotted" w:sz="4" w:space="0" w:color="606372" w:themeColor="text2"/>
              <w:right w:val="single" w:sz="4" w:space="0" w:color="606372" w:themeColor="text2"/>
            </w:tcBorders>
            <w:shd w:val="clear" w:color="auto" w:fill="DEDFE3" w:themeFill="text2" w:themeFillTint="33"/>
            <w:vAlign w:val="center"/>
          </w:tcPr>
          <w:p w14:paraId="6D857B48" w14:textId="77777777" w:rsidR="0091668A" w:rsidRPr="005060E0" w:rsidRDefault="0091668A" w:rsidP="0091668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1 day per year</w:t>
            </w:r>
          </w:p>
        </w:tc>
      </w:tr>
      <w:tr w:rsidR="0091668A" w:rsidRPr="005060E0" w14:paraId="5C27B660" w14:textId="77777777" w:rsidTr="004A527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660" w:type="pct"/>
            <w:vMerge w:val="restart"/>
            <w:tcBorders>
              <w:top w:val="single" w:sz="4" w:space="0" w:color="606372" w:themeColor="text2"/>
              <w:left w:val="single" w:sz="4" w:space="0" w:color="606372" w:themeColor="text2"/>
            </w:tcBorders>
            <w:vAlign w:val="center"/>
          </w:tcPr>
          <w:p w14:paraId="45413F3E" w14:textId="77777777" w:rsidR="0091668A" w:rsidRPr="005060E0" w:rsidRDefault="0091668A" w:rsidP="0091668A">
            <w:pPr>
              <w:widowControl w:val="0"/>
              <w:spacing w:after="0" w:line="240" w:lineRule="auto"/>
              <w:jc w:val="center"/>
              <w:rPr>
                <w:rFonts w:cs="Arial"/>
                <w:b w:val="0"/>
                <w:sz w:val="16"/>
                <w:szCs w:val="16"/>
                <w:lang w:val="en-AU"/>
              </w:rPr>
            </w:pPr>
            <w:r w:rsidRPr="005060E0">
              <w:rPr>
                <w:rFonts w:cs="Arial"/>
                <w:b w:val="0"/>
                <w:sz w:val="16"/>
                <w:szCs w:val="16"/>
                <w:lang w:val="en-AU"/>
              </w:rPr>
              <w:t>Rolling 8-hour</w:t>
            </w:r>
          </w:p>
        </w:tc>
        <w:tc>
          <w:tcPr>
            <w:tcW w:w="957" w:type="pct"/>
            <w:tcBorders>
              <w:top w:val="single" w:sz="4" w:space="0" w:color="606372" w:themeColor="text2"/>
              <w:bottom w:val="dotted" w:sz="4" w:space="0" w:color="606372" w:themeColor="text2"/>
            </w:tcBorders>
            <w:shd w:val="clear" w:color="auto" w:fill="auto"/>
            <w:vAlign w:val="center"/>
          </w:tcPr>
          <w:p w14:paraId="732411C6" w14:textId="77777777" w:rsidR="0091668A" w:rsidRPr="005060E0" w:rsidRDefault="0091668A" w:rsidP="0091668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California EPA</w:t>
            </w:r>
          </w:p>
        </w:tc>
        <w:tc>
          <w:tcPr>
            <w:tcW w:w="515" w:type="pct"/>
            <w:tcBorders>
              <w:top w:val="single" w:sz="4" w:space="0" w:color="606372" w:themeColor="text2"/>
              <w:bottom w:val="dotted" w:sz="4" w:space="0" w:color="606372" w:themeColor="text2"/>
              <w:right w:val="dotted" w:sz="4" w:space="0" w:color="606072"/>
            </w:tcBorders>
            <w:shd w:val="clear" w:color="auto" w:fill="auto"/>
            <w:vAlign w:val="center"/>
          </w:tcPr>
          <w:p w14:paraId="49CADA7B" w14:textId="77777777" w:rsidR="0091668A" w:rsidRPr="005060E0" w:rsidRDefault="0091668A" w:rsidP="0091668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70</w:t>
            </w:r>
          </w:p>
        </w:tc>
        <w:tc>
          <w:tcPr>
            <w:tcW w:w="589" w:type="pct"/>
            <w:tcBorders>
              <w:top w:val="single" w:sz="4" w:space="0" w:color="606372" w:themeColor="text2"/>
              <w:left w:val="dotted" w:sz="4" w:space="0" w:color="606072"/>
              <w:bottom w:val="dotted" w:sz="4" w:space="0" w:color="606372" w:themeColor="text2"/>
            </w:tcBorders>
            <w:shd w:val="clear" w:color="auto" w:fill="auto"/>
            <w:vAlign w:val="center"/>
          </w:tcPr>
          <w:p w14:paraId="062C7CC6" w14:textId="77777777" w:rsidR="0091668A" w:rsidRPr="005060E0" w:rsidRDefault="0091668A" w:rsidP="0091668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i/>
                <w:sz w:val="16"/>
                <w:szCs w:val="16"/>
                <w:lang w:val="en-AU"/>
              </w:rPr>
              <w:t>150</w:t>
            </w:r>
          </w:p>
        </w:tc>
        <w:tc>
          <w:tcPr>
            <w:tcW w:w="1104" w:type="pct"/>
            <w:tcBorders>
              <w:top w:val="single" w:sz="4" w:space="0" w:color="606372" w:themeColor="text2"/>
              <w:bottom w:val="dotted" w:sz="4" w:space="0" w:color="606372" w:themeColor="text2"/>
              <w:right w:val="single" w:sz="4" w:space="0" w:color="606372" w:themeColor="text2"/>
            </w:tcBorders>
            <w:shd w:val="clear" w:color="auto" w:fill="auto"/>
          </w:tcPr>
          <w:p w14:paraId="73BB7478" w14:textId="551C9C90" w:rsidR="0091668A" w:rsidRPr="005060E0" w:rsidRDefault="0091668A" w:rsidP="0091668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8F768E">
              <w:rPr>
                <w:rFonts w:cs="Arial"/>
                <w:sz w:val="16"/>
                <w:szCs w:val="16"/>
                <w:lang w:val="en-AU"/>
              </w:rPr>
              <w:t>–</w:t>
            </w:r>
          </w:p>
        </w:tc>
        <w:tc>
          <w:tcPr>
            <w:tcW w:w="1175" w:type="pct"/>
            <w:tcBorders>
              <w:top w:val="single" w:sz="4" w:space="0" w:color="606372" w:themeColor="text2"/>
              <w:bottom w:val="dotted" w:sz="4" w:space="0" w:color="606372" w:themeColor="text2"/>
              <w:right w:val="single" w:sz="4" w:space="0" w:color="606372" w:themeColor="text2"/>
            </w:tcBorders>
            <w:shd w:val="clear" w:color="auto" w:fill="auto"/>
            <w:vAlign w:val="center"/>
          </w:tcPr>
          <w:p w14:paraId="797016CD" w14:textId="77777777" w:rsidR="0091668A" w:rsidRPr="005060E0" w:rsidRDefault="0091668A" w:rsidP="0091668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None</w:t>
            </w:r>
          </w:p>
        </w:tc>
      </w:tr>
      <w:tr w:rsidR="003B2992" w:rsidRPr="005060E0" w14:paraId="15759801" w14:textId="77777777" w:rsidTr="007E6026">
        <w:trPr>
          <w:trHeight w:hRule="exact" w:val="510"/>
        </w:trPr>
        <w:tc>
          <w:tcPr>
            <w:cnfStyle w:val="001000000000" w:firstRow="0" w:lastRow="0" w:firstColumn="1" w:lastColumn="0" w:oddVBand="0" w:evenVBand="0" w:oddHBand="0" w:evenHBand="0" w:firstRowFirstColumn="0" w:firstRowLastColumn="0" w:lastRowFirstColumn="0" w:lastRowLastColumn="0"/>
            <w:tcW w:w="660" w:type="pct"/>
            <w:vMerge/>
            <w:tcBorders>
              <w:top w:val="single" w:sz="4" w:space="0" w:color="606372" w:themeColor="text2"/>
              <w:left w:val="single" w:sz="4" w:space="0" w:color="606372" w:themeColor="text2"/>
              <w:bottom w:val="single" w:sz="4" w:space="0" w:color="606372" w:themeColor="text2"/>
            </w:tcBorders>
            <w:vAlign w:val="center"/>
          </w:tcPr>
          <w:p w14:paraId="7A8C5D1C" w14:textId="77777777" w:rsidR="003B2992" w:rsidRPr="005060E0" w:rsidRDefault="003B2992" w:rsidP="00B561C0">
            <w:pPr>
              <w:widowControl w:val="0"/>
              <w:spacing w:after="0" w:line="240" w:lineRule="auto"/>
              <w:jc w:val="center"/>
              <w:rPr>
                <w:rFonts w:cs="Arial"/>
                <w:b w:val="0"/>
                <w:sz w:val="16"/>
                <w:szCs w:val="16"/>
                <w:lang w:val="en-AU"/>
              </w:rPr>
            </w:pPr>
          </w:p>
        </w:tc>
        <w:tc>
          <w:tcPr>
            <w:tcW w:w="957" w:type="pct"/>
            <w:tcBorders>
              <w:top w:val="dotted" w:sz="4" w:space="0" w:color="606372" w:themeColor="text2"/>
              <w:bottom w:val="dotted" w:sz="4" w:space="0" w:color="606372" w:themeColor="text2"/>
            </w:tcBorders>
            <w:shd w:val="clear" w:color="auto" w:fill="auto"/>
            <w:vAlign w:val="center"/>
          </w:tcPr>
          <w:p w14:paraId="75DCEC03" w14:textId="76DFEE93" w:rsidR="003B2992" w:rsidRPr="005060E0" w:rsidRDefault="003B2992" w:rsidP="00B561C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USEPA</w:t>
            </w:r>
            <w:r w:rsidR="002672AD" w:rsidRPr="005060E0">
              <w:rPr>
                <w:rFonts w:cs="Arial"/>
                <w:sz w:val="16"/>
                <w:szCs w:val="16"/>
                <w:vertAlign w:val="superscript"/>
                <w:lang w:val="en-AU"/>
              </w:rPr>
              <w:t>(b)</w:t>
            </w:r>
          </w:p>
        </w:tc>
        <w:tc>
          <w:tcPr>
            <w:tcW w:w="515" w:type="pct"/>
            <w:tcBorders>
              <w:top w:val="dotted" w:sz="4" w:space="0" w:color="606372" w:themeColor="text2"/>
              <w:bottom w:val="dotted" w:sz="4" w:space="0" w:color="606372" w:themeColor="text2"/>
              <w:right w:val="dotted" w:sz="4" w:space="0" w:color="606072"/>
            </w:tcBorders>
            <w:shd w:val="clear" w:color="auto" w:fill="auto"/>
            <w:vAlign w:val="center"/>
          </w:tcPr>
          <w:p w14:paraId="37571E36" w14:textId="77777777" w:rsidR="003B2992" w:rsidRPr="005060E0" w:rsidRDefault="003B2992" w:rsidP="00B561C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70</w:t>
            </w:r>
          </w:p>
        </w:tc>
        <w:tc>
          <w:tcPr>
            <w:tcW w:w="589" w:type="pct"/>
            <w:tcBorders>
              <w:top w:val="dotted" w:sz="4" w:space="0" w:color="606372" w:themeColor="text2"/>
              <w:left w:val="dotted" w:sz="4" w:space="0" w:color="606072"/>
              <w:bottom w:val="dotted" w:sz="4" w:space="0" w:color="606372" w:themeColor="text2"/>
            </w:tcBorders>
            <w:shd w:val="clear" w:color="auto" w:fill="auto"/>
            <w:vAlign w:val="center"/>
          </w:tcPr>
          <w:p w14:paraId="242EBF7B" w14:textId="77777777" w:rsidR="003B2992" w:rsidRPr="005060E0" w:rsidRDefault="003B2992" w:rsidP="00B561C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6"/>
                <w:szCs w:val="16"/>
                <w:lang w:val="en-AU"/>
              </w:rPr>
            </w:pPr>
            <w:r w:rsidRPr="005060E0">
              <w:rPr>
                <w:rFonts w:cs="Arial"/>
                <w:i/>
                <w:sz w:val="16"/>
                <w:szCs w:val="16"/>
                <w:lang w:val="en-AU"/>
              </w:rPr>
              <w:t>150</w:t>
            </w:r>
          </w:p>
        </w:tc>
        <w:tc>
          <w:tcPr>
            <w:tcW w:w="1104" w:type="pct"/>
            <w:tcBorders>
              <w:top w:val="dotted" w:sz="4" w:space="0" w:color="606372" w:themeColor="text2"/>
              <w:bottom w:val="dotted" w:sz="4" w:space="0" w:color="606372" w:themeColor="text2"/>
              <w:right w:val="single" w:sz="4" w:space="0" w:color="606372" w:themeColor="text2"/>
            </w:tcBorders>
            <w:shd w:val="clear" w:color="auto" w:fill="auto"/>
            <w:vAlign w:val="center"/>
          </w:tcPr>
          <w:p w14:paraId="30749E90" w14:textId="77777777" w:rsidR="003B2992" w:rsidRPr="005060E0" w:rsidRDefault="003B2992" w:rsidP="00B561C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Annual 4</w:t>
            </w:r>
            <w:r w:rsidRPr="005060E0">
              <w:rPr>
                <w:rFonts w:cs="Arial"/>
                <w:sz w:val="16"/>
                <w:szCs w:val="16"/>
                <w:vertAlign w:val="superscript"/>
                <w:lang w:val="en-AU"/>
              </w:rPr>
              <w:t>th</w:t>
            </w:r>
            <w:r w:rsidRPr="005060E0">
              <w:rPr>
                <w:rFonts w:cs="Arial"/>
                <w:sz w:val="16"/>
                <w:szCs w:val="16"/>
                <w:lang w:val="en-AU"/>
              </w:rPr>
              <w:t xml:space="preserve"> highest value averaged over 3 years</w:t>
            </w:r>
          </w:p>
        </w:tc>
        <w:tc>
          <w:tcPr>
            <w:tcW w:w="1175" w:type="pct"/>
            <w:tcBorders>
              <w:top w:val="dotted" w:sz="4" w:space="0" w:color="606372" w:themeColor="text2"/>
              <w:bottom w:val="dotted" w:sz="4" w:space="0" w:color="606372" w:themeColor="text2"/>
              <w:right w:val="single" w:sz="4" w:space="0" w:color="606372" w:themeColor="text2"/>
            </w:tcBorders>
            <w:shd w:val="clear" w:color="auto" w:fill="auto"/>
            <w:vAlign w:val="center"/>
          </w:tcPr>
          <w:p w14:paraId="04F3BBBB" w14:textId="52A037A4" w:rsidR="003B2992" w:rsidRPr="005060E0" w:rsidRDefault="003B2992" w:rsidP="00B561C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None</w:t>
            </w:r>
            <w:r w:rsidR="00D91F99" w:rsidRPr="005060E0">
              <w:rPr>
                <w:rFonts w:cs="Arial"/>
                <w:sz w:val="16"/>
                <w:szCs w:val="16"/>
                <w:lang w:val="en-AU"/>
              </w:rPr>
              <w:t xml:space="preserve"> (but an exceptional events rule is defined)</w:t>
            </w:r>
          </w:p>
        </w:tc>
      </w:tr>
      <w:tr w:rsidR="003B2992" w:rsidRPr="005060E0" w14:paraId="3AA676DC" w14:textId="77777777" w:rsidTr="007E602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0" w:type="pct"/>
            <w:vMerge/>
            <w:tcBorders>
              <w:left w:val="single" w:sz="4" w:space="0" w:color="606372" w:themeColor="text2"/>
            </w:tcBorders>
            <w:vAlign w:val="center"/>
          </w:tcPr>
          <w:p w14:paraId="5B551223" w14:textId="77777777" w:rsidR="003B2992" w:rsidRPr="005060E0" w:rsidRDefault="003B2992" w:rsidP="00B561C0">
            <w:pPr>
              <w:widowControl w:val="0"/>
              <w:spacing w:after="0" w:line="240" w:lineRule="auto"/>
              <w:jc w:val="center"/>
              <w:rPr>
                <w:rFonts w:cs="Arial"/>
                <w:b w:val="0"/>
                <w:sz w:val="16"/>
                <w:szCs w:val="16"/>
                <w:lang w:val="en-AU"/>
              </w:rPr>
            </w:pPr>
          </w:p>
        </w:tc>
        <w:tc>
          <w:tcPr>
            <w:tcW w:w="957" w:type="pct"/>
            <w:tcBorders>
              <w:top w:val="dotted" w:sz="4" w:space="0" w:color="606372" w:themeColor="text2"/>
              <w:bottom w:val="dotted" w:sz="4" w:space="0" w:color="606372" w:themeColor="text2"/>
            </w:tcBorders>
            <w:shd w:val="clear" w:color="auto" w:fill="auto"/>
            <w:vAlign w:val="center"/>
          </w:tcPr>
          <w:p w14:paraId="69A5B642" w14:textId="6CBD09BA" w:rsidR="003B2992" w:rsidRPr="005060E0" w:rsidRDefault="003B2992" w:rsidP="00B561C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United Kingdom</w:t>
            </w:r>
            <w:r w:rsidR="002672AD" w:rsidRPr="005060E0">
              <w:rPr>
                <w:rFonts w:cs="Arial"/>
                <w:sz w:val="16"/>
                <w:szCs w:val="16"/>
                <w:vertAlign w:val="superscript"/>
                <w:lang w:val="en-AU"/>
              </w:rPr>
              <w:t>(c)</w:t>
            </w:r>
          </w:p>
        </w:tc>
        <w:tc>
          <w:tcPr>
            <w:tcW w:w="515" w:type="pct"/>
            <w:tcBorders>
              <w:top w:val="dotted" w:sz="4" w:space="0" w:color="606372" w:themeColor="text2"/>
              <w:bottom w:val="dotted" w:sz="4" w:space="0" w:color="606372" w:themeColor="text2"/>
              <w:right w:val="dotted" w:sz="4" w:space="0" w:color="606072"/>
            </w:tcBorders>
            <w:shd w:val="clear" w:color="auto" w:fill="auto"/>
            <w:vAlign w:val="center"/>
          </w:tcPr>
          <w:p w14:paraId="154DF13F" w14:textId="77777777" w:rsidR="003B2992" w:rsidRPr="005060E0" w:rsidRDefault="003B2992" w:rsidP="00B561C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6"/>
                <w:szCs w:val="16"/>
                <w:lang w:val="en-AU"/>
              </w:rPr>
            </w:pPr>
            <w:r w:rsidRPr="005060E0">
              <w:rPr>
                <w:rFonts w:cs="Arial"/>
                <w:i/>
                <w:sz w:val="16"/>
                <w:szCs w:val="16"/>
                <w:lang w:val="en-AU"/>
              </w:rPr>
              <w:t>47</w:t>
            </w:r>
          </w:p>
        </w:tc>
        <w:tc>
          <w:tcPr>
            <w:tcW w:w="589" w:type="pct"/>
            <w:tcBorders>
              <w:top w:val="dotted" w:sz="4" w:space="0" w:color="606372" w:themeColor="text2"/>
              <w:left w:val="dotted" w:sz="4" w:space="0" w:color="606072"/>
              <w:bottom w:val="dotted" w:sz="4" w:space="0" w:color="606372" w:themeColor="text2"/>
            </w:tcBorders>
            <w:shd w:val="clear" w:color="auto" w:fill="auto"/>
            <w:vAlign w:val="center"/>
          </w:tcPr>
          <w:p w14:paraId="6A2CCD9C" w14:textId="77777777" w:rsidR="003B2992" w:rsidRPr="005060E0" w:rsidRDefault="003B2992" w:rsidP="00B561C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100</w:t>
            </w:r>
          </w:p>
        </w:tc>
        <w:tc>
          <w:tcPr>
            <w:tcW w:w="1104" w:type="pct"/>
            <w:tcBorders>
              <w:top w:val="dotted" w:sz="4" w:space="0" w:color="606372" w:themeColor="text2"/>
              <w:bottom w:val="dotted" w:sz="4" w:space="0" w:color="606372" w:themeColor="text2"/>
              <w:right w:val="single" w:sz="4" w:space="0" w:color="606372" w:themeColor="text2"/>
            </w:tcBorders>
            <w:shd w:val="clear" w:color="auto" w:fill="auto"/>
            <w:vAlign w:val="center"/>
          </w:tcPr>
          <w:p w14:paraId="53D8BDB3" w14:textId="6D764EB4" w:rsidR="003B2992" w:rsidRPr="005060E0" w:rsidRDefault="0091668A" w:rsidP="00B561C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Pr>
                <w:rFonts w:cs="Arial"/>
                <w:sz w:val="16"/>
                <w:szCs w:val="16"/>
                <w:lang w:val="en-AU"/>
              </w:rPr>
              <w:t>–</w:t>
            </w:r>
          </w:p>
        </w:tc>
        <w:tc>
          <w:tcPr>
            <w:tcW w:w="1175" w:type="pct"/>
            <w:tcBorders>
              <w:top w:val="dotted" w:sz="4" w:space="0" w:color="606372" w:themeColor="text2"/>
              <w:bottom w:val="dotted" w:sz="4" w:space="0" w:color="606372" w:themeColor="text2"/>
              <w:right w:val="single" w:sz="4" w:space="0" w:color="606372" w:themeColor="text2"/>
            </w:tcBorders>
            <w:shd w:val="clear" w:color="auto" w:fill="auto"/>
            <w:vAlign w:val="center"/>
          </w:tcPr>
          <w:p w14:paraId="3CF268AD" w14:textId="77777777" w:rsidR="003B2992" w:rsidRPr="005060E0" w:rsidRDefault="003B2992" w:rsidP="00B561C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10</w:t>
            </w:r>
          </w:p>
        </w:tc>
      </w:tr>
      <w:tr w:rsidR="003B2992" w:rsidRPr="005060E0" w14:paraId="5A29644C" w14:textId="77777777" w:rsidTr="007E6026">
        <w:trPr>
          <w:trHeight w:val="340"/>
        </w:trPr>
        <w:tc>
          <w:tcPr>
            <w:cnfStyle w:val="001000000000" w:firstRow="0" w:lastRow="0" w:firstColumn="1" w:lastColumn="0" w:oddVBand="0" w:evenVBand="0" w:oddHBand="0" w:evenHBand="0" w:firstRowFirstColumn="0" w:firstRowLastColumn="0" w:lastRowFirstColumn="0" w:lastRowLastColumn="0"/>
            <w:tcW w:w="660" w:type="pct"/>
            <w:vMerge/>
            <w:tcBorders>
              <w:top w:val="single" w:sz="4" w:space="0" w:color="606372" w:themeColor="text2"/>
              <w:left w:val="single" w:sz="4" w:space="0" w:color="606372" w:themeColor="text2"/>
              <w:bottom w:val="single" w:sz="4" w:space="0" w:color="606372" w:themeColor="text2"/>
            </w:tcBorders>
            <w:vAlign w:val="center"/>
          </w:tcPr>
          <w:p w14:paraId="1F2AB0BD" w14:textId="77777777" w:rsidR="003B2992" w:rsidRPr="005060E0" w:rsidRDefault="003B2992" w:rsidP="00B561C0">
            <w:pPr>
              <w:widowControl w:val="0"/>
              <w:spacing w:after="0" w:line="240" w:lineRule="auto"/>
              <w:jc w:val="center"/>
              <w:rPr>
                <w:rFonts w:cs="Arial"/>
                <w:b w:val="0"/>
                <w:sz w:val="16"/>
                <w:szCs w:val="16"/>
                <w:lang w:val="en-AU"/>
              </w:rPr>
            </w:pPr>
          </w:p>
        </w:tc>
        <w:tc>
          <w:tcPr>
            <w:tcW w:w="957" w:type="pct"/>
            <w:vMerge w:val="restart"/>
            <w:tcBorders>
              <w:top w:val="dotted" w:sz="4" w:space="0" w:color="606372" w:themeColor="text2"/>
            </w:tcBorders>
            <w:shd w:val="clear" w:color="auto" w:fill="auto"/>
            <w:vAlign w:val="center"/>
          </w:tcPr>
          <w:p w14:paraId="43CAFBD5" w14:textId="4884E05E" w:rsidR="003B2992" w:rsidRPr="005060E0" w:rsidRDefault="003B2992" w:rsidP="00B561C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Canada</w:t>
            </w:r>
            <w:r w:rsidR="002672AD" w:rsidRPr="005060E0">
              <w:rPr>
                <w:rFonts w:cs="Arial"/>
                <w:sz w:val="16"/>
                <w:szCs w:val="16"/>
                <w:vertAlign w:val="superscript"/>
                <w:lang w:val="en-AU"/>
              </w:rPr>
              <w:t>(d)</w:t>
            </w:r>
          </w:p>
        </w:tc>
        <w:tc>
          <w:tcPr>
            <w:tcW w:w="515" w:type="pct"/>
            <w:tcBorders>
              <w:top w:val="dotted" w:sz="4" w:space="0" w:color="606372" w:themeColor="text2"/>
              <w:bottom w:val="dotted" w:sz="4" w:space="0" w:color="606372" w:themeColor="text2"/>
              <w:right w:val="dotted" w:sz="4" w:space="0" w:color="606072"/>
            </w:tcBorders>
            <w:shd w:val="clear" w:color="auto" w:fill="auto"/>
            <w:vAlign w:val="center"/>
          </w:tcPr>
          <w:p w14:paraId="5D2BE48E" w14:textId="56DD6E27" w:rsidR="003B2992" w:rsidRPr="005060E0" w:rsidRDefault="003B2992" w:rsidP="00B561C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63</w:t>
            </w:r>
            <w:r w:rsidR="005325C0" w:rsidRPr="005060E0">
              <w:rPr>
                <w:rFonts w:cs="Arial"/>
                <w:sz w:val="16"/>
                <w:szCs w:val="16"/>
                <w:vertAlign w:val="superscript"/>
                <w:lang w:val="en-AU"/>
              </w:rPr>
              <w:t>(e</w:t>
            </w:r>
            <w:r w:rsidRPr="005060E0">
              <w:rPr>
                <w:rFonts w:cs="Arial"/>
                <w:sz w:val="16"/>
                <w:szCs w:val="16"/>
                <w:vertAlign w:val="superscript"/>
                <w:lang w:val="en-AU"/>
              </w:rPr>
              <w:t>)</w:t>
            </w:r>
          </w:p>
        </w:tc>
        <w:tc>
          <w:tcPr>
            <w:tcW w:w="589" w:type="pct"/>
            <w:tcBorders>
              <w:top w:val="dotted" w:sz="4" w:space="0" w:color="606372" w:themeColor="text2"/>
              <w:left w:val="dotted" w:sz="4" w:space="0" w:color="606072"/>
              <w:bottom w:val="dotted" w:sz="4" w:space="0" w:color="606372" w:themeColor="text2"/>
            </w:tcBorders>
            <w:shd w:val="clear" w:color="auto" w:fill="auto"/>
            <w:vAlign w:val="center"/>
          </w:tcPr>
          <w:p w14:paraId="77EC150B" w14:textId="77777777" w:rsidR="003B2992" w:rsidRPr="005060E0" w:rsidRDefault="003B2992" w:rsidP="00B561C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6"/>
                <w:szCs w:val="16"/>
                <w:lang w:val="en-AU"/>
              </w:rPr>
            </w:pPr>
            <w:r w:rsidRPr="005060E0">
              <w:rPr>
                <w:rFonts w:cs="Arial"/>
                <w:i/>
                <w:sz w:val="16"/>
                <w:szCs w:val="16"/>
                <w:lang w:val="en-AU"/>
              </w:rPr>
              <w:t>135</w:t>
            </w:r>
          </w:p>
        </w:tc>
        <w:tc>
          <w:tcPr>
            <w:tcW w:w="1104" w:type="pct"/>
            <w:vMerge w:val="restart"/>
            <w:tcBorders>
              <w:top w:val="dotted" w:sz="4" w:space="0" w:color="606372" w:themeColor="text2"/>
              <w:right w:val="single" w:sz="4" w:space="0" w:color="606372" w:themeColor="text2"/>
            </w:tcBorders>
            <w:shd w:val="clear" w:color="auto" w:fill="auto"/>
            <w:vAlign w:val="center"/>
          </w:tcPr>
          <w:p w14:paraId="36F031B2" w14:textId="77777777" w:rsidR="003B2992" w:rsidRPr="005060E0" w:rsidRDefault="003B2992" w:rsidP="00B561C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Annual 4</w:t>
            </w:r>
            <w:r w:rsidRPr="005060E0">
              <w:rPr>
                <w:rFonts w:cs="Arial"/>
                <w:sz w:val="16"/>
                <w:szCs w:val="16"/>
                <w:vertAlign w:val="superscript"/>
                <w:lang w:val="en-AU"/>
              </w:rPr>
              <w:t>th</w:t>
            </w:r>
            <w:r w:rsidRPr="005060E0">
              <w:rPr>
                <w:rFonts w:cs="Arial"/>
                <w:sz w:val="16"/>
                <w:szCs w:val="16"/>
                <w:lang w:val="en-AU"/>
              </w:rPr>
              <w:t xml:space="preserve"> highest value averaged over 3 years</w:t>
            </w:r>
          </w:p>
        </w:tc>
        <w:tc>
          <w:tcPr>
            <w:tcW w:w="1175" w:type="pct"/>
            <w:vMerge w:val="restart"/>
            <w:tcBorders>
              <w:top w:val="dotted" w:sz="4" w:space="0" w:color="606372" w:themeColor="text2"/>
              <w:right w:val="single" w:sz="4" w:space="0" w:color="606372" w:themeColor="text2"/>
            </w:tcBorders>
            <w:shd w:val="clear" w:color="auto" w:fill="auto"/>
            <w:vAlign w:val="center"/>
          </w:tcPr>
          <w:p w14:paraId="37AF4651" w14:textId="77777777" w:rsidR="003B2992" w:rsidRPr="005060E0" w:rsidRDefault="003B2992" w:rsidP="00B561C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None</w:t>
            </w:r>
          </w:p>
        </w:tc>
      </w:tr>
      <w:tr w:rsidR="003B2992" w:rsidRPr="005060E0" w14:paraId="7BB273C5" w14:textId="77777777" w:rsidTr="007E602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0" w:type="pct"/>
            <w:vMerge/>
            <w:tcBorders>
              <w:left w:val="single" w:sz="4" w:space="0" w:color="606372" w:themeColor="text2"/>
            </w:tcBorders>
            <w:vAlign w:val="center"/>
          </w:tcPr>
          <w:p w14:paraId="00F98D68" w14:textId="77777777" w:rsidR="003B2992" w:rsidRPr="005060E0" w:rsidRDefault="003B2992" w:rsidP="00B561C0">
            <w:pPr>
              <w:widowControl w:val="0"/>
              <w:spacing w:after="0" w:line="240" w:lineRule="auto"/>
              <w:jc w:val="center"/>
              <w:rPr>
                <w:rFonts w:cs="Arial"/>
                <w:b w:val="0"/>
                <w:sz w:val="16"/>
                <w:szCs w:val="16"/>
                <w:lang w:val="en-AU"/>
              </w:rPr>
            </w:pPr>
          </w:p>
        </w:tc>
        <w:tc>
          <w:tcPr>
            <w:tcW w:w="957" w:type="pct"/>
            <w:vMerge/>
            <w:tcBorders>
              <w:bottom w:val="dotted" w:sz="4" w:space="0" w:color="606372" w:themeColor="text2"/>
            </w:tcBorders>
            <w:shd w:val="clear" w:color="auto" w:fill="auto"/>
            <w:vAlign w:val="center"/>
          </w:tcPr>
          <w:p w14:paraId="00B28170" w14:textId="77777777" w:rsidR="003B2992" w:rsidRPr="005060E0" w:rsidRDefault="003B2992" w:rsidP="00B561C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p>
        </w:tc>
        <w:tc>
          <w:tcPr>
            <w:tcW w:w="515" w:type="pct"/>
            <w:tcBorders>
              <w:top w:val="dotted" w:sz="4" w:space="0" w:color="606372" w:themeColor="text2"/>
              <w:bottom w:val="dotted" w:sz="4" w:space="0" w:color="606372" w:themeColor="text2"/>
              <w:right w:val="dotted" w:sz="4" w:space="0" w:color="606072"/>
            </w:tcBorders>
            <w:shd w:val="clear" w:color="auto" w:fill="auto"/>
            <w:vAlign w:val="center"/>
          </w:tcPr>
          <w:p w14:paraId="5B1C5112" w14:textId="3C7E0813" w:rsidR="003B2992" w:rsidRPr="005060E0" w:rsidRDefault="003B2992" w:rsidP="00B561C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r w:rsidRPr="005060E0">
              <w:rPr>
                <w:rFonts w:cs="Arial"/>
                <w:sz w:val="16"/>
                <w:szCs w:val="16"/>
                <w:lang w:val="en-AU"/>
              </w:rPr>
              <w:t>62</w:t>
            </w:r>
            <w:r w:rsidR="005325C0" w:rsidRPr="005060E0">
              <w:rPr>
                <w:rFonts w:cs="Arial"/>
                <w:sz w:val="16"/>
                <w:szCs w:val="16"/>
                <w:vertAlign w:val="superscript"/>
                <w:lang w:val="en-AU"/>
              </w:rPr>
              <w:t>(f</w:t>
            </w:r>
            <w:r w:rsidRPr="005060E0">
              <w:rPr>
                <w:rFonts w:cs="Arial"/>
                <w:sz w:val="16"/>
                <w:szCs w:val="16"/>
                <w:vertAlign w:val="superscript"/>
                <w:lang w:val="en-AU"/>
              </w:rPr>
              <w:t>)</w:t>
            </w:r>
          </w:p>
        </w:tc>
        <w:tc>
          <w:tcPr>
            <w:tcW w:w="589" w:type="pct"/>
            <w:tcBorders>
              <w:top w:val="dotted" w:sz="4" w:space="0" w:color="606372" w:themeColor="text2"/>
              <w:left w:val="dotted" w:sz="4" w:space="0" w:color="606072"/>
              <w:bottom w:val="dotted" w:sz="4" w:space="0" w:color="606372" w:themeColor="text2"/>
            </w:tcBorders>
            <w:shd w:val="clear" w:color="auto" w:fill="auto"/>
            <w:vAlign w:val="center"/>
          </w:tcPr>
          <w:p w14:paraId="685F0B65" w14:textId="77777777" w:rsidR="003B2992" w:rsidRPr="005060E0" w:rsidRDefault="003B2992" w:rsidP="00B561C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6"/>
                <w:szCs w:val="16"/>
                <w:lang w:val="en-AU"/>
              </w:rPr>
            </w:pPr>
            <w:r w:rsidRPr="005060E0">
              <w:rPr>
                <w:rFonts w:cs="Arial"/>
                <w:i/>
                <w:sz w:val="16"/>
                <w:szCs w:val="16"/>
                <w:lang w:val="en-AU"/>
              </w:rPr>
              <w:t>133</w:t>
            </w:r>
          </w:p>
        </w:tc>
        <w:tc>
          <w:tcPr>
            <w:tcW w:w="1104" w:type="pct"/>
            <w:vMerge/>
            <w:tcBorders>
              <w:bottom w:val="dotted" w:sz="4" w:space="0" w:color="606372" w:themeColor="text2"/>
              <w:right w:val="single" w:sz="4" w:space="0" w:color="606372" w:themeColor="text2"/>
            </w:tcBorders>
            <w:shd w:val="clear" w:color="auto" w:fill="auto"/>
            <w:vAlign w:val="center"/>
          </w:tcPr>
          <w:p w14:paraId="214509D8" w14:textId="77777777" w:rsidR="003B2992" w:rsidRPr="005060E0" w:rsidRDefault="003B2992" w:rsidP="00B561C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p>
        </w:tc>
        <w:tc>
          <w:tcPr>
            <w:tcW w:w="1175" w:type="pct"/>
            <w:vMerge/>
            <w:tcBorders>
              <w:bottom w:val="dotted" w:sz="4" w:space="0" w:color="606372" w:themeColor="text2"/>
              <w:right w:val="single" w:sz="4" w:space="0" w:color="606372" w:themeColor="text2"/>
            </w:tcBorders>
            <w:shd w:val="clear" w:color="auto" w:fill="auto"/>
            <w:vAlign w:val="center"/>
          </w:tcPr>
          <w:p w14:paraId="70976960" w14:textId="77777777" w:rsidR="003B2992" w:rsidRPr="005060E0" w:rsidRDefault="003B2992" w:rsidP="00B561C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lang w:val="en-AU"/>
              </w:rPr>
            </w:pPr>
          </w:p>
        </w:tc>
      </w:tr>
      <w:tr w:rsidR="003B2992" w:rsidRPr="005060E0" w14:paraId="2EFA5846" w14:textId="77777777" w:rsidTr="007E6026">
        <w:trPr>
          <w:trHeight w:val="340"/>
        </w:trPr>
        <w:tc>
          <w:tcPr>
            <w:cnfStyle w:val="001000000000" w:firstRow="0" w:lastRow="0" w:firstColumn="1" w:lastColumn="0" w:oddVBand="0" w:evenVBand="0" w:oddHBand="0" w:evenHBand="0" w:firstRowFirstColumn="0" w:firstRowLastColumn="0" w:lastRowFirstColumn="0" w:lastRowLastColumn="0"/>
            <w:tcW w:w="660" w:type="pct"/>
            <w:vMerge/>
            <w:tcBorders>
              <w:left w:val="single" w:sz="4" w:space="0" w:color="606372" w:themeColor="text2"/>
              <w:bottom w:val="single" w:sz="4" w:space="0" w:color="606372" w:themeColor="text2"/>
            </w:tcBorders>
            <w:vAlign w:val="center"/>
          </w:tcPr>
          <w:p w14:paraId="08103BFD" w14:textId="77777777" w:rsidR="003B2992" w:rsidRPr="005060E0" w:rsidRDefault="003B2992" w:rsidP="00B561C0">
            <w:pPr>
              <w:widowControl w:val="0"/>
              <w:spacing w:after="0" w:line="240" w:lineRule="auto"/>
              <w:jc w:val="center"/>
              <w:rPr>
                <w:rFonts w:cs="Arial"/>
                <w:b w:val="0"/>
                <w:sz w:val="16"/>
                <w:szCs w:val="16"/>
                <w:lang w:val="en-AU"/>
              </w:rPr>
            </w:pPr>
          </w:p>
        </w:tc>
        <w:tc>
          <w:tcPr>
            <w:tcW w:w="957" w:type="pct"/>
            <w:tcBorders>
              <w:top w:val="dotted" w:sz="4" w:space="0" w:color="606372" w:themeColor="text2"/>
              <w:bottom w:val="single" w:sz="4" w:space="0" w:color="606372" w:themeColor="text2"/>
            </w:tcBorders>
            <w:shd w:val="clear" w:color="auto" w:fill="auto"/>
            <w:vAlign w:val="center"/>
          </w:tcPr>
          <w:p w14:paraId="71DA1048" w14:textId="164CD7DC" w:rsidR="003B2992" w:rsidRPr="005060E0" w:rsidRDefault="003B2992" w:rsidP="00B561C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European Union</w:t>
            </w:r>
            <w:r w:rsidR="005325C0" w:rsidRPr="005060E0">
              <w:rPr>
                <w:rFonts w:cs="Arial"/>
                <w:sz w:val="16"/>
                <w:szCs w:val="16"/>
                <w:vertAlign w:val="superscript"/>
                <w:lang w:val="en-AU"/>
              </w:rPr>
              <w:t>(g</w:t>
            </w:r>
            <w:r w:rsidR="002672AD" w:rsidRPr="005060E0">
              <w:rPr>
                <w:rFonts w:cs="Arial"/>
                <w:sz w:val="16"/>
                <w:szCs w:val="16"/>
                <w:vertAlign w:val="superscript"/>
                <w:lang w:val="en-AU"/>
              </w:rPr>
              <w:t>)</w:t>
            </w:r>
          </w:p>
        </w:tc>
        <w:tc>
          <w:tcPr>
            <w:tcW w:w="515" w:type="pct"/>
            <w:tcBorders>
              <w:top w:val="dotted" w:sz="4" w:space="0" w:color="606372" w:themeColor="text2"/>
              <w:bottom w:val="single" w:sz="4" w:space="0" w:color="606372" w:themeColor="text2"/>
              <w:right w:val="dotted" w:sz="4" w:space="0" w:color="606072"/>
            </w:tcBorders>
            <w:shd w:val="clear" w:color="auto" w:fill="auto"/>
            <w:vAlign w:val="center"/>
          </w:tcPr>
          <w:p w14:paraId="55AF7CE9" w14:textId="77777777" w:rsidR="003B2992" w:rsidRPr="005060E0" w:rsidRDefault="003B2992" w:rsidP="00B561C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6"/>
                <w:szCs w:val="16"/>
                <w:lang w:val="en-AU"/>
              </w:rPr>
            </w:pPr>
            <w:r w:rsidRPr="005060E0">
              <w:rPr>
                <w:rFonts w:cs="Arial"/>
                <w:i/>
                <w:sz w:val="16"/>
                <w:szCs w:val="16"/>
                <w:lang w:val="en-AU"/>
              </w:rPr>
              <w:t>56</w:t>
            </w:r>
          </w:p>
        </w:tc>
        <w:tc>
          <w:tcPr>
            <w:tcW w:w="589" w:type="pct"/>
            <w:tcBorders>
              <w:top w:val="dotted" w:sz="4" w:space="0" w:color="606372" w:themeColor="text2"/>
              <w:left w:val="dotted" w:sz="4" w:space="0" w:color="606072"/>
              <w:bottom w:val="single" w:sz="4" w:space="0" w:color="606372" w:themeColor="text2"/>
            </w:tcBorders>
            <w:shd w:val="clear" w:color="auto" w:fill="auto"/>
            <w:vAlign w:val="center"/>
          </w:tcPr>
          <w:p w14:paraId="4857E012" w14:textId="77777777" w:rsidR="003B2992" w:rsidRPr="005060E0" w:rsidRDefault="003B2992" w:rsidP="00B561C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120</w:t>
            </w:r>
          </w:p>
        </w:tc>
        <w:tc>
          <w:tcPr>
            <w:tcW w:w="1104" w:type="pct"/>
            <w:tcBorders>
              <w:top w:val="dotted" w:sz="4" w:space="0" w:color="606372" w:themeColor="text2"/>
              <w:bottom w:val="single" w:sz="4" w:space="0" w:color="606372" w:themeColor="text2"/>
              <w:right w:val="single" w:sz="4" w:space="0" w:color="606372" w:themeColor="text2"/>
            </w:tcBorders>
            <w:shd w:val="clear" w:color="auto" w:fill="auto"/>
            <w:vAlign w:val="center"/>
          </w:tcPr>
          <w:p w14:paraId="6E3BDBD1" w14:textId="60358D47" w:rsidR="003B2992" w:rsidRPr="005060E0" w:rsidRDefault="0091668A" w:rsidP="00B561C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Pr>
                <w:rFonts w:cs="Arial"/>
                <w:sz w:val="16"/>
                <w:szCs w:val="16"/>
                <w:lang w:val="en-AU"/>
              </w:rPr>
              <w:t>–</w:t>
            </w:r>
          </w:p>
        </w:tc>
        <w:tc>
          <w:tcPr>
            <w:tcW w:w="1175" w:type="pct"/>
            <w:tcBorders>
              <w:top w:val="dotted" w:sz="4" w:space="0" w:color="606372" w:themeColor="text2"/>
              <w:bottom w:val="single" w:sz="4" w:space="0" w:color="606372" w:themeColor="text2"/>
              <w:right w:val="single" w:sz="4" w:space="0" w:color="606372" w:themeColor="text2"/>
            </w:tcBorders>
            <w:shd w:val="clear" w:color="auto" w:fill="auto"/>
            <w:vAlign w:val="center"/>
          </w:tcPr>
          <w:p w14:paraId="096CD37F" w14:textId="77777777" w:rsidR="003B2992" w:rsidRPr="005060E0" w:rsidRDefault="003B2992" w:rsidP="00B561C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lang w:val="en-AU"/>
              </w:rPr>
            </w:pPr>
            <w:r w:rsidRPr="005060E0">
              <w:rPr>
                <w:rFonts w:cs="Arial"/>
                <w:sz w:val="16"/>
                <w:szCs w:val="16"/>
                <w:lang w:val="en-AU"/>
              </w:rPr>
              <w:t>25 averaged over 3 years</w:t>
            </w:r>
          </w:p>
        </w:tc>
      </w:tr>
    </w:tbl>
    <w:p w14:paraId="5519448E" w14:textId="706278C9" w:rsidR="003B2992" w:rsidRPr="005060E0" w:rsidRDefault="003B2992" w:rsidP="00B81325">
      <w:pPr>
        <w:pStyle w:val="ListParagraph"/>
        <w:numPr>
          <w:ilvl w:val="0"/>
          <w:numId w:val="56"/>
        </w:numPr>
        <w:spacing w:before="60" w:after="0" w:line="240" w:lineRule="auto"/>
        <w:ind w:left="425" w:hanging="425"/>
        <w:contextualSpacing w:val="0"/>
        <w:rPr>
          <w:sz w:val="15"/>
          <w:szCs w:val="15"/>
        </w:rPr>
      </w:pPr>
      <w:r w:rsidRPr="005060E0">
        <w:rPr>
          <w:sz w:val="15"/>
          <w:szCs w:val="15"/>
        </w:rPr>
        <w:t xml:space="preserve">Values in italics have been obtained using the conversion factors stated at the start of this </w:t>
      </w:r>
      <w:r w:rsidR="00DF05A9" w:rsidRPr="005060E0">
        <w:rPr>
          <w:sz w:val="15"/>
          <w:szCs w:val="15"/>
        </w:rPr>
        <w:t>Impact Statement</w:t>
      </w:r>
      <w:r w:rsidRPr="005060E0">
        <w:rPr>
          <w:sz w:val="15"/>
          <w:szCs w:val="15"/>
        </w:rPr>
        <w:t>.</w:t>
      </w:r>
    </w:p>
    <w:p w14:paraId="03A9CA86" w14:textId="7280482E" w:rsidR="005325C0" w:rsidRPr="0091668A" w:rsidRDefault="007F77AB" w:rsidP="00B81325">
      <w:pPr>
        <w:pStyle w:val="ListParagraph"/>
        <w:numPr>
          <w:ilvl w:val="0"/>
          <w:numId w:val="56"/>
        </w:numPr>
        <w:spacing w:before="40" w:after="0" w:line="240" w:lineRule="auto"/>
        <w:ind w:left="425" w:hanging="425"/>
        <w:contextualSpacing w:val="0"/>
        <w:rPr>
          <w:sz w:val="15"/>
          <w:szCs w:val="15"/>
        </w:rPr>
      </w:pPr>
      <w:hyperlink r:id="rId35" w:history="1">
        <w:r w:rsidR="005325C0" w:rsidRPr="0074409B">
          <w:rPr>
            <w:rStyle w:val="Hyperlink"/>
            <w:sz w:val="15"/>
            <w:szCs w:val="15"/>
          </w:rPr>
          <w:t>https://www.epa.gov/criteria-air-pollutants/naaqs-table</w:t>
        </w:r>
      </w:hyperlink>
    </w:p>
    <w:p w14:paraId="565C13F8" w14:textId="3E5DF397" w:rsidR="005325C0" w:rsidRPr="005060E0" w:rsidRDefault="007F77AB" w:rsidP="00B81325">
      <w:pPr>
        <w:pStyle w:val="ListParagraph"/>
        <w:numPr>
          <w:ilvl w:val="0"/>
          <w:numId w:val="56"/>
        </w:numPr>
        <w:spacing w:before="40" w:after="0" w:line="240" w:lineRule="auto"/>
        <w:ind w:left="425" w:hanging="425"/>
        <w:contextualSpacing w:val="0"/>
        <w:rPr>
          <w:sz w:val="15"/>
          <w:szCs w:val="15"/>
        </w:rPr>
      </w:pPr>
      <w:hyperlink r:id="rId36" w:history="1">
        <w:r w:rsidR="005325C0" w:rsidRPr="0074409B">
          <w:rPr>
            <w:rStyle w:val="Hyperlink"/>
            <w:sz w:val="15"/>
            <w:szCs w:val="15"/>
          </w:rPr>
          <w:t>https://uk-air.defra.gov.uk/assets/documents/Air_Quality_Objectives_Update.pdf</w:t>
        </w:r>
      </w:hyperlink>
    </w:p>
    <w:p w14:paraId="7EE36B75" w14:textId="3556AA78" w:rsidR="005325C0" w:rsidRPr="005060E0" w:rsidRDefault="007F77AB" w:rsidP="00B81325">
      <w:pPr>
        <w:pStyle w:val="ListParagraph"/>
        <w:numPr>
          <w:ilvl w:val="0"/>
          <w:numId w:val="56"/>
        </w:numPr>
        <w:spacing w:before="40" w:after="0" w:line="240" w:lineRule="auto"/>
        <w:ind w:left="425" w:hanging="425"/>
        <w:contextualSpacing w:val="0"/>
        <w:rPr>
          <w:sz w:val="15"/>
          <w:szCs w:val="15"/>
        </w:rPr>
      </w:pPr>
      <w:hyperlink r:id="rId37" w:history="1">
        <w:r w:rsidR="005325C0" w:rsidRPr="0074409B">
          <w:rPr>
            <w:rStyle w:val="Hyperlink"/>
            <w:sz w:val="15"/>
            <w:szCs w:val="15"/>
          </w:rPr>
          <w:t>http://airquality-qualitedelair.ccme.ca/en/</w:t>
        </w:r>
      </w:hyperlink>
    </w:p>
    <w:p w14:paraId="14C1C7D1" w14:textId="77777777" w:rsidR="005325C0" w:rsidRPr="005060E0" w:rsidRDefault="003B2992" w:rsidP="00B81325">
      <w:pPr>
        <w:pStyle w:val="ListParagraph"/>
        <w:numPr>
          <w:ilvl w:val="0"/>
          <w:numId w:val="56"/>
        </w:numPr>
        <w:spacing w:before="40" w:after="0" w:line="240" w:lineRule="auto"/>
        <w:ind w:left="425" w:hanging="425"/>
        <w:contextualSpacing w:val="0"/>
        <w:rPr>
          <w:sz w:val="15"/>
          <w:szCs w:val="15"/>
        </w:rPr>
      </w:pPr>
      <w:r w:rsidRPr="005060E0">
        <w:rPr>
          <w:sz w:val="15"/>
          <w:szCs w:val="15"/>
        </w:rPr>
        <w:t>2015</w:t>
      </w:r>
    </w:p>
    <w:p w14:paraId="4CFA0F62" w14:textId="77777777" w:rsidR="005325C0" w:rsidRPr="005060E0" w:rsidRDefault="003B2992" w:rsidP="00B81325">
      <w:pPr>
        <w:pStyle w:val="ListParagraph"/>
        <w:numPr>
          <w:ilvl w:val="0"/>
          <w:numId w:val="56"/>
        </w:numPr>
        <w:spacing w:before="40" w:after="0" w:line="240" w:lineRule="auto"/>
        <w:ind w:left="425" w:hanging="425"/>
        <w:contextualSpacing w:val="0"/>
        <w:rPr>
          <w:sz w:val="15"/>
          <w:szCs w:val="15"/>
        </w:rPr>
      </w:pPr>
      <w:r w:rsidRPr="005060E0">
        <w:rPr>
          <w:sz w:val="15"/>
          <w:szCs w:val="15"/>
        </w:rPr>
        <w:t>2020</w:t>
      </w:r>
    </w:p>
    <w:p w14:paraId="52861DA1" w14:textId="186F72CD" w:rsidR="002672AD" w:rsidRPr="0091668A" w:rsidRDefault="007F77AB" w:rsidP="00B81325">
      <w:pPr>
        <w:pStyle w:val="ListParagraph"/>
        <w:numPr>
          <w:ilvl w:val="0"/>
          <w:numId w:val="56"/>
        </w:numPr>
        <w:spacing w:before="40" w:after="0" w:line="240" w:lineRule="auto"/>
        <w:ind w:left="425" w:hanging="425"/>
        <w:contextualSpacing w:val="0"/>
        <w:rPr>
          <w:sz w:val="15"/>
          <w:szCs w:val="15"/>
        </w:rPr>
      </w:pPr>
      <w:hyperlink r:id="rId38" w:history="1">
        <w:r w:rsidR="002672AD" w:rsidRPr="0074409B">
          <w:rPr>
            <w:rStyle w:val="Hyperlink"/>
          </w:rPr>
          <w:t>http://ec.europa.eu/environment/air/quality/standards.htm</w:t>
        </w:r>
      </w:hyperlink>
    </w:p>
    <w:p w14:paraId="3429A2AD" w14:textId="081EEE0F" w:rsidR="00C13007" w:rsidRPr="005060E0" w:rsidRDefault="00C13007" w:rsidP="00C13007">
      <w:pPr>
        <w:pStyle w:val="Heading3"/>
      </w:pPr>
      <w:r w:rsidRPr="005060E0">
        <w:t>1-hour standards</w:t>
      </w:r>
    </w:p>
    <w:p w14:paraId="33A8582B" w14:textId="345E8B9D" w:rsidR="00C13007" w:rsidRPr="005060E0" w:rsidRDefault="00CA57E3" w:rsidP="00C13007">
      <w:pPr>
        <w:rPr>
          <w:szCs w:val="20"/>
        </w:rPr>
      </w:pPr>
      <w:r w:rsidRPr="005060E0">
        <w:rPr>
          <w:szCs w:val="20"/>
        </w:rPr>
        <w:t xml:space="preserve">The 1-hour </w:t>
      </w:r>
      <w:r w:rsidR="003B2992" w:rsidRPr="005060E0">
        <w:rPr>
          <w:szCs w:val="20"/>
        </w:rPr>
        <w:t xml:space="preserve">standard </w:t>
      </w:r>
      <w:r w:rsidR="00EF2FD6" w:rsidRPr="005060E0">
        <w:rPr>
          <w:szCs w:val="20"/>
        </w:rPr>
        <w:t xml:space="preserve">is </w:t>
      </w:r>
      <w:r w:rsidR="003B2992" w:rsidRPr="005060E0">
        <w:rPr>
          <w:szCs w:val="20"/>
        </w:rPr>
        <w:t>used in Australia</w:t>
      </w:r>
      <w:r w:rsidR="00EF2FD6" w:rsidRPr="005060E0">
        <w:rPr>
          <w:szCs w:val="20"/>
        </w:rPr>
        <w:t xml:space="preserve"> but</w:t>
      </w:r>
      <w:r w:rsidR="003B2992" w:rsidRPr="005060E0">
        <w:rPr>
          <w:szCs w:val="20"/>
        </w:rPr>
        <w:t xml:space="preserve"> is not used by the USEPA, EU, UK or Canada, nor is it recommended by </w:t>
      </w:r>
      <w:r w:rsidR="004A5271">
        <w:rPr>
          <w:szCs w:val="20"/>
        </w:rPr>
        <w:t xml:space="preserve">the </w:t>
      </w:r>
      <w:r w:rsidR="003B2992" w:rsidRPr="005060E0">
        <w:rPr>
          <w:szCs w:val="20"/>
        </w:rPr>
        <w:t>WHO</w:t>
      </w:r>
      <w:r w:rsidR="003B2992" w:rsidRPr="005060E0">
        <w:rPr>
          <w:color w:val="7030A0"/>
        </w:rPr>
        <w:t xml:space="preserve">. </w:t>
      </w:r>
      <w:r w:rsidR="003B2992" w:rsidRPr="005060E0">
        <w:t>A 1-hour standard is only applied in Australia, New Zealand and California. The standard in Australia is less stringent than in the other locations.</w:t>
      </w:r>
      <w:r w:rsidR="003B2992" w:rsidRPr="005060E0">
        <w:rPr>
          <w:szCs w:val="20"/>
        </w:rPr>
        <w:t xml:space="preserve"> </w:t>
      </w:r>
    </w:p>
    <w:p w14:paraId="5C4B2FAD" w14:textId="26686A17" w:rsidR="00C13007" w:rsidRPr="005060E0" w:rsidRDefault="00C13007" w:rsidP="00C13007">
      <w:r w:rsidRPr="005060E0">
        <w:t>California EPA adopted a rolling 8-hour O</w:t>
      </w:r>
      <w:r w:rsidRPr="005060E0">
        <w:rPr>
          <w:vertAlign w:val="subscript"/>
        </w:rPr>
        <w:t>3</w:t>
      </w:r>
      <w:r w:rsidRPr="005060E0">
        <w:t xml:space="preserve"> standard in 2</w:t>
      </w:r>
      <w:r w:rsidR="00CA57E3" w:rsidRPr="005060E0">
        <w:t>005</w:t>
      </w:r>
      <w:r w:rsidR="004A5271">
        <w:t>;</w:t>
      </w:r>
      <w:r w:rsidR="00CA57E3" w:rsidRPr="005060E0">
        <w:t xml:space="preserve"> </w:t>
      </w:r>
      <w:r w:rsidR="004A5271">
        <w:t>h</w:t>
      </w:r>
      <w:r w:rsidR="00CA57E3" w:rsidRPr="005060E0">
        <w:t xml:space="preserve">owever, following a thorough review it </w:t>
      </w:r>
      <w:r w:rsidRPr="005060E0">
        <w:t>decided to retain the 1-hour O</w:t>
      </w:r>
      <w:r w:rsidRPr="005060E0">
        <w:rPr>
          <w:vertAlign w:val="subscript"/>
        </w:rPr>
        <w:t>3</w:t>
      </w:r>
      <w:r w:rsidR="00CA57E3" w:rsidRPr="005060E0">
        <w:t xml:space="preserve"> standard on the basis of the following</w:t>
      </w:r>
      <w:r w:rsidRPr="005060E0">
        <w:t>:</w:t>
      </w:r>
    </w:p>
    <w:p w14:paraId="4B70F9AE" w14:textId="77777777" w:rsidR="00C13007" w:rsidRPr="005060E0" w:rsidRDefault="00C13007" w:rsidP="003B2992">
      <w:pPr>
        <w:pStyle w:val="ListBullet"/>
      </w:pPr>
      <w:r w:rsidRPr="005060E0">
        <w:t>It would enable the continuation of historical tracking against the 1-hour O</w:t>
      </w:r>
      <w:r w:rsidRPr="005060E0">
        <w:rPr>
          <w:vertAlign w:val="subscript"/>
        </w:rPr>
        <w:t>3</w:t>
      </w:r>
      <w:r w:rsidRPr="005060E0">
        <w:t xml:space="preserve"> averaging period (which commenced in 1959).</w:t>
      </w:r>
    </w:p>
    <w:p w14:paraId="2BE90760" w14:textId="06845F9A" w:rsidR="00C13007" w:rsidRPr="005060E0" w:rsidRDefault="00C13007" w:rsidP="003B2992">
      <w:pPr>
        <w:pStyle w:val="ListBullet"/>
      </w:pPr>
      <w:r w:rsidRPr="005060E0">
        <w:t>It protects against short, peak exposures, based on the findings from controlled human</w:t>
      </w:r>
      <w:r w:rsidR="00CA57E3" w:rsidRPr="005060E0">
        <w:t xml:space="preserve"> exposure studies. However, </w:t>
      </w:r>
      <w:r w:rsidR="009E1687" w:rsidRPr="005060E0">
        <w:t xml:space="preserve">the </w:t>
      </w:r>
      <w:r w:rsidRPr="005060E0">
        <w:t>California EPA report did not consider the potential for the 8-hour standard to also protect against 1</w:t>
      </w:r>
      <w:r w:rsidRPr="005060E0">
        <w:noBreakHyphen/>
        <w:t>hour exposures</w:t>
      </w:r>
      <w:r w:rsidR="00B00321" w:rsidRPr="005060E0">
        <w:t xml:space="preserve">. </w:t>
      </w:r>
    </w:p>
    <w:p w14:paraId="25CCC29F" w14:textId="0EBAB8EB" w:rsidR="00C13007" w:rsidRPr="005060E0" w:rsidRDefault="00C13007" w:rsidP="00C13007">
      <w:r w:rsidRPr="005060E0">
        <w:t>Management of O</w:t>
      </w:r>
      <w:r w:rsidRPr="005060E0">
        <w:rPr>
          <w:vertAlign w:val="subscript"/>
        </w:rPr>
        <w:t>3</w:t>
      </w:r>
      <w:r w:rsidRPr="005060E0">
        <w:t xml:space="preserve"> pollution in California remains a significant problem. In 2016 California exceeded </w:t>
      </w:r>
      <w:r w:rsidR="004A5271">
        <w:t xml:space="preserve">the </w:t>
      </w:r>
      <w:r w:rsidR="00164837" w:rsidRPr="005060E0">
        <w:t>USEPA</w:t>
      </w:r>
      <w:r w:rsidRPr="005060E0">
        <w:t xml:space="preserve"> 8-hour national O</w:t>
      </w:r>
      <w:r w:rsidRPr="005060E0">
        <w:rPr>
          <w:vertAlign w:val="subscript"/>
        </w:rPr>
        <w:t>3</w:t>
      </w:r>
      <w:r w:rsidRPr="005060E0">
        <w:t xml:space="preserve"> standard of 70 ppb on 145 days across Los Angeles, Orange, Rivers</w:t>
      </w:r>
      <w:r w:rsidR="003B2992" w:rsidRPr="005060E0">
        <w:t>ide and San Bernardino counties</w:t>
      </w:r>
      <w:r w:rsidRPr="005060E0">
        <w:rPr>
          <w:rStyle w:val="FootnoteReference"/>
          <w:sz w:val="18"/>
          <w:szCs w:val="18"/>
        </w:rPr>
        <w:footnoteReference w:id="29"/>
      </w:r>
      <w:r w:rsidR="003B2992" w:rsidRPr="005060E0">
        <w:t>.</w:t>
      </w:r>
    </w:p>
    <w:p w14:paraId="1B48BC44" w14:textId="02828710" w:rsidR="00C13007" w:rsidRPr="005060E0" w:rsidRDefault="00C13007" w:rsidP="002672AD">
      <w:r w:rsidRPr="005060E0">
        <w:t>With regard to the second point (the California EPA’s finding t</w:t>
      </w:r>
      <w:r w:rsidR="00CA57E3" w:rsidRPr="005060E0">
        <w:t>hat the 1</w:t>
      </w:r>
      <w:r w:rsidR="00CA57E3" w:rsidRPr="005060E0">
        <w:noBreakHyphen/>
        <w:t>hour standard protected</w:t>
      </w:r>
      <w:r w:rsidR="002672AD" w:rsidRPr="005060E0">
        <w:t xml:space="preserve"> against short</w:t>
      </w:r>
      <w:r w:rsidR="00CA57E3" w:rsidRPr="005060E0">
        <w:t>-term</w:t>
      </w:r>
      <w:r w:rsidR="002672AD" w:rsidRPr="005060E0">
        <w:t xml:space="preserve"> peak exposures), the US</w:t>
      </w:r>
      <w:r w:rsidRPr="005060E0">
        <w:t>EPA found that an 8-hour time period to represent O</w:t>
      </w:r>
      <w:r w:rsidRPr="005060E0">
        <w:rPr>
          <w:vertAlign w:val="subscript"/>
        </w:rPr>
        <w:t>3</w:t>
      </w:r>
      <w:r w:rsidRPr="005060E0">
        <w:t xml:space="preserve"> exposure was justified by the combined evidence from epidemiological and clinical studies</w:t>
      </w:r>
      <w:r w:rsidR="003B2992" w:rsidRPr="005060E0">
        <w:t xml:space="preserve"> (USEPA 2014)</w:t>
      </w:r>
      <w:r w:rsidRPr="005060E0">
        <w:rPr>
          <w:rFonts w:cs="Arial"/>
        </w:rPr>
        <w:t>.</w:t>
      </w:r>
      <w:r w:rsidR="00CA57E3" w:rsidRPr="005060E0">
        <w:t xml:space="preserve"> However, in contrast to </w:t>
      </w:r>
      <w:r w:rsidR="00D64962">
        <w:t xml:space="preserve">the </w:t>
      </w:r>
      <w:r w:rsidR="00CA57E3" w:rsidRPr="005060E0">
        <w:t>California</w:t>
      </w:r>
      <w:r w:rsidRPr="005060E0">
        <w:t xml:space="preserve"> EPA, they did not find specific evidence to support a 1-hour O</w:t>
      </w:r>
      <w:r w:rsidRPr="005060E0">
        <w:rPr>
          <w:vertAlign w:val="subscript"/>
        </w:rPr>
        <w:t>3</w:t>
      </w:r>
      <w:r w:rsidRPr="005060E0">
        <w:t xml:space="preserve"> standard in addition to an 8</w:t>
      </w:r>
      <w:r w:rsidR="006571BE">
        <w:t>-</w:t>
      </w:r>
      <w:r w:rsidRPr="005060E0">
        <w:t>hour standard, despite having clinical evidence of the health impacts of 1-hour O</w:t>
      </w:r>
      <w:r w:rsidRPr="005060E0">
        <w:rPr>
          <w:vertAlign w:val="subscript"/>
        </w:rPr>
        <w:t>3</w:t>
      </w:r>
      <w:r w:rsidRPr="005060E0">
        <w:t xml:space="preserve"> exposure, due to the predictable co-occurrence of both 1 and 8-ho</w:t>
      </w:r>
      <w:r w:rsidR="002672AD" w:rsidRPr="005060E0">
        <w:t>ur exposures. The US</w:t>
      </w:r>
      <w:r w:rsidRPr="005060E0">
        <w:t xml:space="preserve">EPA determined that an 8-hour standard would provide substantial protection against </w:t>
      </w:r>
      <w:r w:rsidR="002672AD" w:rsidRPr="005060E0">
        <w:t>1-hour exposures because exceeda</w:t>
      </w:r>
      <w:r w:rsidRPr="005060E0">
        <w:t>nces of 8</w:t>
      </w:r>
      <w:r w:rsidR="006571BE">
        <w:t>-</w:t>
      </w:r>
      <w:r w:rsidRPr="005060E0">
        <w:t>hour standards were alwa</w:t>
      </w:r>
      <w:r w:rsidR="002672AD" w:rsidRPr="005060E0">
        <w:t>ys more numerous than exceedance</w:t>
      </w:r>
      <w:r w:rsidRPr="005060E0">
        <w:t>s of the equivalent 1-hour standards.</w:t>
      </w:r>
      <w:r w:rsidR="00CA57E3" w:rsidRPr="005060E0">
        <w:t xml:space="preserve"> This is also reflected in the Australian monitoring data (see Section </w:t>
      </w:r>
      <w:r w:rsidR="00D16C58">
        <w:fldChar w:fldCharType="begin"/>
      </w:r>
      <w:r w:rsidR="00D16C58">
        <w:instrText xml:space="preserve"> REF _Ref1738545 \r \h </w:instrText>
      </w:r>
      <w:r w:rsidR="00D16C58">
        <w:fldChar w:fldCharType="separate"/>
      </w:r>
      <w:r w:rsidR="00F2067C">
        <w:t>8.6</w:t>
      </w:r>
      <w:r w:rsidR="00D16C58">
        <w:fldChar w:fldCharType="end"/>
      </w:r>
      <w:r w:rsidR="00CA57E3" w:rsidRPr="005060E0">
        <w:t>).</w:t>
      </w:r>
    </w:p>
    <w:p w14:paraId="73F1BAB7" w14:textId="07B35F0B" w:rsidR="00C13007" w:rsidRPr="005060E0" w:rsidRDefault="00C13007" w:rsidP="00C13007">
      <w:pPr>
        <w:pStyle w:val="Heading3"/>
      </w:pPr>
      <w:r w:rsidRPr="005060E0">
        <w:t>4-hour standards</w:t>
      </w:r>
    </w:p>
    <w:p w14:paraId="0632676E" w14:textId="0F5939E2" w:rsidR="00262278" w:rsidRPr="005060E0" w:rsidRDefault="00E15AC5" w:rsidP="00777045">
      <w:r w:rsidRPr="005060E0">
        <w:rPr>
          <w:szCs w:val="20"/>
        </w:rPr>
        <w:t>The 4-hour averaging period, which is included in the AAQ NEPM, is not used outside Australia</w:t>
      </w:r>
      <w:r w:rsidRPr="005060E0">
        <w:t>, and it has not been considered as a standard by the WHO.</w:t>
      </w:r>
    </w:p>
    <w:p w14:paraId="75BBE62C" w14:textId="0FE93BF2" w:rsidR="002672AD" w:rsidRPr="005060E0" w:rsidRDefault="002672AD" w:rsidP="002672AD">
      <w:r w:rsidRPr="005060E0">
        <w:t>Epidemiological studies have not focused on a 4-hour averaging period</w:t>
      </w:r>
      <w:r w:rsidR="00CE05CC" w:rsidRPr="005060E0">
        <w:t>,</w:t>
      </w:r>
      <w:r w:rsidRPr="005060E0">
        <w:t xml:space="preserve"> so evidence is not available </w:t>
      </w:r>
      <w:r w:rsidR="00CE05CC" w:rsidRPr="005060E0">
        <w:t>to assess the benefits and draw</w:t>
      </w:r>
      <w:r w:rsidRPr="005060E0">
        <w:t>backs of a 4-hour averaging period. While it is not clear that there is an epidemiological reason for using a 4-hour averaging period, it is clear that the 8-hour averaging period appropriately represents the daily exposure.</w:t>
      </w:r>
    </w:p>
    <w:p w14:paraId="048B7ECA" w14:textId="555B5497" w:rsidR="00B839E0" w:rsidRPr="005060E0" w:rsidRDefault="002672AD" w:rsidP="002672AD">
      <w:r w:rsidRPr="005060E0">
        <w:t>Elevated O</w:t>
      </w:r>
      <w:r w:rsidRPr="005060E0">
        <w:rPr>
          <w:vertAlign w:val="subscript"/>
        </w:rPr>
        <w:t>3</w:t>
      </w:r>
      <w:r w:rsidRPr="005060E0">
        <w:t xml:space="preserve"> formation episodes may lead to exceedance levels for a number of hours, but not the full </w:t>
      </w:r>
      <w:r w:rsidR="009E1687" w:rsidRPr="005060E0">
        <w:t>eight</w:t>
      </w:r>
      <w:r w:rsidRPr="005060E0">
        <w:t xml:space="preserve"> hours. The 8-hour metric represents the typical individual exposure, rather than the length of the O</w:t>
      </w:r>
      <w:r w:rsidRPr="005060E0">
        <w:rPr>
          <w:vertAlign w:val="subscript"/>
        </w:rPr>
        <w:t>3</w:t>
      </w:r>
      <w:r w:rsidRPr="005060E0">
        <w:t xml:space="preserve"> event. It captures the elevated O</w:t>
      </w:r>
      <w:r w:rsidRPr="005060E0">
        <w:rPr>
          <w:vertAlign w:val="subscript"/>
        </w:rPr>
        <w:t>3</w:t>
      </w:r>
      <w:r w:rsidRPr="005060E0">
        <w:t xml:space="preserve"> (including lower exposures) that often occurs before and after 4-hour exceedance events.</w:t>
      </w:r>
    </w:p>
    <w:p w14:paraId="1C209C4F" w14:textId="52A69F52" w:rsidR="002672AD" w:rsidRPr="005060E0" w:rsidRDefault="002672AD" w:rsidP="00B839E0">
      <w:pPr>
        <w:widowControl w:val="0"/>
      </w:pPr>
      <w:r w:rsidRPr="005060E0">
        <w:t>The USEPA found that an 8-hour time period to represent O</w:t>
      </w:r>
      <w:r w:rsidRPr="005060E0">
        <w:rPr>
          <w:vertAlign w:val="subscript"/>
        </w:rPr>
        <w:t>3</w:t>
      </w:r>
      <w:r w:rsidRPr="005060E0">
        <w:t xml:space="preserve"> exposure was justified by the combined evidence from epidemiological and clinical studies (USEPA 2014). The WHO REVIHAAP concluded that epidemiological evidence supported health estimates based on daily maximum 8-hour O</w:t>
      </w:r>
      <w:r w:rsidRPr="005060E0">
        <w:rPr>
          <w:vertAlign w:val="subscript"/>
        </w:rPr>
        <w:t>3</w:t>
      </w:r>
      <w:r w:rsidRPr="005060E0">
        <w:t xml:space="preserve"> (WHO 2013b). </w:t>
      </w:r>
    </w:p>
    <w:p w14:paraId="2A1945D6" w14:textId="049DD6BA" w:rsidR="002672AD" w:rsidRPr="005060E0" w:rsidRDefault="002672AD" w:rsidP="00EB48AB">
      <w:bookmarkStart w:id="208" w:name="_Hlk513724865"/>
      <w:r w:rsidRPr="005060E0">
        <w:t>As a controlling standard, an Australian 8-hour standard of 70 ppb would capture longer</w:t>
      </w:r>
      <w:r w:rsidR="00D16C58">
        <w:t>-</w:t>
      </w:r>
      <w:r w:rsidRPr="005060E0">
        <w:t xml:space="preserve">term health impacts of most concern and would generally ensure current 1-hour and 4-hour standards would not be exceeded. </w:t>
      </w:r>
      <w:bookmarkEnd w:id="208"/>
      <w:r w:rsidRPr="005060E0">
        <w:t>The adoption of a 65 ppb 8-hour O</w:t>
      </w:r>
      <w:r w:rsidRPr="005060E0">
        <w:rPr>
          <w:vertAlign w:val="subscript"/>
        </w:rPr>
        <w:t>3</w:t>
      </w:r>
      <w:r w:rsidRPr="005060E0">
        <w:t xml:space="preserve"> standard would provide additional protection against prolonged O</w:t>
      </w:r>
      <w:r w:rsidRPr="005060E0">
        <w:rPr>
          <w:vertAlign w:val="subscript"/>
        </w:rPr>
        <w:t>3</w:t>
      </w:r>
      <w:r w:rsidRPr="005060E0">
        <w:t xml:space="preserve"> exposures, as well as</w:t>
      </w:r>
      <w:r w:rsidR="00EB48AB" w:rsidRPr="005060E0">
        <w:t xml:space="preserve"> against shorter</w:t>
      </w:r>
      <w:r w:rsidR="00D16C58">
        <w:t>-</w:t>
      </w:r>
      <w:r w:rsidR="00EB48AB" w:rsidRPr="005060E0">
        <w:t>term peaks of concern.</w:t>
      </w:r>
    </w:p>
    <w:p w14:paraId="742B4247" w14:textId="59C113E6" w:rsidR="00C13007" w:rsidRPr="005060E0" w:rsidRDefault="00C13007" w:rsidP="00C13007">
      <w:pPr>
        <w:pStyle w:val="Heading3"/>
      </w:pPr>
      <w:r w:rsidRPr="005060E0">
        <w:t>8-hour standards</w:t>
      </w:r>
    </w:p>
    <w:p w14:paraId="2C77DD44" w14:textId="0A80AF5A" w:rsidR="00C13007" w:rsidRPr="005060E0" w:rsidRDefault="00CE4067" w:rsidP="00C13007">
      <w:pPr>
        <w:rPr>
          <w:szCs w:val="20"/>
        </w:rPr>
      </w:pPr>
      <w:r w:rsidRPr="005060E0">
        <w:rPr>
          <w:szCs w:val="20"/>
        </w:rPr>
        <w:t xml:space="preserve">The </w:t>
      </w:r>
      <w:r w:rsidR="00CB6059" w:rsidRPr="005060E0">
        <w:rPr>
          <w:szCs w:val="20"/>
        </w:rPr>
        <w:t xml:space="preserve">rolling </w:t>
      </w:r>
      <w:r w:rsidRPr="005060E0">
        <w:rPr>
          <w:szCs w:val="20"/>
        </w:rPr>
        <w:t>8-hour averaging period is the one in common use internationally</w:t>
      </w:r>
      <w:r w:rsidR="00CB16C9" w:rsidRPr="005060E0">
        <w:rPr>
          <w:szCs w:val="20"/>
        </w:rPr>
        <w:t xml:space="preserve">, </w:t>
      </w:r>
      <w:r w:rsidR="00CB6059" w:rsidRPr="005060E0">
        <w:rPr>
          <w:szCs w:val="20"/>
        </w:rPr>
        <w:t>and it is the only standard for O</w:t>
      </w:r>
      <w:r w:rsidR="00CB6059" w:rsidRPr="005060E0">
        <w:rPr>
          <w:szCs w:val="20"/>
          <w:vertAlign w:val="subscript"/>
        </w:rPr>
        <w:t>3</w:t>
      </w:r>
      <w:r w:rsidR="00CB6059" w:rsidRPr="005060E0">
        <w:rPr>
          <w:szCs w:val="20"/>
        </w:rPr>
        <w:t xml:space="preserve"> applied by the</w:t>
      </w:r>
      <w:r w:rsidR="00262278" w:rsidRPr="005060E0">
        <w:t xml:space="preserve"> USEPA, EU, UK and Ca</w:t>
      </w:r>
      <w:r w:rsidR="00CB6059" w:rsidRPr="005060E0">
        <w:t>nada</w:t>
      </w:r>
      <w:r w:rsidR="00262278" w:rsidRPr="005060E0">
        <w:t>.</w:t>
      </w:r>
      <w:r w:rsidR="00CB6059" w:rsidRPr="005060E0">
        <w:t xml:space="preserve"> </w:t>
      </w:r>
      <w:r w:rsidR="00E15AC5" w:rsidRPr="005060E0">
        <w:t>The USEPA</w:t>
      </w:r>
      <w:r w:rsidR="00CB6059" w:rsidRPr="005060E0">
        <w:t>,</w:t>
      </w:r>
      <w:r w:rsidR="00E15AC5" w:rsidRPr="005060E0">
        <w:t xml:space="preserve"> in explaining the move from a 1-hour standard to an 8-hour standard</w:t>
      </w:r>
      <w:r w:rsidR="00CB6059" w:rsidRPr="005060E0">
        <w:t>,</w:t>
      </w:r>
      <w:r w:rsidR="00E15AC5" w:rsidRPr="005060E0">
        <w:t xml:space="preserve"> stated that although 1</w:t>
      </w:r>
      <w:r w:rsidR="00EF0F6E">
        <w:rPr>
          <w:rFonts w:cs="Arial"/>
        </w:rPr>
        <w:t>–</w:t>
      </w:r>
      <w:r w:rsidR="00E15AC5" w:rsidRPr="005060E0">
        <w:t>3 and 6</w:t>
      </w:r>
      <w:r w:rsidR="00EF0F6E">
        <w:rPr>
          <w:rFonts w:cs="Arial"/>
        </w:rPr>
        <w:t>–</w:t>
      </w:r>
      <w:r w:rsidR="00E15AC5" w:rsidRPr="005060E0">
        <w:t xml:space="preserve">8-hour </w:t>
      </w:r>
      <w:r w:rsidR="005B3776" w:rsidRPr="005060E0">
        <w:t>O</w:t>
      </w:r>
      <w:r w:rsidR="005B3776" w:rsidRPr="005060E0">
        <w:rPr>
          <w:vertAlign w:val="subscript"/>
        </w:rPr>
        <w:t>3</w:t>
      </w:r>
      <w:r w:rsidR="00E15AC5" w:rsidRPr="005060E0">
        <w:t xml:space="preserve"> exposures can be addressed through 1</w:t>
      </w:r>
      <w:r w:rsidR="00EF0F6E">
        <w:rPr>
          <w:rFonts w:cs="Arial"/>
        </w:rPr>
        <w:noBreakHyphen/>
      </w:r>
      <w:r w:rsidR="00E15AC5" w:rsidRPr="005060E0">
        <w:t>hour or 8-hour standards, the 8-hour standard is more directly associated with the health effects of most concern</w:t>
      </w:r>
      <w:r w:rsidR="00CB6059" w:rsidRPr="005060E0">
        <w:t xml:space="preserve"> (USEPA 1996; NEPC 2005)</w:t>
      </w:r>
      <w:r w:rsidR="00E15AC5" w:rsidRPr="005060E0">
        <w:t>.</w:t>
      </w:r>
      <w:r w:rsidR="00C13007" w:rsidRPr="005060E0">
        <w:rPr>
          <w:szCs w:val="20"/>
        </w:rPr>
        <w:t xml:space="preserve"> However, an 8-hour standard is not currently included in the AAQ NEPM.</w:t>
      </w:r>
    </w:p>
    <w:p w14:paraId="24DEA61F" w14:textId="6EEAA19C" w:rsidR="0094736B" w:rsidRPr="005060E0" w:rsidRDefault="0094736B" w:rsidP="002672AD">
      <w:r w:rsidRPr="005060E0">
        <w:t xml:space="preserve">The EU only applies an 8-hour </w:t>
      </w:r>
      <w:r w:rsidR="005B3776" w:rsidRPr="005060E0">
        <w:t>O</w:t>
      </w:r>
      <w:r w:rsidR="005B3776" w:rsidRPr="005060E0">
        <w:rPr>
          <w:vertAlign w:val="subscript"/>
        </w:rPr>
        <w:t>3</w:t>
      </w:r>
      <w:r w:rsidRPr="005060E0">
        <w:t xml:space="preserve"> standard but it also uses a 1-hour </w:t>
      </w:r>
      <w:r w:rsidR="00BB1AE6" w:rsidRPr="005060E0">
        <w:t xml:space="preserve">community information </w:t>
      </w:r>
      <w:r w:rsidRPr="005060E0">
        <w:t>value on the basis that an 8-hour period is too long for triggering an information release. Information warnings based on 8</w:t>
      </w:r>
      <w:r w:rsidR="00EF0F6E">
        <w:noBreakHyphen/>
      </w:r>
      <w:r w:rsidRPr="005060E0">
        <w:t>hour averages would be delivered too late to avoid adverse health consequences</w:t>
      </w:r>
      <w:r w:rsidR="002672AD" w:rsidRPr="005060E0">
        <w:t xml:space="preserve"> (NEPC 2005).</w:t>
      </w:r>
    </w:p>
    <w:p w14:paraId="0C97B0DB" w14:textId="2BED083B" w:rsidR="0094736B" w:rsidRPr="005060E0" w:rsidRDefault="0094736B" w:rsidP="0094736B">
      <w:pPr>
        <w:rPr>
          <w:i/>
        </w:rPr>
      </w:pPr>
      <w:r w:rsidRPr="005060E0">
        <w:t xml:space="preserve">For this reason, it is recommended that a 1-hour </w:t>
      </w:r>
      <w:r w:rsidR="005B3776" w:rsidRPr="005060E0">
        <w:t>O</w:t>
      </w:r>
      <w:r w:rsidR="005B3776" w:rsidRPr="005060E0">
        <w:rPr>
          <w:vertAlign w:val="subscript"/>
        </w:rPr>
        <w:t>3</w:t>
      </w:r>
      <w:r w:rsidRPr="005060E0">
        <w:t xml:space="preserve"> commun</w:t>
      </w:r>
      <w:r w:rsidR="00BB1AE6" w:rsidRPr="005060E0">
        <w:t>ity health information</w:t>
      </w:r>
      <w:r w:rsidRPr="005060E0">
        <w:t xml:space="preserve"> value or alternative forecast mechanism is used by states and territories to provide quick community health alerts</w:t>
      </w:r>
      <w:r w:rsidR="00EF0F6E">
        <w:t>,</w:t>
      </w:r>
      <w:r w:rsidRPr="005060E0">
        <w:t xml:space="preserve"> in conjunction with an 8-hour standard.</w:t>
      </w:r>
    </w:p>
    <w:p w14:paraId="22FE5577" w14:textId="69FB90A2" w:rsidR="003172C0" w:rsidRPr="005060E0" w:rsidRDefault="003172C0" w:rsidP="000C3F24">
      <w:pPr>
        <w:pStyle w:val="Heading2"/>
      </w:pPr>
      <w:bookmarkStart w:id="209" w:name="_Toc3278982"/>
      <w:r w:rsidRPr="005060E0">
        <w:t>Proposed air quality standards</w:t>
      </w:r>
      <w:r w:rsidR="00464820" w:rsidRPr="005060E0">
        <w:t xml:space="preserve"> for </w:t>
      </w:r>
      <w:r w:rsidR="000966C3" w:rsidRPr="005060E0">
        <w:t>review</w:t>
      </w:r>
      <w:bookmarkEnd w:id="209"/>
    </w:p>
    <w:p w14:paraId="793C7B10" w14:textId="2EC37614" w:rsidR="000966C3" w:rsidRPr="005060E0" w:rsidRDefault="000966C3" w:rsidP="007E6026">
      <w:pPr>
        <w:spacing w:after="480"/>
      </w:pPr>
      <w:r w:rsidRPr="005060E0">
        <w:t>The proposed standards for O</w:t>
      </w:r>
      <w:r w:rsidRPr="005060E0">
        <w:rPr>
          <w:vertAlign w:val="subscript"/>
        </w:rPr>
        <w:t>3</w:t>
      </w:r>
      <w:r w:rsidRPr="005060E0">
        <w:t xml:space="preserve"> that were investigated in the review, and the existing AAQ NEPM standards, are shown in </w:t>
      </w:r>
      <w:r w:rsidRPr="005060E0">
        <w:rPr>
          <w:szCs w:val="20"/>
        </w:rPr>
        <w:fldChar w:fldCharType="begin"/>
      </w:r>
      <w:r w:rsidRPr="005060E0">
        <w:rPr>
          <w:szCs w:val="20"/>
        </w:rPr>
        <w:instrText xml:space="preserve"> REF _Ref504375768 \h  \* MERGEFORMAT </w:instrText>
      </w:r>
      <w:r w:rsidRPr="005060E0">
        <w:rPr>
          <w:szCs w:val="20"/>
        </w:rPr>
      </w:r>
      <w:r w:rsidRPr="005060E0">
        <w:rPr>
          <w:szCs w:val="20"/>
        </w:rPr>
        <w:fldChar w:fldCharType="separate"/>
      </w:r>
      <w:r w:rsidR="00F2067C" w:rsidRPr="00F2067C">
        <w:rPr>
          <w:rStyle w:val="PBTablecaptionChar"/>
          <w:rFonts w:eastAsiaTheme="minorHAnsi"/>
          <w:sz w:val="20"/>
          <w:szCs w:val="20"/>
        </w:rPr>
        <w:t xml:space="preserve">Table </w:t>
      </w:r>
      <w:r w:rsidR="00F2067C" w:rsidRPr="00F2067C">
        <w:rPr>
          <w:rStyle w:val="PBTablecaptionChar"/>
          <w:rFonts w:eastAsiaTheme="minorHAnsi"/>
          <w:noProof/>
          <w:sz w:val="20"/>
          <w:szCs w:val="20"/>
        </w:rPr>
        <w:t>8</w:t>
      </w:r>
      <w:r w:rsidR="00F2067C" w:rsidRPr="00F2067C">
        <w:rPr>
          <w:rStyle w:val="PBTablecaptionChar"/>
          <w:rFonts w:eastAsiaTheme="minorHAnsi"/>
          <w:noProof/>
          <w:sz w:val="20"/>
          <w:szCs w:val="20"/>
        </w:rPr>
        <w:noBreakHyphen/>
        <w:t>4</w:t>
      </w:r>
      <w:r w:rsidRPr="005060E0">
        <w:rPr>
          <w:szCs w:val="20"/>
        </w:rPr>
        <w:fldChar w:fldCharType="end"/>
      </w:r>
      <w:r w:rsidRPr="005060E0">
        <w:t>. There is currently no 8-hour standard for O</w:t>
      </w:r>
      <w:r w:rsidRPr="005060E0">
        <w:rPr>
          <w:vertAlign w:val="subscript"/>
        </w:rPr>
        <w:t>3</w:t>
      </w:r>
      <w:r w:rsidRPr="005060E0">
        <w:t xml:space="preserve"> in the AAQ NEPM. </w:t>
      </w:r>
      <w:r w:rsidRPr="005060E0">
        <w:rPr>
          <w:szCs w:val="20"/>
        </w:rPr>
        <w:t xml:space="preserve">The proposed standards were all lower than the existing AAQ NEPM standards, to reflect both the recent health evidence and the more stringent standards in place in </w:t>
      </w:r>
      <w:r w:rsidR="007116E3" w:rsidRPr="005060E0">
        <w:rPr>
          <w:szCs w:val="20"/>
        </w:rPr>
        <w:t>other leading countries</w:t>
      </w:r>
      <w:r w:rsidRPr="005060E0">
        <w:rPr>
          <w:szCs w:val="20"/>
        </w:rPr>
        <w:t>.</w:t>
      </w:r>
    </w:p>
    <w:p w14:paraId="24A9464C" w14:textId="7068B9D6" w:rsidR="003172C0" w:rsidRPr="005060E0" w:rsidRDefault="003172C0" w:rsidP="00696457">
      <w:pPr>
        <w:pStyle w:val="PBTablecaption"/>
      </w:pPr>
      <w:bookmarkStart w:id="210" w:name="_Ref504375768"/>
      <w:bookmarkStart w:id="211" w:name="_Toc508305390"/>
      <w:r w:rsidRPr="005060E0">
        <w:rPr>
          <w:rStyle w:val="PBTablecaptionChar"/>
          <w:bCs/>
        </w:rPr>
        <w:t xml:space="preserve">Table </w:t>
      </w:r>
      <w:r w:rsidRPr="005060E0">
        <w:rPr>
          <w:rStyle w:val="PBTablecaptionChar"/>
          <w:bCs/>
        </w:rPr>
        <w:fldChar w:fldCharType="begin"/>
      </w:r>
      <w:r w:rsidRPr="005060E0">
        <w:rPr>
          <w:rStyle w:val="PBTablecaptionChar"/>
          <w:bCs/>
        </w:rPr>
        <w:instrText xml:space="preserve"> STYLEREF 1 \s </w:instrText>
      </w:r>
      <w:r w:rsidRPr="005060E0">
        <w:rPr>
          <w:rStyle w:val="PBTablecaptionChar"/>
          <w:bCs/>
        </w:rPr>
        <w:fldChar w:fldCharType="separate"/>
      </w:r>
      <w:r w:rsidR="00F2067C">
        <w:rPr>
          <w:rStyle w:val="PBTablecaptionChar"/>
          <w:bCs/>
          <w:noProof/>
        </w:rPr>
        <w:t>8</w:t>
      </w:r>
      <w:r w:rsidRPr="005060E0">
        <w:rPr>
          <w:rStyle w:val="PBTablecaptionChar"/>
          <w:bCs/>
        </w:rPr>
        <w:fldChar w:fldCharType="end"/>
      </w:r>
      <w:r w:rsidRPr="005060E0">
        <w:rPr>
          <w:rStyle w:val="PBTablecaptionChar"/>
          <w:bCs/>
        </w:rPr>
        <w:noBreakHyphen/>
      </w:r>
      <w:r w:rsidRPr="005060E0">
        <w:rPr>
          <w:rStyle w:val="PBTablecaptionChar"/>
          <w:bCs/>
        </w:rPr>
        <w:fldChar w:fldCharType="begin"/>
      </w:r>
      <w:r w:rsidRPr="005060E0">
        <w:rPr>
          <w:rStyle w:val="PBTablecaptionChar"/>
          <w:bCs/>
        </w:rPr>
        <w:instrText xml:space="preserve"> SEQ Table \* ARABIC \s 1 </w:instrText>
      </w:r>
      <w:r w:rsidRPr="005060E0">
        <w:rPr>
          <w:rStyle w:val="PBTablecaptionChar"/>
          <w:bCs/>
        </w:rPr>
        <w:fldChar w:fldCharType="separate"/>
      </w:r>
      <w:r w:rsidR="00F2067C">
        <w:rPr>
          <w:rStyle w:val="PBTablecaptionChar"/>
          <w:bCs/>
          <w:noProof/>
        </w:rPr>
        <w:t>4</w:t>
      </w:r>
      <w:r w:rsidRPr="005060E0">
        <w:rPr>
          <w:rStyle w:val="PBTablecaptionChar"/>
          <w:bCs/>
        </w:rPr>
        <w:fldChar w:fldCharType="end"/>
      </w:r>
      <w:bookmarkEnd w:id="210"/>
      <w:r w:rsidRPr="005060E0">
        <w:rPr>
          <w:rStyle w:val="PBTablecaptionChar"/>
          <w:bCs/>
        </w:rPr>
        <w:t>: Current</w:t>
      </w:r>
      <w:r w:rsidRPr="005060E0">
        <w:t xml:space="preserve"> </w:t>
      </w:r>
      <w:r w:rsidR="00FE23DB" w:rsidRPr="005060E0">
        <w:t>AAQ NEPM</w:t>
      </w:r>
      <w:r w:rsidRPr="005060E0">
        <w:t xml:space="preserve"> standards and proposed standards </w:t>
      </w:r>
      <w:r w:rsidR="00882FFC">
        <w:t xml:space="preserve">for </w:t>
      </w:r>
      <w:r w:rsidRPr="005060E0">
        <w:t>O</w:t>
      </w:r>
      <w:r w:rsidRPr="005060E0">
        <w:rPr>
          <w:vertAlign w:val="subscript"/>
        </w:rPr>
        <w:t>3</w:t>
      </w:r>
      <w:bookmarkEnd w:id="211"/>
    </w:p>
    <w:tbl>
      <w:tblPr>
        <w:tblStyle w:val="ListTable3-Accent11"/>
        <w:tblW w:w="5000" w:type="pct"/>
        <w:tblBorders>
          <w:top w:val="single" w:sz="4" w:space="0" w:color="0076C0" w:themeColor="accent1"/>
          <w:left w:val="single" w:sz="4" w:space="0" w:color="0076C0" w:themeColor="accent1"/>
          <w:bottom w:val="single" w:sz="4" w:space="0" w:color="0076C0" w:themeColor="accent1"/>
          <w:right w:val="single" w:sz="4" w:space="0" w:color="0076C0" w:themeColor="accent1"/>
          <w:insideH w:val="single" w:sz="4" w:space="0" w:color="0076C0" w:themeColor="accent1"/>
        </w:tblBorders>
        <w:tblLook w:val="04A0" w:firstRow="1" w:lastRow="0" w:firstColumn="1" w:lastColumn="0" w:noHBand="0" w:noVBand="1"/>
      </w:tblPr>
      <w:tblGrid>
        <w:gridCol w:w="1596"/>
        <w:gridCol w:w="2134"/>
        <w:gridCol w:w="2648"/>
        <w:gridCol w:w="3251"/>
      </w:tblGrid>
      <w:tr w:rsidR="003172C0" w:rsidRPr="005060E0" w14:paraId="6A0FD0E4" w14:textId="77777777" w:rsidTr="00D35C2D">
        <w:trPr>
          <w:cnfStyle w:val="100000000000" w:firstRow="1" w:lastRow="0" w:firstColumn="0" w:lastColumn="0" w:oddVBand="0" w:evenVBand="0" w:oddHBand="0" w:evenHBand="0" w:firstRowFirstColumn="0" w:firstRowLastColumn="0" w:lastRowFirstColumn="0" w:lastRowLastColumn="0"/>
          <w:trHeight w:hRule="exact" w:val="510"/>
          <w:tblHeader/>
        </w:trPr>
        <w:tc>
          <w:tcPr>
            <w:cnfStyle w:val="001000000100" w:firstRow="0" w:lastRow="0" w:firstColumn="1" w:lastColumn="0" w:oddVBand="0" w:evenVBand="0" w:oddHBand="0" w:evenHBand="0" w:firstRowFirstColumn="1" w:firstRowLastColumn="0" w:lastRowFirstColumn="0" w:lastRowLastColumn="0"/>
            <w:tcW w:w="829" w:type="pct"/>
            <w:tcBorders>
              <w:top w:val="single" w:sz="4" w:space="0" w:color="606072"/>
              <w:left w:val="single" w:sz="4" w:space="0" w:color="606072"/>
              <w:bottom w:val="single" w:sz="4" w:space="0" w:color="606072"/>
              <w:right w:val="single" w:sz="4" w:space="0" w:color="606072"/>
            </w:tcBorders>
            <w:shd w:val="clear" w:color="auto" w:fill="606072"/>
            <w:vAlign w:val="center"/>
          </w:tcPr>
          <w:p w14:paraId="0CFA9CB1" w14:textId="77777777" w:rsidR="003172C0" w:rsidRPr="005060E0" w:rsidRDefault="003172C0" w:rsidP="00A36219">
            <w:pPr>
              <w:spacing w:after="0" w:line="240" w:lineRule="auto"/>
              <w:jc w:val="center"/>
              <w:rPr>
                <w:rFonts w:cs="Arial"/>
                <w:b w:val="0"/>
                <w:color w:val="FFFFFF" w:themeColor="background1"/>
                <w:sz w:val="16"/>
                <w:szCs w:val="16"/>
              </w:rPr>
            </w:pPr>
            <w:r w:rsidRPr="005060E0">
              <w:rPr>
                <w:rFonts w:cs="Arial"/>
                <w:b w:val="0"/>
                <w:color w:val="FFFFFF" w:themeColor="background1"/>
                <w:sz w:val="16"/>
                <w:szCs w:val="16"/>
              </w:rPr>
              <w:t>Pollutant</w:t>
            </w:r>
          </w:p>
        </w:tc>
        <w:tc>
          <w:tcPr>
            <w:tcW w:w="1108" w:type="pct"/>
            <w:tcBorders>
              <w:top w:val="single" w:sz="4" w:space="0" w:color="606072"/>
              <w:left w:val="single" w:sz="4" w:space="0" w:color="606072"/>
              <w:bottom w:val="single" w:sz="4" w:space="0" w:color="606372" w:themeColor="text2"/>
              <w:right w:val="single" w:sz="4" w:space="0" w:color="606072"/>
            </w:tcBorders>
            <w:shd w:val="clear" w:color="auto" w:fill="606072"/>
            <w:vAlign w:val="center"/>
          </w:tcPr>
          <w:p w14:paraId="0559E5EE" w14:textId="77777777" w:rsidR="003172C0" w:rsidRPr="005060E0" w:rsidRDefault="003172C0" w:rsidP="00A362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cs="Arial"/>
                <w:b w:val="0"/>
                <w:color w:val="FFFFFF" w:themeColor="background1"/>
                <w:sz w:val="16"/>
                <w:szCs w:val="16"/>
              </w:rPr>
              <w:t>Averaging period</w:t>
            </w:r>
          </w:p>
        </w:tc>
        <w:tc>
          <w:tcPr>
            <w:tcW w:w="1375" w:type="pct"/>
            <w:tcBorders>
              <w:top w:val="single" w:sz="4" w:space="0" w:color="606072"/>
              <w:left w:val="single" w:sz="4" w:space="0" w:color="606072"/>
              <w:bottom w:val="single" w:sz="4" w:space="0" w:color="606372" w:themeColor="text2"/>
              <w:right w:val="single" w:sz="4" w:space="0" w:color="606072"/>
            </w:tcBorders>
            <w:shd w:val="clear" w:color="auto" w:fill="606072"/>
            <w:vAlign w:val="center"/>
          </w:tcPr>
          <w:p w14:paraId="64D694B4" w14:textId="77777777" w:rsidR="003172C0" w:rsidRPr="005060E0" w:rsidRDefault="003172C0" w:rsidP="00A362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cs="Arial"/>
                <w:b w:val="0"/>
                <w:color w:val="FFFFFF" w:themeColor="background1"/>
                <w:sz w:val="16"/>
                <w:szCs w:val="16"/>
              </w:rPr>
              <w:t>Concentration (ppb)</w:t>
            </w:r>
            <w:r w:rsidRPr="005060E0">
              <w:rPr>
                <w:rFonts w:cs="Arial"/>
                <w:b w:val="0"/>
                <w:color w:val="FFFFFF" w:themeColor="background1"/>
                <w:sz w:val="16"/>
                <w:szCs w:val="16"/>
                <w:vertAlign w:val="superscript"/>
              </w:rPr>
              <w:t>(a)</w:t>
            </w:r>
          </w:p>
        </w:tc>
        <w:tc>
          <w:tcPr>
            <w:tcW w:w="1688" w:type="pct"/>
            <w:tcBorders>
              <w:top w:val="single" w:sz="4" w:space="0" w:color="606072"/>
              <w:left w:val="single" w:sz="4" w:space="0" w:color="606072"/>
              <w:bottom w:val="single" w:sz="4" w:space="0" w:color="606372" w:themeColor="text2"/>
              <w:right w:val="single" w:sz="4" w:space="0" w:color="606072"/>
            </w:tcBorders>
            <w:shd w:val="clear" w:color="auto" w:fill="606072"/>
            <w:vAlign w:val="center"/>
          </w:tcPr>
          <w:p w14:paraId="1713B4E7" w14:textId="77777777" w:rsidR="003172C0" w:rsidRPr="005060E0" w:rsidRDefault="003172C0" w:rsidP="00A362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cs="Arial"/>
                <w:b w:val="0"/>
                <w:color w:val="FFFFFF" w:themeColor="background1"/>
                <w:sz w:val="16"/>
                <w:szCs w:val="16"/>
              </w:rPr>
              <w:t>Source</w:t>
            </w:r>
          </w:p>
        </w:tc>
      </w:tr>
      <w:tr w:rsidR="003172C0" w:rsidRPr="005060E0" w14:paraId="515CFA2C" w14:textId="77777777" w:rsidTr="008F601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829" w:type="pct"/>
            <w:vMerge w:val="restart"/>
            <w:tcBorders>
              <w:top w:val="single" w:sz="4" w:space="0" w:color="606072"/>
              <w:left w:val="single" w:sz="4" w:space="0" w:color="606072"/>
              <w:right w:val="single" w:sz="4" w:space="0" w:color="606372" w:themeColor="text2"/>
            </w:tcBorders>
            <w:vAlign w:val="center"/>
          </w:tcPr>
          <w:p w14:paraId="7BCDA5E6" w14:textId="77777777" w:rsidR="003172C0" w:rsidRPr="005060E0" w:rsidRDefault="003172C0" w:rsidP="00A36219">
            <w:pPr>
              <w:spacing w:after="0" w:line="240" w:lineRule="auto"/>
              <w:jc w:val="center"/>
              <w:rPr>
                <w:rFonts w:cs="Arial"/>
                <w:b w:val="0"/>
                <w:sz w:val="16"/>
                <w:szCs w:val="16"/>
              </w:rPr>
            </w:pPr>
            <w:r w:rsidRPr="005060E0">
              <w:rPr>
                <w:rFonts w:cs="Arial"/>
                <w:b w:val="0"/>
                <w:sz w:val="16"/>
                <w:szCs w:val="16"/>
              </w:rPr>
              <w:t>O</w:t>
            </w:r>
            <w:r w:rsidRPr="005060E0">
              <w:rPr>
                <w:rFonts w:cs="Arial"/>
                <w:b w:val="0"/>
                <w:sz w:val="16"/>
                <w:szCs w:val="16"/>
                <w:vertAlign w:val="subscript"/>
              </w:rPr>
              <w:t>3</w:t>
            </w:r>
          </w:p>
        </w:tc>
        <w:tc>
          <w:tcPr>
            <w:tcW w:w="1108" w:type="pct"/>
            <w:vMerge w:val="restart"/>
            <w:tcBorders>
              <w:top w:val="single" w:sz="4" w:space="0" w:color="606372" w:themeColor="text2"/>
              <w:left w:val="single" w:sz="4" w:space="0" w:color="606372" w:themeColor="text2"/>
              <w:right w:val="single" w:sz="4" w:space="0" w:color="606072"/>
            </w:tcBorders>
            <w:vAlign w:val="center"/>
          </w:tcPr>
          <w:p w14:paraId="1B62580D" w14:textId="77777777" w:rsidR="003172C0" w:rsidRPr="005060E0" w:rsidRDefault="003172C0"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1-hour</w:t>
            </w:r>
          </w:p>
        </w:tc>
        <w:tc>
          <w:tcPr>
            <w:tcW w:w="1375" w:type="pct"/>
            <w:tcBorders>
              <w:top w:val="single" w:sz="4" w:space="0" w:color="606372" w:themeColor="text2"/>
              <w:left w:val="single" w:sz="4" w:space="0" w:color="606072"/>
              <w:bottom w:val="dotted" w:sz="4" w:space="0" w:color="606072"/>
              <w:right w:val="single" w:sz="4" w:space="0" w:color="606072"/>
            </w:tcBorders>
            <w:vAlign w:val="center"/>
          </w:tcPr>
          <w:p w14:paraId="26D8A8FD" w14:textId="77777777" w:rsidR="003172C0" w:rsidRPr="005060E0" w:rsidRDefault="003172C0"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70</w:t>
            </w:r>
          </w:p>
        </w:tc>
        <w:tc>
          <w:tcPr>
            <w:tcW w:w="1688" w:type="pct"/>
            <w:tcBorders>
              <w:top w:val="single" w:sz="4" w:space="0" w:color="606372" w:themeColor="text2"/>
              <w:left w:val="single" w:sz="4" w:space="0" w:color="606072"/>
              <w:bottom w:val="dotted" w:sz="4" w:space="0" w:color="606072"/>
              <w:right w:val="single" w:sz="4" w:space="0" w:color="606372" w:themeColor="text2"/>
            </w:tcBorders>
            <w:vAlign w:val="center"/>
          </w:tcPr>
          <w:p w14:paraId="60D7C993" w14:textId="23626B29" w:rsidR="003172C0" w:rsidRPr="005060E0" w:rsidRDefault="00971E5B"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Air TOG</w:t>
            </w:r>
          </w:p>
        </w:tc>
      </w:tr>
      <w:tr w:rsidR="003172C0" w:rsidRPr="005060E0" w14:paraId="4E1E9368" w14:textId="77777777" w:rsidTr="008F6014">
        <w:trPr>
          <w:trHeight w:hRule="exact" w:val="340"/>
        </w:trPr>
        <w:tc>
          <w:tcPr>
            <w:cnfStyle w:val="001000000000" w:firstRow="0" w:lastRow="0" w:firstColumn="1" w:lastColumn="0" w:oddVBand="0" w:evenVBand="0" w:oddHBand="0" w:evenHBand="0" w:firstRowFirstColumn="0" w:firstRowLastColumn="0" w:lastRowFirstColumn="0" w:lastRowLastColumn="0"/>
            <w:tcW w:w="829" w:type="pct"/>
            <w:vMerge/>
            <w:tcBorders>
              <w:left w:val="single" w:sz="4" w:space="0" w:color="606072"/>
              <w:right w:val="single" w:sz="4" w:space="0" w:color="606372" w:themeColor="text2"/>
            </w:tcBorders>
            <w:vAlign w:val="center"/>
          </w:tcPr>
          <w:p w14:paraId="76F647CB" w14:textId="77777777" w:rsidR="003172C0" w:rsidRPr="005060E0" w:rsidRDefault="003172C0" w:rsidP="00A36219">
            <w:pPr>
              <w:spacing w:after="0" w:line="240" w:lineRule="auto"/>
              <w:jc w:val="center"/>
              <w:rPr>
                <w:rFonts w:cs="Arial"/>
                <w:b w:val="0"/>
                <w:sz w:val="16"/>
                <w:szCs w:val="16"/>
              </w:rPr>
            </w:pPr>
          </w:p>
        </w:tc>
        <w:tc>
          <w:tcPr>
            <w:tcW w:w="1108" w:type="pct"/>
            <w:vMerge/>
            <w:tcBorders>
              <w:left w:val="single" w:sz="4" w:space="0" w:color="606372" w:themeColor="text2"/>
              <w:right w:val="single" w:sz="4" w:space="0" w:color="606072"/>
            </w:tcBorders>
            <w:vAlign w:val="center"/>
          </w:tcPr>
          <w:p w14:paraId="612D2078" w14:textId="77777777" w:rsidR="003172C0" w:rsidRPr="005060E0" w:rsidRDefault="003172C0"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75" w:type="pct"/>
            <w:tcBorders>
              <w:top w:val="dotted" w:sz="4" w:space="0" w:color="606072"/>
              <w:left w:val="single" w:sz="4" w:space="0" w:color="606072"/>
              <w:bottom w:val="dotted" w:sz="4" w:space="0" w:color="606072"/>
              <w:right w:val="single" w:sz="4" w:space="0" w:color="606072"/>
            </w:tcBorders>
            <w:vAlign w:val="center"/>
          </w:tcPr>
          <w:p w14:paraId="1B4380D3" w14:textId="77777777" w:rsidR="003172C0" w:rsidRPr="005060E0" w:rsidRDefault="003172C0"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85</w:t>
            </w:r>
          </w:p>
        </w:tc>
        <w:tc>
          <w:tcPr>
            <w:tcW w:w="1688" w:type="pct"/>
            <w:tcBorders>
              <w:top w:val="dotted" w:sz="4" w:space="0" w:color="606072"/>
              <w:left w:val="single" w:sz="4" w:space="0" w:color="606072"/>
              <w:bottom w:val="dotted" w:sz="4" w:space="0" w:color="606072"/>
              <w:right w:val="single" w:sz="4" w:space="0" w:color="606372" w:themeColor="text2"/>
            </w:tcBorders>
            <w:vAlign w:val="center"/>
          </w:tcPr>
          <w:p w14:paraId="07B1E158" w14:textId="2D17E38F" w:rsidR="003172C0" w:rsidRPr="005060E0" w:rsidRDefault="00971E5B"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Air TOG</w:t>
            </w:r>
          </w:p>
        </w:tc>
      </w:tr>
      <w:tr w:rsidR="003172C0" w:rsidRPr="005060E0" w14:paraId="7784BCD2" w14:textId="77777777" w:rsidTr="00A56B47">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829" w:type="pct"/>
            <w:vMerge/>
            <w:tcBorders>
              <w:left w:val="single" w:sz="4" w:space="0" w:color="606072"/>
              <w:right w:val="single" w:sz="4" w:space="0" w:color="606372" w:themeColor="text2"/>
            </w:tcBorders>
            <w:vAlign w:val="center"/>
          </w:tcPr>
          <w:p w14:paraId="0609DD98" w14:textId="77777777" w:rsidR="003172C0" w:rsidRPr="005060E0" w:rsidRDefault="003172C0" w:rsidP="00A36219">
            <w:pPr>
              <w:spacing w:after="0" w:line="240" w:lineRule="auto"/>
              <w:jc w:val="center"/>
              <w:rPr>
                <w:rFonts w:cs="Arial"/>
                <w:b w:val="0"/>
                <w:sz w:val="16"/>
                <w:szCs w:val="16"/>
              </w:rPr>
            </w:pPr>
          </w:p>
        </w:tc>
        <w:tc>
          <w:tcPr>
            <w:tcW w:w="1108" w:type="pct"/>
            <w:vMerge/>
            <w:tcBorders>
              <w:left w:val="single" w:sz="4" w:space="0" w:color="606372" w:themeColor="text2"/>
              <w:bottom w:val="single" w:sz="4" w:space="0" w:color="606372" w:themeColor="text2"/>
              <w:right w:val="single" w:sz="4" w:space="0" w:color="606072"/>
            </w:tcBorders>
            <w:vAlign w:val="center"/>
          </w:tcPr>
          <w:p w14:paraId="4386B768" w14:textId="77777777" w:rsidR="003172C0" w:rsidRPr="005060E0" w:rsidRDefault="003172C0"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75" w:type="pct"/>
            <w:tcBorders>
              <w:top w:val="dotted" w:sz="4" w:space="0" w:color="606072"/>
              <w:left w:val="single" w:sz="4" w:space="0" w:color="606072"/>
              <w:bottom w:val="single" w:sz="4" w:space="0" w:color="606372" w:themeColor="text2"/>
              <w:right w:val="single" w:sz="4" w:space="0" w:color="606072"/>
            </w:tcBorders>
            <w:shd w:val="clear" w:color="auto" w:fill="D5E5FF"/>
            <w:vAlign w:val="center"/>
          </w:tcPr>
          <w:p w14:paraId="2236EA8C" w14:textId="77777777" w:rsidR="003172C0" w:rsidRPr="005060E0" w:rsidRDefault="003172C0"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100</w:t>
            </w:r>
          </w:p>
        </w:tc>
        <w:tc>
          <w:tcPr>
            <w:tcW w:w="1688" w:type="pct"/>
            <w:tcBorders>
              <w:top w:val="dotted" w:sz="4" w:space="0" w:color="606072"/>
              <w:left w:val="single" w:sz="4" w:space="0" w:color="606072"/>
              <w:bottom w:val="single" w:sz="4" w:space="0" w:color="606372" w:themeColor="text2"/>
              <w:right w:val="single" w:sz="4" w:space="0" w:color="606372" w:themeColor="text2"/>
            </w:tcBorders>
            <w:vAlign w:val="center"/>
          </w:tcPr>
          <w:p w14:paraId="2FD0C790" w14:textId="77777777" w:rsidR="003172C0" w:rsidRPr="005060E0" w:rsidRDefault="003172C0"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AAQ NEPM</w:t>
            </w:r>
          </w:p>
        </w:tc>
      </w:tr>
      <w:tr w:rsidR="003172C0" w:rsidRPr="005060E0" w14:paraId="199520CE" w14:textId="77777777" w:rsidTr="008F6014">
        <w:trPr>
          <w:trHeight w:hRule="exact" w:val="340"/>
        </w:trPr>
        <w:tc>
          <w:tcPr>
            <w:cnfStyle w:val="001000000000" w:firstRow="0" w:lastRow="0" w:firstColumn="1" w:lastColumn="0" w:oddVBand="0" w:evenVBand="0" w:oddHBand="0" w:evenHBand="0" w:firstRowFirstColumn="0" w:firstRowLastColumn="0" w:lastRowFirstColumn="0" w:lastRowLastColumn="0"/>
            <w:tcW w:w="829" w:type="pct"/>
            <w:vMerge/>
            <w:tcBorders>
              <w:left w:val="single" w:sz="4" w:space="0" w:color="606072"/>
              <w:right w:val="single" w:sz="4" w:space="0" w:color="606072"/>
            </w:tcBorders>
            <w:vAlign w:val="center"/>
          </w:tcPr>
          <w:p w14:paraId="3A4CB881" w14:textId="77777777" w:rsidR="003172C0" w:rsidRPr="005060E0" w:rsidRDefault="003172C0" w:rsidP="00A36219">
            <w:pPr>
              <w:spacing w:after="0" w:line="240" w:lineRule="auto"/>
              <w:jc w:val="center"/>
              <w:rPr>
                <w:rFonts w:cs="Arial"/>
                <w:b w:val="0"/>
                <w:sz w:val="16"/>
                <w:szCs w:val="16"/>
              </w:rPr>
            </w:pPr>
          </w:p>
        </w:tc>
        <w:tc>
          <w:tcPr>
            <w:tcW w:w="1108" w:type="pct"/>
            <w:vMerge w:val="restart"/>
            <w:tcBorders>
              <w:top w:val="single" w:sz="4" w:space="0" w:color="606372" w:themeColor="text2"/>
              <w:left w:val="single" w:sz="4" w:space="0" w:color="606072"/>
              <w:right w:val="single" w:sz="4" w:space="0" w:color="606072"/>
            </w:tcBorders>
            <w:vAlign w:val="center"/>
          </w:tcPr>
          <w:p w14:paraId="2C4EFC37" w14:textId="77777777" w:rsidR="003172C0" w:rsidRPr="005060E0" w:rsidRDefault="003172C0"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4-hour</w:t>
            </w:r>
          </w:p>
        </w:tc>
        <w:tc>
          <w:tcPr>
            <w:tcW w:w="1375" w:type="pct"/>
            <w:tcBorders>
              <w:top w:val="single" w:sz="4" w:space="0" w:color="606372" w:themeColor="text2"/>
              <w:left w:val="single" w:sz="4" w:space="0" w:color="606072"/>
              <w:bottom w:val="dotted" w:sz="4" w:space="0" w:color="606072"/>
              <w:right w:val="single" w:sz="4" w:space="0" w:color="606072"/>
            </w:tcBorders>
            <w:vAlign w:val="center"/>
          </w:tcPr>
          <w:p w14:paraId="6D2E8B2A" w14:textId="77777777" w:rsidR="003172C0" w:rsidRPr="005060E0" w:rsidRDefault="003172C0"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60</w:t>
            </w:r>
          </w:p>
        </w:tc>
        <w:tc>
          <w:tcPr>
            <w:tcW w:w="1688" w:type="pct"/>
            <w:tcBorders>
              <w:top w:val="single" w:sz="4" w:space="0" w:color="606372" w:themeColor="text2"/>
              <w:left w:val="single" w:sz="4" w:space="0" w:color="606072"/>
              <w:bottom w:val="dotted" w:sz="4" w:space="0" w:color="606072"/>
              <w:right w:val="single" w:sz="4" w:space="0" w:color="606072"/>
            </w:tcBorders>
            <w:vAlign w:val="center"/>
          </w:tcPr>
          <w:p w14:paraId="2D9DCB83" w14:textId="556EEF53" w:rsidR="003172C0" w:rsidRPr="005060E0" w:rsidRDefault="00971E5B"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Air TOG</w:t>
            </w:r>
          </w:p>
        </w:tc>
      </w:tr>
      <w:tr w:rsidR="003172C0" w:rsidRPr="005060E0" w14:paraId="0F9272D7" w14:textId="77777777" w:rsidTr="000966C3">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829" w:type="pct"/>
            <w:vMerge/>
            <w:tcBorders>
              <w:left w:val="single" w:sz="4" w:space="0" w:color="606072"/>
              <w:right w:val="single" w:sz="4" w:space="0" w:color="606072"/>
            </w:tcBorders>
            <w:vAlign w:val="center"/>
          </w:tcPr>
          <w:p w14:paraId="09184BDE" w14:textId="77777777" w:rsidR="003172C0" w:rsidRPr="005060E0" w:rsidRDefault="003172C0" w:rsidP="00A36219">
            <w:pPr>
              <w:spacing w:after="0" w:line="240" w:lineRule="auto"/>
              <w:jc w:val="center"/>
              <w:rPr>
                <w:rFonts w:cs="Arial"/>
                <w:b w:val="0"/>
                <w:sz w:val="16"/>
                <w:szCs w:val="16"/>
              </w:rPr>
            </w:pPr>
          </w:p>
        </w:tc>
        <w:tc>
          <w:tcPr>
            <w:tcW w:w="1108" w:type="pct"/>
            <w:vMerge/>
            <w:tcBorders>
              <w:left w:val="single" w:sz="4" w:space="0" w:color="606072"/>
              <w:right w:val="single" w:sz="4" w:space="0" w:color="606072"/>
            </w:tcBorders>
            <w:vAlign w:val="center"/>
          </w:tcPr>
          <w:p w14:paraId="04232CA3" w14:textId="77777777" w:rsidR="003172C0" w:rsidRPr="005060E0" w:rsidRDefault="003172C0"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75" w:type="pct"/>
            <w:tcBorders>
              <w:top w:val="dotted" w:sz="4" w:space="0" w:color="606072"/>
              <w:left w:val="single" w:sz="4" w:space="0" w:color="606072"/>
              <w:bottom w:val="dotted" w:sz="4" w:space="0" w:color="606072"/>
              <w:right w:val="single" w:sz="4" w:space="0" w:color="606072"/>
            </w:tcBorders>
            <w:vAlign w:val="center"/>
          </w:tcPr>
          <w:p w14:paraId="54742A67" w14:textId="77777777" w:rsidR="003172C0" w:rsidRPr="005060E0" w:rsidRDefault="003172C0"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70</w:t>
            </w:r>
          </w:p>
        </w:tc>
        <w:tc>
          <w:tcPr>
            <w:tcW w:w="1688" w:type="pct"/>
            <w:tcBorders>
              <w:top w:val="dotted" w:sz="4" w:space="0" w:color="606072"/>
              <w:left w:val="single" w:sz="4" w:space="0" w:color="606072"/>
              <w:bottom w:val="dotted" w:sz="4" w:space="0" w:color="606072"/>
              <w:right w:val="single" w:sz="4" w:space="0" w:color="606072"/>
            </w:tcBorders>
            <w:vAlign w:val="center"/>
          </w:tcPr>
          <w:p w14:paraId="078B8C4F" w14:textId="4C3B1CDB" w:rsidR="003172C0" w:rsidRPr="005060E0" w:rsidRDefault="00971E5B"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Air TOG</w:t>
            </w:r>
          </w:p>
        </w:tc>
      </w:tr>
      <w:tr w:rsidR="003172C0" w:rsidRPr="005060E0" w14:paraId="782CF30D" w14:textId="77777777" w:rsidTr="00A56B47">
        <w:trPr>
          <w:trHeight w:hRule="exact" w:val="340"/>
        </w:trPr>
        <w:tc>
          <w:tcPr>
            <w:cnfStyle w:val="001000000000" w:firstRow="0" w:lastRow="0" w:firstColumn="1" w:lastColumn="0" w:oddVBand="0" w:evenVBand="0" w:oddHBand="0" w:evenHBand="0" w:firstRowFirstColumn="0" w:firstRowLastColumn="0" w:lastRowFirstColumn="0" w:lastRowLastColumn="0"/>
            <w:tcW w:w="829" w:type="pct"/>
            <w:vMerge/>
            <w:tcBorders>
              <w:left w:val="single" w:sz="4" w:space="0" w:color="606072"/>
              <w:right w:val="single" w:sz="4" w:space="0" w:color="606072"/>
            </w:tcBorders>
            <w:vAlign w:val="center"/>
          </w:tcPr>
          <w:p w14:paraId="004C682B" w14:textId="77777777" w:rsidR="003172C0" w:rsidRPr="005060E0" w:rsidRDefault="003172C0" w:rsidP="00A36219">
            <w:pPr>
              <w:spacing w:after="0" w:line="240" w:lineRule="auto"/>
              <w:jc w:val="center"/>
              <w:rPr>
                <w:rFonts w:cs="Arial"/>
                <w:b w:val="0"/>
                <w:sz w:val="16"/>
                <w:szCs w:val="16"/>
              </w:rPr>
            </w:pPr>
          </w:p>
        </w:tc>
        <w:tc>
          <w:tcPr>
            <w:tcW w:w="1108" w:type="pct"/>
            <w:vMerge/>
            <w:tcBorders>
              <w:left w:val="single" w:sz="4" w:space="0" w:color="606072"/>
              <w:bottom w:val="single" w:sz="4" w:space="0" w:color="606072"/>
              <w:right w:val="single" w:sz="4" w:space="0" w:color="606072"/>
            </w:tcBorders>
            <w:vAlign w:val="center"/>
          </w:tcPr>
          <w:p w14:paraId="0E44E6BB" w14:textId="77777777" w:rsidR="003172C0" w:rsidRPr="005060E0" w:rsidRDefault="003172C0"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75"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045454C1" w14:textId="77777777" w:rsidR="003172C0" w:rsidRPr="005060E0" w:rsidRDefault="003172C0"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80</w:t>
            </w:r>
          </w:p>
        </w:tc>
        <w:tc>
          <w:tcPr>
            <w:tcW w:w="1688" w:type="pct"/>
            <w:tcBorders>
              <w:top w:val="dotted" w:sz="4" w:space="0" w:color="606072"/>
              <w:left w:val="single" w:sz="4" w:space="0" w:color="606072"/>
              <w:bottom w:val="single" w:sz="4" w:space="0" w:color="606072"/>
              <w:right w:val="single" w:sz="4" w:space="0" w:color="606072"/>
            </w:tcBorders>
            <w:vAlign w:val="center"/>
          </w:tcPr>
          <w:p w14:paraId="3244102A" w14:textId="77777777" w:rsidR="003172C0" w:rsidRPr="005060E0" w:rsidRDefault="003172C0"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AAQ NEPM</w:t>
            </w:r>
          </w:p>
        </w:tc>
      </w:tr>
      <w:tr w:rsidR="003172C0" w:rsidRPr="005060E0" w14:paraId="4E06198D" w14:textId="77777777" w:rsidTr="000966C3">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829" w:type="pct"/>
            <w:vMerge/>
            <w:tcBorders>
              <w:left w:val="single" w:sz="4" w:space="0" w:color="606072"/>
              <w:right w:val="single" w:sz="4" w:space="0" w:color="606072"/>
            </w:tcBorders>
            <w:vAlign w:val="center"/>
          </w:tcPr>
          <w:p w14:paraId="6F753D4B" w14:textId="77777777" w:rsidR="003172C0" w:rsidRPr="005060E0" w:rsidRDefault="003172C0" w:rsidP="00A36219">
            <w:pPr>
              <w:spacing w:after="0" w:line="240" w:lineRule="auto"/>
              <w:jc w:val="center"/>
              <w:rPr>
                <w:rFonts w:cs="Arial"/>
                <w:b w:val="0"/>
                <w:sz w:val="16"/>
                <w:szCs w:val="16"/>
              </w:rPr>
            </w:pPr>
          </w:p>
        </w:tc>
        <w:tc>
          <w:tcPr>
            <w:tcW w:w="1108" w:type="pct"/>
            <w:vMerge w:val="restart"/>
            <w:tcBorders>
              <w:top w:val="single" w:sz="4" w:space="0" w:color="606072"/>
              <w:left w:val="single" w:sz="4" w:space="0" w:color="606072"/>
              <w:right w:val="single" w:sz="4" w:space="0" w:color="606072"/>
            </w:tcBorders>
            <w:vAlign w:val="center"/>
          </w:tcPr>
          <w:p w14:paraId="7FBD64F2" w14:textId="77777777" w:rsidR="003172C0" w:rsidRPr="005060E0" w:rsidRDefault="003172C0"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8-hour</w:t>
            </w:r>
          </w:p>
        </w:tc>
        <w:tc>
          <w:tcPr>
            <w:tcW w:w="1375" w:type="pct"/>
            <w:tcBorders>
              <w:top w:val="single" w:sz="4" w:space="0" w:color="606072"/>
              <w:left w:val="single" w:sz="4" w:space="0" w:color="606072"/>
              <w:bottom w:val="dotted" w:sz="4" w:space="0" w:color="606072"/>
              <w:right w:val="single" w:sz="4" w:space="0" w:color="606072"/>
            </w:tcBorders>
            <w:vAlign w:val="center"/>
          </w:tcPr>
          <w:p w14:paraId="1FD69E1D" w14:textId="77777777" w:rsidR="003172C0" w:rsidRPr="005060E0" w:rsidRDefault="003172C0"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47</w:t>
            </w:r>
          </w:p>
        </w:tc>
        <w:tc>
          <w:tcPr>
            <w:tcW w:w="1688" w:type="pct"/>
            <w:tcBorders>
              <w:top w:val="single" w:sz="4" w:space="0" w:color="606072"/>
              <w:left w:val="single" w:sz="4" w:space="0" w:color="606072"/>
              <w:bottom w:val="dotted" w:sz="4" w:space="0" w:color="606072"/>
              <w:right w:val="single" w:sz="4" w:space="0" w:color="606072"/>
            </w:tcBorders>
            <w:vAlign w:val="center"/>
          </w:tcPr>
          <w:p w14:paraId="077C7E4E" w14:textId="31BB9D97" w:rsidR="003172C0" w:rsidRPr="005060E0" w:rsidRDefault="00971E5B"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Air TOG</w:t>
            </w:r>
          </w:p>
        </w:tc>
      </w:tr>
      <w:tr w:rsidR="003172C0" w:rsidRPr="005060E0" w14:paraId="7C7993BD" w14:textId="77777777" w:rsidTr="000966C3">
        <w:trPr>
          <w:trHeight w:hRule="exact" w:val="340"/>
        </w:trPr>
        <w:tc>
          <w:tcPr>
            <w:cnfStyle w:val="001000000000" w:firstRow="0" w:lastRow="0" w:firstColumn="1" w:lastColumn="0" w:oddVBand="0" w:evenVBand="0" w:oddHBand="0" w:evenHBand="0" w:firstRowFirstColumn="0" w:firstRowLastColumn="0" w:lastRowFirstColumn="0" w:lastRowLastColumn="0"/>
            <w:tcW w:w="829" w:type="pct"/>
            <w:vMerge/>
            <w:tcBorders>
              <w:left w:val="single" w:sz="4" w:space="0" w:color="606072"/>
              <w:right w:val="single" w:sz="4" w:space="0" w:color="606072"/>
            </w:tcBorders>
            <w:vAlign w:val="center"/>
          </w:tcPr>
          <w:p w14:paraId="5B0F1E4C" w14:textId="77777777" w:rsidR="003172C0" w:rsidRPr="005060E0" w:rsidRDefault="003172C0" w:rsidP="00A36219">
            <w:pPr>
              <w:spacing w:after="0" w:line="240" w:lineRule="auto"/>
              <w:jc w:val="center"/>
              <w:rPr>
                <w:rFonts w:cs="Arial"/>
                <w:b w:val="0"/>
                <w:sz w:val="16"/>
                <w:szCs w:val="16"/>
              </w:rPr>
            </w:pPr>
          </w:p>
        </w:tc>
        <w:tc>
          <w:tcPr>
            <w:tcW w:w="1108" w:type="pct"/>
            <w:vMerge/>
            <w:tcBorders>
              <w:left w:val="single" w:sz="4" w:space="0" w:color="606072"/>
              <w:right w:val="single" w:sz="4" w:space="0" w:color="606072"/>
            </w:tcBorders>
            <w:vAlign w:val="center"/>
          </w:tcPr>
          <w:p w14:paraId="6E0A2EE9" w14:textId="77777777" w:rsidR="003172C0" w:rsidRPr="005060E0" w:rsidRDefault="003172C0"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75" w:type="pct"/>
            <w:tcBorders>
              <w:top w:val="dotted" w:sz="4" w:space="0" w:color="606072"/>
              <w:left w:val="single" w:sz="4" w:space="0" w:color="606072"/>
              <w:bottom w:val="dotted" w:sz="4" w:space="0" w:color="606072"/>
              <w:right w:val="single" w:sz="4" w:space="0" w:color="606072"/>
            </w:tcBorders>
            <w:vAlign w:val="center"/>
          </w:tcPr>
          <w:p w14:paraId="17B690AA" w14:textId="77777777" w:rsidR="003172C0" w:rsidRPr="005060E0" w:rsidRDefault="003172C0"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55</w:t>
            </w:r>
          </w:p>
        </w:tc>
        <w:tc>
          <w:tcPr>
            <w:tcW w:w="1688" w:type="pct"/>
            <w:tcBorders>
              <w:top w:val="dotted" w:sz="4" w:space="0" w:color="606072"/>
              <w:left w:val="single" w:sz="4" w:space="0" w:color="606072"/>
              <w:bottom w:val="dotted" w:sz="4" w:space="0" w:color="606072"/>
              <w:right w:val="single" w:sz="4" w:space="0" w:color="606072"/>
            </w:tcBorders>
            <w:vAlign w:val="center"/>
          </w:tcPr>
          <w:p w14:paraId="51D89283" w14:textId="39EA60F4" w:rsidR="003172C0" w:rsidRPr="005060E0" w:rsidRDefault="00971E5B"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Air TOG</w:t>
            </w:r>
          </w:p>
        </w:tc>
      </w:tr>
      <w:tr w:rsidR="003172C0" w:rsidRPr="005060E0" w14:paraId="7E357F2C" w14:textId="77777777" w:rsidTr="000966C3">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829" w:type="pct"/>
            <w:vMerge/>
            <w:tcBorders>
              <w:left w:val="single" w:sz="4" w:space="0" w:color="606072"/>
              <w:right w:val="single" w:sz="4" w:space="0" w:color="606072"/>
            </w:tcBorders>
            <w:vAlign w:val="center"/>
          </w:tcPr>
          <w:p w14:paraId="5F25A5EE" w14:textId="77777777" w:rsidR="003172C0" w:rsidRPr="005060E0" w:rsidRDefault="003172C0" w:rsidP="00A36219">
            <w:pPr>
              <w:spacing w:after="0" w:line="240" w:lineRule="auto"/>
              <w:jc w:val="center"/>
              <w:rPr>
                <w:rFonts w:cs="Arial"/>
                <w:b w:val="0"/>
                <w:sz w:val="16"/>
                <w:szCs w:val="16"/>
              </w:rPr>
            </w:pPr>
          </w:p>
        </w:tc>
        <w:tc>
          <w:tcPr>
            <w:tcW w:w="1108" w:type="pct"/>
            <w:vMerge/>
            <w:tcBorders>
              <w:left w:val="single" w:sz="4" w:space="0" w:color="606072"/>
              <w:right w:val="single" w:sz="4" w:space="0" w:color="606072"/>
            </w:tcBorders>
            <w:vAlign w:val="center"/>
          </w:tcPr>
          <w:p w14:paraId="425B876F" w14:textId="77777777" w:rsidR="003172C0" w:rsidRPr="005060E0" w:rsidRDefault="003172C0"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75" w:type="pct"/>
            <w:tcBorders>
              <w:top w:val="dotted" w:sz="4" w:space="0" w:color="606072"/>
              <w:left w:val="single" w:sz="4" w:space="0" w:color="606072"/>
              <w:bottom w:val="dotted" w:sz="4" w:space="0" w:color="606072"/>
              <w:right w:val="single" w:sz="4" w:space="0" w:color="606072"/>
            </w:tcBorders>
            <w:vAlign w:val="center"/>
          </w:tcPr>
          <w:p w14:paraId="4C677D59" w14:textId="77777777" w:rsidR="003172C0" w:rsidRPr="005060E0" w:rsidRDefault="003172C0"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60</w:t>
            </w:r>
          </w:p>
        </w:tc>
        <w:tc>
          <w:tcPr>
            <w:tcW w:w="1688" w:type="pct"/>
            <w:tcBorders>
              <w:top w:val="dotted" w:sz="4" w:space="0" w:color="606072"/>
              <w:left w:val="single" w:sz="4" w:space="0" w:color="606072"/>
              <w:bottom w:val="dotted" w:sz="4" w:space="0" w:color="606072"/>
              <w:right w:val="single" w:sz="4" w:space="0" w:color="606072"/>
            </w:tcBorders>
            <w:vAlign w:val="center"/>
          </w:tcPr>
          <w:p w14:paraId="394098DF" w14:textId="55D08466" w:rsidR="003172C0" w:rsidRPr="005060E0" w:rsidRDefault="00971E5B" w:rsidP="00A362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Air TOG</w:t>
            </w:r>
          </w:p>
        </w:tc>
      </w:tr>
      <w:tr w:rsidR="003172C0" w:rsidRPr="005060E0" w14:paraId="7A6B0D20" w14:textId="77777777" w:rsidTr="000966C3">
        <w:trPr>
          <w:trHeight w:hRule="exact" w:val="340"/>
        </w:trPr>
        <w:tc>
          <w:tcPr>
            <w:cnfStyle w:val="001000000000" w:firstRow="0" w:lastRow="0" w:firstColumn="1" w:lastColumn="0" w:oddVBand="0" w:evenVBand="0" w:oddHBand="0" w:evenHBand="0" w:firstRowFirstColumn="0" w:firstRowLastColumn="0" w:lastRowFirstColumn="0" w:lastRowLastColumn="0"/>
            <w:tcW w:w="829" w:type="pct"/>
            <w:vMerge/>
            <w:tcBorders>
              <w:left w:val="single" w:sz="4" w:space="0" w:color="606072"/>
              <w:bottom w:val="single" w:sz="4" w:space="0" w:color="606072"/>
              <w:right w:val="single" w:sz="4" w:space="0" w:color="606072"/>
            </w:tcBorders>
            <w:vAlign w:val="center"/>
          </w:tcPr>
          <w:p w14:paraId="655CA4DB" w14:textId="77777777" w:rsidR="003172C0" w:rsidRPr="005060E0" w:rsidRDefault="003172C0" w:rsidP="00A36219">
            <w:pPr>
              <w:spacing w:after="0" w:line="240" w:lineRule="auto"/>
              <w:jc w:val="center"/>
              <w:rPr>
                <w:rFonts w:cs="Arial"/>
                <w:b w:val="0"/>
                <w:sz w:val="16"/>
                <w:szCs w:val="16"/>
              </w:rPr>
            </w:pPr>
          </w:p>
        </w:tc>
        <w:tc>
          <w:tcPr>
            <w:tcW w:w="1108" w:type="pct"/>
            <w:vMerge/>
            <w:tcBorders>
              <w:left w:val="single" w:sz="4" w:space="0" w:color="606072"/>
              <w:bottom w:val="single" w:sz="4" w:space="0" w:color="606072"/>
              <w:right w:val="single" w:sz="4" w:space="0" w:color="606072"/>
            </w:tcBorders>
            <w:vAlign w:val="center"/>
          </w:tcPr>
          <w:p w14:paraId="2E2D58BA" w14:textId="77777777" w:rsidR="003172C0" w:rsidRPr="005060E0" w:rsidRDefault="003172C0"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75" w:type="pct"/>
            <w:tcBorders>
              <w:top w:val="dotted" w:sz="4" w:space="0" w:color="606072"/>
              <w:left w:val="single" w:sz="4" w:space="0" w:color="606072"/>
              <w:bottom w:val="single" w:sz="4" w:space="0" w:color="606072"/>
              <w:right w:val="single" w:sz="4" w:space="0" w:color="606072"/>
            </w:tcBorders>
            <w:vAlign w:val="center"/>
          </w:tcPr>
          <w:p w14:paraId="1CB19204" w14:textId="77777777" w:rsidR="003172C0" w:rsidRPr="005060E0" w:rsidRDefault="003172C0"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70</w:t>
            </w:r>
          </w:p>
        </w:tc>
        <w:tc>
          <w:tcPr>
            <w:tcW w:w="1688" w:type="pct"/>
            <w:tcBorders>
              <w:top w:val="dotted" w:sz="4" w:space="0" w:color="606072"/>
              <w:left w:val="single" w:sz="4" w:space="0" w:color="606072"/>
              <w:bottom w:val="single" w:sz="4" w:space="0" w:color="606072"/>
              <w:right w:val="single" w:sz="4" w:space="0" w:color="606072"/>
            </w:tcBorders>
            <w:vAlign w:val="center"/>
          </w:tcPr>
          <w:p w14:paraId="633B7101" w14:textId="6A70B350" w:rsidR="003172C0" w:rsidRPr="005060E0" w:rsidRDefault="00971E5B" w:rsidP="00A362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Air TOG</w:t>
            </w:r>
          </w:p>
        </w:tc>
      </w:tr>
    </w:tbl>
    <w:p w14:paraId="77E375B0" w14:textId="2D86F714" w:rsidR="003172C0" w:rsidRPr="005060E0" w:rsidRDefault="003172C0" w:rsidP="00B81325">
      <w:pPr>
        <w:pStyle w:val="ListParagraph"/>
        <w:numPr>
          <w:ilvl w:val="0"/>
          <w:numId w:val="57"/>
        </w:numPr>
        <w:spacing w:before="120" w:after="0" w:line="240" w:lineRule="auto"/>
        <w:ind w:left="426" w:hanging="284"/>
        <w:rPr>
          <w:sz w:val="16"/>
          <w:szCs w:val="16"/>
        </w:rPr>
      </w:pPr>
      <w:r w:rsidRPr="005060E0">
        <w:rPr>
          <w:sz w:val="16"/>
          <w:szCs w:val="16"/>
        </w:rPr>
        <w:t xml:space="preserve">Current </w:t>
      </w:r>
      <w:r w:rsidR="00FE23DB" w:rsidRPr="005060E0">
        <w:rPr>
          <w:sz w:val="16"/>
          <w:szCs w:val="16"/>
        </w:rPr>
        <w:t>AAQ NEPM</w:t>
      </w:r>
      <w:r w:rsidRPr="005060E0">
        <w:rPr>
          <w:sz w:val="16"/>
          <w:szCs w:val="16"/>
        </w:rPr>
        <w:t xml:space="preserve"> sta</w:t>
      </w:r>
      <w:r w:rsidR="00FA3E74" w:rsidRPr="005060E0">
        <w:rPr>
          <w:sz w:val="16"/>
          <w:szCs w:val="16"/>
        </w:rPr>
        <w:t>ndards are highlighted with</w:t>
      </w:r>
      <w:r w:rsidR="007260A8" w:rsidRPr="005060E0">
        <w:rPr>
          <w:sz w:val="16"/>
          <w:szCs w:val="16"/>
        </w:rPr>
        <w:t xml:space="preserve"> light blue</w:t>
      </w:r>
      <w:r w:rsidR="00FA3E74" w:rsidRPr="005060E0">
        <w:rPr>
          <w:sz w:val="16"/>
          <w:szCs w:val="16"/>
        </w:rPr>
        <w:t xml:space="preserve"> shading</w:t>
      </w:r>
      <w:r w:rsidRPr="005060E0">
        <w:rPr>
          <w:sz w:val="16"/>
          <w:szCs w:val="16"/>
        </w:rPr>
        <w:t>.</w:t>
      </w:r>
    </w:p>
    <w:p w14:paraId="01267D32" w14:textId="77777777" w:rsidR="00A72561" w:rsidRPr="005060E0" w:rsidRDefault="00A72561" w:rsidP="00A72561">
      <w:pPr>
        <w:pStyle w:val="Heading2"/>
      </w:pPr>
      <w:bookmarkStart w:id="212" w:name="_Ref1738545"/>
      <w:bookmarkStart w:id="213" w:name="_Toc3278983"/>
      <w:r w:rsidRPr="005060E0">
        <w:t>Concentrations and exceedances</w:t>
      </w:r>
      <w:bookmarkEnd w:id="212"/>
      <w:bookmarkEnd w:id="213"/>
    </w:p>
    <w:p w14:paraId="3C9D8643" w14:textId="77777777" w:rsidR="00A72561" w:rsidRPr="005060E0" w:rsidRDefault="00A72561" w:rsidP="00A72561">
      <w:pPr>
        <w:pStyle w:val="Heading3"/>
      </w:pPr>
      <w:r w:rsidRPr="005060E0">
        <w:t>Historical trends</w:t>
      </w:r>
    </w:p>
    <w:p w14:paraId="690B289C" w14:textId="7B68BF5C" w:rsidR="007E6026" w:rsidRPr="005060E0" w:rsidRDefault="00287C9D" w:rsidP="00D7467D">
      <w:pPr>
        <w:rPr>
          <w:szCs w:val="20"/>
        </w:rPr>
      </w:pPr>
      <w:r w:rsidRPr="005060E0">
        <w:rPr>
          <w:szCs w:val="20"/>
        </w:rPr>
        <w:t>Appendix A, Section 2.4 presents an analysis of the O</w:t>
      </w:r>
      <w:r w:rsidRPr="005060E0">
        <w:rPr>
          <w:szCs w:val="20"/>
          <w:vertAlign w:val="subscript"/>
        </w:rPr>
        <w:t>3</w:t>
      </w:r>
      <w:r w:rsidRPr="005060E0">
        <w:rPr>
          <w:szCs w:val="20"/>
        </w:rPr>
        <w:t xml:space="preserve"> monitoring data from the AAQ NEPM monitoring stations in each jurisdict</w:t>
      </w:r>
      <w:r w:rsidR="007E6026" w:rsidRPr="005060E0">
        <w:rPr>
          <w:szCs w:val="20"/>
        </w:rPr>
        <w:t>ion over the period 2003</w:t>
      </w:r>
      <w:r w:rsidR="00DF4D3A" w:rsidRPr="005060E0">
        <w:rPr>
          <w:szCs w:val="20"/>
        </w:rPr>
        <w:t>–20</w:t>
      </w:r>
      <w:r w:rsidR="007E6026" w:rsidRPr="005060E0">
        <w:rPr>
          <w:szCs w:val="20"/>
        </w:rPr>
        <w:t xml:space="preserve">16. </w:t>
      </w:r>
    </w:p>
    <w:p w14:paraId="62A668DA" w14:textId="3511621E" w:rsidR="00EC296D" w:rsidRPr="005060E0" w:rsidRDefault="00EC296D" w:rsidP="00D7467D">
      <w:pPr>
        <w:rPr>
          <w:szCs w:val="20"/>
        </w:rPr>
      </w:pPr>
      <w:r w:rsidRPr="005060E0">
        <w:rPr>
          <w:rFonts w:cs="Arial"/>
        </w:rPr>
        <w:t>For Sydney there was a slight downward trend in maximum 1-hour and 4-hour O</w:t>
      </w:r>
      <w:r w:rsidRPr="005060E0">
        <w:rPr>
          <w:rFonts w:cs="Arial"/>
          <w:vertAlign w:val="subscript"/>
        </w:rPr>
        <w:t>3</w:t>
      </w:r>
      <w:r w:rsidRPr="005060E0">
        <w:rPr>
          <w:rFonts w:cs="Arial"/>
        </w:rPr>
        <w:t xml:space="preserve"> concentrations from 2003 to 2016. For all other cities and regional centres no clear trend was apparent. There were also no systematic, long-term patterns in the data for 8-hour O</w:t>
      </w:r>
      <w:r w:rsidRPr="005060E0">
        <w:rPr>
          <w:rFonts w:cs="Arial"/>
          <w:vertAlign w:val="subscript"/>
        </w:rPr>
        <w:t>3</w:t>
      </w:r>
      <w:r w:rsidRPr="005060E0">
        <w:rPr>
          <w:rFonts w:cs="Arial"/>
        </w:rPr>
        <w:t xml:space="preserve"> concentrations.</w:t>
      </w:r>
      <w:r w:rsidR="005F3F40" w:rsidRPr="005060E0">
        <w:rPr>
          <w:rFonts w:cs="Arial"/>
        </w:rPr>
        <w:t xml:space="preserve"> </w:t>
      </w:r>
      <w:r w:rsidR="00D7467D" w:rsidRPr="005060E0">
        <w:rPr>
          <w:rFonts w:cs="Arial"/>
        </w:rPr>
        <w:t xml:space="preserve">A number of the peak </w:t>
      </w:r>
      <w:r w:rsidR="005F3F40" w:rsidRPr="005060E0">
        <w:rPr>
          <w:rFonts w:cs="Arial"/>
        </w:rPr>
        <w:t>O</w:t>
      </w:r>
      <w:r w:rsidR="005F3F40" w:rsidRPr="005060E0">
        <w:rPr>
          <w:rFonts w:cs="Arial"/>
          <w:vertAlign w:val="subscript"/>
        </w:rPr>
        <w:t>3</w:t>
      </w:r>
      <w:r w:rsidR="005F3F40" w:rsidRPr="005060E0">
        <w:rPr>
          <w:rFonts w:cs="Arial"/>
        </w:rPr>
        <w:t xml:space="preserve"> </w:t>
      </w:r>
      <w:r w:rsidR="00D7467D" w:rsidRPr="005060E0">
        <w:rPr>
          <w:rFonts w:cs="Arial"/>
        </w:rPr>
        <w:t>concentrations</w:t>
      </w:r>
      <w:r w:rsidR="005F3F40" w:rsidRPr="005060E0">
        <w:rPr>
          <w:rFonts w:cs="Arial"/>
        </w:rPr>
        <w:t xml:space="preserve"> in various years</w:t>
      </w:r>
      <w:r w:rsidR="00D7467D" w:rsidRPr="005060E0">
        <w:rPr>
          <w:rFonts w:cs="Arial"/>
        </w:rPr>
        <w:t xml:space="preserve"> were associated with large bushfires. </w:t>
      </w:r>
    </w:p>
    <w:p w14:paraId="0C9962F0" w14:textId="42909CD8" w:rsidR="00EC296D" w:rsidRPr="005060E0" w:rsidRDefault="00D7467D" w:rsidP="005F3F40">
      <w:pPr>
        <w:spacing w:after="200" w:line="276" w:lineRule="auto"/>
        <w:rPr>
          <w:rFonts w:cs="Arial"/>
        </w:rPr>
      </w:pPr>
      <w:r w:rsidRPr="005060E0">
        <w:rPr>
          <w:rFonts w:cs="Arial"/>
        </w:rPr>
        <w:t>The O</w:t>
      </w:r>
      <w:r w:rsidRPr="005060E0">
        <w:rPr>
          <w:rFonts w:cs="Arial"/>
          <w:vertAlign w:val="subscript"/>
        </w:rPr>
        <w:t>3</w:t>
      </w:r>
      <w:r w:rsidRPr="005060E0">
        <w:rPr>
          <w:rFonts w:cs="Arial"/>
        </w:rPr>
        <w:t xml:space="preserve"> exceedances between 2003 and 2016 (and 2010</w:t>
      </w:r>
      <w:r w:rsidR="00DF4D3A" w:rsidRPr="005060E0">
        <w:rPr>
          <w:rFonts w:cs="Arial"/>
        </w:rPr>
        <w:t>–20</w:t>
      </w:r>
      <w:r w:rsidRPr="005060E0">
        <w:rPr>
          <w:rFonts w:cs="Arial"/>
        </w:rPr>
        <w:t xml:space="preserve">14) are summarised for the major cities and regional centres in </w:t>
      </w:r>
      <w:r w:rsidR="00EC296D" w:rsidRPr="005060E0">
        <w:rPr>
          <w:rFonts w:cs="Arial"/>
        </w:rPr>
        <w:fldChar w:fldCharType="begin"/>
      </w:r>
      <w:r w:rsidR="00EC296D" w:rsidRPr="005060E0">
        <w:rPr>
          <w:rFonts w:cs="Arial"/>
        </w:rPr>
        <w:instrText xml:space="preserve"> REF _Ref508527251 \h </w:instrText>
      </w:r>
      <w:r w:rsidR="00EC296D" w:rsidRPr="005060E0">
        <w:rPr>
          <w:rFonts w:cs="Arial"/>
        </w:rPr>
      </w:r>
      <w:r w:rsidR="00EC296D" w:rsidRPr="005060E0">
        <w:rPr>
          <w:rFonts w:cs="Arial"/>
        </w:rPr>
        <w:fldChar w:fldCharType="separate"/>
      </w:r>
      <w:r w:rsidR="00F2067C" w:rsidRPr="005060E0">
        <w:rPr>
          <w:rFonts w:cs="Arial"/>
        </w:rPr>
        <w:t xml:space="preserve">Table </w:t>
      </w:r>
      <w:r w:rsidR="00F2067C">
        <w:rPr>
          <w:rFonts w:cs="Arial"/>
          <w:noProof/>
        </w:rPr>
        <w:t>8</w:t>
      </w:r>
      <w:r w:rsidR="00F2067C" w:rsidRPr="005060E0">
        <w:rPr>
          <w:rFonts w:cs="Arial"/>
        </w:rPr>
        <w:noBreakHyphen/>
      </w:r>
      <w:r w:rsidR="00F2067C">
        <w:rPr>
          <w:rFonts w:cs="Arial"/>
          <w:noProof/>
        </w:rPr>
        <w:t>5</w:t>
      </w:r>
      <w:r w:rsidR="00EC296D" w:rsidRPr="005060E0">
        <w:rPr>
          <w:rFonts w:cs="Arial"/>
        </w:rPr>
        <w:fldChar w:fldCharType="end"/>
      </w:r>
      <w:r w:rsidR="00EC296D" w:rsidRPr="005060E0">
        <w:rPr>
          <w:rFonts w:cs="Arial"/>
        </w:rPr>
        <w:t xml:space="preserve"> and </w:t>
      </w:r>
      <w:r w:rsidR="00EC296D" w:rsidRPr="005060E0">
        <w:rPr>
          <w:rFonts w:cs="Arial"/>
        </w:rPr>
        <w:fldChar w:fldCharType="begin"/>
      </w:r>
      <w:r w:rsidR="00EC296D" w:rsidRPr="005060E0">
        <w:rPr>
          <w:rFonts w:cs="Arial"/>
        </w:rPr>
        <w:instrText xml:space="preserve"> REF _Ref508527253 \h </w:instrText>
      </w:r>
      <w:r w:rsidR="00EC296D" w:rsidRPr="005060E0">
        <w:rPr>
          <w:rFonts w:cs="Arial"/>
        </w:rPr>
      </w:r>
      <w:r w:rsidR="00EC296D" w:rsidRPr="005060E0">
        <w:rPr>
          <w:rFonts w:cs="Arial"/>
        </w:rPr>
        <w:fldChar w:fldCharType="separate"/>
      </w:r>
      <w:r w:rsidR="00F2067C" w:rsidRPr="005060E0">
        <w:rPr>
          <w:rFonts w:cs="Arial"/>
        </w:rPr>
        <w:t xml:space="preserve">Table </w:t>
      </w:r>
      <w:r w:rsidR="00F2067C">
        <w:rPr>
          <w:rFonts w:cs="Arial"/>
          <w:noProof/>
        </w:rPr>
        <w:t>8</w:t>
      </w:r>
      <w:r w:rsidR="00F2067C" w:rsidRPr="005060E0">
        <w:rPr>
          <w:rFonts w:cs="Arial"/>
        </w:rPr>
        <w:noBreakHyphen/>
      </w:r>
      <w:r w:rsidR="00F2067C">
        <w:rPr>
          <w:rFonts w:cs="Arial"/>
          <w:noProof/>
        </w:rPr>
        <w:t>6</w:t>
      </w:r>
      <w:r w:rsidR="00EC296D" w:rsidRPr="005060E0">
        <w:rPr>
          <w:rFonts w:cs="Arial"/>
        </w:rPr>
        <w:fldChar w:fldCharType="end"/>
      </w:r>
      <w:r w:rsidRPr="005060E0">
        <w:rPr>
          <w:rFonts w:cs="Arial"/>
        </w:rPr>
        <w:t xml:space="preserve"> respectively.</w:t>
      </w:r>
      <w:r w:rsidR="005F3F40" w:rsidRPr="005060E0">
        <w:rPr>
          <w:rFonts w:cs="Arial"/>
        </w:rPr>
        <w:t xml:space="preserve"> </w:t>
      </w:r>
      <w:r w:rsidR="00EC296D" w:rsidRPr="005060E0">
        <w:rPr>
          <w:rFonts w:cs="Arial"/>
        </w:rPr>
        <w:t>The measurements revealed that exceedances of the current AAQ NEPM standards (100 ppb for the 1-hour average, and 80 ppb for the rolling 4-hour ave</w:t>
      </w:r>
      <w:r w:rsidR="005F3F40" w:rsidRPr="005060E0">
        <w:rPr>
          <w:rFonts w:cs="Arial"/>
        </w:rPr>
        <w:t>rage) occurred in most airsheds</w:t>
      </w:r>
      <w:r w:rsidR="00EC296D" w:rsidRPr="005060E0">
        <w:rPr>
          <w:rFonts w:cs="Arial"/>
        </w:rPr>
        <w:t xml:space="preserve"> and in most years. This was particularly evident in the data for Sydney. </w:t>
      </w:r>
    </w:p>
    <w:p w14:paraId="3CD70313" w14:textId="7BA8C3ED" w:rsidR="00D7467D" w:rsidRPr="005060E0" w:rsidRDefault="00D7467D" w:rsidP="00D7467D">
      <w:pPr>
        <w:rPr>
          <w:rFonts w:cs="Arial"/>
        </w:rPr>
      </w:pPr>
      <w:r w:rsidRPr="005060E0">
        <w:rPr>
          <w:rFonts w:cs="Arial"/>
        </w:rPr>
        <w:t>For a proposed 1-hour standard of 85 ppb, the situation was similar to that for the current standard</w:t>
      </w:r>
      <w:r w:rsidR="003D1CEF">
        <w:rPr>
          <w:rFonts w:cs="Arial"/>
        </w:rPr>
        <w:t>;</w:t>
      </w:r>
      <w:r w:rsidRPr="005060E0">
        <w:rPr>
          <w:rFonts w:cs="Arial"/>
        </w:rPr>
        <w:t xml:space="preserve"> </w:t>
      </w:r>
      <w:r w:rsidR="003D1CEF">
        <w:rPr>
          <w:rFonts w:cs="Arial"/>
        </w:rPr>
        <w:t>h</w:t>
      </w:r>
      <w:r w:rsidRPr="005060E0">
        <w:rPr>
          <w:rFonts w:cs="Arial"/>
        </w:rPr>
        <w:t xml:space="preserve">owever, </w:t>
      </w:r>
      <w:bookmarkStart w:id="214" w:name="_Hlk1745558"/>
      <w:r w:rsidRPr="005060E0">
        <w:rPr>
          <w:rFonts w:cs="Arial"/>
        </w:rPr>
        <w:t xml:space="preserve">the only airsheds where the proposed standard of 70 ppb could be met across all years were </w:t>
      </w:r>
      <w:r w:rsidR="007F3312">
        <w:rPr>
          <w:rFonts w:cs="Arial"/>
        </w:rPr>
        <w:t>Townsville</w:t>
      </w:r>
      <w:r w:rsidR="007F3312" w:rsidRPr="005060E0">
        <w:rPr>
          <w:rFonts w:cs="Arial"/>
        </w:rPr>
        <w:t xml:space="preserve"> </w:t>
      </w:r>
      <w:r w:rsidRPr="005060E0">
        <w:rPr>
          <w:rFonts w:cs="Arial"/>
        </w:rPr>
        <w:t>and Gladstone</w:t>
      </w:r>
      <w:bookmarkEnd w:id="214"/>
      <w:r w:rsidRPr="005060E0">
        <w:rPr>
          <w:rFonts w:cs="Arial"/>
        </w:rPr>
        <w:t>.</w:t>
      </w:r>
    </w:p>
    <w:p w14:paraId="1F9DB36A" w14:textId="0CC0B1D5" w:rsidR="00D7467D" w:rsidRPr="005060E0" w:rsidRDefault="00D7467D" w:rsidP="00D7467D">
      <w:pPr>
        <w:rPr>
          <w:rFonts w:cs="Arial"/>
        </w:rPr>
      </w:pPr>
      <w:r w:rsidRPr="005060E0">
        <w:rPr>
          <w:rFonts w:cs="Arial"/>
        </w:rPr>
        <w:t>Two alternative pro</w:t>
      </w:r>
      <w:r w:rsidR="005F3F40" w:rsidRPr="005060E0">
        <w:rPr>
          <w:rFonts w:cs="Arial"/>
        </w:rPr>
        <w:t>posed 4-hour standards were</w:t>
      </w:r>
      <w:r w:rsidRPr="005060E0">
        <w:rPr>
          <w:rFonts w:cs="Arial"/>
        </w:rPr>
        <w:t xml:space="preserve"> </w:t>
      </w:r>
      <w:r w:rsidR="005F44A6" w:rsidRPr="005060E0">
        <w:rPr>
          <w:rFonts w:cs="Arial"/>
        </w:rPr>
        <w:t xml:space="preserve">considered for this </w:t>
      </w:r>
      <w:r w:rsidR="00DF05A9" w:rsidRPr="005060E0">
        <w:rPr>
          <w:rFonts w:cs="Arial"/>
        </w:rPr>
        <w:t>Impact Statement</w:t>
      </w:r>
      <w:r w:rsidRPr="005060E0">
        <w:rPr>
          <w:rFonts w:cs="Arial"/>
        </w:rPr>
        <w:t xml:space="preserve"> (70 ppb and 60 ppb). The monitoring data show</w:t>
      </w:r>
      <w:r w:rsidR="005F3F40" w:rsidRPr="005060E0">
        <w:rPr>
          <w:rFonts w:cs="Arial"/>
        </w:rPr>
        <w:t>ed</w:t>
      </w:r>
      <w:r w:rsidRPr="005060E0">
        <w:rPr>
          <w:rFonts w:cs="Arial"/>
        </w:rPr>
        <w:t xml:space="preserve"> that the 70 ppb standard was only achieved across all years in Canberra, Townsville and Gladstone. The 60 ppb standard was only achieved across all years in Canberra and Gladstone.</w:t>
      </w:r>
    </w:p>
    <w:p w14:paraId="4FF01C2B" w14:textId="77777777" w:rsidR="005F3F40" w:rsidRPr="005060E0" w:rsidRDefault="00D7467D" w:rsidP="00D7467D">
      <w:pPr>
        <w:rPr>
          <w:rFonts w:cs="Arial"/>
        </w:rPr>
      </w:pPr>
      <w:r w:rsidRPr="005060E0">
        <w:rPr>
          <w:rFonts w:cs="Arial"/>
        </w:rPr>
        <w:t>Four proposed 8-hour standards were considered in this review (70 ppb, 60 ppb, 55 ppb and 47 ppb). Based on the monitoring data for recent years the 70 ppb standard was met in Canberra and Adelaide, as well as in the regional centres of Newcastle, Townsville and Gladstone. In Sydney, Wollongong, the Port Phillip Region and Perth, the lower standards were exceeded in most years.</w:t>
      </w:r>
    </w:p>
    <w:p w14:paraId="48E5DBED" w14:textId="77777777" w:rsidR="00DA1B4E" w:rsidRPr="005060E0" w:rsidRDefault="00D7467D" w:rsidP="004F4B59">
      <w:pPr>
        <w:spacing w:after="480"/>
        <w:rPr>
          <w:rFonts w:cs="Arial"/>
        </w:rPr>
      </w:pPr>
      <w:r w:rsidRPr="005060E0">
        <w:rPr>
          <w:rFonts w:cs="Arial"/>
        </w:rPr>
        <w:t>In summary, the proposed O</w:t>
      </w:r>
      <w:r w:rsidRPr="005060E0">
        <w:rPr>
          <w:rFonts w:cs="Arial"/>
          <w:vertAlign w:val="subscript"/>
        </w:rPr>
        <w:t>3</w:t>
      </w:r>
      <w:r w:rsidRPr="005060E0">
        <w:rPr>
          <w:rFonts w:cs="Arial"/>
        </w:rPr>
        <w:t xml:space="preserve"> standards have generally not been achieved historically, indicating that abatement measures would be required in the future.</w:t>
      </w:r>
    </w:p>
    <w:p w14:paraId="16C5879E" w14:textId="17B2D9CE" w:rsidR="009D3FA0" w:rsidRPr="005060E0" w:rsidRDefault="002E2E08" w:rsidP="00C33FEF">
      <w:pPr>
        <w:pStyle w:val="PBTablecaption"/>
        <w:pageBreakBefore/>
        <w:rPr>
          <w:rFonts w:cs="Arial"/>
        </w:rPr>
      </w:pPr>
      <w:bookmarkStart w:id="215" w:name="_Ref508527251"/>
      <w:r w:rsidRPr="005060E0">
        <w:rPr>
          <w:rFonts w:cs="Arial"/>
        </w:rPr>
        <w:t xml:space="preserve">Table </w:t>
      </w:r>
      <w:r w:rsidRPr="005060E0">
        <w:rPr>
          <w:rFonts w:cs="Arial"/>
        </w:rPr>
        <w:fldChar w:fldCharType="begin"/>
      </w:r>
      <w:r w:rsidRPr="005060E0">
        <w:rPr>
          <w:rFonts w:cs="Arial"/>
        </w:rPr>
        <w:instrText xml:space="preserve"> STYLEREF 1 \s </w:instrText>
      </w:r>
      <w:r w:rsidRPr="005060E0">
        <w:rPr>
          <w:rFonts w:cs="Arial"/>
        </w:rPr>
        <w:fldChar w:fldCharType="separate"/>
      </w:r>
      <w:r w:rsidR="00F2067C">
        <w:rPr>
          <w:rFonts w:cs="Arial"/>
          <w:noProof/>
        </w:rPr>
        <w:t>8</w:t>
      </w:r>
      <w:r w:rsidRPr="005060E0">
        <w:rPr>
          <w:rFonts w:cs="Arial"/>
        </w:rPr>
        <w:fldChar w:fldCharType="end"/>
      </w:r>
      <w:r w:rsidRPr="005060E0">
        <w:rPr>
          <w:rFonts w:cs="Arial"/>
        </w:rPr>
        <w:noBreakHyphen/>
      </w:r>
      <w:r w:rsidRPr="005060E0">
        <w:rPr>
          <w:rFonts w:cs="Arial"/>
        </w:rPr>
        <w:fldChar w:fldCharType="begin"/>
      </w:r>
      <w:r w:rsidRPr="005060E0">
        <w:rPr>
          <w:rFonts w:cs="Arial"/>
        </w:rPr>
        <w:instrText xml:space="preserve"> SEQ Table \* ARABIC \s 1 </w:instrText>
      </w:r>
      <w:r w:rsidRPr="005060E0">
        <w:rPr>
          <w:rFonts w:cs="Arial"/>
        </w:rPr>
        <w:fldChar w:fldCharType="separate"/>
      </w:r>
      <w:r w:rsidR="00F2067C">
        <w:rPr>
          <w:rFonts w:cs="Arial"/>
          <w:noProof/>
        </w:rPr>
        <w:t>5</w:t>
      </w:r>
      <w:r w:rsidRPr="005060E0">
        <w:rPr>
          <w:rFonts w:cs="Arial"/>
        </w:rPr>
        <w:fldChar w:fldCharType="end"/>
      </w:r>
      <w:bookmarkEnd w:id="215"/>
      <w:r w:rsidRPr="005060E0">
        <w:rPr>
          <w:rFonts w:cs="Arial"/>
        </w:rPr>
        <w:t xml:space="preserve">: </w:t>
      </w:r>
      <w:r w:rsidR="00975888" w:rsidRPr="005060E0">
        <w:rPr>
          <w:rFonts w:eastAsia="Arial" w:cs="Arial"/>
        </w:rPr>
        <w:t>Historical</w:t>
      </w:r>
      <w:r w:rsidRPr="005060E0">
        <w:rPr>
          <w:rFonts w:eastAsia="Arial" w:cs="Arial"/>
        </w:rPr>
        <w:t xml:space="preserve"> exceedance</w:t>
      </w:r>
      <w:r w:rsidR="00975888" w:rsidRPr="005060E0">
        <w:rPr>
          <w:rFonts w:eastAsia="Arial" w:cs="Arial"/>
        </w:rPr>
        <w:t>s of</w:t>
      </w:r>
      <w:r w:rsidR="009D3FA0" w:rsidRPr="005060E0">
        <w:rPr>
          <w:rFonts w:eastAsia="Arial" w:cs="Arial"/>
        </w:rPr>
        <w:t xml:space="preserve"> current and proposed </w:t>
      </w:r>
      <w:r w:rsidRPr="005060E0">
        <w:rPr>
          <w:rFonts w:eastAsia="Arial" w:cs="Arial"/>
        </w:rPr>
        <w:t>O</w:t>
      </w:r>
      <w:r w:rsidR="009D3FA0" w:rsidRPr="005060E0">
        <w:rPr>
          <w:rFonts w:eastAsia="Arial" w:cs="Arial"/>
          <w:vertAlign w:val="subscript"/>
        </w:rPr>
        <w:t>3</w:t>
      </w:r>
      <w:r w:rsidRPr="005060E0">
        <w:rPr>
          <w:rFonts w:eastAsia="Arial" w:cs="Arial"/>
        </w:rPr>
        <w:t xml:space="preserve"> standards in major cities</w:t>
      </w:r>
    </w:p>
    <w:tbl>
      <w:tblPr>
        <w:tblStyle w:val="ListTable3-Accent13"/>
        <w:tblW w:w="5000" w:type="pct"/>
        <w:tblCellMar>
          <w:left w:w="28" w:type="dxa"/>
          <w:right w:w="28" w:type="dxa"/>
        </w:tblCellMar>
        <w:tblLook w:val="04A0" w:firstRow="1" w:lastRow="0" w:firstColumn="1" w:lastColumn="0" w:noHBand="0" w:noVBand="1"/>
      </w:tblPr>
      <w:tblGrid>
        <w:gridCol w:w="998"/>
        <w:gridCol w:w="555"/>
        <w:gridCol w:w="1150"/>
        <w:gridCol w:w="1092"/>
        <w:gridCol w:w="1333"/>
        <w:gridCol w:w="1123"/>
        <w:gridCol w:w="1123"/>
        <w:gridCol w:w="1123"/>
        <w:gridCol w:w="1132"/>
      </w:tblGrid>
      <w:tr w:rsidR="009D3FA0" w:rsidRPr="005060E0" w14:paraId="34C0DBCC" w14:textId="77777777" w:rsidTr="00975888">
        <w:trPr>
          <w:cnfStyle w:val="100000000000" w:firstRow="1" w:lastRow="0" w:firstColumn="0" w:lastColumn="0" w:oddVBand="0" w:evenVBand="0" w:oddHBand="0" w:evenHBand="0" w:firstRowFirstColumn="0" w:firstRowLastColumn="0" w:lastRowFirstColumn="0" w:lastRowLastColumn="0"/>
          <w:trHeight w:hRule="exact" w:val="526"/>
          <w:tblHeader/>
        </w:trPr>
        <w:tc>
          <w:tcPr>
            <w:cnfStyle w:val="001000000100" w:firstRow="0" w:lastRow="0" w:firstColumn="1" w:lastColumn="0" w:oddVBand="0" w:evenVBand="0" w:oddHBand="0" w:evenHBand="0" w:firstRowFirstColumn="1" w:firstRowLastColumn="0" w:lastRowFirstColumn="0" w:lastRowLastColumn="0"/>
            <w:tcW w:w="519" w:type="pct"/>
            <w:vMerge w:val="restart"/>
            <w:tcBorders>
              <w:top w:val="single" w:sz="4" w:space="0" w:color="606072"/>
              <w:left w:val="single" w:sz="4" w:space="0" w:color="606072"/>
              <w:bottom w:val="single" w:sz="4" w:space="0" w:color="606072"/>
            </w:tcBorders>
            <w:shd w:val="clear" w:color="auto" w:fill="606072"/>
            <w:vAlign w:val="center"/>
            <w:hideMark/>
          </w:tcPr>
          <w:p w14:paraId="390A47FD" w14:textId="77777777" w:rsidR="009D3FA0" w:rsidRPr="005060E0" w:rsidRDefault="009D3FA0" w:rsidP="009D3FA0">
            <w:pPr>
              <w:widowControl w:val="0"/>
              <w:spacing w:after="0" w:line="240" w:lineRule="auto"/>
              <w:jc w:val="center"/>
              <w:rPr>
                <w:rFonts w:cs="Arial"/>
                <w:b w:val="0"/>
                <w:color w:val="FFFFFF" w:themeColor="background1"/>
                <w:sz w:val="16"/>
                <w:szCs w:val="16"/>
              </w:rPr>
            </w:pPr>
            <w:r w:rsidRPr="005060E0">
              <w:rPr>
                <w:rFonts w:cs="Arial"/>
                <w:b w:val="0"/>
                <w:color w:val="FFFFFF" w:themeColor="background1"/>
                <w:sz w:val="16"/>
                <w:szCs w:val="16"/>
              </w:rPr>
              <w:t>Standard</w:t>
            </w:r>
          </w:p>
        </w:tc>
        <w:tc>
          <w:tcPr>
            <w:tcW w:w="288" w:type="pct"/>
            <w:tcBorders>
              <w:top w:val="single" w:sz="4" w:space="0" w:color="606072"/>
              <w:left w:val="nil"/>
              <w:bottom w:val="single" w:sz="4" w:space="0" w:color="606072"/>
              <w:right w:val="nil"/>
            </w:tcBorders>
            <w:shd w:val="clear" w:color="auto" w:fill="606072"/>
          </w:tcPr>
          <w:p w14:paraId="5A78915F" w14:textId="77777777" w:rsidR="009D3FA0" w:rsidRPr="005060E0" w:rsidRDefault="009D3FA0" w:rsidP="009D3FA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szCs w:val="16"/>
              </w:rPr>
            </w:pPr>
          </w:p>
        </w:tc>
        <w:tc>
          <w:tcPr>
            <w:tcW w:w="4193" w:type="pct"/>
            <w:gridSpan w:val="7"/>
            <w:tcBorders>
              <w:top w:val="single" w:sz="4" w:space="0" w:color="606072"/>
              <w:left w:val="nil"/>
              <w:bottom w:val="single" w:sz="4" w:space="0" w:color="606072"/>
              <w:right w:val="single" w:sz="4" w:space="0" w:color="606072"/>
            </w:tcBorders>
            <w:shd w:val="clear" w:color="auto" w:fill="606072"/>
            <w:vAlign w:val="center"/>
            <w:hideMark/>
          </w:tcPr>
          <w:p w14:paraId="5E6DC8E5" w14:textId="40436B2B" w:rsidR="009D3FA0" w:rsidRPr="005060E0" w:rsidRDefault="00975888" w:rsidP="009D3F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cs="Arial"/>
                <w:b w:val="0"/>
                <w:color w:val="FFFFFF" w:themeColor="background1"/>
                <w:sz w:val="16"/>
                <w:szCs w:val="16"/>
              </w:rPr>
              <w:t>Exceedance</w:t>
            </w:r>
            <w:r w:rsidR="009D3FA0" w:rsidRPr="005060E0">
              <w:rPr>
                <w:rFonts w:cs="Arial"/>
                <w:b w:val="0"/>
                <w:color w:val="FFFFFF" w:themeColor="background1"/>
                <w:sz w:val="16"/>
                <w:szCs w:val="16"/>
              </w:rPr>
              <w:t>s between 2003 and 2016 (2010</w:t>
            </w:r>
            <w:r w:rsidR="00DF4D3A" w:rsidRPr="005060E0">
              <w:rPr>
                <w:rFonts w:cs="Arial"/>
                <w:b w:val="0"/>
                <w:color w:val="FFFFFF" w:themeColor="background1"/>
                <w:sz w:val="16"/>
                <w:szCs w:val="16"/>
              </w:rPr>
              <w:t>–20</w:t>
            </w:r>
            <w:r w:rsidR="009D3FA0" w:rsidRPr="005060E0">
              <w:rPr>
                <w:rFonts w:cs="Arial"/>
                <w:b w:val="0"/>
                <w:color w:val="FFFFFF" w:themeColor="background1"/>
                <w:sz w:val="16"/>
                <w:szCs w:val="16"/>
              </w:rPr>
              <w:t>14 in brackets)</w:t>
            </w:r>
          </w:p>
        </w:tc>
      </w:tr>
      <w:tr w:rsidR="00BF7BF2" w:rsidRPr="005060E0" w14:paraId="05E37E0F" w14:textId="77777777" w:rsidTr="00BE5933">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100" w:firstRow="0" w:lastRow="0" w:firstColumn="1" w:lastColumn="0" w:oddVBand="0" w:evenVBand="0" w:oddHBand="0" w:evenHBand="0" w:firstRowFirstColumn="1" w:firstRowLastColumn="0" w:lastRowFirstColumn="0" w:lastRowLastColumn="0"/>
            <w:tcW w:w="0" w:type="auto"/>
            <w:vMerge/>
            <w:tcBorders>
              <w:top w:val="single" w:sz="4" w:space="0" w:color="606072"/>
              <w:left w:val="single" w:sz="4" w:space="0" w:color="606072"/>
              <w:bottom w:val="single" w:sz="4" w:space="0" w:color="606072"/>
            </w:tcBorders>
            <w:vAlign w:val="center"/>
            <w:hideMark/>
          </w:tcPr>
          <w:p w14:paraId="65BCFC72" w14:textId="77777777" w:rsidR="009D3FA0" w:rsidRPr="005060E0" w:rsidRDefault="009D3FA0" w:rsidP="009D3FA0">
            <w:pPr>
              <w:widowControl w:val="0"/>
              <w:spacing w:after="0" w:line="240" w:lineRule="auto"/>
              <w:rPr>
                <w:rFonts w:cs="Arial"/>
                <w:color w:val="FFFFFF" w:themeColor="background1"/>
                <w:sz w:val="16"/>
                <w:szCs w:val="16"/>
              </w:rPr>
            </w:pPr>
          </w:p>
        </w:tc>
        <w:tc>
          <w:tcPr>
            <w:tcW w:w="288" w:type="pct"/>
            <w:tcBorders>
              <w:top w:val="single" w:sz="4" w:space="0" w:color="606072"/>
              <w:left w:val="nil"/>
              <w:bottom w:val="single" w:sz="4" w:space="0" w:color="606072"/>
              <w:right w:val="nil"/>
            </w:tcBorders>
            <w:shd w:val="clear" w:color="auto" w:fill="606072"/>
          </w:tcPr>
          <w:p w14:paraId="1E2D8B5D" w14:textId="77777777" w:rsidR="009D3FA0" w:rsidRPr="005060E0" w:rsidRDefault="009D3FA0" w:rsidP="009D3FA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szCs w:val="16"/>
              </w:rPr>
            </w:pPr>
          </w:p>
        </w:tc>
        <w:tc>
          <w:tcPr>
            <w:tcW w:w="597" w:type="pct"/>
            <w:tcBorders>
              <w:top w:val="single" w:sz="4" w:space="0" w:color="606072"/>
              <w:left w:val="nil"/>
              <w:bottom w:val="single" w:sz="4" w:space="0" w:color="606072"/>
              <w:right w:val="nil"/>
            </w:tcBorders>
            <w:shd w:val="clear" w:color="auto" w:fill="606072"/>
            <w:hideMark/>
          </w:tcPr>
          <w:p w14:paraId="5448427B" w14:textId="77777777" w:rsidR="009D3FA0" w:rsidRPr="005060E0" w:rsidRDefault="009D3FA0" w:rsidP="009D3F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1"/>
                <w:sz w:val="16"/>
                <w:szCs w:val="16"/>
                <w:lang w:eastAsia="en-AU"/>
              </w:rPr>
            </w:pPr>
            <w:r w:rsidRPr="005060E0">
              <w:rPr>
                <w:rFonts w:eastAsia="Times New Roman" w:cs="Arial"/>
                <w:b w:val="0"/>
                <w:color w:val="FFFFFF" w:themeColor="background1"/>
                <w:sz w:val="16"/>
                <w:szCs w:val="16"/>
                <w:lang w:eastAsia="en-AU"/>
              </w:rPr>
              <w:t>NSW:</w:t>
            </w:r>
          </w:p>
          <w:p w14:paraId="732B3E66" w14:textId="77777777" w:rsidR="009D3FA0" w:rsidRPr="005060E0" w:rsidRDefault="009D3FA0" w:rsidP="009D3F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Sydney</w:t>
            </w:r>
          </w:p>
        </w:tc>
        <w:tc>
          <w:tcPr>
            <w:tcW w:w="567" w:type="pct"/>
            <w:tcBorders>
              <w:top w:val="single" w:sz="4" w:space="0" w:color="606072"/>
              <w:left w:val="nil"/>
              <w:bottom w:val="single" w:sz="4" w:space="0" w:color="606072"/>
              <w:right w:val="nil"/>
            </w:tcBorders>
            <w:shd w:val="clear" w:color="auto" w:fill="606072"/>
            <w:hideMark/>
          </w:tcPr>
          <w:p w14:paraId="41C1F62C" w14:textId="628781F6" w:rsidR="009D3FA0" w:rsidRPr="005060E0" w:rsidRDefault="009D3FA0" w:rsidP="00BE593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VIC:</w:t>
            </w:r>
            <w:r w:rsidR="00BE5933">
              <w:rPr>
                <w:rFonts w:eastAsia="Times New Roman" w:cs="Arial"/>
                <w:b w:val="0"/>
                <w:color w:val="FFFFFF" w:themeColor="background1"/>
                <w:sz w:val="16"/>
                <w:szCs w:val="16"/>
                <w:lang w:eastAsia="en-AU"/>
              </w:rPr>
              <w:t xml:space="preserve"> </w:t>
            </w:r>
            <w:r w:rsidRPr="005060E0">
              <w:rPr>
                <w:rFonts w:eastAsia="Times New Roman" w:cs="Arial"/>
                <w:b w:val="0"/>
                <w:color w:val="FFFFFF" w:themeColor="background1"/>
                <w:sz w:val="16"/>
                <w:szCs w:val="16"/>
                <w:lang w:eastAsia="en-AU"/>
              </w:rPr>
              <w:t>Port Phillip Region</w:t>
            </w:r>
          </w:p>
        </w:tc>
        <w:tc>
          <w:tcPr>
            <w:tcW w:w="692" w:type="pct"/>
            <w:tcBorders>
              <w:top w:val="single" w:sz="4" w:space="0" w:color="606072"/>
              <w:left w:val="nil"/>
              <w:bottom w:val="single" w:sz="4" w:space="0" w:color="606072"/>
              <w:right w:val="nil"/>
            </w:tcBorders>
            <w:shd w:val="clear" w:color="auto" w:fill="606072"/>
            <w:hideMark/>
          </w:tcPr>
          <w:p w14:paraId="33E1ACB1" w14:textId="032064BB" w:rsidR="009D3FA0" w:rsidRPr="005060E0" w:rsidRDefault="009D3FA0" w:rsidP="00BE593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QLD:</w:t>
            </w:r>
            <w:r w:rsidR="00BE5933">
              <w:rPr>
                <w:rFonts w:eastAsia="Times New Roman" w:cs="Arial"/>
                <w:b w:val="0"/>
                <w:color w:val="FFFFFF" w:themeColor="background1"/>
                <w:sz w:val="16"/>
                <w:szCs w:val="16"/>
                <w:lang w:eastAsia="en-AU"/>
              </w:rPr>
              <w:t xml:space="preserve"> </w:t>
            </w:r>
            <w:r w:rsidRPr="005060E0">
              <w:rPr>
                <w:rFonts w:eastAsia="Times New Roman" w:cs="Arial"/>
                <w:b w:val="0"/>
                <w:color w:val="FFFFFF" w:themeColor="background1"/>
                <w:sz w:val="16"/>
                <w:szCs w:val="16"/>
                <w:lang w:eastAsia="en-AU"/>
              </w:rPr>
              <w:t>S-E Queensland</w:t>
            </w:r>
          </w:p>
        </w:tc>
        <w:tc>
          <w:tcPr>
            <w:tcW w:w="583" w:type="pct"/>
            <w:tcBorders>
              <w:top w:val="single" w:sz="4" w:space="0" w:color="606072"/>
              <w:left w:val="nil"/>
              <w:bottom w:val="single" w:sz="4" w:space="0" w:color="606072"/>
              <w:right w:val="nil"/>
            </w:tcBorders>
            <w:shd w:val="clear" w:color="auto" w:fill="606072"/>
            <w:hideMark/>
          </w:tcPr>
          <w:p w14:paraId="73AAE368" w14:textId="77777777" w:rsidR="009D3FA0" w:rsidRPr="005060E0" w:rsidRDefault="009D3FA0" w:rsidP="009D3F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SA: Adelaide</w:t>
            </w:r>
          </w:p>
        </w:tc>
        <w:tc>
          <w:tcPr>
            <w:tcW w:w="583" w:type="pct"/>
            <w:tcBorders>
              <w:top w:val="single" w:sz="4" w:space="0" w:color="606072"/>
              <w:left w:val="nil"/>
              <w:bottom w:val="single" w:sz="4" w:space="0" w:color="606072"/>
              <w:right w:val="nil"/>
            </w:tcBorders>
            <w:shd w:val="clear" w:color="auto" w:fill="606072"/>
            <w:hideMark/>
          </w:tcPr>
          <w:p w14:paraId="7DE2F634" w14:textId="77777777" w:rsidR="009D3FA0" w:rsidRPr="005060E0" w:rsidRDefault="009D3FA0" w:rsidP="009D3F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1"/>
                <w:sz w:val="16"/>
                <w:szCs w:val="16"/>
                <w:lang w:eastAsia="en-AU"/>
              </w:rPr>
            </w:pPr>
            <w:r w:rsidRPr="005060E0">
              <w:rPr>
                <w:rFonts w:eastAsia="Times New Roman" w:cs="Arial"/>
                <w:b w:val="0"/>
                <w:color w:val="FFFFFF" w:themeColor="background1"/>
                <w:sz w:val="16"/>
                <w:szCs w:val="16"/>
                <w:lang w:eastAsia="en-AU"/>
              </w:rPr>
              <w:t>WA:</w:t>
            </w:r>
          </w:p>
          <w:p w14:paraId="070C189D" w14:textId="77777777" w:rsidR="009D3FA0" w:rsidRPr="005060E0" w:rsidRDefault="009D3FA0" w:rsidP="009D3F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Perth</w:t>
            </w:r>
          </w:p>
        </w:tc>
        <w:tc>
          <w:tcPr>
            <w:tcW w:w="583" w:type="pct"/>
            <w:tcBorders>
              <w:top w:val="single" w:sz="4" w:space="0" w:color="606072"/>
              <w:left w:val="nil"/>
              <w:bottom w:val="single" w:sz="4" w:space="0" w:color="606072"/>
              <w:right w:val="nil"/>
            </w:tcBorders>
            <w:shd w:val="clear" w:color="auto" w:fill="606072"/>
            <w:hideMark/>
          </w:tcPr>
          <w:p w14:paraId="7618EBEA" w14:textId="77777777" w:rsidR="009D3FA0" w:rsidRPr="005060E0" w:rsidRDefault="009D3FA0" w:rsidP="009D3F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1"/>
                <w:sz w:val="16"/>
                <w:szCs w:val="16"/>
                <w:lang w:eastAsia="en-AU"/>
              </w:rPr>
            </w:pPr>
            <w:r w:rsidRPr="005060E0">
              <w:rPr>
                <w:rFonts w:eastAsia="Times New Roman" w:cs="Arial"/>
                <w:b w:val="0"/>
                <w:color w:val="FFFFFF" w:themeColor="background1"/>
                <w:sz w:val="16"/>
                <w:szCs w:val="16"/>
                <w:lang w:eastAsia="en-AU"/>
              </w:rPr>
              <w:t>NT:</w:t>
            </w:r>
          </w:p>
          <w:p w14:paraId="351F68A5" w14:textId="77777777" w:rsidR="009D3FA0" w:rsidRPr="005060E0" w:rsidRDefault="009D3FA0" w:rsidP="009D3F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Darwin</w:t>
            </w:r>
          </w:p>
        </w:tc>
        <w:tc>
          <w:tcPr>
            <w:tcW w:w="587" w:type="pct"/>
            <w:tcBorders>
              <w:top w:val="single" w:sz="4" w:space="0" w:color="606072"/>
              <w:left w:val="nil"/>
              <w:bottom w:val="single" w:sz="4" w:space="0" w:color="606072"/>
              <w:right w:val="single" w:sz="4" w:space="0" w:color="606072"/>
            </w:tcBorders>
            <w:shd w:val="clear" w:color="auto" w:fill="606072"/>
            <w:hideMark/>
          </w:tcPr>
          <w:p w14:paraId="10FE4681" w14:textId="77777777" w:rsidR="009D3FA0" w:rsidRPr="005060E0" w:rsidRDefault="009D3FA0" w:rsidP="009D3F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ACT: Canberra</w:t>
            </w:r>
          </w:p>
        </w:tc>
      </w:tr>
      <w:tr w:rsidR="00975888" w:rsidRPr="005060E0" w14:paraId="61A610C6" w14:textId="77777777" w:rsidTr="0097588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19" w:type="pct"/>
            <w:vMerge w:val="restart"/>
            <w:tcBorders>
              <w:top w:val="single" w:sz="4" w:space="0" w:color="606072"/>
              <w:left w:val="single" w:sz="4" w:space="0" w:color="606072"/>
              <w:right w:val="dotted" w:sz="4" w:space="0" w:color="606372" w:themeColor="text2"/>
            </w:tcBorders>
            <w:vAlign w:val="center"/>
          </w:tcPr>
          <w:p w14:paraId="5F47CFC0" w14:textId="1D6001FB" w:rsidR="00975888" w:rsidRPr="005060E0" w:rsidRDefault="00975888" w:rsidP="009D3FA0">
            <w:pPr>
              <w:widowControl w:val="0"/>
              <w:spacing w:after="0" w:line="240" w:lineRule="auto"/>
              <w:jc w:val="center"/>
              <w:rPr>
                <w:rFonts w:cs="Arial"/>
                <w:b w:val="0"/>
                <w:sz w:val="16"/>
                <w:szCs w:val="16"/>
              </w:rPr>
            </w:pPr>
            <w:r w:rsidRPr="005060E0">
              <w:rPr>
                <w:rFonts w:cs="Arial"/>
                <w:b w:val="0"/>
                <w:sz w:val="16"/>
                <w:szCs w:val="16"/>
              </w:rPr>
              <w:t>1-hour</w:t>
            </w:r>
          </w:p>
        </w:tc>
        <w:tc>
          <w:tcPr>
            <w:tcW w:w="288" w:type="pct"/>
            <w:tcBorders>
              <w:top w:val="single" w:sz="4" w:space="0" w:color="606072"/>
              <w:left w:val="dotted" w:sz="4" w:space="0" w:color="606372" w:themeColor="text2"/>
              <w:bottom w:val="dotted" w:sz="4" w:space="0" w:color="606072"/>
              <w:right w:val="single" w:sz="4" w:space="0" w:color="606072"/>
            </w:tcBorders>
            <w:vAlign w:val="center"/>
          </w:tcPr>
          <w:p w14:paraId="60F9E0E6"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93" w:type="pct"/>
            <w:gridSpan w:val="7"/>
            <w:tcBorders>
              <w:top w:val="single" w:sz="4" w:space="0" w:color="606072"/>
              <w:left w:val="single" w:sz="4" w:space="0" w:color="606072"/>
              <w:bottom w:val="dotted" w:sz="4" w:space="0" w:color="606072"/>
              <w:right w:val="single" w:sz="4" w:space="0" w:color="606072"/>
            </w:tcBorders>
            <w:shd w:val="clear" w:color="auto" w:fill="BFBFBF" w:themeFill="background1" w:themeFillShade="BF"/>
            <w:vAlign w:val="center"/>
          </w:tcPr>
          <w:p w14:paraId="619D111B" w14:textId="067B435D" w:rsidR="00975888" w:rsidRPr="005060E0" w:rsidRDefault="00975888" w:rsidP="001B3859">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bCs/>
                <w:sz w:val="16"/>
                <w:szCs w:val="16"/>
                <w:lang w:eastAsia="en-AU"/>
              </w:rPr>
            </w:pPr>
            <w:r w:rsidRPr="005060E0">
              <w:rPr>
                <w:rFonts w:cs="Arial"/>
                <w:sz w:val="16"/>
                <w:szCs w:val="16"/>
              </w:rPr>
              <w:t>Total number of unique exceedance days</w:t>
            </w:r>
          </w:p>
        </w:tc>
      </w:tr>
      <w:tr w:rsidR="00975888" w:rsidRPr="005060E0" w14:paraId="29053597" w14:textId="77777777" w:rsidTr="00975888">
        <w:trPr>
          <w:trHeight w:hRule="exact" w:val="340"/>
        </w:trPr>
        <w:tc>
          <w:tcPr>
            <w:cnfStyle w:val="001000000000" w:firstRow="0" w:lastRow="0" w:firstColumn="1" w:lastColumn="0" w:oddVBand="0" w:evenVBand="0" w:oddHBand="0" w:evenHBand="0" w:firstRowFirstColumn="0" w:firstRowLastColumn="0" w:lastRowFirstColumn="0" w:lastRowLastColumn="0"/>
            <w:tcW w:w="519" w:type="pct"/>
            <w:vMerge/>
            <w:tcBorders>
              <w:left w:val="single" w:sz="4" w:space="0" w:color="606072"/>
              <w:right w:val="dotted" w:sz="4" w:space="0" w:color="606372" w:themeColor="text2"/>
            </w:tcBorders>
            <w:vAlign w:val="center"/>
            <w:hideMark/>
          </w:tcPr>
          <w:p w14:paraId="0367CBF6" w14:textId="21177E96" w:rsidR="00975888" w:rsidRPr="005060E0" w:rsidRDefault="00975888" w:rsidP="009D3FA0">
            <w:pPr>
              <w:widowControl w:val="0"/>
              <w:spacing w:after="0" w:line="240" w:lineRule="auto"/>
              <w:jc w:val="center"/>
              <w:rPr>
                <w:rFonts w:cs="Arial"/>
                <w:b w:val="0"/>
                <w:sz w:val="16"/>
                <w:szCs w:val="16"/>
              </w:rPr>
            </w:pPr>
          </w:p>
        </w:tc>
        <w:tc>
          <w:tcPr>
            <w:tcW w:w="288" w:type="pct"/>
            <w:tcBorders>
              <w:top w:val="single" w:sz="4" w:space="0" w:color="606072"/>
              <w:left w:val="dotted" w:sz="4" w:space="0" w:color="606372" w:themeColor="text2"/>
              <w:bottom w:val="dotted" w:sz="4" w:space="0" w:color="606072"/>
              <w:right w:val="single" w:sz="4" w:space="0" w:color="606072"/>
            </w:tcBorders>
            <w:vAlign w:val="center"/>
            <w:hideMark/>
          </w:tcPr>
          <w:p w14:paraId="40084CEC"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70</w:t>
            </w:r>
          </w:p>
        </w:tc>
        <w:tc>
          <w:tcPr>
            <w:tcW w:w="597" w:type="pct"/>
            <w:tcBorders>
              <w:top w:val="single" w:sz="4" w:space="0" w:color="606072"/>
              <w:left w:val="single" w:sz="4" w:space="0" w:color="606072"/>
              <w:bottom w:val="dotted" w:sz="4" w:space="0" w:color="606072"/>
              <w:right w:val="single" w:sz="4" w:space="0" w:color="606072"/>
            </w:tcBorders>
            <w:vAlign w:val="center"/>
          </w:tcPr>
          <w:p w14:paraId="197BC830"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highlight w:val="yellow"/>
              </w:rPr>
            </w:pPr>
            <w:r w:rsidRPr="005060E0">
              <w:rPr>
                <w:rFonts w:eastAsia="Times New Roman" w:cs="Arial"/>
                <w:bCs/>
                <w:sz w:val="16"/>
                <w:szCs w:val="16"/>
                <w:lang w:eastAsia="en-AU"/>
              </w:rPr>
              <w:t>335 (108)</w:t>
            </w:r>
          </w:p>
        </w:tc>
        <w:tc>
          <w:tcPr>
            <w:tcW w:w="567" w:type="pct"/>
            <w:tcBorders>
              <w:top w:val="single" w:sz="4" w:space="0" w:color="606072"/>
              <w:left w:val="single" w:sz="4" w:space="0" w:color="606072"/>
              <w:bottom w:val="dotted" w:sz="4" w:space="0" w:color="606072"/>
              <w:right w:val="single" w:sz="4" w:space="0" w:color="606072"/>
            </w:tcBorders>
            <w:vAlign w:val="center"/>
          </w:tcPr>
          <w:p w14:paraId="3CBB93BB"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100 (22)</w:t>
            </w:r>
          </w:p>
        </w:tc>
        <w:tc>
          <w:tcPr>
            <w:tcW w:w="692" w:type="pct"/>
            <w:tcBorders>
              <w:top w:val="single" w:sz="4" w:space="0" w:color="606072"/>
              <w:left w:val="single" w:sz="4" w:space="0" w:color="606072"/>
              <w:bottom w:val="dotted" w:sz="4" w:space="0" w:color="606072"/>
              <w:right w:val="single" w:sz="4" w:space="0" w:color="606072"/>
            </w:tcBorders>
            <w:vAlign w:val="center"/>
          </w:tcPr>
          <w:p w14:paraId="031F52EA"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89 (25)</w:t>
            </w:r>
          </w:p>
        </w:tc>
        <w:tc>
          <w:tcPr>
            <w:tcW w:w="583" w:type="pct"/>
            <w:tcBorders>
              <w:top w:val="single" w:sz="4" w:space="0" w:color="606072"/>
              <w:left w:val="single" w:sz="4" w:space="0" w:color="606072"/>
              <w:bottom w:val="dotted" w:sz="4" w:space="0" w:color="606072"/>
              <w:right w:val="single" w:sz="4" w:space="0" w:color="606072"/>
            </w:tcBorders>
            <w:vAlign w:val="center"/>
          </w:tcPr>
          <w:p w14:paraId="63BC96A6"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34 (6)</w:t>
            </w:r>
          </w:p>
        </w:tc>
        <w:tc>
          <w:tcPr>
            <w:tcW w:w="583" w:type="pct"/>
            <w:tcBorders>
              <w:top w:val="single" w:sz="4" w:space="0" w:color="606072"/>
              <w:left w:val="single" w:sz="4" w:space="0" w:color="606072"/>
              <w:bottom w:val="dotted" w:sz="4" w:space="0" w:color="606072"/>
              <w:right w:val="single" w:sz="4" w:space="0" w:color="606072"/>
            </w:tcBorders>
            <w:vAlign w:val="center"/>
          </w:tcPr>
          <w:p w14:paraId="54EC4EA0"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179 (59)</w:t>
            </w:r>
          </w:p>
        </w:tc>
        <w:tc>
          <w:tcPr>
            <w:tcW w:w="583" w:type="pct"/>
            <w:tcBorders>
              <w:top w:val="single" w:sz="4" w:space="0" w:color="606072"/>
              <w:left w:val="single" w:sz="4" w:space="0" w:color="606072"/>
              <w:bottom w:val="dotted" w:sz="4" w:space="0" w:color="606072"/>
              <w:right w:val="single" w:sz="4" w:space="0" w:color="606072"/>
            </w:tcBorders>
            <w:vAlign w:val="center"/>
          </w:tcPr>
          <w:p w14:paraId="08912552"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19 (18)</w:t>
            </w:r>
          </w:p>
        </w:tc>
        <w:tc>
          <w:tcPr>
            <w:tcW w:w="587" w:type="pct"/>
            <w:tcBorders>
              <w:top w:val="single" w:sz="4" w:space="0" w:color="606072"/>
              <w:left w:val="single" w:sz="4" w:space="0" w:color="606072"/>
              <w:bottom w:val="dotted" w:sz="4" w:space="0" w:color="606072"/>
              <w:right w:val="single" w:sz="4" w:space="0" w:color="606072"/>
            </w:tcBorders>
            <w:vAlign w:val="center"/>
          </w:tcPr>
          <w:p w14:paraId="4351826C" w14:textId="1B58C9A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14 (</w:t>
            </w:r>
            <w:r w:rsidR="00AB79EC">
              <w:rPr>
                <w:rFonts w:eastAsia="Times New Roman" w:cs="Arial"/>
                <w:bCs/>
                <w:sz w:val="16"/>
                <w:szCs w:val="16"/>
                <w:lang w:eastAsia="en-AU"/>
              </w:rPr>
              <w:t>–</w:t>
            </w:r>
            <w:r w:rsidRPr="005060E0">
              <w:rPr>
                <w:rFonts w:eastAsia="Times New Roman" w:cs="Arial"/>
                <w:bCs/>
                <w:sz w:val="16"/>
                <w:szCs w:val="16"/>
                <w:lang w:eastAsia="en-AU"/>
              </w:rPr>
              <w:t>)</w:t>
            </w:r>
          </w:p>
        </w:tc>
      </w:tr>
      <w:tr w:rsidR="00975888" w:rsidRPr="005060E0" w14:paraId="06A44187" w14:textId="77777777" w:rsidTr="0097588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right w:val="dotted" w:sz="4" w:space="0" w:color="606372" w:themeColor="text2"/>
            </w:tcBorders>
            <w:vAlign w:val="center"/>
            <w:hideMark/>
          </w:tcPr>
          <w:p w14:paraId="47E598DA" w14:textId="77777777" w:rsidR="00975888" w:rsidRPr="005060E0" w:rsidRDefault="00975888" w:rsidP="009D3FA0">
            <w:pPr>
              <w:widowControl w:val="0"/>
              <w:spacing w:after="0" w:line="240" w:lineRule="auto"/>
              <w:rPr>
                <w:rFonts w:cs="Arial"/>
                <w:sz w:val="16"/>
                <w:szCs w:val="16"/>
              </w:rPr>
            </w:pPr>
          </w:p>
        </w:tc>
        <w:tc>
          <w:tcPr>
            <w:tcW w:w="288" w:type="pct"/>
            <w:tcBorders>
              <w:top w:val="dotted" w:sz="4" w:space="0" w:color="606072"/>
              <w:left w:val="dotted" w:sz="4" w:space="0" w:color="606372" w:themeColor="text2"/>
              <w:bottom w:val="dotted" w:sz="4" w:space="0" w:color="606072"/>
              <w:right w:val="single" w:sz="4" w:space="0" w:color="606072"/>
            </w:tcBorders>
            <w:vAlign w:val="center"/>
            <w:hideMark/>
          </w:tcPr>
          <w:p w14:paraId="4E25C979"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85</w:t>
            </w:r>
          </w:p>
        </w:tc>
        <w:tc>
          <w:tcPr>
            <w:tcW w:w="597" w:type="pct"/>
            <w:tcBorders>
              <w:top w:val="dotted" w:sz="4" w:space="0" w:color="606072"/>
              <w:left w:val="single" w:sz="4" w:space="0" w:color="606072"/>
              <w:bottom w:val="dotted" w:sz="4" w:space="0" w:color="606072"/>
              <w:right w:val="single" w:sz="4" w:space="0" w:color="606072"/>
            </w:tcBorders>
            <w:vAlign w:val="center"/>
          </w:tcPr>
          <w:p w14:paraId="1AAEFE7A"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highlight w:val="yellow"/>
              </w:rPr>
            </w:pPr>
            <w:r w:rsidRPr="005060E0">
              <w:rPr>
                <w:rFonts w:eastAsia="Times New Roman" w:cs="Arial"/>
                <w:bCs/>
                <w:sz w:val="16"/>
                <w:szCs w:val="16"/>
                <w:lang w:eastAsia="en-AU"/>
              </w:rPr>
              <w:t>145 (36)</w:t>
            </w:r>
          </w:p>
        </w:tc>
        <w:tc>
          <w:tcPr>
            <w:tcW w:w="567" w:type="pct"/>
            <w:tcBorders>
              <w:top w:val="dotted" w:sz="4" w:space="0" w:color="606072"/>
              <w:left w:val="single" w:sz="4" w:space="0" w:color="606072"/>
              <w:bottom w:val="dotted" w:sz="4" w:space="0" w:color="606072"/>
              <w:right w:val="single" w:sz="4" w:space="0" w:color="606072"/>
            </w:tcBorders>
            <w:vAlign w:val="center"/>
          </w:tcPr>
          <w:p w14:paraId="466547CA"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bCs/>
                <w:sz w:val="16"/>
                <w:szCs w:val="16"/>
                <w:lang w:eastAsia="en-AU"/>
              </w:rPr>
              <w:t>24 (7)</w:t>
            </w:r>
          </w:p>
        </w:tc>
        <w:tc>
          <w:tcPr>
            <w:tcW w:w="692" w:type="pct"/>
            <w:tcBorders>
              <w:top w:val="dotted" w:sz="4" w:space="0" w:color="606072"/>
              <w:left w:val="single" w:sz="4" w:space="0" w:color="606072"/>
              <w:bottom w:val="dotted" w:sz="4" w:space="0" w:color="606072"/>
              <w:right w:val="single" w:sz="4" w:space="0" w:color="606072"/>
            </w:tcBorders>
            <w:vAlign w:val="center"/>
          </w:tcPr>
          <w:p w14:paraId="367FF670"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bCs/>
                <w:sz w:val="16"/>
                <w:szCs w:val="16"/>
                <w:lang w:eastAsia="en-AU"/>
              </w:rPr>
              <w:t>16 (7)</w:t>
            </w:r>
          </w:p>
        </w:tc>
        <w:tc>
          <w:tcPr>
            <w:tcW w:w="583" w:type="pct"/>
            <w:tcBorders>
              <w:top w:val="dotted" w:sz="4" w:space="0" w:color="606072"/>
              <w:left w:val="single" w:sz="4" w:space="0" w:color="606072"/>
              <w:bottom w:val="dotted" w:sz="4" w:space="0" w:color="606072"/>
              <w:right w:val="single" w:sz="4" w:space="0" w:color="606072"/>
            </w:tcBorders>
            <w:vAlign w:val="center"/>
          </w:tcPr>
          <w:p w14:paraId="661DE94C" w14:textId="0CC5C865"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bCs/>
                <w:sz w:val="16"/>
                <w:szCs w:val="16"/>
                <w:lang w:eastAsia="en-AU"/>
              </w:rPr>
              <w:t>3 (</w:t>
            </w:r>
            <w:r w:rsidR="00AB79EC">
              <w:rPr>
                <w:rFonts w:eastAsia="Times New Roman" w:cs="Arial"/>
                <w:bCs/>
                <w:sz w:val="16"/>
                <w:szCs w:val="16"/>
                <w:lang w:eastAsia="en-AU"/>
              </w:rPr>
              <w:t>–</w:t>
            </w:r>
            <w:r w:rsidRPr="005060E0">
              <w:rPr>
                <w:rFonts w:eastAsia="Times New Roman" w:cs="Arial"/>
                <w:bCs/>
                <w:sz w:val="16"/>
                <w:szCs w:val="16"/>
                <w:lang w:eastAsia="en-AU"/>
              </w:rPr>
              <w:t>)</w:t>
            </w:r>
          </w:p>
        </w:tc>
        <w:tc>
          <w:tcPr>
            <w:tcW w:w="583" w:type="pct"/>
            <w:tcBorders>
              <w:top w:val="dotted" w:sz="4" w:space="0" w:color="606072"/>
              <w:left w:val="single" w:sz="4" w:space="0" w:color="606072"/>
              <w:bottom w:val="dotted" w:sz="4" w:space="0" w:color="606072"/>
              <w:right w:val="single" w:sz="4" w:space="0" w:color="606072"/>
            </w:tcBorders>
            <w:vAlign w:val="center"/>
          </w:tcPr>
          <w:p w14:paraId="248BF4CF"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bCs/>
                <w:sz w:val="16"/>
                <w:szCs w:val="16"/>
                <w:lang w:eastAsia="en-AU"/>
              </w:rPr>
              <w:t>33 (12)</w:t>
            </w:r>
          </w:p>
        </w:tc>
        <w:tc>
          <w:tcPr>
            <w:tcW w:w="583" w:type="pct"/>
            <w:tcBorders>
              <w:top w:val="dotted" w:sz="4" w:space="0" w:color="606072"/>
              <w:left w:val="single" w:sz="4" w:space="0" w:color="606072"/>
              <w:bottom w:val="dotted" w:sz="4" w:space="0" w:color="606072"/>
              <w:right w:val="single" w:sz="4" w:space="0" w:color="606072"/>
            </w:tcBorders>
            <w:vAlign w:val="center"/>
          </w:tcPr>
          <w:p w14:paraId="283B67C4"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bCs/>
                <w:sz w:val="16"/>
                <w:szCs w:val="16"/>
                <w:lang w:eastAsia="en-AU"/>
              </w:rPr>
              <w:t>2 (2)</w:t>
            </w:r>
          </w:p>
        </w:tc>
        <w:tc>
          <w:tcPr>
            <w:tcW w:w="587" w:type="pct"/>
            <w:tcBorders>
              <w:top w:val="dotted" w:sz="4" w:space="0" w:color="606072"/>
              <w:left w:val="single" w:sz="4" w:space="0" w:color="606072"/>
              <w:bottom w:val="dotted" w:sz="4" w:space="0" w:color="606072"/>
              <w:right w:val="single" w:sz="4" w:space="0" w:color="606072"/>
            </w:tcBorders>
            <w:vAlign w:val="center"/>
          </w:tcPr>
          <w:p w14:paraId="0A089762" w14:textId="591CD258"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bCs/>
                <w:sz w:val="16"/>
                <w:szCs w:val="16"/>
                <w:lang w:eastAsia="en-AU"/>
              </w:rPr>
              <w:t>9 (</w:t>
            </w:r>
            <w:r w:rsidR="00AB79EC">
              <w:rPr>
                <w:rFonts w:eastAsia="Times New Roman" w:cs="Arial"/>
                <w:bCs/>
                <w:sz w:val="16"/>
                <w:szCs w:val="16"/>
                <w:lang w:eastAsia="en-AU"/>
              </w:rPr>
              <w:t>–</w:t>
            </w:r>
            <w:r w:rsidRPr="005060E0">
              <w:rPr>
                <w:rFonts w:eastAsia="Times New Roman" w:cs="Arial"/>
                <w:bCs/>
                <w:sz w:val="16"/>
                <w:szCs w:val="16"/>
                <w:lang w:eastAsia="en-AU"/>
              </w:rPr>
              <w:t>)</w:t>
            </w:r>
          </w:p>
        </w:tc>
      </w:tr>
      <w:tr w:rsidR="00BF7BF2" w:rsidRPr="005060E0" w14:paraId="7F0ED599" w14:textId="77777777" w:rsidTr="00A56B47">
        <w:trPr>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bottom w:val="single" w:sz="4" w:space="0" w:color="606072"/>
              <w:right w:val="dotted" w:sz="4" w:space="0" w:color="606372" w:themeColor="text2"/>
            </w:tcBorders>
            <w:vAlign w:val="center"/>
            <w:hideMark/>
          </w:tcPr>
          <w:p w14:paraId="667290FD" w14:textId="77777777" w:rsidR="00975888" w:rsidRPr="005060E0" w:rsidRDefault="00975888" w:rsidP="009D3FA0">
            <w:pPr>
              <w:widowControl w:val="0"/>
              <w:spacing w:after="0" w:line="240" w:lineRule="auto"/>
              <w:rPr>
                <w:rFonts w:cs="Arial"/>
                <w:sz w:val="16"/>
                <w:szCs w:val="16"/>
              </w:rPr>
            </w:pPr>
          </w:p>
        </w:tc>
        <w:tc>
          <w:tcPr>
            <w:tcW w:w="288" w:type="pct"/>
            <w:tcBorders>
              <w:top w:val="dotted" w:sz="4" w:space="0" w:color="606072"/>
              <w:left w:val="dotted" w:sz="4" w:space="0" w:color="606372" w:themeColor="text2"/>
              <w:bottom w:val="single" w:sz="4" w:space="0" w:color="606072"/>
              <w:right w:val="single" w:sz="4" w:space="0" w:color="606072"/>
            </w:tcBorders>
            <w:shd w:val="clear" w:color="auto" w:fill="D5E5FF"/>
            <w:vAlign w:val="center"/>
            <w:hideMark/>
          </w:tcPr>
          <w:p w14:paraId="5431158C"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100</w:t>
            </w:r>
          </w:p>
        </w:tc>
        <w:tc>
          <w:tcPr>
            <w:tcW w:w="597"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7A147B51"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highlight w:val="yellow"/>
              </w:rPr>
            </w:pPr>
            <w:r w:rsidRPr="005060E0">
              <w:rPr>
                <w:rFonts w:eastAsia="Times New Roman" w:cs="Arial"/>
                <w:bCs/>
                <w:sz w:val="16"/>
                <w:szCs w:val="16"/>
                <w:lang w:eastAsia="en-AU"/>
              </w:rPr>
              <w:t>67 (13)</w:t>
            </w:r>
          </w:p>
        </w:tc>
        <w:tc>
          <w:tcPr>
            <w:tcW w:w="567"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7ECBBBFF"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9 (1)</w:t>
            </w:r>
          </w:p>
        </w:tc>
        <w:tc>
          <w:tcPr>
            <w:tcW w:w="692"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68F8234A"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4 (1)</w:t>
            </w:r>
          </w:p>
        </w:tc>
        <w:tc>
          <w:tcPr>
            <w:tcW w:w="583"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126EBF41" w14:textId="408D5C3F"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1 (</w:t>
            </w:r>
            <w:r w:rsidR="00AB79EC">
              <w:rPr>
                <w:rFonts w:eastAsia="Times New Roman" w:cs="Arial"/>
                <w:bCs/>
                <w:sz w:val="16"/>
                <w:szCs w:val="16"/>
                <w:lang w:eastAsia="en-AU"/>
              </w:rPr>
              <w:t>–</w:t>
            </w:r>
            <w:r w:rsidRPr="005060E0">
              <w:rPr>
                <w:rFonts w:eastAsia="Times New Roman" w:cs="Arial"/>
                <w:bCs/>
                <w:sz w:val="16"/>
                <w:szCs w:val="16"/>
                <w:lang w:eastAsia="en-AU"/>
              </w:rPr>
              <w:t>)</w:t>
            </w:r>
          </w:p>
        </w:tc>
        <w:tc>
          <w:tcPr>
            <w:tcW w:w="583"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3DABCD45"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9 (3)</w:t>
            </w:r>
          </w:p>
        </w:tc>
        <w:tc>
          <w:tcPr>
            <w:tcW w:w="583"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02EEB3CD"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1 (1)</w:t>
            </w:r>
          </w:p>
        </w:tc>
        <w:tc>
          <w:tcPr>
            <w:tcW w:w="587"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1A7469E2" w14:textId="717D0B5C"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5 (</w:t>
            </w:r>
            <w:r w:rsidR="00AB79EC">
              <w:rPr>
                <w:rFonts w:eastAsia="Times New Roman" w:cs="Arial"/>
                <w:bCs/>
                <w:sz w:val="16"/>
                <w:szCs w:val="16"/>
                <w:lang w:eastAsia="en-AU"/>
              </w:rPr>
              <w:t>–</w:t>
            </w:r>
            <w:r w:rsidRPr="005060E0">
              <w:rPr>
                <w:rFonts w:eastAsia="Times New Roman" w:cs="Arial"/>
                <w:bCs/>
                <w:sz w:val="16"/>
                <w:szCs w:val="16"/>
                <w:lang w:eastAsia="en-AU"/>
              </w:rPr>
              <w:t>)</w:t>
            </w:r>
          </w:p>
        </w:tc>
      </w:tr>
      <w:tr w:rsidR="00975888" w:rsidRPr="005060E0" w14:paraId="1E90B199" w14:textId="77777777" w:rsidTr="0097588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19" w:type="pct"/>
            <w:vMerge w:val="restart"/>
            <w:tcBorders>
              <w:top w:val="single" w:sz="4" w:space="0" w:color="606072"/>
              <w:left w:val="single" w:sz="4" w:space="0" w:color="606072"/>
              <w:right w:val="dotted" w:sz="4" w:space="0" w:color="606372" w:themeColor="text2"/>
            </w:tcBorders>
            <w:vAlign w:val="center"/>
          </w:tcPr>
          <w:p w14:paraId="2B93E1A1" w14:textId="5CA5697E" w:rsidR="00975888" w:rsidRPr="005060E0" w:rsidRDefault="00975888" w:rsidP="009D3FA0">
            <w:pPr>
              <w:widowControl w:val="0"/>
              <w:spacing w:after="0" w:line="240" w:lineRule="auto"/>
              <w:jc w:val="center"/>
              <w:rPr>
                <w:rFonts w:cs="Arial"/>
                <w:b w:val="0"/>
                <w:sz w:val="16"/>
                <w:szCs w:val="16"/>
              </w:rPr>
            </w:pPr>
            <w:r w:rsidRPr="005060E0">
              <w:rPr>
                <w:rFonts w:cs="Arial"/>
                <w:b w:val="0"/>
                <w:sz w:val="16"/>
                <w:szCs w:val="16"/>
              </w:rPr>
              <w:t xml:space="preserve">Rolling </w:t>
            </w:r>
            <w:r w:rsidR="00CD2F38">
              <w:rPr>
                <w:rFonts w:cs="Arial"/>
                <w:b w:val="0"/>
                <w:sz w:val="16"/>
                <w:szCs w:val="16"/>
              </w:rPr>
              <w:br/>
            </w:r>
            <w:r w:rsidRPr="005060E0">
              <w:rPr>
                <w:rFonts w:cs="Arial"/>
                <w:b w:val="0"/>
                <w:sz w:val="16"/>
                <w:szCs w:val="16"/>
              </w:rPr>
              <w:t>4-hour</w:t>
            </w:r>
          </w:p>
        </w:tc>
        <w:tc>
          <w:tcPr>
            <w:tcW w:w="288" w:type="pct"/>
            <w:tcBorders>
              <w:top w:val="single" w:sz="4" w:space="0" w:color="606072"/>
              <w:left w:val="dotted" w:sz="4" w:space="0" w:color="606372" w:themeColor="text2"/>
              <w:bottom w:val="dotted" w:sz="4" w:space="0" w:color="606072"/>
              <w:right w:val="single" w:sz="4" w:space="0" w:color="606072"/>
            </w:tcBorders>
            <w:vAlign w:val="center"/>
          </w:tcPr>
          <w:p w14:paraId="6343B261"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93" w:type="pct"/>
            <w:gridSpan w:val="7"/>
            <w:tcBorders>
              <w:top w:val="single" w:sz="4" w:space="0" w:color="606072"/>
              <w:left w:val="single" w:sz="4" w:space="0" w:color="606072"/>
              <w:bottom w:val="dotted" w:sz="4" w:space="0" w:color="606072"/>
              <w:right w:val="single" w:sz="4" w:space="0" w:color="606072"/>
            </w:tcBorders>
            <w:shd w:val="clear" w:color="auto" w:fill="BFBFBF" w:themeFill="background1" w:themeFillShade="BF"/>
            <w:vAlign w:val="center"/>
          </w:tcPr>
          <w:p w14:paraId="28068E60" w14:textId="231D1DD9" w:rsidR="00975888" w:rsidRPr="005060E0" w:rsidRDefault="001B3859" w:rsidP="001B3859">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bCs/>
                <w:sz w:val="16"/>
                <w:szCs w:val="16"/>
                <w:lang w:eastAsia="en-AU"/>
              </w:rPr>
            </w:pPr>
            <w:r w:rsidRPr="005060E0">
              <w:rPr>
                <w:rFonts w:cs="Arial"/>
                <w:sz w:val="16"/>
                <w:szCs w:val="16"/>
              </w:rPr>
              <w:t>Total number of unique exceedance days</w:t>
            </w:r>
          </w:p>
        </w:tc>
      </w:tr>
      <w:tr w:rsidR="00975888" w:rsidRPr="005060E0" w14:paraId="6C48731C" w14:textId="77777777" w:rsidTr="00975888">
        <w:trPr>
          <w:trHeight w:hRule="exact" w:val="340"/>
        </w:trPr>
        <w:tc>
          <w:tcPr>
            <w:cnfStyle w:val="001000000000" w:firstRow="0" w:lastRow="0" w:firstColumn="1" w:lastColumn="0" w:oddVBand="0" w:evenVBand="0" w:oddHBand="0" w:evenHBand="0" w:firstRowFirstColumn="0" w:firstRowLastColumn="0" w:lastRowFirstColumn="0" w:lastRowLastColumn="0"/>
            <w:tcW w:w="519" w:type="pct"/>
            <w:vMerge/>
            <w:tcBorders>
              <w:left w:val="single" w:sz="4" w:space="0" w:color="606072"/>
              <w:right w:val="dotted" w:sz="4" w:space="0" w:color="606372" w:themeColor="text2"/>
            </w:tcBorders>
            <w:vAlign w:val="center"/>
            <w:hideMark/>
          </w:tcPr>
          <w:p w14:paraId="77253EE6" w14:textId="3AF81088" w:rsidR="00975888" w:rsidRPr="005060E0" w:rsidRDefault="00975888" w:rsidP="009D3FA0">
            <w:pPr>
              <w:widowControl w:val="0"/>
              <w:spacing w:after="0" w:line="240" w:lineRule="auto"/>
              <w:jc w:val="center"/>
              <w:rPr>
                <w:rFonts w:cs="Arial"/>
                <w:b w:val="0"/>
                <w:sz w:val="16"/>
                <w:szCs w:val="16"/>
              </w:rPr>
            </w:pPr>
          </w:p>
        </w:tc>
        <w:tc>
          <w:tcPr>
            <w:tcW w:w="288" w:type="pct"/>
            <w:tcBorders>
              <w:top w:val="single" w:sz="4" w:space="0" w:color="606072"/>
              <w:left w:val="dotted" w:sz="4" w:space="0" w:color="606372" w:themeColor="text2"/>
              <w:bottom w:val="dotted" w:sz="4" w:space="0" w:color="606072"/>
              <w:right w:val="single" w:sz="4" w:space="0" w:color="606072"/>
            </w:tcBorders>
            <w:vAlign w:val="center"/>
            <w:hideMark/>
          </w:tcPr>
          <w:p w14:paraId="6AEAE22E"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60</w:t>
            </w:r>
          </w:p>
        </w:tc>
        <w:tc>
          <w:tcPr>
            <w:tcW w:w="597" w:type="pct"/>
            <w:tcBorders>
              <w:top w:val="single" w:sz="4" w:space="0" w:color="606072"/>
              <w:left w:val="single" w:sz="4" w:space="0" w:color="606072"/>
              <w:bottom w:val="dotted" w:sz="4" w:space="0" w:color="606072"/>
              <w:right w:val="single" w:sz="4" w:space="0" w:color="606072"/>
            </w:tcBorders>
            <w:vAlign w:val="center"/>
          </w:tcPr>
          <w:p w14:paraId="4FF3FCD1"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highlight w:val="yellow"/>
              </w:rPr>
            </w:pPr>
            <w:r w:rsidRPr="005060E0">
              <w:rPr>
                <w:rFonts w:eastAsia="Times New Roman" w:cs="Arial"/>
                <w:bCs/>
                <w:sz w:val="16"/>
                <w:szCs w:val="16"/>
                <w:lang w:eastAsia="en-AU"/>
              </w:rPr>
              <w:t>386 (113)</w:t>
            </w:r>
          </w:p>
        </w:tc>
        <w:tc>
          <w:tcPr>
            <w:tcW w:w="567" w:type="pct"/>
            <w:tcBorders>
              <w:top w:val="single" w:sz="4" w:space="0" w:color="606072"/>
              <w:left w:val="single" w:sz="4" w:space="0" w:color="606072"/>
              <w:bottom w:val="dotted" w:sz="4" w:space="0" w:color="606072"/>
              <w:right w:val="single" w:sz="4" w:space="0" w:color="606072"/>
            </w:tcBorders>
            <w:vAlign w:val="center"/>
          </w:tcPr>
          <w:p w14:paraId="5E36AC60"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134 (29)</w:t>
            </w:r>
          </w:p>
        </w:tc>
        <w:tc>
          <w:tcPr>
            <w:tcW w:w="692" w:type="pct"/>
            <w:tcBorders>
              <w:top w:val="single" w:sz="4" w:space="0" w:color="606072"/>
              <w:left w:val="single" w:sz="4" w:space="0" w:color="606072"/>
              <w:bottom w:val="dotted" w:sz="4" w:space="0" w:color="606072"/>
              <w:right w:val="single" w:sz="4" w:space="0" w:color="606072"/>
            </w:tcBorders>
            <w:vAlign w:val="center"/>
          </w:tcPr>
          <w:p w14:paraId="727FBF88"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104 (30)</w:t>
            </w:r>
          </w:p>
        </w:tc>
        <w:tc>
          <w:tcPr>
            <w:tcW w:w="583" w:type="pct"/>
            <w:tcBorders>
              <w:top w:val="single" w:sz="4" w:space="0" w:color="606072"/>
              <w:left w:val="single" w:sz="4" w:space="0" w:color="606072"/>
              <w:bottom w:val="dotted" w:sz="4" w:space="0" w:color="606072"/>
              <w:right w:val="single" w:sz="4" w:space="0" w:color="606072"/>
            </w:tcBorders>
            <w:vAlign w:val="center"/>
          </w:tcPr>
          <w:p w14:paraId="29E3AA63"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41 (8)</w:t>
            </w:r>
          </w:p>
        </w:tc>
        <w:tc>
          <w:tcPr>
            <w:tcW w:w="583" w:type="pct"/>
            <w:tcBorders>
              <w:top w:val="single" w:sz="4" w:space="0" w:color="606072"/>
              <w:left w:val="single" w:sz="4" w:space="0" w:color="606072"/>
              <w:bottom w:val="dotted" w:sz="4" w:space="0" w:color="606072"/>
              <w:right w:val="single" w:sz="4" w:space="0" w:color="606072"/>
            </w:tcBorders>
            <w:vAlign w:val="center"/>
          </w:tcPr>
          <w:p w14:paraId="1E0C53AF"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194 (69)</w:t>
            </w:r>
          </w:p>
        </w:tc>
        <w:tc>
          <w:tcPr>
            <w:tcW w:w="583" w:type="pct"/>
            <w:tcBorders>
              <w:top w:val="single" w:sz="4" w:space="0" w:color="606072"/>
              <w:left w:val="single" w:sz="4" w:space="0" w:color="606072"/>
              <w:bottom w:val="dotted" w:sz="4" w:space="0" w:color="606072"/>
              <w:right w:val="single" w:sz="4" w:space="0" w:color="606072"/>
            </w:tcBorders>
            <w:vAlign w:val="center"/>
          </w:tcPr>
          <w:p w14:paraId="59F3317F"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39 (38)</w:t>
            </w:r>
          </w:p>
        </w:tc>
        <w:tc>
          <w:tcPr>
            <w:tcW w:w="587" w:type="pct"/>
            <w:tcBorders>
              <w:top w:val="single" w:sz="4" w:space="0" w:color="606072"/>
              <w:left w:val="single" w:sz="4" w:space="0" w:color="606072"/>
              <w:bottom w:val="dotted" w:sz="4" w:space="0" w:color="606072"/>
              <w:right w:val="single" w:sz="4" w:space="0" w:color="606072"/>
            </w:tcBorders>
            <w:vAlign w:val="center"/>
          </w:tcPr>
          <w:p w14:paraId="61BEB591" w14:textId="0DA98365"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20 (</w:t>
            </w:r>
            <w:r w:rsidR="00AB79EC">
              <w:rPr>
                <w:rFonts w:eastAsia="Times New Roman" w:cs="Arial"/>
                <w:bCs/>
                <w:sz w:val="16"/>
                <w:szCs w:val="16"/>
                <w:lang w:eastAsia="en-AU"/>
              </w:rPr>
              <w:t>–</w:t>
            </w:r>
            <w:r w:rsidRPr="005060E0">
              <w:rPr>
                <w:rFonts w:eastAsia="Times New Roman" w:cs="Arial"/>
                <w:bCs/>
                <w:sz w:val="16"/>
                <w:szCs w:val="16"/>
                <w:lang w:eastAsia="en-AU"/>
              </w:rPr>
              <w:t>)</w:t>
            </w:r>
          </w:p>
        </w:tc>
      </w:tr>
      <w:tr w:rsidR="00975888" w:rsidRPr="005060E0" w14:paraId="2671E534" w14:textId="77777777" w:rsidTr="0097588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right w:val="dotted" w:sz="4" w:space="0" w:color="606372" w:themeColor="text2"/>
            </w:tcBorders>
            <w:vAlign w:val="center"/>
            <w:hideMark/>
          </w:tcPr>
          <w:p w14:paraId="3274E78B" w14:textId="77777777" w:rsidR="00975888" w:rsidRPr="005060E0" w:rsidRDefault="00975888" w:rsidP="009D3FA0">
            <w:pPr>
              <w:widowControl w:val="0"/>
              <w:spacing w:after="0" w:line="240" w:lineRule="auto"/>
              <w:rPr>
                <w:rFonts w:cs="Arial"/>
                <w:sz w:val="16"/>
                <w:szCs w:val="16"/>
              </w:rPr>
            </w:pPr>
          </w:p>
        </w:tc>
        <w:tc>
          <w:tcPr>
            <w:tcW w:w="288" w:type="pct"/>
            <w:tcBorders>
              <w:top w:val="dotted" w:sz="4" w:space="0" w:color="606072"/>
              <w:left w:val="dotted" w:sz="4" w:space="0" w:color="606372" w:themeColor="text2"/>
              <w:bottom w:val="dotted" w:sz="4" w:space="0" w:color="606072"/>
              <w:right w:val="single" w:sz="4" w:space="0" w:color="606072"/>
            </w:tcBorders>
            <w:vAlign w:val="center"/>
            <w:hideMark/>
          </w:tcPr>
          <w:p w14:paraId="49E38867"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70</w:t>
            </w:r>
          </w:p>
        </w:tc>
        <w:tc>
          <w:tcPr>
            <w:tcW w:w="597" w:type="pct"/>
            <w:tcBorders>
              <w:top w:val="dotted" w:sz="4" w:space="0" w:color="606072"/>
              <w:left w:val="single" w:sz="4" w:space="0" w:color="606072"/>
              <w:bottom w:val="dotted" w:sz="4" w:space="0" w:color="606072"/>
              <w:right w:val="single" w:sz="4" w:space="0" w:color="606072"/>
            </w:tcBorders>
            <w:vAlign w:val="center"/>
          </w:tcPr>
          <w:p w14:paraId="38F4A724"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highlight w:val="yellow"/>
              </w:rPr>
            </w:pPr>
            <w:r w:rsidRPr="005060E0">
              <w:rPr>
                <w:rFonts w:eastAsia="Times New Roman" w:cs="Arial"/>
                <w:bCs/>
                <w:sz w:val="16"/>
                <w:szCs w:val="16"/>
                <w:lang w:eastAsia="en-AU"/>
              </w:rPr>
              <w:t>197 (54)</w:t>
            </w:r>
          </w:p>
        </w:tc>
        <w:tc>
          <w:tcPr>
            <w:tcW w:w="567" w:type="pct"/>
            <w:tcBorders>
              <w:top w:val="dotted" w:sz="4" w:space="0" w:color="606072"/>
              <w:left w:val="single" w:sz="4" w:space="0" w:color="606072"/>
              <w:bottom w:val="dotted" w:sz="4" w:space="0" w:color="606072"/>
              <w:right w:val="single" w:sz="4" w:space="0" w:color="606072"/>
            </w:tcBorders>
            <w:vAlign w:val="center"/>
          </w:tcPr>
          <w:p w14:paraId="1CBCF41C"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bCs/>
                <w:sz w:val="16"/>
                <w:szCs w:val="16"/>
                <w:lang w:eastAsia="en-AU"/>
              </w:rPr>
              <w:t>48 (11)</w:t>
            </w:r>
          </w:p>
        </w:tc>
        <w:tc>
          <w:tcPr>
            <w:tcW w:w="692" w:type="pct"/>
            <w:tcBorders>
              <w:top w:val="dotted" w:sz="4" w:space="0" w:color="606072"/>
              <w:left w:val="single" w:sz="4" w:space="0" w:color="606072"/>
              <w:bottom w:val="dotted" w:sz="4" w:space="0" w:color="606072"/>
              <w:right w:val="single" w:sz="4" w:space="0" w:color="606072"/>
            </w:tcBorders>
            <w:vAlign w:val="center"/>
          </w:tcPr>
          <w:p w14:paraId="17ED9C75"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bCs/>
                <w:sz w:val="16"/>
                <w:szCs w:val="16"/>
                <w:lang w:eastAsia="en-AU"/>
              </w:rPr>
              <w:t>24 (9)</w:t>
            </w:r>
          </w:p>
        </w:tc>
        <w:tc>
          <w:tcPr>
            <w:tcW w:w="583" w:type="pct"/>
            <w:tcBorders>
              <w:top w:val="dotted" w:sz="4" w:space="0" w:color="606072"/>
              <w:left w:val="single" w:sz="4" w:space="0" w:color="606072"/>
              <w:bottom w:val="dotted" w:sz="4" w:space="0" w:color="606072"/>
              <w:right w:val="single" w:sz="4" w:space="0" w:color="606072"/>
            </w:tcBorders>
            <w:vAlign w:val="center"/>
          </w:tcPr>
          <w:p w14:paraId="1197F685"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bCs/>
                <w:sz w:val="16"/>
                <w:szCs w:val="16"/>
                <w:lang w:eastAsia="en-AU"/>
              </w:rPr>
              <w:t>9 (1)</w:t>
            </w:r>
          </w:p>
        </w:tc>
        <w:tc>
          <w:tcPr>
            <w:tcW w:w="583" w:type="pct"/>
            <w:tcBorders>
              <w:top w:val="dotted" w:sz="4" w:space="0" w:color="606072"/>
              <w:left w:val="single" w:sz="4" w:space="0" w:color="606072"/>
              <w:bottom w:val="dotted" w:sz="4" w:space="0" w:color="606072"/>
              <w:right w:val="single" w:sz="4" w:space="0" w:color="606072"/>
            </w:tcBorders>
            <w:vAlign w:val="center"/>
          </w:tcPr>
          <w:p w14:paraId="0DD900C5"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bCs/>
                <w:sz w:val="16"/>
                <w:szCs w:val="16"/>
                <w:lang w:eastAsia="en-AU"/>
              </w:rPr>
              <w:t>57 (19)</w:t>
            </w:r>
          </w:p>
        </w:tc>
        <w:tc>
          <w:tcPr>
            <w:tcW w:w="583" w:type="pct"/>
            <w:tcBorders>
              <w:top w:val="dotted" w:sz="4" w:space="0" w:color="606072"/>
              <w:left w:val="single" w:sz="4" w:space="0" w:color="606072"/>
              <w:bottom w:val="dotted" w:sz="4" w:space="0" w:color="606072"/>
              <w:right w:val="single" w:sz="4" w:space="0" w:color="606072"/>
            </w:tcBorders>
            <w:vAlign w:val="center"/>
          </w:tcPr>
          <w:p w14:paraId="58FF3EBC"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bCs/>
                <w:sz w:val="16"/>
                <w:szCs w:val="16"/>
                <w:lang w:eastAsia="en-AU"/>
              </w:rPr>
              <w:t>11 (10)</w:t>
            </w:r>
          </w:p>
        </w:tc>
        <w:tc>
          <w:tcPr>
            <w:tcW w:w="587" w:type="pct"/>
            <w:tcBorders>
              <w:top w:val="dotted" w:sz="4" w:space="0" w:color="606072"/>
              <w:left w:val="single" w:sz="4" w:space="0" w:color="606072"/>
              <w:bottom w:val="dotted" w:sz="4" w:space="0" w:color="606072"/>
              <w:right w:val="single" w:sz="4" w:space="0" w:color="606072"/>
            </w:tcBorders>
            <w:vAlign w:val="center"/>
          </w:tcPr>
          <w:p w14:paraId="5316A2D7" w14:textId="331BF849"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bCs/>
                <w:sz w:val="16"/>
                <w:szCs w:val="16"/>
                <w:lang w:eastAsia="en-AU"/>
              </w:rPr>
              <w:t>7 (</w:t>
            </w:r>
            <w:r w:rsidR="00AB79EC">
              <w:rPr>
                <w:rFonts w:eastAsia="Times New Roman" w:cs="Arial"/>
                <w:bCs/>
                <w:sz w:val="16"/>
                <w:szCs w:val="16"/>
                <w:lang w:eastAsia="en-AU"/>
              </w:rPr>
              <w:t>–</w:t>
            </w:r>
            <w:r w:rsidRPr="005060E0">
              <w:rPr>
                <w:rFonts w:eastAsia="Times New Roman" w:cs="Arial"/>
                <w:bCs/>
                <w:sz w:val="16"/>
                <w:szCs w:val="16"/>
                <w:lang w:eastAsia="en-AU"/>
              </w:rPr>
              <w:t>)</w:t>
            </w:r>
          </w:p>
        </w:tc>
      </w:tr>
      <w:tr w:rsidR="00BF7BF2" w:rsidRPr="005060E0" w14:paraId="5D062977" w14:textId="77777777" w:rsidTr="00A56B47">
        <w:trPr>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bottom w:val="single" w:sz="4" w:space="0" w:color="606072"/>
              <w:right w:val="dotted" w:sz="4" w:space="0" w:color="606372" w:themeColor="text2"/>
            </w:tcBorders>
            <w:vAlign w:val="center"/>
            <w:hideMark/>
          </w:tcPr>
          <w:p w14:paraId="7A72C039" w14:textId="77777777" w:rsidR="00975888" w:rsidRPr="005060E0" w:rsidRDefault="00975888" w:rsidP="009D3FA0">
            <w:pPr>
              <w:widowControl w:val="0"/>
              <w:spacing w:after="0" w:line="240" w:lineRule="auto"/>
              <w:rPr>
                <w:rFonts w:cs="Arial"/>
                <w:sz w:val="16"/>
                <w:szCs w:val="16"/>
              </w:rPr>
            </w:pPr>
          </w:p>
        </w:tc>
        <w:tc>
          <w:tcPr>
            <w:tcW w:w="288" w:type="pct"/>
            <w:tcBorders>
              <w:top w:val="dotted" w:sz="4" w:space="0" w:color="606072"/>
              <w:left w:val="dotted" w:sz="4" w:space="0" w:color="606372" w:themeColor="text2"/>
              <w:bottom w:val="single" w:sz="4" w:space="0" w:color="606072"/>
              <w:right w:val="single" w:sz="4" w:space="0" w:color="606072"/>
            </w:tcBorders>
            <w:shd w:val="clear" w:color="auto" w:fill="D5E5FF"/>
            <w:vAlign w:val="center"/>
            <w:hideMark/>
          </w:tcPr>
          <w:p w14:paraId="1F453DB9"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80</w:t>
            </w:r>
          </w:p>
        </w:tc>
        <w:tc>
          <w:tcPr>
            <w:tcW w:w="597"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3E5DB527"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highlight w:val="yellow"/>
              </w:rPr>
            </w:pPr>
            <w:r w:rsidRPr="005060E0">
              <w:rPr>
                <w:rFonts w:eastAsia="Times New Roman" w:cs="Arial"/>
                <w:bCs/>
                <w:sz w:val="16"/>
                <w:szCs w:val="16"/>
                <w:lang w:eastAsia="en-AU"/>
              </w:rPr>
              <w:t>95 (23)</w:t>
            </w:r>
          </w:p>
        </w:tc>
        <w:tc>
          <w:tcPr>
            <w:tcW w:w="567"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2BFB75EE"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18 (6)</w:t>
            </w:r>
          </w:p>
        </w:tc>
        <w:tc>
          <w:tcPr>
            <w:tcW w:w="692"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68E8005A"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6 (3)</w:t>
            </w:r>
          </w:p>
        </w:tc>
        <w:tc>
          <w:tcPr>
            <w:tcW w:w="583"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2762752F" w14:textId="47D1ABBA"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2 (</w:t>
            </w:r>
            <w:r w:rsidR="00AB79EC">
              <w:rPr>
                <w:rFonts w:eastAsia="Times New Roman" w:cs="Arial"/>
                <w:bCs/>
                <w:sz w:val="16"/>
                <w:szCs w:val="16"/>
                <w:lang w:eastAsia="en-AU"/>
              </w:rPr>
              <w:t>–</w:t>
            </w:r>
            <w:r w:rsidRPr="005060E0">
              <w:rPr>
                <w:rFonts w:eastAsia="Times New Roman" w:cs="Arial"/>
                <w:bCs/>
                <w:sz w:val="16"/>
                <w:szCs w:val="16"/>
                <w:lang w:eastAsia="en-AU"/>
              </w:rPr>
              <w:t>)</w:t>
            </w:r>
          </w:p>
        </w:tc>
        <w:tc>
          <w:tcPr>
            <w:tcW w:w="583"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0736428D"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11 (6)</w:t>
            </w:r>
          </w:p>
        </w:tc>
        <w:tc>
          <w:tcPr>
            <w:tcW w:w="583"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47A3D0B9"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1 (1)</w:t>
            </w:r>
          </w:p>
        </w:tc>
        <w:tc>
          <w:tcPr>
            <w:tcW w:w="587"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728B1734" w14:textId="4702B3EA"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3 (</w:t>
            </w:r>
            <w:r w:rsidR="00AB79EC">
              <w:rPr>
                <w:rFonts w:eastAsia="Times New Roman" w:cs="Arial"/>
                <w:bCs/>
                <w:sz w:val="16"/>
                <w:szCs w:val="16"/>
                <w:lang w:eastAsia="en-AU"/>
              </w:rPr>
              <w:t>–</w:t>
            </w:r>
            <w:r w:rsidRPr="005060E0">
              <w:rPr>
                <w:rFonts w:eastAsia="Times New Roman" w:cs="Arial"/>
                <w:bCs/>
                <w:sz w:val="16"/>
                <w:szCs w:val="16"/>
                <w:lang w:eastAsia="en-AU"/>
              </w:rPr>
              <w:t>)</w:t>
            </w:r>
          </w:p>
        </w:tc>
      </w:tr>
      <w:tr w:rsidR="00975888" w:rsidRPr="005060E0" w14:paraId="1BFDA8CD" w14:textId="77777777" w:rsidTr="0097588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19" w:type="pct"/>
            <w:vMerge w:val="restart"/>
            <w:tcBorders>
              <w:top w:val="single" w:sz="4" w:space="0" w:color="606072"/>
              <w:left w:val="single" w:sz="4" w:space="0" w:color="606072"/>
              <w:right w:val="dotted" w:sz="4" w:space="0" w:color="606372" w:themeColor="text2"/>
            </w:tcBorders>
            <w:vAlign w:val="center"/>
          </w:tcPr>
          <w:p w14:paraId="33A83575" w14:textId="27AAC071" w:rsidR="00975888" w:rsidRPr="005060E0" w:rsidRDefault="00975888" w:rsidP="009D3FA0">
            <w:pPr>
              <w:widowControl w:val="0"/>
              <w:spacing w:after="0" w:line="240" w:lineRule="auto"/>
              <w:jc w:val="center"/>
              <w:rPr>
                <w:rFonts w:cs="Arial"/>
                <w:b w:val="0"/>
                <w:sz w:val="16"/>
                <w:szCs w:val="16"/>
              </w:rPr>
            </w:pPr>
            <w:r w:rsidRPr="005060E0">
              <w:rPr>
                <w:rFonts w:cs="Arial"/>
                <w:b w:val="0"/>
                <w:sz w:val="16"/>
                <w:szCs w:val="16"/>
              </w:rPr>
              <w:t xml:space="preserve">Rolling </w:t>
            </w:r>
            <w:r w:rsidR="00CD2F38">
              <w:rPr>
                <w:rFonts w:cs="Arial"/>
                <w:b w:val="0"/>
                <w:sz w:val="16"/>
                <w:szCs w:val="16"/>
              </w:rPr>
              <w:br/>
            </w:r>
            <w:r w:rsidRPr="005060E0">
              <w:rPr>
                <w:rFonts w:cs="Arial"/>
                <w:b w:val="0"/>
                <w:sz w:val="16"/>
                <w:szCs w:val="16"/>
              </w:rPr>
              <w:t>8-hour</w:t>
            </w:r>
          </w:p>
        </w:tc>
        <w:tc>
          <w:tcPr>
            <w:tcW w:w="288" w:type="pct"/>
            <w:tcBorders>
              <w:top w:val="single" w:sz="4" w:space="0" w:color="606072"/>
              <w:left w:val="dotted" w:sz="4" w:space="0" w:color="606372" w:themeColor="text2"/>
              <w:bottom w:val="dotted" w:sz="4" w:space="0" w:color="606072"/>
              <w:right w:val="single" w:sz="4" w:space="0" w:color="606072"/>
            </w:tcBorders>
            <w:vAlign w:val="center"/>
          </w:tcPr>
          <w:p w14:paraId="5717A943"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93" w:type="pct"/>
            <w:gridSpan w:val="7"/>
            <w:tcBorders>
              <w:top w:val="single" w:sz="4" w:space="0" w:color="606072"/>
              <w:left w:val="single" w:sz="4" w:space="0" w:color="606072"/>
              <w:bottom w:val="dotted" w:sz="4" w:space="0" w:color="606072"/>
              <w:right w:val="single" w:sz="4" w:space="0" w:color="606072"/>
            </w:tcBorders>
            <w:shd w:val="clear" w:color="auto" w:fill="BFBFBF" w:themeFill="background1" w:themeFillShade="BF"/>
            <w:vAlign w:val="center"/>
          </w:tcPr>
          <w:p w14:paraId="381F188D" w14:textId="37306951" w:rsidR="00975888" w:rsidRPr="005060E0" w:rsidRDefault="001B3859" w:rsidP="001B3859">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bCs/>
                <w:sz w:val="16"/>
                <w:szCs w:val="16"/>
                <w:lang w:eastAsia="en-AU"/>
              </w:rPr>
            </w:pPr>
            <w:r w:rsidRPr="005060E0">
              <w:rPr>
                <w:rFonts w:cs="Arial"/>
                <w:sz w:val="16"/>
                <w:szCs w:val="16"/>
              </w:rPr>
              <w:t>Total number of unique exceedance days</w:t>
            </w:r>
          </w:p>
        </w:tc>
      </w:tr>
      <w:tr w:rsidR="00975888" w:rsidRPr="005060E0" w14:paraId="049857F6" w14:textId="77777777" w:rsidTr="00975888">
        <w:trPr>
          <w:trHeight w:hRule="exact" w:val="340"/>
        </w:trPr>
        <w:tc>
          <w:tcPr>
            <w:cnfStyle w:val="001000000000" w:firstRow="0" w:lastRow="0" w:firstColumn="1" w:lastColumn="0" w:oddVBand="0" w:evenVBand="0" w:oddHBand="0" w:evenHBand="0" w:firstRowFirstColumn="0" w:firstRowLastColumn="0" w:lastRowFirstColumn="0" w:lastRowLastColumn="0"/>
            <w:tcW w:w="519" w:type="pct"/>
            <w:vMerge/>
            <w:tcBorders>
              <w:left w:val="single" w:sz="4" w:space="0" w:color="606072"/>
              <w:right w:val="dotted" w:sz="4" w:space="0" w:color="606372" w:themeColor="text2"/>
            </w:tcBorders>
            <w:vAlign w:val="center"/>
            <w:hideMark/>
          </w:tcPr>
          <w:p w14:paraId="50719292" w14:textId="7C1309FF" w:rsidR="00975888" w:rsidRPr="005060E0" w:rsidRDefault="00975888" w:rsidP="009D3FA0">
            <w:pPr>
              <w:widowControl w:val="0"/>
              <w:spacing w:after="0" w:line="240" w:lineRule="auto"/>
              <w:jc w:val="center"/>
              <w:rPr>
                <w:rFonts w:cs="Arial"/>
                <w:b w:val="0"/>
                <w:sz w:val="16"/>
                <w:szCs w:val="16"/>
              </w:rPr>
            </w:pPr>
          </w:p>
        </w:tc>
        <w:tc>
          <w:tcPr>
            <w:tcW w:w="288" w:type="pct"/>
            <w:tcBorders>
              <w:top w:val="single" w:sz="4" w:space="0" w:color="606072"/>
              <w:left w:val="dotted" w:sz="4" w:space="0" w:color="606372" w:themeColor="text2"/>
              <w:bottom w:val="dotted" w:sz="4" w:space="0" w:color="606072"/>
              <w:right w:val="single" w:sz="4" w:space="0" w:color="606072"/>
            </w:tcBorders>
            <w:vAlign w:val="center"/>
            <w:hideMark/>
          </w:tcPr>
          <w:p w14:paraId="3010CACC"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47</w:t>
            </w:r>
          </w:p>
        </w:tc>
        <w:tc>
          <w:tcPr>
            <w:tcW w:w="597" w:type="pct"/>
            <w:tcBorders>
              <w:top w:val="single" w:sz="4" w:space="0" w:color="606072"/>
              <w:left w:val="single" w:sz="4" w:space="0" w:color="606072"/>
              <w:bottom w:val="dotted" w:sz="4" w:space="0" w:color="606072"/>
              <w:right w:val="single" w:sz="4" w:space="0" w:color="606072"/>
            </w:tcBorders>
            <w:vAlign w:val="center"/>
          </w:tcPr>
          <w:p w14:paraId="0F40D332"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highlight w:val="yellow"/>
              </w:rPr>
            </w:pPr>
            <w:r w:rsidRPr="005060E0">
              <w:rPr>
                <w:rFonts w:eastAsia="Times New Roman" w:cs="Arial"/>
                <w:bCs/>
                <w:sz w:val="16"/>
                <w:szCs w:val="16"/>
                <w:lang w:eastAsia="en-AU"/>
              </w:rPr>
              <w:t>600 (184)</w:t>
            </w:r>
          </w:p>
        </w:tc>
        <w:tc>
          <w:tcPr>
            <w:tcW w:w="567" w:type="pct"/>
            <w:tcBorders>
              <w:top w:val="single" w:sz="4" w:space="0" w:color="606072"/>
              <w:left w:val="single" w:sz="4" w:space="0" w:color="606072"/>
              <w:bottom w:val="dotted" w:sz="4" w:space="0" w:color="606072"/>
              <w:right w:val="single" w:sz="4" w:space="0" w:color="606072"/>
            </w:tcBorders>
            <w:vAlign w:val="center"/>
          </w:tcPr>
          <w:p w14:paraId="44F2EBE5"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278 (55)</w:t>
            </w:r>
          </w:p>
        </w:tc>
        <w:tc>
          <w:tcPr>
            <w:tcW w:w="692" w:type="pct"/>
            <w:tcBorders>
              <w:top w:val="single" w:sz="4" w:space="0" w:color="606072"/>
              <w:left w:val="single" w:sz="4" w:space="0" w:color="606072"/>
              <w:bottom w:val="dotted" w:sz="4" w:space="0" w:color="606072"/>
              <w:right w:val="single" w:sz="4" w:space="0" w:color="606072"/>
            </w:tcBorders>
            <w:vAlign w:val="center"/>
          </w:tcPr>
          <w:p w14:paraId="36509C04"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230 (66)</w:t>
            </w:r>
          </w:p>
        </w:tc>
        <w:tc>
          <w:tcPr>
            <w:tcW w:w="583" w:type="pct"/>
            <w:tcBorders>
              <w:top w:val="single" w:sz="4" w:space="0" w:color="606072"/>
              <w:left w:val="single" w:sz="4" w:space="0" w:color="606072"/>
              <w:bottom w:val="dotted" w:sz="4" w:space="0" w:color="606072"/>
              <w:right w:val="single" w:sz="4" w:space="0" w:color="606072"/>
            </w:tcBorders>
            <w:vAlign w:val="center"/>
          </w:tcPr>
          <w:p w14:paraId="4D7E078A"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119 (36)</w:t>
            </w:r>
          </w:p>
        </w:tc>
        <w:tc>
          <w:tcPr>
            <w:tcW w:w="583" w:type="pct"/>
            <w:tcBorders>
              <w:top w:val="single" w:sz="4" w:space="0" w:color="606072"/>
              <w:left w:val="single" w:sz="4" w:space="0" w:color="606072"/>
              <w:bottom w:val="dotted" w:sz="4" w:space="0" w:color="606072"/>
              <w:right w:val="single" w:sz="4" w:space="0" w:color="606072"/>
            </w:tcBorders>
            <w:vAlign w:val="center"/>
          </w:tcPr>
          <w:p w14:paraId="76F41AE9"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357 (119)</w:t>
            </w:r>
          </w:p>
        </w:tc>
        <w:tc>
          <w:tcPr>
            <w:tcW w:w="583" w:type="pct"/>
            <w:tcBorders>
              <w:top w:val="single" w:sz="4" w:space="0" w:color="606072"/>
              <w:left w:val="single" w:sz="4" w:space="0" w:color="606072"/>
              <w:bottom w:val="dotted" w:sz="4" w:space="0" w:color="606072"/>
              <w:right w:val="single" w:sz="4" w:space="0" w:color="606072"/>
            </w:tcBorders>
            <w:vAlign w:val="center"/>
          </w:tcPr>
          <w:p w14:paraId="0DB95E6C"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163 (153)</w:t>
            </w:r>
          </w:p>
        </w:tc>
        <w:tc>
          <w:tcPr>
            <w:tcW w:w="587" w:type="pct"/>
            <w:tcBorders>
              <w:top w:val="single" w:sz="4" w:space="0" w:color="606072"/>
              <w:left w:val="single" w:sz="4" w:space="0" w:color="606072"/>
              <w:bottom w:val="dotted" w:sz="4" w:space="0" w:color="606072"/>
              <w:right w:val="single" w:sz="4" w:space="0" w:color="606072"/>
            </w:tcBorders>
            <w:vAlign w:val="center"/>
          </w:tcPr>
          <w:p w14:paraId="1B681FCA"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39 (1)</w:t>
            </w:r>
          </w:p>
        </w:tc>
      </w:tr>
      <w:tr w:rsidR="00975888" w:rsidRPr="005060E0" w14:paraId="7ABD0D5F" w14:textId="77777777" w:rsidTr="0097588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right w:val="dotted" w:sz="4" w:space="0" w:color="606372" w:themeColor="text2"/>
            </w:tcBorders>
            <w:vAlign w:val="center"/>
            <w:hideMark/>
          </w:tcPr>
          <w:p w14:paraId="63732818" w14:textId="77777777" w:rsidR="00975888" w:rsidRPr="005060E0" w:rsidRDefault="00975888" w:rsidP="009D3FA0">
            <w:pPr>
              <w:widowControl w:val="0"/>
              <w:spacing w:after="0" w:line="240" w:lineRule="auto"/>
              <w:rPr>
                <w:rFonts w:cs="Arial"/>
                <w:sz w:val="16"/>
                <w:szCs w:val="16"/>
              </w:rPr>
            </w:pPr>
          </w:p>
        </w:tc>
        <w:tc>
          <w:tcPr>
            <w:tcW w:w="288" w:type="pct"/>
            <w:tcBorders>
              <w:top w:val="dotted" w:sz="4" w:space="0" w:color="606072"/>
              <w:left w:val="dotted" w:sz="4" w:space="0" w:color="606372" w:themeColor="text2"/>
              <w:bottom w:val="dotted" w:sz="4" w:space="0" w:color="606072"/>
              <w:right w:val="single" w:sz="4" w:space="0" w:color="606072"/>
            </w:tcBorders>
            <w:vAlign w:val="center"/>
            <w:hideMark/>
          </w:tcPr>
          <w:p w14:paraId="53D6159B"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55</w:t>
            </w:r>
          </w:p>
        </w:tc>
        <w:tc>
          <w:tcPr>
            <w:tcW w:w="597" w:type="pct"/>
            <w:tcBorders>
              <w:top w:val="dotted" w:sz="4" w:space="0" w:color="606072"/>
              <w:left w:val="single" w:sz="4" w:space="0" w:color="606072"/>
              <w:bottom w:val="dotted" w:sz="4" w:space="0" w:color="606072"/>
              <w:right w:val="single" w:sz="4" w:space="0" w:color="606072"/>
            </w:tcBorders>
            <w:vAlign w:val="center"/>
          </w:tcPr>
          <w:p w14:paraId="5707C2EF"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highlight w:val="yellow"/>
              </w:rPr>
            </w:pPr>
            <w:r w:rsidRPr="005060E0">
              <w:rPr>
                <w:rFonts w:eastAsia="Times New Roman" w:cs="Arial"/>
                <w:bCs/>
                <w:sz w:val="16"/>
                <w:szCs w:val="16"/>
                <w:lang w:eastAsia="en-AU"/>
              </w:rPr>
              <w:t>300 (93)</w:t>
            </w:r>
          </w:p>
        </w:tc>
        <w:tc>
          <w:tcPr>
            <w:tcW w:w="567" w:type="pct"/>
            <w:tcBorders>
              <w:top w:val="dotted" w:sz="4" w:space="0" w:color="606072"/>
              <w:left w:val="single" w:sz="4" w:space="0" w:color="606072"/>
              <w:bottom w:val="dotted" w:sz="4" w:space="0" w:color="606072"/>
              <w:right w:val="single" w:sz="4" w:space="0" w:color="606072"/>
            </w:tcBorders>
            <w:vAlign w:val="center"/>
          </w:tcPr>
          <w:p w14:paraId="5FCE2CAE"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bCs/>
                <w:sz w:val="16"/>
                <w:szCs w:val="16"/>
                <w:lang w:eastAsia="en-AU"/>
              </w:rPr>
              <w:t>113 (21)</w:t>
            </w:r>
          </w:p>
        </w:tc>
        <w:tc>
          <w:tcPr>
            <w:tcW w:w="692" w:type="pct"/>
            <w:tcBorders>
              <w:top w:val="dotted" w:sz="4" w:space="0" w:color="606072"/>
              <w:left w:val="single" w:sz="4" w:space="0" w:color="606072"/>
              <w:bottom w:val="dotted" w:sz="4" w:space="0" w:color="606072"/>
              <w:right w:val="single" w:sz="4" w:space="0" w:color="606072"/>
            </w:tcBorders>
            <w:vAlign w:val="center"/>
          </w:tcPr>
          <w:p w14:paraId="0394F199"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bCs/>
                <w:sz w:val="16"/>
                <w:szCs w:val="16"/>
                <w:lang w:eastAsia="en-AU"/>
              </w:rPr>
              <w:t>50 (19)</w:t>
            </w:r>
          </w:p>
        </w:tc>
        <w:tc>
          <w:tcPr>
            <w:tcW w:w="583" w:type="pct"/>
            <w:tcBorders>
              <w:top w:val="dotted" w:sz="4" w:space="0" w:color="606072"/>
              <w:left w:val="single" w:sz="4" w:space="0" w:color="606072"/>
              <w:bottom w:val="dotted" w:sz="4" w:space="0" w:color="606072"/>
              <w:right w:val="single" w:sz="4" w:space="0" w:color="606072"/>
            </w:tcBorders>
            <w:vAlign w:val="center"/>
          </w:tcPr>
          <w:p w14:paraId="04051AA8"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bCs/>
                <w:sz w:val="16"/>
                <w:szCs w:val="16"/>
                <w:lang w:eastAsia="en-AU"/>
              </w:rPr>
              <w:t>24 (6)</w:t>
            </w:r>
          </w:p>
        </w:tc>
        <w:tc>
          <w:tcPr>
            <w:tcW w:w="583" w:type="pct"/>
            <w:tcBorders>
              <w:top w:val="dotted" w:sz="4" w:space="0" w:color="606072"/>
              <w:left w:val="single" w:sz="4" w:space="0" w:color="606072"/>
              <w:bottom w:val="dotted" w:sz="4" w:space="0" w:color="606072"/>
              <w:right w:val="single" w:sz="4" w:space="0" w:color="606072"/>
            </w:tcBorders>
            <w:vAlign w:val="center"/>
          </w:tcPr>
          <w:p w14:paraId="52DC489E"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bCs/>
                <w:sz w:val="16"/>
                <w:szCs w:val="16"/>
                <w:lang w:eastAsia="en-AU"/>
              </w:rPr>
              <w:t>127 (44)</w:t>
            </w:r>
          </w:p>
        </w:tc>
        <w:tc>
          <w:tcPr>
            <w:tcW w:w="583" w:type="pct"/>
            <w:tcBorders>
              <w:top w:val="dotted" w:sz="4" w:space="0" w:color="606072"/>
              <w:left w:val="single" w:sz="4" w:space="0" w:color="606072"/>
              <w:bottom w:val="dotted" w:sz="4" w:space="0" w:color="606072"/>
              <w:right w:val="single" w:sz="4" w:space="0" w:color="606072"/>
            </w:tcBorders>
            <w:vAlign w:val="center"/>
          </w:tcPr>
          <w:p w14:paraId="67DAA7F8"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bCs/>
                <w:sz w:val="16"/>
                <w:szCs w:val="16"/>
                <w:lang w:eastAsia="en-AU"/>
              </w:rPr>
              <w:t>42 (41)</w:t>
            </w:r>
          </w:p>
        </w:tc>
        <w:tc>
          <w:tcPr>
            <w:tcW w:w="587" w:type="pct"/>
            <w:tcBorders>
              <w:top w:val="dotted" w:sz="4" w:space="0" w:color="606072"/>
              <w:left w:val="single" w:sz="4" w:space="0" w:color="606072"/>
              <w:bottom w:val="dotted" w:sz="4" w:space="0" w:color="606072"/>
              <w:right w:val="single" w:sz="4" w:space="0" w:color="606072"/>
            </w:tcBorders>
            <w:vAlign w:val="center"/>
          </w:tcPr>
          <w:p w14:paraId="4A6AB560" w14:textId="62D9578C"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bCs/>
                <w:sz w:val="16"/>
                <w:szCs w:val="16"/>
                <w:lang w:eastAsia="en-AU"/>
              </w:rPr>
              <w:t>9 (</w:t>
            </w:r>
            <w:r w:rsidR="00AB79EC">
              <w:rPr>
                <w:rFonts w:eastAsia="Times New Roman" w:cs="Arial"/>
                <w:bCs/>
                <w:sz w:val="16"/>
                <w:szCs w:val="16"/>
                <w:lang w:eastAsia="en-AU"/>
              </w:rPr>
              <w:t>–</w:t>
            </w:r>
            <w:r w:rsidRPr="005060E0">
              <w:rPr>
                <w:rFonts w:eastAsia="Times New Roman" w:cs="Arial"/>
                <w:bCs/>
                <w:sz w:val="16"/>
                <w:szCs w:val="16"/>
                <w:lang w:eastAsia="en-AU"/>
              </w:rPr>
              <w:t>)</w:t>
            </w:r>
          </w:p>
        </w:tc>
      </w:tr>
      <w:tr w:rsidR="00975888" w:rsidRPr="005060E0" w14:paraId="27EF7FD9" w14:textId="77777777" w:rsidTr="00975888">
        <w:trPr>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right w:val="dotted" w:sz="4" w:space="0" w:color="606372" w:themeColor="text2"/>
            </w:tcBorders>
            <w:vAlign w:val="center"/>
            <w:hideMark/>
          </w:tcPr>
          <w:p w14:paraId="41B6EC20" w14:textId="77777777" w:rsidR="00975888" w:rsidRPr="005060E0" w:rsidRDefault="00975888" w:rsidP="009D3FA0">
            <w:pPr>
              <w:widowControl w:val="0"/>
              <w:spacing w:after="0" w:line="240" w:lineRule="auto"/>
              <w:rPr>
                <w:rFonts w:cs="Arial"/>
                <w:sz w:val="16"/>
                <w:szCs w:val="16"/>
              </w:rPr>
            </w:pPr>
          </w:p>
        </w:tc>
        <w:tc>
          <w:tcPr>
            <w:tcW w:w="288" w:type="pct"/>
            <w:tcBorders>
              <w:top w:val="dotted" w:sz="4" w:space="0" w:color="606072"/>
              <w:left w:val="dotted" w:sz="4" w:space="0" w:color="606372" w:themeColor="text2"/>
              <w:bottom w:val="dotted" w:sz="4" w:space="0" w:color="606072"/>
              <w:right w:val="single" w:sz="4" w:space="0" w:color="606072"/>
            </w:tcBorders>
            <w:vAlign w:val="center"/>
            <w:hideMark/>
          </w:tcPr>
          <w:p w14:paraId="218D4FC8"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60</w:t>
            </w:r>
          </w:p>
        </w:tc>
        <w:tc>
          <w:tcPr>
            <w:tcW w:w="597" w:type="pct"/>
            <w:tcBorders>
              <w:top w:val="dotted" w:sz="4" w:space="0" w:color="606072"/>
              <w:left w:val="single" w:sz="4" w:space="0" w:color="606072"/>
              <w:bottom w:val="dotted" w:sz="4" w:space="0" w:color="606072"/>
              <w:right w:val="single" w:sz="4" w:space="0" w:color="606072"/>
            </w:tcBorders>
            <w:vAlign w:val="center"/>
          </w:tcPr>
          <w:p w14:paraId="453A826C"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highlight w:val="yellow"/>
              </w:rPr>
            </w:pPr>
            <w:r w:rsidRPr="005060E0">
              <w:rPr>
                <w:rFonts w:eastAsia="Times New Roman" w:cs="Arial"/>
                <w:bCs/>
                <w:sz w:val="16"/>
                <w:szCs w:val="16"/>
                <w:lang w:eastAsia="en-AU"/>
              </w:rPr>
              <w:t>190 (58)</w:t>
            </w:r>
          </w:p>
        </w:tc>
        <w:tc>
          <w:tcPr>
            <w:tcW w:w="567" w:type="pct"/>
            <w:tcBorders>
              <w:top w:val="dotted" w:sz="4" w:space="0" w:color="606072"/>
              <w:left w:val="single" w:sz="4" w:space="0" w:color="606072"/>
              <w:bottom w:val="dotted" w:sz="4" w:space="0" w:color="606072"/>
              <w:right w:val="single" w:sz="4" w:space="0" w:color="606072"/>
            </w:tcBorders>
            <w:vAlign w:val="center"/>
          </w:tcPr>
          <w:p w14:paraId="70AA501C"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67 (14)</w:t>
            </w:r>
          </w:p>
        </w:tc>
        <w:tc>
          <w:tcPr>
            <w:tcW w:w="692" w:type="pct"/>
            <w:tcBorders>
              <w:top w:val="dotted" w:sz="4" w:space="0" w:color="606072"/>
              <w:left w:val="single" w:sz="4" w:space="0" w:color="606072"/>
              <w:bottom w:val="dotted" w:sz="4" w:space="0" w:color="606072"/>
              <w:right w:val="single" w:sz="4" w:space="0" w:color="606072"/>
            </w:tcBorders>
            <w:vAlign w:val="center"/>
          </w:tcPr>
          <w:p w14:paraId="50D02B12"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18 (7)</w:t>
            </w:r>
          </w:p>
        </w:tc>
        <w:tc>
          <w:tcPr>
            <w:tcW w:w="583" w:type="pct"/>
            <w:tcBorders>
              <w:top w:val="dotted" w:sz="4" w:space="0" w:color="606072"/>
              <w:left w:val="single" w:sz="4" w:space="0" w:color="606072"/>
              <w:bottom w:val="dotted" w:sz="4" w:space="0" w:color="606072"/>
              <w:right w:val="single" w:sz="4" w:space="0" w:color="606072"/>
            </w:tcBorders>
            <w:vAlign w:val="center"/>
          </w:tcPr>
          <w:p w14:paraId="5D1136C4"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11 (2)</w:t>
            </w:r>
          </w:p>
        </w:tc>
        <w:tc>
          <w:tcPr>
            <w:tcW w:w="583" w:type="pct"/>
            <w:tcBorders>
              <w:top w:val="dotted" w:sz="4" w:space="0" w:color="606072"/>
              <w:left w:val="single" w:sz="4" w:space="0" w:color="606072"/>
              <w:bottom w:val="dotted" w:sz="4" w:space="0" w:color="606072"/>
              <w:right w:val="single" w:sz="4" w:space="0" w:color="606072"/>
            </w:tcBorders>
            <w:vAlign w:val="center"/>
          </w:tcPr>
          <w:p w14:paraId="786EE640"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65 (20)</w:t>
            </w:r>
          </w:p>
        </w:tc>
        <w:tc>
          <w:tcPr>
            <w:tcW w:w="583" w:type="pct"/>
            <w:tcBorders>
              <w:top w:val="dotted" w:sz="4" w:space="0" w:color="606072"/>
              <w:left w:val="single" w:sz="4" w:space="0" w:color="606072"/>
              <w:bottom w:val="dotted" w:sz="4" w:space="0" w:color="606072"/>
              <w:right w:val="single" w:sz="4" w:space="0" w:color="606072"/>
            </w:tcBorders>
            <w:vAlign w:val="center"/>
          </w:tcPr>
          <w:p w14:paraId="5184186A"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20 (20)</w:t>
            </w:r>
          </w:p>
        </w:tc>
        <w:tc>
          <w:tcPr>
            <w:tcW w:w="587" w:type="pct"/>
            <w:tcBorders>
              <w:top w:val="dotted" w:sz="4" w:space="0" w:color="606072"/>
              <w:left w:val="single" w:sz="4" w:space="0" w:color="606072"/>
              <w:bottom w:val="dotted" w:sz="4" w:space="0" w:color="606072"/>
              <w:right w:val="single" w:sz="4" w:space="0" w:color="606072"/>
            </w:tcBorders>
            <w:vAlign w:val="center"/>
          </w:tcPr>
          <w:p w14:paraId="53A97B64" w14:textId="7A75ED68"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4 (</w:t>
            </w:r>
            <w:r w:rsidR="00AB79EC">
              <w:rPr>
                <w:rFonts w:eastAsia="Times New Roman" w:cs="Arial"/>
                <w:bCs/>
                <w:sz w:val="16"/>
                <w:szCs w:val="16"/>
                <w:lang w:eastAsia="en-AU"/>
              </w:rPr>
              <w:t>–</w:t>
            </w:r>
            <w:r w:rsidRPr="005060E0">
              <w:rPr>
                <w:rFonts w:eastAsia="Times New Roman" w:cs="Arial"/>
                <w:bCs/>
                <w:sz w:val="16"/>
                <w:szCs w:val="16"/>
                <w:lang w:eastAsia="en-AU"/>
              </w:rPr>
              <w:t>)</w:t>
            </w:r>
          </w:p>
        </w:tc>
      </w:tr>
      <w:tr w:rsidR="00975888" w:rsidRPr="005060E0" w14:paraId="76D974ED" w14:textId="77777777" w:rsidTr="0097588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bottom w:val="single" w:sz="4" w:space="0" w:color="606072"/>
              <w:right w:val="dotted" w:sz="4" w:space="0" w:color="606372" w:themeColor="text2"/>
            </w:tcBorders>
            <w:vAlign w:val="center"/>
            <w:hideMark/>
          </w:tcPr>
          <w:p w14:paraId="2A087D7A" w14:textId="77777777" w:rsidR="00975888" w:rsidRPr="005060E0" w:rsidRDefault="00975888" w:rsidP="009D3FA0">
            <w:pPr>
              <w:widowControl w:val="0"/>
              <w:spacing w:after="0" w:line="240" w:lineRule="auto"/>
              <w:rPr>
                <w:rFonts w:cs="Arial"/>
                <w:sz w:val="16"/>
                <w:szCs w:val="16"/>
              </w:rPr>
            </w:pPr>
          </w:p>
        </w:tc>
        <w:tc>
          <w:tcPr>
            <w:tcW w:w="288" w:type="pct"/>
            <w:tcBorders>
              <w:top w:val="dotted" w:sz="4" w:space="0" w:color="606072"/>
              <w:left w:val="dotted" w:sz="4" w:space="0" w:color="606372" w:themeColor="text2"/>
              <w:bottom w:val="single" w:sz="4" w:space="0" w:color="606072"/>
              <w:right w:val="single" w:sz="4" w:space="0" w:color="606072"/>
            </w:tcBorders>
            <w:vAlign w:val="center"/>
            <w:hideMark/>
          </w:tcPr>
          <w:p w14:paraId="22C27C67"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70</w:t>
            </w:r>
          </w:p>
        </w:tc>
        <w:tc>
          <w:tcPr>
            <w:tcW w:w="597" w:type="pct"/>
            <w:tcBorders>
              <w:top w:val="dotted" w:sz="4" w:space="0" w:color="606072"/>
              <w:left w:val="single" w:sz="4" w:space="0" w:color="606072"/>
              <w:bottom w:val="single" w:sz="4" w:space="0" w:color="606072"/>
              <w:right w:val="single" w:sz="4" w:space="0" w:color="606072"/>
            </w:tcBorders>
            <w:vAlign w:val="center"/>
          </w:tcPr>
          <w:p w14:paraId="1A2B2F0C"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highlight w:val="yellow"/>
              </w:rPr>
            </w:pPr>
            <w:r w:rsidRPr="005060E0">
              <w:rPr>
                <w:rFonts w:eastAsia="Times New Roman" w:cs="Arial"/>
                <w:bCs/>
                <w:sz w:val="16"/>
                <w:szCs w:val="16"/>
                <w:lang w:eastAsia="en-AU"/>
              </w:rPr>
              <w:t>62 (16)</w:t>
            </w:r>
          </w:p>
        </w:tc>
        <w:tc>
          <w:tcPr>
            <w:tcW w:w="567" w:type="pct"/>
            <w:tcBorders>
              <w:top w:val="dotted" w:sz="4" w:space="0" w:color="606072"/>
              <w:left w:val="single" w:sz="4" w:space="0" w:color="606072"/>
              <w:bottom w:val="single" w:sz="4" w:space="0" w:color="606072"/>
              <w:right w:val="single" w:sz="4" w:space="0" w:color="606072"/>
            </w:tcBorders>
            <w:vAlign w:val="center"/>
          </w:tcPr>
          <w:p w14:paraId="05B8989C"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bCs/>
                <w:sz w:val="16"/>
                <w:szCs w:val="16"/>
                <w:lang w:eastAsia="en-AU"/>
              </w:rPr>
              <w:t>20 (5)</w:t>
            </w:r>
          </w:p>
        </w:tc>
        <w:tc>
          <w:tcPr>
            <w:tcW w:w="692" w:type="pct"/>
            <w:tcBorders>
              <w:top w:val="dotted" w:sz="4" w:space="0" w:color="606072"/>
              <w:left w:val="single" w:sz="4" w:space="0" w:color="606072"/>
              <w:bottom w:val="single" w:sz="4" w:space="0" w:color="606072"/>
              <w:right w:val="single" w:sz="4" w:space="0" w:color="606072"/>
            </w:tcBorders>
            <w:vAlign w:val="center"/>
          </w:tcPr>
          <w:p w14:paraId="15C34375"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bCs/>
                <w:sz w:val="16"/>
                <w:szCs w:val="16"/>
                <w:lang w:eastAsia="en-AU"/>
              </w:rPr>
              <w:t>5 (3)</w:t>
            </w:r>
          </w:p>
        </w:tc>
        <w:tc>
          <w:tcPr>
            <w:tcW w:w="583" w:type="pct"/>
            <w:tcBorders>
              <w:top w:val="dotted" w:sz="4" w:space="0" w:color="606072"/>
              <w:left w:val="single" w:sz="4" w:space="0" w:color="606072"/>
              <w:bottom w:val="single" w:sz="4" w:space="0" w:color="606072"/>
              <w:right w:val="single" w:sz="4" w:space="0" w:color="606072"/>
            </w:tcBorders>
            <w:vAlign w:val="center"/>
          </w:tcPr>
          <w:p w14:paraId="7EFFAE7A" w14:textId="3B76B46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bCs/>
                <w:sz w:val="16"/>
                <w:szCs w:val="16"/>
                <w:lang w:eastAsia="en-AU"/>
              </w:rPr>
              <w:t>2 (</w:t>
            </w:r>
            <w:r w:rsidR="00AB79EC">
              <w:rPr>
                <w:rFonts w:eastAsia="Times New Roman" w:cs="Arial"/>
                <w:bCs/>
                <w:sz w:val="16"/>
                <w:szCs w:val="16"/>
                <w:lang w:eastAsia="en-AU"/>
              </w:rPr>
              <w:t>–</w:t>
            </w:r>
            <w:r w:rsidRPr="005060E0">
              <w:rPr>
                <w:rFonts w:eastAsia="Times New Roman" w:cs="Arial"/>
                <w:bCs/>
                <w:sz w:val="16"/>
                <w:szCs w:val="16"/>
                <w:lang w:eastAsia="en-AU"/>
              </w:rPr>
              <w:t>)</w:t>
            </w:r>
          </w:p>
        </w:tc>
        <w:tc>
          <w:tcPr>
            <w:tcW w:w="583" w:type="pct"/>
            <w:tcBorders>
              <w:top w:val="dotted" w:sz="4" w:space="0" w:color="606072"/>
              <w:left w:val="single" w:sz="4" w:space="0" w:color="606072"/>
              <w:bottom w:val="single" w:sz="4" w:space="0" w:color="606072"/>
              <w:right w:val="single" w:sz="4" w:space="0" w:color="606072"/>
            </w:tcBorders>
            <w:vAlign w:val="center"/>
          </w:tcPr>
          <w:p w14:paraId="31D56965"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bCs/>
                <w:sz w:val="16"/>
                <w:szCs w:val="16"/>
                <w:lang w:eastAsia="en-AU"/>
              </w:rPr>
              <w:t>8 (3)</w:t>
            </w:r>
          </w:p>
        </w:tc>
        <w:tc>
          <w:tcPr>
            <w:tcW w:w="583" w:type="pct"/>
            <w:tcBorders>
              <w:top w:val="dotted" w:sz="4" w:space="0" w:color="606072"/>
              <w:left w:val="single" w:sz="4" w:space="0" w:color="606072"/>
              <w:bottom w:val="single" w:sz="4" w:space="0" w:color="606072"/>
              <w:right w:val="single" w:sz="4" w:space="0" w:color="606072"/>
            </w:tcBorders>
            <w:vAlign w:val="center"/>
          </w:tcPr>
          <w:p w14:paraId="633910E5"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bCs/>
                <w:sz w:val="16"/>
                <w:szCs w:val="16"/>
                <w:lang w:eastAsia="en-AU"/>
              </w:rPr>
              <w:t>3 (3)</w:t>
            </w:r>
          </w:p>
        </w:tc>
        <w:tc>
          <w:tcPr>
            <w:tcW w:w="587" w:type="pct"/>
            <w:tcBorders>
              <w:top w:val="dotted" w:sz="4" w:space="0" w:color="606072"/>
              <w:left w:val="single" w:sz="4" w:space="0" w:color="606072"/>
              <w:bottom w:val="single" w:sz="4" w:space="0" w:color="606072"/>
              <w:right w:val="single" w:sz="4" w:space="0" w:color="606072"/>
            </w:tcBorders>
            <w:vAlign w:val="center"/>
          </w:tcPr>
          <w:p w14:paraId="1F4A0CCA" w14:textId="44144820"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bCs/>
                <w:sz w:val="16"/>
                <w:szCs w:val="16"/>
                <w:lang w:eastAsia="en-AU"/>
              </w:rPr>
              <w:t>2 (</w:t>
            </w:r>
            <w:r w:rsidR="00AB79EC">
              <w:rPr>
                <w:rFonts w:eastAsia="Times New Roman" w:cs="Arial"/>
                <w:bCs/>
                <w:sz w:val="16"/>
                <w:szCs w:val="16"/>
                <w:lang w:eastAsia="en-AU"/>
              </w:rPr>
              <w:t>–</w:t>
            </w:r>
            <w:r w:rsidRPr="005060E0">
              <w:rPr>
                <w:rFonts w:eastAsia="Times New Roman" w:cs="Arial"/>
                <w:bCs/>
                <w:sz w:val="16"/>
                <w:szCs w:val="16"/>
                <w:lang w:eastAsia="en-AU"/>
              </w:rPr>
              <w:t>)</w:t>
            </w:r>
          </w:p>
        </w:tc>
      </w:tr>
    </w:tbl>
    <w:p w14:paraId="063A1290" w14:textId="0F23DACB" w:rsidR="009D3FA0" w:rsidRPr="005060E0" w:rsidRDefault="009D3FA0" w:rsidP="00805D1C">
      <w:pPr>
        <w:pStyle w:val="PBTablecaption"/>
        <w:spacing w:before="600"/>
        <w:rPr>
          <w:rFonts w:cs="Arial"/>
        </w:rPr>
      </w:pPr>
      <w:bookmarkStart w:id="216" w:name="_Ref508527253"/>
      <w:r w:rsidRPr="005060E0">
        <w:rPr>
          <w:rFonts w:cs="Arial"/>
        </w:rPr>
        <w:t xml:space="preserve">Table </w:t>
      </w:r>
      <w:r w:rsidRPr="005060E0">
        <w:rPr>
          <w:rFonts w:cs="Arial"/>
        </w:rPr>
        <w:fldChar w:fldCharType="begin"/>
      </w:r>
      <w:r w:rsidRPr="005060E0">
        <w:rPr>
          <w:rFonts w:cs="Arial"/>
        </w:rPr>
        <w:instrText xml:space="preserve"> STYLEREF 1 \s </w:instrText>
      </w:r>
      <w:r w:rsidRPr="005060E0">
        <w:rPr>
          <w:rFonts w:cs="Arial"/>
        </w:rPr>
        <w:fldChar w:fldCharType="separate"/>
      </w:r>
      <w:r w:rsidR="00F2067C">
        <w:rPr>
          <w:rFonts w:cs="Arial"/>
          <w:noProof/>
        </w:rPr>
        <w:t>8</w:t>
      </w:r>
      <w:r w:rsidRPr="005060E0">
        <w:rPr>
          <w:rFonts w:cs="Arial"/>
          <w:noProof/>
        </w:rPr>
        <w:fldChar w:fldCharType="end"/>
      </w:r>
      <w:r w:rsidRPr="005060E0">
        <w:rPr>
          <w:rFonts w:cs="Arial"/>
        </w:rPr>
        <w:noBreakHyphen/>
      </w:r>
      <w:r w:rsidRPr="005060E0">
        <w:rPr>
          <w:rFonts w:cs="Arial"/>
        </w:rPr>
        <w:fldChar w:fldCharType="begin"/>
      </w:r>
      <w:r w:rsidRPr="005060E0">
        <w:rPr>
          <w:rFonts w:cs="Arial"/>
        </w:rPr>
        <w:instrText xml:space="preserve"> SEQ Table \* ARABIC \s 1 </w:instrText>
      </w:r>
      <w:r w:rsidRPr="005060E0">
        <w:rPr>
          <w:rFonts w:cs="Arial"/>
        </w:rPr>
        <w:fldChar w:fldCharType="separate"/>
      </w:r>
      <w:r w:rsidR="00F2067C">
        <w:rPr>
          <w:rFonts w:cs="Arial"/>
          <w:noProof/>
        </w:rPr>
        <w:t>6</w:t>
      </w:r>
      <w:r w:rsidRPr="005060E0">
        <w:rPr>
          <w:rFonts w:cs="Arial"/>
          <w:noProof/>
        </w:rPr>
        <w:fldChar w:fldCharType="end"/>
      </w:r>
      <w:bookmarkEnd w:id="216"/>
      <w:r w:rsidRPr="005060E0">
        <w:rPr>
          <w:rFonts w:cs="Arial"/>
        </w:rPr>
        <w:t xml:space="preserve">: </w:t>
      </w:r>
      <w:r w:rsidR="00975888" w:rsidRPr="005060E0">
        <w:rPr>
          <w:rFonts w:eastAsia="Arial" w:cs="Arial"/>
        </w:rPr>
        <w:t>Historical exceedance</w:t>
      </w:r>
      <w:r w:rsidR="00CE5917" w:rsidRPr="005060E0">
        <w:rPr>
          <w:rFonts w:eastAsia="Arial" w:cs="Arial"/>
        </w:rPr>
        <w:t>s of</w:t>
      </w:r>
      <w:r w:rsidRPr="005060E0">
        <w:rPr>
          <w:rFonts w:eastAsia="Arial" w:cs="Arial"/>
        </w:rPr>
        <w:t xml:space="preserve"> current and proposed O</w:t>
      </w:r>
      <w:r w:rsidRPr="005060E0">
        <w:rPr>
          <w:rFonts w:eastAsia="Arial" w:cs="Arial"/>
          <w:vertAlign w:val="subscript"/>
        </w:rPr>
        <w:t>3</w:t>
      </w:r>
      <w:r w:rsidRPr="005060E0">
        <w:rPr>
          <w:rFonts w:eastAsia="Arial" w:cs="Arial"/>
        </w:rPr>
        <w:t xml:space="preserve"> standards in regional centres</w:t>
      </w:r>
    </w:p>
    <w:tbl>
      <w:tblPr>
        <w:tblStyle w:val="ListTable3-Accent13"/>
        <w:tblW w:w="5000" w:type="pct"/>
        <w:tblLook w:val="04A0" w:firstRow="1" w:lastRow="0" w:firstColumn="1" w:lastColumn="0" w:noHBand="0" w:noVBand="1"/>
      </w:tblPr>
      <w:tblGrid>
        <w:gridCol w:w="1043"/>
        <w:gridCol w:w="611"/>
        <w:gridCol w:w="1595"/>
        <w:gridCol w:w="1595"/>
        <w:gridCol w:w="1595"/>
        <w:gridCol w:w="1595"/>
        <w:gridCol w:w="1595"/>
      </w:tblGrid>
      <w:tr w:rsidR="009D3FA0" w:rsidRPr="005060E0" w14:paraId="6753E38E" w14:textId="77777777" w:rsidTr="005F3F40">
        <w:trPr>
          <w:cnfStyle w:val="100000000000" w:firstRow="1" w:lastRow="0" w:firstColumn="0" w:lastColumn="0" w:oddVBand="0" w:evenVBand="0" w:oddHBand="0" w:evenHBand="0" w:firstRowFirstColumn="0" w:firstRowLastColumn="0" w:lastRowFirstColumn="0" w:lastRowLastColumn="0"/>
          <w:trHeight w:hRule="exact" w:val="560"/>
          <w:tblHeader/>
        </w:trPr>
        <w:tc>
          <w:tcPr>
            <w:cnfStyle w:val="001000000100" w:firstRow="0" w:lastRow="0" w:firstColumn="1" w:lastColumn="0" w:oddVBand="0" w:evenVBand="0" w:oddHBand="0" w:evenHBand="0" w:firstRowFirstColumn="1" w:firstRowLastColumn="0" w:lastRowFirstColumn="0" w:lastRowLastColumn="0"/>
            <w:tcW w:w="542" w:type="pct"/>
            <w:vMerge w:val="restart"/>
            <w:tcBorders>
              <w:top w:val="single" w:sz="4" w:space="0" w:color="606072"/>
              <w:left w:val="single" w:sz="4" w:space="0" w:color="606072"/>
              <w:bottom w:val="single" w:sz="4" w:space="0" w:color="606072"/>
            </w:tcBorders>
            <w:shd w:val="clear" w:color="auto" w:fill="606072"/>
            <w:vAlign w:val="center"/>
            <w:hideMark/>
          </w:tcPr>
          <w:p w14:paraId="4CC8C775" w14:textId="77777777" w:rsidR="009D3FA0" w:rsidRPr="005060E0" w:rsidRDefault="009D3FA0" w:rsidP="009D3FA0">
            <w:pPr>
              <w:widowControl w:val="0"/>
              <w:spacing w:after="0" w:line="240" w:lineRule="auto"/>
              <w:jc w:val="center"/>
              <w:rPr>
                <w:rFonts w:cs="Arial"/>
                <w:b w:val="0"/>
                <w:color w:val="FFFFFF" w:themeColor="background1"/>
                <w:sz w:val="16"/>
                <w:szCs w:val="16"/>
              </w:rPr>
            </w:pPr>
            <w:r w:rsidRPr="005060E0">
              <w:rPr>
                <w:rFonts w:cs="Arial"/>
                <w:b w:val="0"/>
                <w:color w:val="FFFFFF" w:themeColor="background1"/>
                <w:sz w:val="16"/>
                <w:szCs w:val="16"/>
              </w:rPr>
              <w:t>Standard</w:t>
            </w:r>
          </w:p>
        </w:tc>
        <w:tc>
          <w:tcPr>
            <w:tcW w:w="318" w:type="pct"/>
            <w:tcBorders>
              <w:top w:val="single" w:sz="4" w:space="0" w:color="606072"/>
              <w:left w:val="nil"/>
              <w:bottom w:val="single" w:sz="4" w:space="0" w:color="606072"/>
              <w:right w:val="nil"/>
            </w:tcBorders>
            <w:shd w:val="clear" w:color="auto" w:fill="606072"/>
          </w:tcPr>
          <w:p w14:paraId="4D98C180" w14:textId="77777777" w:rsidR="009D3FA0" w:rsidRPr="005060E0" w:rsidRDefault="009D3FA0" w:rsidP="009D3FA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szCs w:val="16"/>
              </w:rPr>
            </w:pPr>
          </w:p>
        </w:tc>
        <w:tc>
          <w:tcPr>
            <w:tcW w:w="4140" w:type="pct"/>
            <w:gridSpan w:val="5"/>
            <w:tcBorders>
              <w:top w:val="single" w:sz="4" w:space="0" w:color="606072"/>
              <w:left w:val="nil"/>
              <w:bottom w:val="single" w:sz="4" w:space="0" w:color="606072"/>
              <w:right w:val="single" w:sz="4" w:space="0" w:color="606072"/>
            </w:tcBorders>
            <w:shd w:val="clear" w:color="auto" w:fill="606072"/>
            <w:vAlign w:val="center"/>
            <w:hideMark/>
          </w:tcPr>
          <w:p w14:paraId="784417D9" w14:textId="5CC692D5" w:rsidR="009D3FA0" w:rsidRPr="005060E0" w:rsidRDefault="00975888" w:rsidP="009D3F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cs="Arial"/>
                <w:b w:val="0"/>
                <w:color w:val="FFFFFF" w:themeColor="background1"/>
                <w:sz w:val="16"/>
                <w:szCs w:val="16"/>
              </w:rPr>
              <w:t>Exceedance</w:t>
            </w:r>
            <w:r w:rsidR="009D3FA0" w:rsidRPr="005060E0">
              <w:rPr>
                <w:rFonts w:cs="Arial"/>
                <w:b w:val="0"/>
                <w:color w:val="FFFFFF" w:themeColor="background1"/>
                <w:sz w:val="16"/>
                <w:szCs w:val="16"/>
              </w:rPr>
              <w:t>s between 2003 and 2016 (2010</w:t>
            </w:r>
            <w:r w:rsidR="00DF4D3A" w:rsidRPr="005060E0">
              <w:rPr>
                <w:rFonts w:cs="Arial"/>
                <w:b w:val="0"/>
                <w:color w:val="FFFFFF" w:themeColor="background1"/>
                <w:sz w:val="16"/>
                <w:szCs w:val="16"/>
              </w:rPr>
              <w:t>–20</w:t>
            </w:r>
            <w:r w:rsidR="009D3FA0" w:rsidRPr="005060E0">
              <w:rPr>
                <w:rFonts w:cs="Arial"/>
                <w:b w:val="0"/>
                <w:color w:val="FFFFFF" w:themeColor="background1"/>
                <w:sz w:val="16"/>
                <w:szCs w:val="16"/>
              </w:rPr>
              <w:t xml:space="preserve">14 in brackets) </w:t>
            </w:r>
          </w:p>
        </w:tc>
      </w:tr>
      <w:tr w:rsidR="009D3FA0" w:rsidRPr="005060E0" w14:paraId="67B51CA7" w14:textId="77777777" w:rsidTr="00AB79EC">
        <w:trPr>
          <w:cnfStyle w:val="100000000000" w:firstRow="1" w:lastRow="0" w:firstColumn="0" w:lastColumn="0" w:oddVBand="0" w:evenVBand="0" w:oddHBand="0" w:evenHBand="0" w:firstRowFirstColumn="0" w:firstRowLastColumn="0" w:lastRowFirstColumn="0" w:lastRowLastColumn="0"/>
          <w:trHeight w:hRule="exact" w:val="416"/>
          <w:tblHeader/>
        </w:trPr>
        <w:tc>
          <w:tcPr>
            <w:cnfStyle w:val="001000000100" w:firstRow="0" w:lastRow="0" w:firstColumn="1" w:lastColumn="0" w:oddVBand="0" w:evenVBand="0" w:oddHBand="0" w:evenHBand="0" w:firstRowFirstColumn="1" w:firstRowLastColumn="0" w:lastRowFirstColumn="0" w:lastRowLastColumn="0"/>
            <w:tcW w:w="0" w:type="auto"/>
            <w:vMerge/>
            <w:tcBorders>
              <w:top w:val="single" w:sz="4" w:space="0" w:color="606072"/>
              <w:left w:val="single" w:sz="4" w:space="0" w:color="606072"/>
              <w:bottom w:val="single" w:sz="4" w:space="0" w:color="606072"/>
            </w:tcBorders>
            <w:vAlign w:val="center"/>
            <w:hideMark/>
          </w:tcPr>
          <w:p w14:paraId="184DA504" w14:textId="77777777" w:rsidR="009D3FA0" w:rsidRPr="005060E0" w:rsidRDefault="009D3FA0" w:rsidP="009D3FA0">
            <w:pPr>
              <w:widowControl w:val="0"/>
              <w:spacing w:after="0" w:line="240" w:lineRule="auto"/>
              <w:rPr>
                <w:rFonts w:cs="Arial"/>
                <w:color w:val="FFFFFF" w:themeColor="background1"/>
                <w:sz w:val="16"/>
                <w:szCs w:val="16"/>
              </w:rPr>
            </w:pPr>
          </w:p>
        </w:tc>
        <w:tc>
          <w:tcPr>
            <w:tcW w:w="318" w:type="pct"/>
            <w:tcBorders>
              <w:top w:val="single" w:sz="4" w:space="0" w:color="606072"/>
              <w:left w:val="nil"/>
              <w:bottom w:val="single" w:sz="4" w:space="0" w:color="606072"/>
              <w:right w:val="nil"/>
            </w:tcBorders>
            <w:shd w:val="clear" w:color="auto" w:fill="606072"/>
          </w:tcPr>
          <w:p w14:paraId="75C0498A" w14:textId="77777777" w:rsidR="009D3FA0" w:rsidRPr="005060E0" w:rsidRDefault="009D3FA0" w:rsidP="009D3FA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szCs w:val="16"/>
              </w:rPr>
            </w:pPr>
          </w:p>
        </w:tc>
        <w:tc>
          <w:tcPr>
            <w:tcW w:w="828" w:type="pct"/>
            <w:tcBorders>
              <w:top w:val="single" w:sz="4" w:space="0" w:color="606072"/>
              <w:left w:val="nil"/>
              <w:bottom w:val="single" w:sz="4" w:space="0" w:color="606072"/>
              <w:right w:val="nil"/>
            </w:tcBorders>
            <w:shd w:val="clear" w:color="auto" w:fill="606072"/>
            <w:hideMark/>
          </w:tcPr>
          <w:p w14:paraId="6CD23116" w14:textId="77777777" w:rsidR="009D3FA0" w:rsidRPr="005060E0" w:rsidRDefault="009D3FA0" w:rsidP="009D3F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1"/>
                <w:sz w:val="16"/>
                <w:szCs w:val="16"/>
                <w:lang w:eastAsia="en-AU"/>
              </w:rPr>
            </w:pPr>
            <w:r w:rsidRPr="005060E0">
              <w:rPr>
                <w:rFonts w:eastAsia="Times New Roman" w:cs="Arial"/>
                <w:b w:val="0"/>
                <w:color w:val="FFFFFF" w:themeColor="background1"/>
                <w:sz w:val="16"/>
                <w:szCs w:val="16"/>
                <w:lang w:eastAsia="en-AU"/>
              </w:rPr>
              <w:t>NSW:</w:t>
            </w:r>
          </w:p>
          <w:p w14:paraId="56B1FFDE" w14:textId="77777777" w:rsidR="009D3FA0" w:rsidRPr="005060E0" w:rsidRDefault="009D3FA0" w:rsidP="009D3F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Newcastle</w:t>
            </w:r>
          </w:p>
        </w:tc>
        <w:tc>
          <w:tcPr>
            <w:tcW w:w="828" w:type="pct"/>
            <w:tcBorders>
              <w:top w:val="single" w:sz="4" w:space="0" w:color="606072"/>
              <w:left w:val="nil"/>
              <w:bottom w:val="single" w:sz="4" w:space="0" w:color="606072"/>
              <w:right w:val="nil"/>
            </w:tcBorders>
            <w:shd w:val="clear" w:color="auto" w:fill="606072"/>
            <w:hideMark/>
          </w:tcPr>
          <w:p w14:paraId="05B1D0A0" w14:textId="3D296758" w:rsidR="009D3FA0" w:rsidRPr="005060E0" w:rsidRDefault="009D3FA0" w:rsidP="009D3F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 xml:space="preserve">NSW: </w:t>
            </w:r>
            <w:r w:rsidR="00AB79EC">
              <w:rPr>
                <w:rFonts w:eastAsia="Times New Roman" w:cs="Arial"/>
                <w:b w:val="0"/>
                <w:color w:val="FFFFFF" w:themeColor="background1"/>
                <w:sz w:val="16"/>
                <w:szCs w:val="16"/>
                <w:lang w:eastAsia="en-AU"/>
              </w:rPr>
              <w:br/>
            </w:r>
            <w:r w:rsidRPr="005060E0">
              <w:rPr>
                <w:rFonts w:eastAsia="Times New Roman" w:cs="Arial"/>
                <w:b w:val="0"/>
                <w:color w:val="FFFFFF" w:themeColor="background1"/>
                <w:sz w:val="16"/>
                <w:szCs w:val="16"/>
                <w:lang w:eastAsia="en-AU"/>
              </w:rPr>
              <w:t>Wollongong</w:t>
            </w:r>
          </w:p>
        </w:tc>
        <w:tc>
          <w:tcPr>
            <w:tcW w:w="828" w:type="pct"/>
            <w:tcBorders>
              <w:top w:val="single" w:sz="4" w:space="0" w:color="606072"/>
              <w:left w:val="nil"/>
              <w:bottom w:val="single" w:sz="4" w:space="0" w:color="606072"/>
              <w:right w:val="nil"/>
            </w:tcBorders>
            <w:shd w:val="clear" w:color="auto" w:fill="606072"/>
            <w:hideMark/>
          </w:tcPr>
          <w:p w14:paraId="119D4FF6" w14:textId="77777777" w:rsidR="009D3FA0" w:rsidRPr="005060E0" w:rsidRDefault="009D3FA0" w:rsidP="009D3F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1"/>
                <w:sz w:val="16"/>
                <w:szCs w:val="16"/>
                <w:lang w:eastAsia="en-AU"/>
              </w:rPr>
            </w:pPr>
            <w:r w:rsidRPr="005060E0">
              <w:rPr>
                <w:rFonts w:eastAsia="Times New Roman" w:cs="Arial"/>
                <w:b w:val="0"/>
                <w:color w:val="FFFFFF" w:themeColor="background1"/>
                <w:sz w:val="16"/>
                <w:szCs w:val="16"/>
                <w:lang w:eastAsia="en-AU"/>
              </w:rPr>
              <w:t>VIC:</w:t>
            </w:r>
          </w:p>
          <w:p w14:paraId="5B114EEE" w14:textId="77777777" w:rsidR="009D3FA0" w:rsidRPr="005060E0" w:rsidRDefault="009D3FA0" w:rsidP="009D3F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Latrobe Valley</w:t>
            </w:r>
          </w:p>
        </w:tc>
        <w:tc>
          <w:tcPr>
            <w:tcW w:w="828" w:type="pct"/>
            <w:tcBorders>
              <w:top w:val="single" w:sz="4" w:space="0" w:color="606072"/>
              <w:left w:val="nil"/>
              <w:bottom w:val="single" w:sz="4" w:space="0" w:color="606072"/>
              <w:right w:val="nil"/>
            </w:tcBorders>
            <w:shd w:val="clear" w:color="auto" w:fill="606072"/>
            <w:hideMark/>
          </w:tcPr>
          <w:p w14:paraId="420DF400" w14:textId="786E6093" w:rsidR="009D3FA0" w:rsidRPr="005060E0" w:rsidRDefault="009D3FA0" w:rsidP="009D3F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 xml:space="preserve">QLD: </w:t>
            </w:r>
            <w:r w:rsidR="00AB79EC">
              <w:rPr>
                <w:rFonts w:eastAsia="Times New Roman" w:cs="Arial"/>
                <w:b w:val="0"/>
                <w:color w:val="FFFFFF" w:themeColor="background1"/>
                <w:sz w:val="16"/>
                <w:szCs w:val="16"/>
                <w:lang w:eastAsia="en-AU"/>
              </w:rPr>
              <w:br/>
            </w:r>
            <w:r w:rsidRPr="005060E0">
              <w:rPr>
                <w:rFonts w:eastAsia="Times New Roman" w:cs="Arial"/>
                <w:b w:val="0"/>
                <w:color w:val="FFFFFF" w:themeColor="background1"/>
                <w:sz w:val="16"/>
                <w:szCs w:val="16"/>
                <w:lang w:eastAsia="en-AU"/>
              </w:rPr>
              <w:t>Townsville</w:t>
            </w:r>
          </w:p>
        </w:tc>
        <w:tc>
          <w:tcPr>
            <w:tcW w:w="828" w:type="pct"/>
            <w:tcBorders>
              <w:top w:val="single" w:sz="4" w:space="0" w:color="606072"/>
              <w:left w:val="nil"/>
              <w:bottom w:val="single" w:sz="4" w:space="0" w:color="606072"/>
              <w:right w:val="single" w:sz="4" w:space="0" w:color="606072"/>
            </w:tcBorders>
            <w:shd w:val="clear" w:color="auto" w:fill="606072"/>
            <w:hideMark/>
          </w:tcPr>
          <w:p w14:paraId="2C56814A" w14:textId="77777777" w:rsidR="009D3FA0" w:rsidRPr="005060E0" w:rsidRDefault="009D3FA0" w:rsidP="009D3F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1"/>
                <w:sz w:val="16"/>
                <w:szCs w:val="16"/>
                <w:lang w:eastAsia="en-AU"/>
              </w:rPr>
            </w:pPr>
            <w:r w:rsidRPr="005060E0">
              <w:rPr>
                <w:rFonts w:eastAsia="Times New Roman" w:cs="Arial"/>
                <w:b w:val="0"/>
                <w:color w:val="FFFFFF" w:themeColor="background1"/>
                <w:sz w:val="16"/>
                <w:szCs w:val="16"/>
                <w:lang w:eastAsia="en-AU"/>
              </w:rPr>
              <w:t>QLD:</w:t>
            </w:r>
          </w:p>
          <w:p w14:paraId="0DAAACD5" w14:textId="77777777" w:rsidR="009D3FA0" w:rsidRPr="005060E0" w:rsidRDefault="009D3FA0" w:rsidP="009D3F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6"/>
                <w:szCs w:val="16"/>
              </w:rPr>
            </w:pPr>
            <w:r w:rsidRPr="005060E0">
              <w:rPr>
                <w:rFonts w:eastAsia="Times New Roman" w:cs="Arial"/>
                <w:b w:val="0"/>
                <w:color w:val="FFFFFF" w:themeColor="background1"/>
                <w:sz w:val="16"/>
                <w:szCs w:val="16"/>
                <w:lang w:eastAsia="en-AU"/>
              </w:rPr>
              <w:t>Gladstone</w:t>
            </w:r>
          </w:p>
        </w:tc>
      </w:tr>
      <w:tr w:rsidR="00975888" w:rsidRPr="005060E0" w14:paraId="12E62EFB" w14:textId="77777777" w:rsidTr="00D23D5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42" w:type="pct"/>
            <w:vMerge w:val="restart"/>
            <w:tcBorders>
              <w:top w:val="single" w:sz="4" w:space="0" w:color="606072"/>
              <w:left w:val="single" w:sz="4" w:space="0" w:color="606072"/>
              <w:right w:val="dotted" w:sz="4" w:space="0" w:color="606372" w:themeColor="text2"/>
            </w:tcBorders>
            <w:vAlign w:val="center"/>
          </w:tcPr>
          <w:p w14:paraId="3B31F7EE" w14:textId="65BE0456" w:rsidR="00975888" w:rsidRPr="005060E0" w:rsidRDefault="00975888" w:rsidP="009D3FA0">
            <w:pPr>
              <w:widowControl w:val="0"/>
              <w:spacing w:after="0" w:line="240" w:lineRule="auto"/>
              <w:jc w:val="center"/>
              <w:rPr>
                <w:rFonts w:cs="Arial"/>
                <w:b w:val="0"/>
                <w:sz w:val="16"/>
                <w:szCs w:val="16"/>
              </w:rPr>
            </w:pPr>
            <w:r w:rsidRPr="005060E0">
              <w:rPr>
                <w:rFonts w:cs="Arial"/>
                <w:b w:val="0"/>
                <w:sz w:val="16"/>
                <w:szCs w:val="16"/>
              </w:rPr>
              <w:t>1-hour</w:t>
            </w:r>
          </w:p>
        </w:tc>
        <w:tc>
          <w:tcPr>
            <w:tcW w:w="318" w:type="pct"/>
            <w:tcBorders>
              <w:top w:val="single" w:sz="4" w:space="0" w:color="606072"/>
              <w:left w:val="dotted" w:sz="4" w:space="0" w:color="606372" w:themeColor="text2"/>
              <w:bottom w:val="dotted" w:sz="4" w:space="0" w:color="606072"/>
              <w:right w:val="single" w:sz="4" w:space="0" w:color="606072"/>
            </w:tcBorders>
            <w:vAlign w:val="center"/>
          </w:tcPr>
          <w:p w14:paraId="070133C4"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40" w:type="pct"/>
            <w:gridSpan w:val="5"/>
            <w:tcBorders>
              <w:top w:val="single" w:sz="4" w:space="0" w:color="606072"/>
              <w:left w:val="single" w:sz="4" w:space="0" w:color="606072"/>
              <w:bottom w:val="dotted" w:sz="4" w:space="0" w:color="606072"/>
              <w:right w:val="single" w:sz="4" w:space="0" w:color="606072"/>
            </w:tcBorders>
            <w:shd w:val="clear" w:color="auto" w:fill="BFBFBF" w:themeFill="background1" w:themeFillShade="BF"/>
            <w:vAlign w:val="center"/>
          </w:tcPr>
          <w:p w14:paraId="49D1DBB3" w14:textId="688D4037" w:rsidR="00975888" w:rsidRPr="005060E0" w:rsidRDefault="00975888" w:rsidP="001B3859">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bCs/>
                <w:sz w:val="16"/>
                <w:szCs w:val="16"/>
                <w:lang w:eastAsia="en-AU"/>
              </w:rPr>
            </w:pPr>
            <w:r w:rsidRPr="005060E0">
              <w:rPr>
                <w:rFonts w:cs="Arial"/>
                <w:sz w:val="16"/>
                <w:szCs w:val="16"/>
              </w:rPr>
              <w:t>Total number of unique exceedance days</w:t>
            </w:r>
          </w:p>
        </w:tc>
      </w:tr>
      <w:tr w:rsidR="00975888" w:rsidRPr="005060E0" w14:paraId="1971FB4E" w14:textId="77777777" w:rsidTr="00AB79EC">
        <w:trPr>
          <w:trHeight w:hRule="exact" w:val="340"/>
        </w:trPr>
        <w:tc>
          <w:tcPr>
            <w:cnfStyle w:val="001000000000" w:firstRow="0" w:lastRow="0" w:firstColumn="1" w:lastColumn="0" w:oddVBand="0" w:evenVBand="0" w:oddHBand="0" w:evenHBand="0" w:firstRowFirstColumn="0" w:firstRowLastColumn="0" w:lastRowFirstColumn="0" w:lastRowLastColumn="0"/>
            <w:tcW w:w="542" w:type="pct"/>
            <w:vMerge/>
            <w:tcBorders>
              <w:left w:val="single" w:sz="4" w:space="0" w:color="606072"/>
              <w:right w:val="dotted" w:sz="4" w:space="0" w:color="606372" w:themeColor="text2"/>
            </w:tcBorders>
            <w:vAlign w:val="center"/>
            <w:hideMark/>
          </w:tcPr>
          <w:p w14:paraId="2A191221" w14:textId="09E9B47E" w:rsidR="00975888" w:rsidRPr="005060E0" w:rsidRDefault="00975888" w:rsidP="009D3FA0">
            <w:pPr>
              <w:widowControl w:val="0"/>
              <w:spacing w:after="0" w:line="240" w:lineRule="auto"/>
              <w:jc w:val="center"/>
              <w:rPr>
                <w:rFonts w:cs="Arial"/>
                <w:b w:val="0"/>
                <w:sz w:val="16"/>
                <w:szCs w:val="16"/>
              </w:rPr>
            </w:pPr>
          </w:p>
        </w:tc>
        <w:tc>
          <w:tcPr>
            <w:tcW w:w="318" w:type="pct"/>
            <w:tcBorders>
              <w:top w:val="single" w:sz="4" w:space="0" w:color="606072"/>
              <w:left w:val="dotted" w:sz="4" w:space="0" w:color="606372" w:themeColor="text2"/>
              <w:bottom w:val="dotted" w:sz="4" w:space="0" w:color="606072"/>
              <w:right w:val="single" w:sz="4" w:space="0" w:color="606072"/>
            </w:tcBorders>
            <w:vAlign w:val="center"/>
            <w:hideMark/>
          </w:tcPr>
          <w:p w14:paraId="1ED93F34"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70</w:t>
            </w:r>
          </w:p>
        </w:tc>
        <w:tc>
          <w:tcPr>
            <w:tcW w:w="828" w:type="pct"/>
            <w:tcBorders>
              <w:top w:val="single" w:sz="4" w:space="0" w:color="606072"/>
              <w:left w:val="single" w:sz="4" w:space="0" w:color="606072"/>
              <w:bottom w:val="dotted" w:sz="4" w:space="0" w:color="606072"/>
              <w:right w:val="single" w:sz="4" w:space="0" w:color="606072"/>
            </w:tcBorders>
            <w:vAlign w:val="center"/>
          </w:tcPr>
          <w:p w14:paraId="0F5A5EBF"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highlight w:val="yellow"/>
              </w:rPr>
            </w:pPr>
            <w:r w:rsidRPr="005060E0">
              <w:rPr>
                <w:rFonts w:eastAsia="Times New Roman" w:cs="Arial"/>
                <w:bCs/>
                <w:sz w:val="16"/>
                <w:szCs w:val="16"/>
                <w:lang w:eastAsia="en-AU"/>
              </w:rPr>
              <w:t>42 (15)</w:t>
            </w:r>
          </w:p>
        </w:tc>
        <w:tc>
          <w:tcPr>
            <w:tcW w:w="828" w:type="pct"/>
            <w:tcBorders>
              <w:top w:val="single" w:sz="4" w:space="0" w:color="606072"/>
              <w:left w:val="single" w:sz="4" w:space="0" w:color="606072"/>
              <w:bottom w:val="dotted" w:sz="4" w:space="0" w:color="606072"/>
              <w:right w:val="single" w:sz="4" w:space="0" w:color="606072"/>
            </w:tcBorders>
            <w:vAlign w:val="center"/>
          </w:tcPr>
          <w:p w14:paraId="18F18959"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highlight w:val="yellow"/>
              </w:rPr>
            </w:pPr>
            <w:r w:rsidRPr="005060E0">
              <w:rPr>
                <w:rFonts w:eastAsia="Times New Roman" w:cs="Arial"/>
                <w:bCs/>
                <w:sz w:val="16"/>
                <w:szCs w:val="16"/>
                <w:lang w:eastAsia="en-AU"/>
              </w:rPr>
              <w:t>87 (22)</w:t>
            </w:r>
          </w:p>
        </w:tc>
        <w:tc>
          <w:tcPr>
            <w:tcW w:w="828" w:type="pct"/>
            <w:tcBorders>
              <w:top w:val="single" w:sz="4" w:space="0" w:color="606072"/>
              <w:left w:val="single" w:sz="4" w:space="0" w:color="606072"/>
              <w:bottom w:val="dotted" w:sz="4" w:space="0" w:color="606072"/>
              <w:right w:val="single" w:sz="4" w:space="0" w:color="606072"/>
            </w:tcBorders>
            <w:vAlign w:val="center"/>
          </w:tcPr>
          <w:p w14:paraId="052EEB82"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22 (4)</w:t>
            </w:r>
          </w:p>
        </w:tc>
        <w:tc>
          <w:tcPr>
            <w:tcW w:w="828" w:type="pct"/>
            <w:tcBorders>
              <w:top w:val="single" w:sz="4" w:space="0" w:color="606072"/>
              <w:left w:val="single" w:sz="4" w:space="0" w:color="606072"/>
              <w:bottom w:val="dotted" w:sz="4" w:space="0" w:color="606072"/>
              <w:right w:val="single" w:sz="4" w:space="0" w:color="606072"/>
            </w:tcBorders>
            <w:vAlign w:val="center"/>
          </w:tcPr>
          <w:p w14:paraId="740D9B56"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1 (1)</w:t>
            </w:r>
          </w:p>
        </w:tc>
        <w:tc>
          <w:tcPr>
            <w:tcW w:w="828" w:type="pct"/>
            <w:tcBorders>
              <w:top w:val="single" w:sz="4" w:space="0" w:color="606072"/>
              <w:left w:val="single" w:sz="4" w:space="0" w:color="606072"/>
              <w:bottom w:val="dotted" w:sz="4" w:space="0" w:color="606072"/>
              <w:right w:val="single" w:sz="4" w:space="0" w:color="606072"/>
            </w:tcBorders>
            <w:vAlign w:val="center"/>
          </w:tcPr>
          <w:p w14:paraId="490D2C86" w14:textId="4F3DCF11" w:rsidR="00975888" w:rsidRPr="005060E0" w:rsidRDefault="00AB79EC"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eastAsia="Times New Roman" w:cs="Arial"/>
                <w:bCs/>
                <w:sz w:val="16"/>
                <w:szCs w:val="16"/>
                <w:lang w:eastAsia="en-AU"/>
              </w:rPr>
              <w:t>–</w:t>
            </w:r>
            <w:r w:rsidR="00975888" w:rsidRPr="005060E0">
              <w:rPr>
                <w:rFonts w:eastAsia="Times New Roman" w:cs="Arial"/>
                <w:bCs/>
                <w:sz w:val="16"/>
                <w:szCs w:val="16"/>
                <w:lang w:eastAsia="en-AU"/>
              </w:rPr>
              <w:t xml:space="preserve"> (</w:t>
            </w:r>
            <w:r>
              <w:rPr>
                <w:rFonts w:eastAsia="Times New Roman" w:cs="Arial"/>
                <w:bCs/>
                <w:sz w:val="16"/>
                <w:szCs w:val="16"/>
                <w:lang w:eastAsia="en-AU"/>
              </w:rPr>
              <w:t>–</w:t>
            </w:r>
            <w:r w:rsidR="00975888" w:rsidRPr="005060E0">
              <w:rPr>
                <w:rFonts w:eastAsia="Times New Roman" w:cs="Arial"/>
                <w:bCs/>
                <w:sz w:val="16"/>
                <w:szCs w:val="16"/>
                <w:lang w:eastAsia="en-AU"/>
              </w:rPr>
              <w:t>)</w:t>
            </w:r>
          </w:p>
        </w:tc>
      </w:tr>
      <w:tr w:rsidR="00975888" w:rsidRPr="005060E0" w14:paraId="01158CC9" w14:textId="77777777" w:rsidTr="00AB79E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right w:val="dotted" w:sz="4" w:space="0" w:color="606372" w:themeColor="text2"/>
            </w:tcBorders>
            <w:vAlign w:val="center"/>
            <w:hideMark/>
          </w:tcPr>
          <w:p w14:paraId="44C2A505" w14:textId="77777777" w:rsidR="00975888" w:rsidRPr="005060E0" w:rsidRDefault="00975888" w:rsidP="009D3FA0">
            <w:pPr>
              <w:widowControl w:val="0"/>
              <w:spacing w:after="0" w:line="240" w:lineRule="auto"/>
              <w:rPr>
                <w:rFonts w:cs="Arial"/>
                <w:sz w:val="16"/>
                <w:szCs w:val="16"/>
              </w:rPr>
            </w:pPr>
          </w:p>
        </w:tc>
        <w:tc>
          <w:tcPr>
            <w:tcW w:w="318" w:type="pct"/>
            <w:tcBorders>
              <w:top w:val="dotted" w:sz="4" w:space="0" w:color="606072"/>
              <w:left w:val="dotted" w:sz="4" w:space="0" w:color="606372" w:themeColor="text2"/>
              <w:bottom w:val="dotted" w:sz="4" w:space="0" w:color="606072"/>
              <w:right w:val="single" w:sz="4" w:space="0" w:color="606072"/>
            </w:tcBorders>
            <w:vAlign w:val="center"/>
            <w:hideMark/>
          </w:tcPr>
          <w:p w14:paraId="7A4187CE"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85</w:t>
            </w:r>
          </w:p>
        </w:tc>
        <w:tc>
          <w:tcPr>
            <w:tcW w:w="828" w:type="pct"/>
            <w:tcBorders>
              <w:top w:val="dotted" w:sz="4" w:space="0" w:color="606072"/>
              <w:left w:val="single" w:sz="4" w:space="0" w:color="606072"/>
              <w:bottom w:val="dotted" w:sz="4" w:space="0" w:color="606072"/>
              <w:right w:val="single" w:sz="4" w:space="0" w:color="606072"/>
            </w:tcBorders>
            <w:vAlign w:val="center"/>
          </w:tcPr>
          <w:p w14:paraId="3F03E59E"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highlight w:val="yellow"/>
              </w:rPr>
            </w:pPr>
            <w:r w:rsidRPr="005060E0">
              <w:rPr>
                <w:rFonts w:eastAsia="Times New Roman" w:cs="Arial"/>
                <w:bCs/>
                <w:sz w:val="16"/>
                <w:szCs w:val="16"/>
                <w:lang w:eastAsia="en-AU"/>
              </w:rPr>
              <w:t>9 (2)</w:t>
            </w:r>
          </w:p>
        </w:tc>
        <w:tc>
          <w:tcPr>
            <w:tcW w:w="828" w:type="pct"/>
            <w:tcBorders>
              <w:top w:val="dotted" w:sz="4" w:space="0" w:color="606072"/>
              <w:left w:val="single" w:sz="4" w:space="0" w:color="606072"/>
              <w:bottom w:val="dotted" w:sz="4" w:space="0" w:color="606072"/>
              <w:right w:val="single" w:sz="4" w:space="0" w:color="606072"/>
            </w:tcBorders>
            <w:vAlign w:val="center"/>
          </w:tcPr>
          <w:p w14:paraId="138CBAF0"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highlight w:val="yellow"/>
              </w:rPr>
            </w:pPr>
            <w:r w:rsidRPr="005060E0">
              <w:rPr>
                <w:rFonts w:eastAsia="Times New Roman" w:cs="Arial"/>
                <w:bCs/>
                <w:sz w:val="16"/>
                <w:szCs w:val="16"/>
                <w:lang w:eastAsia="en-AU"/>
              </w:rPr>
              <w:t>32 (9)</w:t>
            </w:r>
          </w:p>
        </w:tc>
        <w:tc>
          <w:tcPr>
            <w:tcW w:w="828" w:type="pct"/>
            <w:tcBorders>
              <w:top w:val="dotted" w:sz="4" w:space="0" w:color="606072"/>
              <w:left w:val="single" w:sz="4" w:space="0" w:color="606072"/>
              <w:bottom w:val="dotted" w:sz="4" w:space="0" w:color="606072"/>
              <w:right w:val="single" w:sz="4" w:space="0" w:color="606072"/>
            </w:tcBorders>
            <w:vAlign w:val="center"/>
          </w:tcPr>
          <w:p w14:paraId="18EC492E"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bCs/>
                <w:sz w:val="16"/>
                <w:szCs w:val="16"/>
                <w:lang w:eastAsia="en-AU"/>
              </w:rPr>
              <w:t>6 (1)</w:t>
            </w:r>
          </w:p>
        </w:tc>
        <w:tc>
          <w:tcPr>
            <w:tcW w:w="828" w:type="pct"/>
            <w:tcBorders>
              <w:top w:val="dotted" w:sz="4" w:space="0" w:color="606072"/>
              <w:left w:val="single" w:sz="4" w:space="0" w:color="606072"/>
              <w:bottom w:val="dotted" w:sz="4" w:space="0" w:color="606072"/>
              <w:right w:val="single" w:sz="4" w:space="0" w:color="606072"/>
            </w:tcBorders>
            <w:vAlign w:val="center"/>
          </w:tcPr>
          <w:p w14:paraId="3BC021D5" w14:textId="5C59D566" w:rsidR="00975888" w:rsidRPr="005060E0" w:rsidRDefault="00AB79EC"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eastAsia="Times New Roman" w:cs="Arial"/>
                <w:bCs/>
                <w:sz w:val="16"/>
                <w:szCs w:val="16"/>
                <w:lang w:eastAsia="en-AU"/>
              </w:rPr>
              <w:t>–</w:t>
            </w:r>
            <w:r w:rsidR="00975888" w:rsidRPr="005060E0">
              <w:rPr>
                <w:rFonts w:eastAsia="Times New Roman" w:cs="Arial"/>
                <w:bCs/>
                <w:sz w:val="16"/>
                <w:szCs w:val="16"/>
                <w:lang w:eastAsia="en-AU"/>
              </w:rPr>
              <w:t xml:space="preserve"> (</w:t>
            </w:r>
            <w:r>
              <w:rPr>
                <w:rFonts w:eastAsia="Times New Roman" w:cs="Arial"/>
                <w:bCs/>
                <w:sz w:val="16"/>
                <w:szCs w:val="16"/>
                <w:lang w:eastAsia="en-AU"/>
              </w:rPr>
              <w:t>–</w:t>
            </w:r>
            <w:r w:rsidR="00975888" w:rsidRPr="005060E0">
              <w:rPr>
                <w:rFonts w:eastAsia="Times New Roman" w:cs="Arial"/>
                <w:bCs/>
                <w:sz w:val="16"/>
                <w:szCs w:val="16"/>
                <w:lang w:eastAsia="en-AU"/>
              </w:rPr>
              <w:t>)</w:t>
            </w:r>
          </w:p>
        </w:tc>
        <w:tc>
          <w:tcPr>
            <w:tcW w:w="828" w:type="pct"/>
            <w:tcBorders>
              <w:top w:val="dotted" w:sz="4" w:space="0" w:color="606072"/>
              <w:left w:val="single" w:sz="4" w:space="0" w:color="606072"/>
              <w:bottom w:val="dotted" w:sz="4" w:space="0" w:color="606072"/>
              <w:right w:val="single" w:sz="4" w:space="0" w:color="606072"/>
            </w:tcBorders>
            <w:vAlign w:val="center"/>
          </w:tcPr>
          <w:p w14:paraId="54DEC417" w14:textId="58F3BA2F" w:rsidR="00975888" w:rsidRPr="005060E0" w:rsidRDefault="00AB79EC"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eastAsia="Times New Roman" w:cs="Arial"/>
                <w:bCs/>
                <w:sz w:val="16"/>
                <w:szCs w:val="16"/>
                <w:lang w:eastAsia="en-AU"/>
              </w:rPr>
              <w:t>–</w:t>
            </w:r>
            <w:r w:rsidR="00975888" w:rsidRPr="005060E0">
              <w:rPr>
                <w:rFonts w:eastAsia="Times New Roman" w:cs="Arial"/>
                <w:bCs/>
                <w:sz w:val="16"/>
                <w:szCs w:val="16"/>
                <w:lang w:eastAsia="en-AU"/>
              </w:rPr>
              <w:t xml:space="preserve"> (</w:t>
            </w:r>
            <w:r>
              <w:rPr>
                <w:rFonts w:eastAsia="Times New Roman" w:cs="Arial"/>
                <w:bCs/>
                <w:sz w:val="16"/>
                <w:szCs w:val="16"/>
                <w:lang w:eastAsia="en-AU"/>
              </w:rPr>
              <w:t>–</w:t>
            </w:r>
            <w:r w:rsidR="00975888" w:rsidRPr="005060E0">
              <w:rPr>
                <w:rFonts w:eastAsia="Times New Roman" w:cs="Arial"/>
                <w:bCs/>
                <w:sz w:val="16"/>
                <w:szCs w:val="16"/>
                <w:lang w:eastAsia="en-AU"/>
              </w:rPr>
              <w:t>)</w:t>
            </w:r>
          </w:p>
        </w:tc>
      </w:tr>
      <w:tr w:rsidR="00975888" w:rsidRPr="005060E0" w14:paraId="080AA826" w14:textId="77777777" w:rsidTr="00AB79EC">
        <w:trPr>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bottom w:val="single" w:sz="4" w:space="0" w:color="606072"/>
              <w:right w:val="dotted" w:sz="4" w:space="0" w:color="606372" w:themeColor="text2"/>
            </w:tcBorders>
            <w:vAlign w:val="center"/>
            <w:hideMark/>
          </w:tcPr>
          <w:p w14:paraId="32C6BA1C" w14:textId="77777777" w:rsidR="00975888" w:rsidRPr="005060E0" w:rsidRDefault="00975888" w:rsidP="009D3FA0">
            <w:pPr>
              <w:widowControl w:val="0"/>
              <w:spacing w:after="0" w:line="240" w:lineRule="auto"/>
              <w:rPr>
                <w:rFonts w:cs="Arial"/>
                <w:sz w:val="16"/>
                <w:szCs w:val="16"/>
              </w:rPr>
            </w:pPr>
          </w:p>
        </w:tc>
        <w:tc>
          <w:tcPr>
            <w:tcW w:w="318" w:type="pct"/>
            <w:tcBorders>
              <w:top w:val="dotted" w:sz="4" w:space="0" w:color="606072"/>
              <w:left w:val="dotted" w:sz="4" w:space="0" w:color="606372" w:themeColor="text2"/>
              <w:bottom w:val="single" w:sz="4" w:space="0" w:color="606072"/>
              <w:right w:val="single" w:sz="4" w:space="0" w:color="606072"/>
            </w:tcBorders>
            <w:shd w:val="clear" w:color="auto" w:fill="D5E5FF"/>
            <w:vAlign w:val="center"/>
            <w:hideMark/>
          </w:tcPr>
          <w:p w14:paraId="0CDE9BC5"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100</w:t>
            </w:r>
          </w:p>
        </w:tc>
        <w:tc>
          <w:tcPr>
            <w:tcW w:w="828"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530A7A24" w14:textId="7374FABA"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highlight w:val="yellow"/>
              </w:rPr>
            </w:pPr>
            <w:r w:rsidRPr="005060E0">
              <w:rPr>
                <w:rFonts w:eastAsia="Times New Roman" w:cs="Arial"/>
                <w:bCs/>
                <w:sz w:val="16"/>
                <w:szCs w:val="16"/>
                <w:lang w:eastAsia="en-AU"/>
              </w:rPr>
              <w:t>1 (</w:t>
            </w:r>
            <w:r w:rsidR="00AB79EC">
              <w:rPr>
                <w:rFonts w:eastAsia="Times New Roman" w:cs="Arial"/>
                <w:bCs/>
                <w:sz w:val="16"/>
                <w:szCs w:val="16"/>
                <w:lang w:eastAsia="en-AU"/>
              </w:rPr>
              <w:t>–</w:t>
            </w:r>
            <w:r w:rsidRPr="005060E0">
              <w:rPr>
                <w:rFonts w:eastAsia="Times New Roman" w:cs="Arial"/>
                <w:bCs/>
                <w:sz w:val="16"/>
                <w:szCs w:val="16"/>
                <w:lang w:eastAsia="en-AU"/>
              </w:rPr>
              <w:t>)</w:t>
            </w:r>
          </w:p>
        </w:tc>
        <w:tc>
          <w:tcPr>
            <w:tcW w:w="828"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53FCA7A8"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highlight w:val="yellow"/>
              </w:rPr>
            </w:pPr>
            <w:r w:rsidRPr="005060E0">
              <w:rPr>
                <w:rFonts w:eastAsia="Times New Roman" w:cs="Arial"/>
                <w:bCs/>
                <w:sz w:val="16"/>
                <w:szCs w:val="16"/>
                <w:lang w:eastAsia="en-AU"/>
              </w:rPr>
              <w:t>16 (4)</w:t>
            </w:r>
          </w:p>
        </w:tc>
        <w:tc>
          <w:tcPr>
            <w:tcW w:w="828"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1EB8C1D5" w14:textId="13CCC793"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4 (</w:t>
            </w:r>
            <w:r w:rsidR="00AB79EC">
              <w:rPr>
                <w:rFonts w:eastAsia="Times New Roman" w:cs="Arial"/>
                <w:bCs/>
                <w:sz w:val="16"/>
                <w:szCs w:val="16"/>
                <w:lang w:eastAsia="en-AU"/>
              </w:rPr>
              <w:t>–</w:t>
            </w:r>
            <w:r w:rsidRPr="005060E0">
              <w:rPr>
                <w:rFonts w:eastAsia="Times New Roman" w:cs="Arial"/>
                <w:bCs/>
                <w:sz w:val="16"/>
                <w:szCs w:val="16"/>
                <w:lang w:eastAsia="en-AU"/>
              </w:rPr>
              <w:t>)</w:t>
            </w:r>
          </w:p>
        </w:tc>
        <w:tc>
          <w:tcPr>
            <w:tcW w:w="828"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30F0CE23" w14:textId="68E00E6E" w:rsidR="00975888" w:rsidRPr="005060E0" w:rsidRDefault="00AB79EC"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eastAsia="Times New Roman" w:cs="Arial"/>
                <w:bCs/>
                <w:sz w:val="16"/>
                <w:szCs w:val="16"/>
                <w:lang w:eastAsia="en-AU"/>
              </w:rPr>
              <w:t>–</w:t>
            </w:r>
            <w:r w:rsidR="00975888" w:rsidRPr="005060E0">
              <w:rPr>
                <w:rFonts w:eastAsia="Times New Roman" w:cs="Arial"/>
                <w:bCs/>
                <w:sz w:val="16"/>
                <w:szCs w:val="16"/>
                <w:lang w:eastAsia="en-AU"/>
              </w:rPr>
              <w:t xml:space="preserve"> (</w:t>
            </w:r>
            <w:r>
              <w:rPr>
                <w:rFonts w:eastAsia="Times New Roman" w:cs="Arial"/>
                <w:bCs/>
                <w:sz w:val="16"/>
                <w:szCs w:val="16"/>
                <w:lang w:eastAsia="en-AU"/>
              </w:rPr>
              <w:t>–</w:t>
            </w:r>
            <w:r w:rsidR="00975888" w:rsidRPr="005060E0">
              <w:rPr>
                <w:rFonts w:eastAsia="Times New Roman" w:cs="Arial"/>
                <w:bCs/>
                <w:sz w:val="16"/>
                <w:szCs w:val="16"/>
                <w:lang w:eastAsia="en-AU"/>
              </w:rPr>
              <w:t>)</w:t>
            </w:r>
          </w:p>
        </w:tc>
        <w:tc>
          <w:tcPr>
            <w:tcW w:w="828"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2120F2AD" w14:textId="0736A370" w:rsidR="00975888" w:rsidRPr="005060E0" w:rsidRDefault="00AB79EC"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eastAsia="Times New Roman" w:cs="Arial"/>
                <w:bCs/>
                <w:sz w:val="16"/>
                <w:szCs w:val="16"/>
                <w:lang w:eastAsia="en-AU"/>
              </w:rPr>
              <w:t>–</w:t>
            </w:r>
            <w:r w:rsidR="00975888" w:rsidRPr="005060E0">
              <w:rPr>
                <w:rFonts w:eastAsia="Times New Roman" w:cs="Arial"/>
                <w:bCs/>
                <w:sz w:val="16"/>
                <w:szCs w:val="16"/>
                <w:lang w:eastAsia="en-AU"/>
              </w:rPr>
              <w:t xml:space="preserve"> (</w:t>
            </w:r>
            <w:r>
              <w:rPr>
                <w:rFonts w:eastAsia="Times New Roman" w:cs="Arial"/>
                <w:bCs/>
                <w:sz w:val="16"/>
                <w:szCs w:val="16"/>
                <w:lang w:eastAsia="en-AU"/>
              </w:rPr>
              <w:t>–</w:t>
            </w:r>
            <w:r w:rsidR="00975888" w:rsidRPr="005060E0">
              <w:rPr>
                <w:rFonts w:eastAsia="Times New Roman" w:cs="Arial"/>
                <w:bCs/>
                <w:sz w:val="16"/>
                <w:szCs w:val="16"/>
                <w:lang w:eastAsia="en-AU"/>
              </w:rPr>
              <w:t>)</w:t>
            </w:r>
          </w:p>
        </w:tc>
      </w:tr>
      <w:tr w:rsidR="00975888" w:rsidRPr="005060E0" w14:paraId="60867E2E" w14:textId="77777777" w:rsidTr="00D23D5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42" w:type="pct"/>
            <w:vMerge w:val="restart"/>
            <w:tcBorders>
              <w:top w:val="single" w:sz="4" w:space="0" w:color="606072"/>
              <w:left w:val="single" w:sz="4" w:space="0" w:color="606072"/>
              <w:right w:val="dotted" w:sz="4" w:space="0" w:color="606372" w:themeColor="text2"/>
            </w:tcBorders>
            <w:vAlign w:val="center"/>
          </w:tcPr>
          <w:p w14:paraId="7DD49CD3" w14:textId="15474222" w:rsidR="00975888" w:rsidRPr="005060E0" w:rsidRDefault="00975888" w:rsidP="009D3FA0">
            <w:pPr>
              <w:widowControl w:val="0"/>
              <w:spacing w:after="0" w:line="240" w:lineRule="auto"/>
              <w:jc w:val="center"/>
              <w:rPr>
                <w:rFonts w:cs="Arial"/>
                <w:b w:val="0"/>
                <w:sz w:val="16"/>
                <w:szCs w:val="16"/>
              </w:rPr>
            </w:pPr>
            <w:r w:rsidRPr="005060E0">
              <w:rPr>
                <w:rFonts w:cs="Arial"/>
                <w:b w:val="0"/>
                <w:sz w:val="16"/>
                <w:szCs w:val="16"/>
              </w:rPr>
              <w:t xml:space="preserve">Rolling </w:t>
            </w:r>
            <w:r w:rsidR="00CD2F38">
              <w:rPr>
                <w:rFonts w:cs="Arial"/>
                <w:b w:val="0"/>
                <w:sz w:val="16"/>
                <w:szCs w:val="16"/>
              </w:rPr>
              <w:br/>
            </w:r>
            <w:r w:rsidRPr="005060E0">
              <w:rPr>
                <w:rFonts w:cs="Arial"/>
                <w:b w:val="0"/>
                <w:sz w:val="16"/>
                <w:szCs w:val="16"/>
              </w:rPr>
              <w:t>4-hour</w:t>
            </w:r>
          </w:p>
        </w:tc>
        <w:tc>
          <w:tcPr>
            <w:tcW w:w="318" w:type="pct"/>
            <w:tcBorders>
              <w:top w:val="single" w:sz="4" w:space="0" w:color="606072"/>
              <w:left w:val="dotted" w:sz="4" w:space="0" w:color="606372" w:themeColor="text2"/>
              <w:bottom w:val="dotted" w:sz="4" w:space="0" w:color="606072"/>
              <w:right w:val="single" w:sz="4" w:space="0" w:color="606072"/>
            </w:tcBorders>
            <w:vAlign w:val="center"/>
          </w:tcPr>
          <w:p w14:paraId="609144DC"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40" w:type="pct"/>
            <w:gridSpan w:val="5"/>
            <w:tcBorders>
              <w:top w:val="single" w:sz="4" w:space="0" w:color="606072"/>
              <w:left w:val="single" w:sz="4" w:space="0" w:color="606072"/>
              <w:bottom w:val="dotted" w:sz="4" w:space="0" w:color="606072"/>
              <w:right w:val="single" w:sz="4" w:space="0" w:color="606072"/>
            </w:tcBorders>
            <w:shd w:val="clear" w:color="auto" w:fill="BFBFBF" w:themeFill="background1" w:themeFillShade="BF"/>
            <w:vAlign w:val="center"/>
          </w:tcPr>
          <w:p w14:paraId="595D049A" w14:textId="208792CA" w:rsidR="00975888" w:rsidRPr="005060E0" w:rsidRDefault="001B3859" w:rsidP="001B3859">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bCs/>
                <w:sz w:val="16"/>
                <w:szCs w:val="16"/>
                <w:lang w:eastAsia="en-AU"/>
              </w:rPr>
            </w:pPr>
            <w:r w:rsidRPr="005060E0">
              <w:rPr>
                <w:rFonts w:cs="Arial"/>
                <w:sz w:val="16"/>
                <w:szCs w:val="16"/>
              </w:rPr>
              <w:t>Total number of unique exceedance days</w:t>
            </w:r>
          </w:p>
        </w:tc>
      </w:tr>
      <w:tr w:rsidR="00975888" w:rsidRPr="005060E0" w14:paraId="65AA0E28" w14:textId="77777777" w:rsidTr="00AB79EC">
        <w:trPr>
          <w:trHeight w:hRule="exact" w:val="340"/>
        </w:trPr>
        <w:tc>
          <w:tcPr>
            <w:cnfStyle w:val="001000000000" w:firstRow="0" w:lastRow="0" w:firstColumn="1" w:lastColumn="0" w:oddVBand="0" w:evenVBand="0" w:oddHBand="0" w:evenHBand="0" w:firstRowFirstColumn="0" w:firstRowLastColumn="0" w:lastRowFirstColumn="0" w:lastRowLastColumn="0"/>
            <w:tcW w:w="542" w:type="pct"/>
            <w:vMerge/>
            <w:tcBorders>
              <w:left w:val="single" w:sz="4" w:space="0" w:color="606072"/>
              <w:right w:val="dotted" w:sz="4" w:space="0" w:color="606372" w:themeColor="text2"/>
            </w:tcBorders>
            <w:vAlign w:val="center"/>
            <w:hideMark/>
          </w:tcPr>
          <w:p w14:paraId="1BE1705B" w14:textId="464521EC" w:rsidR="00975888" w:rsidRPr="005060E0" w:rsidRDefault="00975888" w:rsidP="009D3FA0">
            <w:pPr>
              <w:widowControl w:val="0"/>
              <w:spacing w:after="0" w:line="240" w:lineRule="auto"/>
              <w:jc w:val="center"/>
              <w:rPr>
                <w:rFonts w:cs="Arial"/>
                <w:b w:val="0"/>
                <w:sz w:val="16"/>
                <w:szCs w:val="16"/>
              </w:rPr>
            </w:pPr>
          </w:p>
        </w:tc>
        <w:tc>
          <w:tcPr>
            <w:tcW w:w="318" w:type="pct"/>
            <w:tcBorders>
              <w:top w:val="single" w:sz="4" w:space="0" w:color="606072"/>
              <w:left w:val="dotted" w:sz="4" w:space="0" w:color="606372" w:themeColor="text2"/>
              <w:bottom w:val="dotted" w:sz="4" w:space="0" w:color="606072"/>
              <w:right w:val="single" w:sz="4" w:space="0" w:color="606072"/>
            </w:tcBorders>
            <w:vAlign w:val="center"/>
            <w:hideMark/>
          </w:tcPr>
          <w:p w14:paraId="32A00F87"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60</w:t>
            </w:r>
          </w:p>
        </w:tc>
        <w:tc>
          <w:tcPr>
            <w:tcW w:w="828" w:type="pct"/>
            <w:tcBorders>
              <w:top w:val="single" w:sz="4" w:space="0" w:color="606072"/>
              <w:left w:val="single" w:sz="4" w:space="0" w:color="606072"/>
              <w:bottom w:val="dotted" w:sz="4" w:space="0" w:color="606072"/>
              <w:right w:val="single" w:sz="4" w:space="0" w:color="606072"/>
            </w:tcBorders>
            <w:vAlign w:val="center"/>
          </w:tcPr>
          <w:p w14:paraId="418077EC"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highlight w:val="yellow"/>
              </w:rPr>
            </w:pPr>
            <w:r w:rsidRPr="005060E0">
              <w:rPr>
                <w:rFonts w:eastAsia="Times New Roman" w:cs="Arial"/>
                <w:bCs/>
                <w:sz w:val="16"/>
                <w:szCs w:val="16"/>
                <w:lang w:eastAsia="en-AU"/>
              </w:rPr>
              <w:t>63 (19)</w:t>
            </w:r>
          </w:p>
        </w:tc>
        <w:tc>
          <w:tcPr>
            <w:tcW w:w="828" w:type="pct"/>
            <w:tcBorders>
              <w:top w:val="single" w:sz="4" w:space="0" w:color="606072"/>
              <w:left w:val="single" w:sz="4" w:space="0" w:color="606072"/>
              <w:bottom w:val="dotted" w:sz="4" w:space="0" w:color="606072"/>
              <w:right w:val="single" w:sz="4" w:space="0" w:color="606072"/>
            </w:tcBorders>
            <w:vAlign w:val="center"/>
          </w:tcPr>
          <w:p w14:paraId="78857651"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highlight w:val="yellow"/>
              </w:rPr>
            </w:pPr>
            <w:r w:rsidRPr="005060E0">
              <w:rPr>
                <w:rFonts w:eastAsia="Times New Roman" w:cs="Arial"/>
                <w:bCs/>
                <w:sz w:val="16"/>
                <w:szCs w:val="16"/>
                <w:lang w:eastAsia="en-AU"/>
              </w:rPr>
              <w:t>106 (24)</w:t>
            </w:r>
          </w:p>
        </w:tc>
        <w:tc>
          <w:tcPr>
            <w:tcW w:w="828" w:type="pct"/>
            <w:tcBorders>
              <w:top w:val="single" w:sz="4" w:space="0" w:color="606072"/>
              <w:left w:val="single" w:sz="4" w:space="0" w:color="606072"/>
              <w:bottom w:val="dotted" w:sz="4" w:space="0" w:color="606072"/>
              <w:right w:val="single" w:sz="4" w:space="0" w:color="606072"/>
            </w:tcBorders>
            <w:vAlign w:val="center"/>
          </w:tcPr>
          <w:p w14:paraId="3318FC9C"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17 (2)</w:t>
            </w:r>
          </w:p>
        </w:tc>
        <w:tc>
          <w:tcPr>
            <w:tcW w:w="828" w:type="pct"/>
            <w:tcBorders>
              <w:top w:val="single" w:sz="4" w:space="0" w:color="606072"/>
              <w:left w:val="single" w:sz="4" w:space="0" w:color="606072"/>
              <w:bottom w:val="dotted" w:sz="4" w:space="0" w:color="606072"/>
              <w:right w:val="single" w:sz="4" w:space="0" w:color="606072"/>
            </w:tcBorders>
            <w:vAlign w:val="center"/>
          </w:tcPr>
          <w:p w14:paraId="609FB7D3"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3 (3)</w:t>
            </w:r>
          </w:p>
        </w:tc>
        <w:tc>
          <w:tcPr>
            <w:tcW w:w="828" w:type="pct"/>
            <w:tcBorders>
              <w:top w:val="single" w:sz="4" w:space="0" w:color="606072"/>
              <w:left w:val="single" w:sz="4" w:space="0" w:color="606072"/>
              <w:bottom w:val="dotted" w:sz="4" w:space="0" w:color="606072"/>
              <w:right w:val="single" w:sz="4" w:space="0" w:color="606072"/>
            </w:tcBorders>
            <w:vAlign w:val="center"/>
          </w:tcPr>
          <w:p w14:paraId="6A5BFA9B" w14:textId="5E1991FB" w:rsidR="00975888" w:rsidRPr="005060E0" w:rsidRDefault="00AB79EC"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eastAsia="Times New Roman" w:cs="Arial"/>
                <w:bCs/>
                <w:sz w:val="16"/>
                <w:szCs w:val="16"/>
                <w:lang w:eastAsia="en-AU"/>
              </w:rPr>
              <w:t>–</w:t>
            </w:r>
            <w:r w:rsidR="00975888" w:rsidRPr="005060E0">
              <w:rPr>
                <w:rFonts w:eastAsia="Times New Roman" w:cs="Arial"/>
                <w:bCs/>
                <w:sz w:val="16"/>
                <w:szCs w:val="16"/>
                <w:lang w:eastAsia="en-AU"/>
              </w:rPr>
              <w:t xml:space="preserve"> (</w:t>
            </w:r>
            <w:r>
              <w:rPr>
                <w:rFonts w:eastAsia="Times New Roman" w:cs="Arial"/>
                <w:bCs/>
                <w:sz w:val="16"/>
                <w:szCs w:val="16"/>
                <w:lang w:eastAsia="en-AU"/>
              </w:rPr>
              <w:t>–</w:t>
            </w:r>
            <w:r w:rsidR="00975888" w:rsidRPr="005060E0">
              <w:rPr>
                <w:rFonts w:eastAsia="Times New Roman" w:cs="Arial"/>
                <w:bCs/>
                <w:sz w:val="16"/>
                <w:szCs w:val="16"/>
                <w:lang w:eastAsia="en-AU"/>
              </w:rPr>
              <w:t>)</w:t>
            </w:r>
          </w:p>
        </w:tc>
      </w:tr>
      <w:tr w:rsidR="00975888" w:rsidRPr="005060E0" w14:paraId="2711EA5D" w14:textId="77777777" w:rsidTr="00AB79E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right w:val="dotted" w:sz="4" w:space="0" w:color="606372" w:themeColor="text2"/>
            </w:tcBorders>
            <w:vAlign w:val="center"/>
            <w:hideMark/>
          </w:tcPr>
          <w:p w14:paraId="47EE0C6B" w14:textId="77777777" w:rsidR="00975888" w:rsidRPr="005060E0" w:rsidRDefault="00975888" w:rsidP="009D3FA0">
            <w:pPr>
              <w:widowControl w:val="0"/>
              <w:spacing w:after="0" w:line="240" w:lineRule="auto"/>
              <w:rPr>
                <w:rFonts w:cs="Arial"/>
                <w:sz w:val="16"/>
                <w:szCs w:val="16"/>
              </w:rPr>
            </w:pPr>
          </w:p>
        </w:tc>
        <w:tc>
          <w:tcPr>
            <w:tcW w:w="318" w:type="pct"/>
            <w:tcBorders>
              <w:top w:val="dotted" w:sz="4" w:space="0" w:color="606072"/>
              <w:left w:val="dotted" w:sz="4" w:space="0" w:color="606372" w:themeColor="text2"/>
              <w:bottom w:val="dotted" w:sz="4" w:space="0" w:color="606072"/>
              <w:right w:val="single" w:sz="4" w:space="0" w:color="606072"/>
            </w:tcBorders>
            <w:vAlign w:val="center"/>
            <w:hideMark/>
          </w:tcPr>
          <w:p w14:paraId="125F3054"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70</w:t>
            </w:r>
          </w:p>
        </w:tc>
        <w:tc>
          <w:tcPr>
            <w:tcW w:w="828" w:type="pct"/>
            <w:tcBorders>
              <w:top w:val="dotted" w:sz="4" w:space="0" w:color="606072"/>
              <w:left w:val="single" w:sz="4" w:space="0" w:color="606072"/>
              <w:bottom w:val="dotted" w:sz="4" w:space="0" w:color="606072"/>
              <w:right w:val="single" w:sz="4" w:space="0" w:color="606072"/>
            </w:tcBorders>
            <w:vAlign w:val="center"/>
          </w:tcPr>
          <w:p w14:paraId="68CDB69E"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highlight w:val="yellow"/>
              </w:rPr>
            </w:pPr>
            <w:r w:rsidRPr="005060E0">
              <w:rPr>
                <w:rFonts w:eastAsia="Times New Roman" w:cs="Arial"/>
                <w:bCs/>
                <w:sz w:val="16"/>
                <w:szCs w:val="16"/>
                <w:lang w:eastAsia="en-AU"/>
              </w:rPr>
              <w:t>19 (3)</w:t>
            </w:r>
          </w:p>
        </w:tc>
        <w:tc>
          <w:tcPr>
            <w:tcW w:w="828" w:type="pct"/>
            <w:tcBorders>
              <w:top w:val="dotted" w:sz="4" w:space="0" w:color="606072"/>
              <w:left w:val="single" w:sz="4" w:space="0" w:color="606072"/>
              <w:bottom w:val="dotted" w:sz="4" w:space="0" w:color="606072"/>
              <w:right w:val="single" w:sz="4" w:space="0" w:color="606072"/>
            </w:tcBorders>
            <w:vAlign w:val="center"/>
          </w:tcPr>
          <w:p w14:paraId="36E3BCC4"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highlight w:val="yellow"/>
              </w:rPr>
            </w:pPr>
            <w:r w:rsidRPr="005060E0">
              <w:rPr>
                <w:rFonts w:eastAsia="Times New Roman" w:cs="Arial"/>
                <w:bCs/>
                <w:sz w:val="16"/>
                <w:szCs w:val="16"/>
                <w:lang w:eastAsia="en-AU"/>
              </w:rPr>
              <w:t>45 (12)</w:t>
            </w:r>
          </w:p>
        </w:tc>
        <w:tc>
          <w:tcPr>
            <w:tcW w:w="828" w:type="pct"/>
            <w:tcBorders>
              <w:top w:val="dotted" w:sz="4" w:space="0" w:color="606072"/>
              <w:left w:val="single" w:sz="4" w:space="0" w:color="606072"/>
              <w:bottom w:val="dotted" w:sz="4" w:space="0" w:color="606072"/>
              <w:right w:val="single" w:sz="4" w:space="0" w:color="606072"/>
            </w:tcBorders>
            <w:vAlign w:val="center"/>
          </w:tcPr>
          <w:p w14:paraId="59CD7E39"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bCs/>
                <w:sz w:val="16"/>
                <w:szCs w:val="16"/>
                <w:lang w:eastAsia="en-AU"/>
              </w:rPr>
              <w:t>10 (1)</w:t>
            </w:r>
          </w:p>
        </w:tc>
        <w:tc>
          <w:tcPr>
            <w:tcW w:w="828" w:type="pct"/>
            <w:tcBorders>
              <w:top w:val="dotted" w:sz="4" w:space="0" w:color="606072"/>
              <w:left w:val="single" w:sz="4" w:space="0" w:color="606072"/>
              <w:bottom w:val="dotted" w:sz="4" w:space="0" w:color="606072"/>
              <w:right w:val="single" w:sz="4" w:space="0" w:color="606072"/>
            </w:tcBorders>
            <w:vAlign w:val="center"/>
          </w:tcPr>
          <w:p w14:paraId="3B703470" w14:textId="703771C8"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bCs/>
                <w:sz w:val="16"/>
                <w:szCs w:val="16"/>
                <w:lang w:eastAsia="en-AU"/>
              </w:rPr>
              <w:t>0 (</w:t>
            </w:r>
            <w:r w:rsidR="00AB79EC">
              <w:rPr>
                <w:rFonts w:eastAsia="Times New Roman" w:cs="Arial"/>
                <w:bCs/>
                <w:sz w:val="16"/>
                <w:szCs w:val="16"/>
                <w:lang w:eastAsia="en-AU"/>
              </w:rPr>
              <w:t>–</w:t>
            </w:r>
            <w:r w:rsidRPr="005060E0">
              <w:rPr>
                <w:rFonts w:eastAsia="Times New Roman" w:cs="Arial"/>
                <w:bCs/>
                <w:sz w:val="16"/>
                <w:szCs w:val="16"/>
                <w:lang w:eastAsia="en-AU"/>
              </w:rPr>
              <w:t>)</w:t>
            </w:r>
          </w:p>
        </w:tc>
        <w:tc>
          <w:tcPr>
            <w:tcW w:w="828" w:type="pct"/>
            <w:tcBorders>
              <w:top w:val="dotted" w:sz="4" w:space="0" w:color="606072"/>
              <w:left w:val="single" w:sz="4" w:space="0" w:color="606072"/>
              <w:bottom w:val="dotted" w:sz="4" w:space="0" w:color="606072"/>
              <w:right w:val="single" w:sz="4" w:space="0" w:color="606072"/>
            </w:tcBorders>
            <w:vAlign w:val="center"/>
          </w:tcPr>
          <w:p w14:paraId="5A987D75" w14:textId="29C7E356" w:rsidR="00975888" w:rsidRPr="005060E0" w:rsidRDefault="00AB79EC"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eastAsia="Times New Roman" w:cs="Arial"/>
                <w:bCs/>
                <w:sz w:val="16"/>
                <w:szCs w:val="16"/>
                <w:lang w:eastAsia="en-AU"/>
              </w:rPr>
              <w:t>–</w:t>
            </w:r>
            <w:r w:rsidR="00975888" w:rsidRPr="005060E0">
              <w:rPr>
                <w:rFonts w:eastAsia="Times New Roman" w:cs="Arial"/>
                <w:bCs/>
                <w:sz w:val="16"/>
                <w:szCs w:val="16"/>
                <w:lang w:eastAsia="en-AU"/>
              </w:rPr>
              <w:t xml:space="preserve"> (</w:t>
            </w:r>
            <w:r>
              <w:rPr>
                <w:rFonts w:eastAsia="Times New Roman" w:cs="Arial"/>
                <w:bCs/>
                <w:sz w:val="16"/>
                <w:szCs w:val="16"/>
                <w:lang w:eastAsia="en-AU"/>
              </w:rPr>
              <w:t>–</w:t>
            </w:r>
            <w:r w:rsidR="00975888" w:rsidRPr="005060E0">
              <w:rPr>
                <w:rFonts w:eastAsia="Times New Roman" w:cs="Arial"/>
                <w:bCs/>
                <w:sz w:val="16"/>
                <w:szCs w:val="16"/>
                <w:lang w:eastAsia="en-AU"/>
              </w:rPr>
              <w:t>)</w:t>
            </w:r>
          </w:p>
        </w:tc>
      </w:tr>
      <w:tr w:rsidR="00975888" w:rsidRPr="005060E0" w14:paraId="0C07C9FB" w14:textId="77777777" w:rsidTr="00AB79EC">
        <w:trPr>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bottom w:val="single" w:sz="4" w:space="0" w:color="606072"/>
              <w:right w:val="dotted" w:sz="4" w:space="0" w:color="606372" w:themeColor="text2"/>
            </w:tcBorders>
            <w:vAlign w:val="center"/>
            <w:hideMark/>
          </w:tcPr>
          <w:p w14:paraId="7558CB19" w14:textId="77777777" w:rsidR="00975888" w:rsidRPr="005060E0" w:rsidRDefault="00975888" w:rsidP="009D3FA0">
            <w:pPr>
              <w:widowControl w:val="0"/>
              <w:spacing w:after="0" w:line="240" w:lineRule="auto"/>
              <w:rPr>
                <w:rFonts w:cs="Arial"/>
                <w:sz w:val="16"/>
                <w:szCs w:val="16"/>
              </w:rPr>
            </w:pPr>
          </w:p>
        </w:tc>
        <w:tc>
          <w:tcPr>
            <w:tcW w:w="318" w:type="pct"/>
            <w:tcBorders>
              <w:top w:val="dotted" w:sz="4" w:space="0" w:color="606072"/>
              <w:left w:val="dotted" w:sz="4" w:space="0" w:color="606372" w:themeColor="text2"/>
              <w:bottom w:val="single" w:sz="4" w:space="0" w:color="606072"/>
              <w:right w:val="single" w:sz="4" w:space="0" w:color="606072"/>
            </w:tcBorders>
            <w:shd w:val="clear" w:color="auto" w:fill="D5E5FF"/>
            <w:vAlign w:val="center"/>
            <w:hideMark/>
          </w:tcPr>
          <w:p w14:paraId="6A746BB3"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80</w:t>
            </w:r>
          </w:p>
        </w:tc>
        <w:tc>
          <w:tcPr>
            <w:tcW w:w="828"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0F54A858" w14:textId="7DFAF51B"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highlight w:val="yellow"/>
              </w:rPr>
            </w:pPr>
            <w:r w:rsidRPr="005060E0">
              <w:rPr>
                <w:rFonts w:eastAsia="Times New Roman" w:cs="Arial"/>
                <w:bCs/>
                <w:sz w:val="16"/>
                <w:szCs w:val="16"/>
                <w:lang w:eastAsia="en-AU"/>
              </w:rPr>
              <w:t>1 (</w:t>
            </w:r>
            <w:r w:rsidR="00AB79EC">
              <w:rPr>
                <w:rFonts w:eastAsia="Times New Roman" w:cs="Arial"/>
                <w:bCs/>
                <w:sz w:val="16"/>
                <w:szCs w:val="16"/>
                <w:lang w:eastAsia="en-AU"/>
              </w:rPr>
              <w:t>–</w:t>
            </w:r>
            <w:r w:rsidRPr="005060E0">
              <w:rPr>
                <w:rFonts w:eastAsia="Times New Roman" w:cs="Arial"/>
                <w:bCs/>
                <w:sz w:val="16"/>
                <w:szCs w:val="16"/>
                <w:lang w:eastAsia="en-AU"/>
              </w:rPr>
              <w:t>)</w:t>
            </w:r>
          </w:p>
        </w:tc>
        <w:tc>
          <w:tcPr>
            <w:tcW w:w="828"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3DCAE42D"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highlight w:val="yellow"/>
              </w:rPr>
            </w:pPr>
            <w:r w:rsidRPr="005060E0">
              <w:rPr>
                <w:rFonts w:eastAsia="Times New Roman" w:cs="Arial"/>
                <w:bCs/>
                <w:sz w:val="16"/>
                <w:szCs w:val="16"/>
                <w:lang w:eastAsia="en-AU"/>
              </w:rPr>
              <w:t>23 (6)</w:t>
            </w:r>
          </w:p>
        </w:tc>
        <w:tc>
          <w:tcPr>
            <w:tcW w:w="828"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2BA072A2"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4 (1)</w:t>
            </w:r>
          </w:p>
        </w:tc>
        <w:tc>
          <w:tcPr>
            <w:tcW w:w="828"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455A73FD" w14:textId="73FD7D51"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0 (</w:t>
            </w:r>
            <w:r w:rsidR="00AB79EC">
              <w:rPr>
                <w:rFonts w:eastAsia="Times New Roman" w:cs="Arial"/>
                <w:bCs/>
                <w:sz w:val="16"/>
                <w:szCs w:val="16"/>
                <w:lang w:eastAsia="en-AU"/>
              </w:rPr>
              <w:t>–</w:t>
            </w:r>
            <w:r w:rsidRPr="005060E0">
              <w:rPr>
                <w:rFonts w:eastAsia="Times New Roman" w:cs="Arial"/>
                <w:bCs/>
                <w:sz w:val="16"/>
                <w:szCs w:val="16"/>
                <w:lang w:eastAsia="en-AU"/>
              </w:rPr>
              <w:t>)</w:t>
            </w:r>
          </w:p>
        </w:tc>
        <w:tc>
          <w:tcPr>
            <w:tcW w:w="828" w:type="pct"/>
            <w:tcBorders>
              <w:top w:val="dotted" w:sz="4" w:space="0" w:color="606072"/>
              <w:left w:val="single" w:sz="4" w:space="0" w:color="606072"/>
              <w:bottom w:val="single" w:sz="4" w:space="0" w:color="606072"/>
              <w:right w:val="single" w:sz="4" w:space="0" w:color="606072"/>
            </w:tcBorders>
            <w:shd w:val="clear" w:color="auto" w:fill="D5E5FF"/>
            <w:vAlign w:val="center"/>
          </w:tcPr>
          <w:p w14:paraId="3A208129" w14:textId="6058EB8E" w:rsidR="00975888" w:rsidRPr="005060E0" w:rsidRDefault="00AB79EC"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eastAsia="Times New Roman" w:cs="Arial"/>
                <w:bCs/>
                <w:sz w:val="16"/>
                <w:szCs w:val="16"/>
                <w:lang w:eastAsia="en-AU"/>
              </w:rPr>
              <w:t>–</w:t>
            </w:r>
            <w:r w:rsidR="00975888" w:rsidRPr="005060E0">
              <w:rPr>
                <w:rFonts w:eastAsia="Times New Roman" w:cs="Arial"/>
                <w:bCs/>
                <w:sz w:val="16"/>
                <w:szCs w:val="16"/>
                <w:lang w:eastAsia="en-AU"/>
              </w:rPr>
              <w:t xml:space="preserve"> (</w:t>
            </w:r>
            <w:r>
              <w:rPr>
                <w:rFonts w:eastAsia="Times New Roman" w:cs="Arial"/>
                <w:bCs/>
                <w:sz w:val="16"/>
                <w:szCs w:val="16"/>
                <w:lang w:eastAsia="en-AU"/>
              </w:rPr>
              <w:t>–</w:t>
            </w:r>
            <w:r w:rsidR="00975888" w:rsidRPr="005060E0">
              <w:rPr>
                <w:rFonts w:eastAsia="Times New Roman" w:cs="Arial"/>
                <w:bCs/>
                <w:sz w:val="16"/>
                <w:szCs w:val="16"/>
                <w:lang w:eastAsia="en-AU"/>
              </w:rPr>
              <w:t>)</w:t>
            </w:r>
          </w:p>
        </w:tc>
      </w:tr>
      <w:tr w:rsidR="00975888" w:rsidRPr="005060E0" w14:paraId="62B1A54B" w14:textId="77777777" w:rsidTr="00D23D5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42" w:type="pct"/>
            <w:vMerge w:val="restart"/>
            <w:tcBorders>
              <w:top w:val="single" w:sz="4" w:space="0" w:color="606072"/>
              <w:left w:val="single" w:sz="4" w:space="0" w:color="606072"/>
              <w:right w:val="dotted" w:sz="4" w:space="0" w:color="606372" w:themeColor="text2"/>
            </w:tcBorders>
            <w:vAlign w:val="center"/>
          </w:tcPr>
          <w:p w14:paraId="0F26B0F7" w14:textId="69C0E1FE" w:rsidR="00975888" w:rsidRPr="005060E0" w:rsidRDefault="00975888" w:rsidP="009D3FA0">
            <w:pPr>
              <w:widowControl w:val="0"/>
              <w:spacing w:after="0" w:line="240" w:lineRule="auto"/>
              <w:jc w:val="center"/>
              <w:rPr>
                <w:rFonts w:cs="Arial"/>
                <w:b w:val="0"/>
                <w:sz w:val="16"/>
                <w:szCs w:val="16"/>
              </w:rPr>
            </w:pPr>
            <w:r w:rsidRPr="005060E0">
              <w:rPr>
                <w:rFonts w:cs="Arial"/>
                <w:b w:val="0"/>
                <w:sz w:val="16"/>
                <w:szCs w:val="16"/>
              </w:rPr>
              <w:t xml:space="preserve">Rolling </w:t>
            </w:r>
            <w:r w:rsidR="00CD2F38">
              <w:rPr>
                <w:rFonts w:cs="Arial"/>
                <w:b w:val="0"/>
                <w:sz w:val="16"/>
                <w:szCs w:val="16"/>
              </w:rPr>
              <w:br/>
            </w:r>
            <w:r w:rsidRPr="005060E0">
              <w:rPr>
                <w:rFonts w:cs="Arial"/>
                <w:b w:val="0"/>
                <w:sz w:val="16"/>
                <w:szCs w:val="16"/>
              </w:rPr>
              <w:t>8-hour</w:t>
            </w:r>
          </w:p>
        </w:tc>
        <w:tc>
          <w:tcPr>
            <w:tcW w:w="318" w:type="pct"/>
            <w:tcBorders>
              <w:top w:val="single" w:sz="4" w:space="0" w:color="606072"/>
              <w:left w:val="dotted" w:sz="4" w:space="0" w:color="606372" w:themeColor="text2"/>
              <w:bottom w:val="dotted" w:sz="4" w:space="0" w:color="606072"/>
              <w:right w:val="single" w:sz="4" w:space="0" w:color="606072"/>
            </w:tcBorders>
            <w:vAlign w:val="center"/>
          </w:tcPr>
          <w:p w14:paraId="5A5FAE79"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140" w:type="pct"/>
            <w:gridSpan w:val="5"/>
            <w:tcBorders>
              <w:top w:val="single" w:sz="4" w:space="0" w:color="606072"/>
              <w:left w:val="single" w:sz="4" w:space="0" w:color="606072"/>
              <w:bottom w:val="dotted" w:sz="4" w:space="0" w:color="606072"/>
              <w:right w:val="single" w:sz="4" w:space="0" w:color="606072"/>
            </w:tcBorders>
            <w:shd w:val="clear" w:color="auto" w:fill="BFBFBF" w:themeFill="background1" w:themeFillShade="BF"/>
            <w:vAlign w:val="center"/>
          </w:tcPr>
          <w:p w14:paraId="507CE6DE" w14:textId="44C8763C" w:rsidR="00975888" w:rsidRPr="005060E0" w:rsidRDefault="001B3859" w:rsidP="001B3859">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bCs/>
                <w:sz w:val="16"/>
                <w:szCs w:val="16"/>
                <w:lang w:eastAsia="en-AU"/>
              </w:rPr>
            </w:pPr>
            <w:r w:rsidRPr="005060E0">
              <w:rPr>
                <w:rFonts w:cs="Arial"/>
                <w:sz w:val="16"/>
                <w:szCs w:val="16"/>
              </w:rPr>
              <w:t>Total number of unique exceedance days</w:t>
            </w:r>
          </w:p>
        </w:tc>
      </w:tr>
      <w:tr w:rsidR="00975888" w:rsidRPr="005060E0" w14:paraId="29044177" w14:textId="77777777" w:rsidTr="00AB79EC">
        <w:trPr>
          <w:trHeight w:hRule="exact" w:val="340"/>
        </w:trPr>
        <w:tc>
          <w:tcPr>
            <w:cnfStyle w:val="001000000000" w:firstRow="0" w:lastRow="0" w:firstColumn="1" w:lastColumn="0" w:oddVBand="0" w:evenVBand="0" w:oddHBand="0" w:evenHBand="0" w:firstRowFirstColumn="0" w:firstRowLastColumn="0" w:lastRowFirstColumn="0" w:lastRowLastColumn="0"/>
            <w:tcW w:w="542" w:type="pct"/>
            <w:vMerge/>
            <w:tcBorders>
              <w:left w:val="single" w:sz="4" w:space="0" w:color="606072"/>
              <w:right w:val="dotted" w:sz="4" w:space="0" w:color="606372" w:themeColor="text2"/>
            </w:tcBorders>
            <w:vAlign w:val="center"/>
            <w:hideMark/>
          </w:tcPr>
          <w:p w14:paraId="21DC4B9F" w14:textId="1E8282C5" w:rsidR="00975888" w:rsidRPr="005060E0" w:rsidRDefault="00975888" w:rsidP="009D3FA0">
            <w:pPr>
              <w:widowControl w:val="0"/>
              <w:spacing w:after="0" w:line="240" w:lineRule="auto"/>
              <w:jc w:val="center"/>
              <w:rPr>
                <w:rFonts w:cs="Arial"/>
                <w:b w:val="0"/>
                <w:sz w:val="16"/>
                <w:szCs w:val="16"/>
              </w:rPr>
            </w:pPr>
          </w:p>
        </w:tc>
        <w:tc>
          <w:tcPr>
            <w:tcW w:w="318" w:type="pct"/>
            <w:tcBorders>
              <w:top w:val="single" w:sz="4" w:space="0" w:color="606072"/>
              <w:left w:val="dotted" w:sz="4" w:space="0" w:color="606372" w:themeColor="text2"/>
              <w:bottom w:val="dotted" w:sz="4" w:space="0" w:color="606072"/>
              <w:right w:val="single" w:sz="4" w:space="0" w:color="606072"/>
            </w:tcBorders>
            <w:vAlign w:val="center"/>
            <w:hideMark/>
          </w:tcPr>
          <w:p w14:paraId="1B4DD766"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47</w:t>
            </w:r>
          </w:p>
        </w:tc>
        <w:tc>
          <w:tcPr>
            <w:tcW w:w="828" w:type="pct"/>
            <w:tcBorders>
              <w:top w:val="single" w:sz="4" w:space="0" w:color="606072"/>
              <w:left w:val="single" w:sz="4" w:space="0" w:color="606072"/>
              <w:bottom w:val="dotted" w:sz="4" w:space="0" w:color="606072"/>
              <w:right w:val="single" w:sz="4" w:space="0" w:color="606072"/>
            </w:tcBorders>
            <w:vAlign w:val="center"/>
          </w:tcPr>
          <w:p w14:paraId="144D2638"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highlight w:val="yellow"/>
              </w:rPr>
            </w:pPr>
            <w:r w:rsidRPr="005060E0">
              <w:rPr>
                <w:rFonts w:eastAsia="Times New Roman" w:cs="Arial"/>
                <w:bCs/>
                <w:sz w:val="16"/>
                <w:szCs w:val="16"/>
                <w:lang w:eastAsia="en-AU"/>
              </w:rPr>
              <w:t>151 (53)</w:t>
            </w:r>
          </w:p>
        </w:tc>
        <w:tc>
          <w:tcPr>
            <w:tcW w:w="828" w:type="pct"/>
            <w:tcBorders>
              <w:top w:val="single" w:sz="4" w:space="0" w:color="606072"/>
              <w:left w:val="single" w:sz="4" w:space="0" w:color="606072"/>
              <w:bottom w:val="dotted" w:sz="4" w:space="0" w:color="606072"/>
              <w:right w:val="single" w:sz="4" w:space="0" w:color="606072"/>
            </w:tcBorders>
            <w:vAlign w:val="center"/>
          </w:tcPr>
          <w:p w14:paraId="6EBFF4BA"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highlight w:val="yellow"/>
              </w:rPr>
            </w:pPr>
            <w:r w:rsidRPr="005060E0">
              <w:rPr>
                <w:rFonts w:eastAsia="Times New Roman" w:cs="Arial"/>
                <w:bCs/>
                <w:sz w:val="16"/>
                <w:szCs w:val="16"/>
                <w:lang w:eastAsia="en-AU"/>
              </w:rPr>
              <w:t>177 (49)</w:t>
            </w:r>
          </w:p>
        </w:tc>
        <w:tc>
          <w:tcPr>
            <w:tcW w:w="828" w:type="pct"/>
            <w:tcBorders>
              <w:top w:val="single" w:sz="4" w:space="0" w:color="606072"/>
              <w:left w:val="single" w:sz="4" w:space="0" w:color="606072"/>
              <w:bottom w:val="dotted" w:sz="4" w:space="0" w:color="606072"/>
              <w:right w:val="single" w:sz="4" w:space="0" w:color="606072"/>
            </w:tcBorders>
            <w:vAlign w:val="center"/>
          </w:tcPr>
          <w:p w14:paraId="551C8139"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69 (12)</w:t>
            </w:r>
          </w:p>
        </w:tc>
        <w:tc>
          <w:tcPr>
            <w:tcW w:w="828" w:type="pct"/>
            <w:tcBorders>
              <w:top w:val="single" w:sz="4" w:space="0" w:color="606072"/>
              <w:left w:val="single" w:sz="4" w:space="0" w:color="606072"/>
              <w:bottom w:val="dotted" w:sz="4" w:space="0" w:color="606072"/>
              <w:right w:val="single" w:sz="4" w:space="0" w:color="606072"/>
            </w:tcBorders>
            <w:vAlign w:val="center"/>
          </w:tcPr>
          <w:p w14:paraId="41965913"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9 (5)</w:t>
            </w:r>
          </w:p>
        </w:tc>
        <w:tc>
          <w:tcPr>
            <w:tcW w:w="828" w:type="pct"/>
            <w:tcBorders>
              <w:top w:val="single" w:sz="4" w:space="0" w:color="606072"/>
              <w:left w:val="single" w:sz="4" w:space="0" w:color="606072"/>
              <w:bottom w:val="dotted" w:sz="4" w:space="0" w:color="606072"/>
              <w:right w:val="single" w:sz="4" w:space="0" w:color="606072"/>
            </w:tcBorders>
            <w:vAlign w:val="center"/>
          </w:tcPr>
          <w:p w14:paraId="3FE400EC" w14:textId="31B35F5A" w:rsidR="00975888" w:rsidRPr="005060E0" w:rsidRDefault="00AB79EC"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eastAsia="Times New Roman" w:cs="Arial"/>
                <w:bCs/>
                <w:sz w:val="16"/>
                <w:szCs w:val="16"/>
                <w:lang w:eastAsia="en-AU"/>
              </w:rPr>
              <w:t>–</w:t>
            </w:r>
            <w:r w:rsidR="00975888" w:rsidRPr="005060E0">
              <w:rPr>
                <w:rFonts w:eastAsia="Times New Roman" w:cs="Arial"/>
                <w:bCs/>
                <w:sz w:val="16"/>
                <w:szCs w:val="16"/>
                <w:lang w:eastAsia="en-AU"/>
              </w:rPr>
              <w:t xml:space="preserve"> (</w:t>
            </w:r>
            <w:r>
              <w:rPr>
                <w:rFonts w:eastAsia="Times New Roman" w:cs="Arial"/>
                <w:bCs/>
                <w:sz w:val="16"/>
                <w:szCs w:val="16"/>
                <w:lang w:eastAsia="en-AU"/>
              </w:rPr>
              <w:t>–</w:t>
            </w:r>
            <w:r w:rsidR="00975888" w:rsidRPr="005060E0">
              <w:rPr>
                <w:rFonts w:eastAsia="Times New Roman" w:cs="Arial"/>
                <w:bCs/>
                <w:sz w:val="16"/>
                <w:szCs w:val="16"/>
                <w:lang w:eastAsia="en-AU"/>
              </w:rPr>
              <w:t>)</w:t>
            </w:r>
          </w:p>
        </w:tc>
      </w:tr>
      <w:tr w:rsidR="00975888" w:rsidRPr="005060E0" w14:paraId="77973D2F" w14:textId="77777777" w:rsidTr="00AB79E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right w:val="dotted" w:sz="4" w:space="0" w:color="606372" w:themeColor="text2"/>
            </w:tcBorders>
            <w:vAlign w:val="center"/>
            <w:hideMark/>
          </w:tcPr>
          <w:p w14:paraId="23504301" w14:textId="77777777" w:rsidR="00975888" w:rsidRPr="005060E0" w:rsidRDefault="00975888" w:rsidP="009D3FA0">
            <w:pPr>
              <w:widowControl w:val="0"/>
              <w:spacing w:after="0" w:line="240" w:lineRule="auto"/>
              <w:rPr>
                <w:rFonts w:cs="Arial"/>
                <w:sz w:val="16"/>
                <w:szCs w:val="16"/>
              </w:rPr>
            </w:pPr>
          </w:p>
        </w:tc>
        <w:tc>
          <w:tcPr>
            <w:tcW w:w="318" w:type="pct"/>
            <w:tcBorders>
              <w:top w:val="dotted" w:sz="4" w:space="0" w:color="606072"/>
              <w:left w:val="dotted" w:sz="4" w:space="0" w:color="606372" w:themeColor="text2"/>
              <w:bottom w:val="dotted" w:sz="4" w:space="0" w:color="606072"/>
              <w:right w:val="single" w:sz="4" w:space="0" w:color="606072"/>
            </w:tcBorders>
            <w:vAlign w:val="center"/>
            <w:hideMark/>
          </w:tcPr>
          <w:p w14:paraId="59274FDC"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55</w:t>
            </w:r>
          </w:p>
        </w:tc>
        <w:tc>
          <w:tcPr>
            <w:tcW w:w="828" w:type="pct"/>
            <w:tcBorders>
              <w:top w:val="dotted" w:sz="4" w:space="0" w:color="606072"/>
              <w:left w:val="single" w:sz="4" w:space="0" w:color="606072"/>
              <w:bottom w:val="dotted" w:sz="4" w:space="0" w:color="606072"/>
              <w:right w:val="single" w:sz="4" w:space="0" w:color="606072"/>
            </w:tcBorders>
            <w:vAlign w:val="center"/>
          </w:tcPr>
          <w:p w14:paraId="542F843C"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highlight w:val="yellow"/>
              </w:rPr>
            </w:pPr>
            <w:r w:rsidRPr="005060E0">
              <w:rPr>
                <w:rFonts w:eastAsia="Times New Roman" w:cs="Arial"/>
                <w:bCs/>
                <w:sz w:val="16"/>
                <w:szCs w:val="16"/>
                <w:lang w:eastAsia="en-AU"/>
              </w:rPr>
              <w:t>49 (14)</w:t>
            </w:r>
          </w:p>
        </w:tc>
        <w:tc>
          <w:tcPr>
            <w:tcW w:w="828" w:type="pct"/>
            <w:tcBorders>
              <w:top w:val="dotted" w:sz="4" w:space="0" w:color="606072"/>
              <w:left w:val="single" w:sz="4" w:space="0" w:color="606072"/>
              <w:bottom w:val="dotted" w:sz="4" w:space="0" w:color="606072"/>
              <w:right w:val="single" w:sz="4" w:space="0" w:color="606072"/>
            </w:tcBorders>
            <w:vAlign w:val="center"/>
          </w:tcPr>
          <w:p w14:paraId="3DF0DF6B"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highlight w:val="yellow"/>
              </w:rPr>
            </w:pPr>
            <w:r w:rsidRPr="005060E0">
              <w:rPr>
                <w:rFonts w:eastAsia="Times New Roman" w:cs="Arial"/>
                <w:bCs/>
                <w:sz w:val="16"/>
                <w:szCs w:val="16"/>
                <w:lang w:eastAsia="en-AU"/>
              </w:rPr>
              <w:t>86 (21)</w:t>
            </w:r>
          </w:p>
        </w:tc>
        <w:tc>
          <w:tcPr>
            <w:tcW w:w="828" w:type="pct"/>
            <w:tcBorders>
              <w:top w:val="dotted" w:sz="4" w:space="0" w:color="606072"/>
              <w:left w:val="single" w:sz="4" w:space="0" w:color="606072"/>
              <w:bottom w:val="dotted" w:sz="4" w:space="0" w:color="606072"/>
              <w:right w:val="single" w:sz="4" w:space="0" w:color="606072"/>
            </w:tcBorders>
            <w:vAlign w:val="center"/>
          </w:tcPr>
          <w:p w14:paraId="5CB7DBBE"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bCs/>
                <w:sz w:val="16"/>
                <w:szCs w:val="16"/>
                <w:lang w:eastAsia="en-AU"/>
              </w:rPr>
              <w:t>21 (2)</w:t>
            </w:r>
          </w:p>
        </w:tc>
        <w:tc>
          <w:tcPr>
            <w:tcW w:w="828" w:type="pct"/>
            <w:tcBorders>
              <w:top w:val="dotted" w:sz="4" w:space="0" w:color="606072"/>
              <w:left w:val="single" w:sz="4" w:space="0" w:color="606072"/>
              <w:bottom w:val="dotted" w:sz="4" w:space="0" w:color="606072"/>
              <w:right w:val="single" w:sz="4" w:space="0" w:color="606072"/>
            </w:tcBorders>
            <w:vAlign w:val="center"/>
          </w:tcPr>
          <w:p w14:paraId="1475F9FE"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bCs/>
                <w:sz w:val="16"/>
                <w:szCs w:val="16"/>
                <w:lang w:eastAsia="en-AU"/>
              </w:rPr>
              <w:t>4 (4)</w:t>
            </w:r>
          </w:p>
        </w:tc>
        <w:tc>
          <w:tcPr>
            <w:tcW w:w="828" w:type="pct"/>
            <w:tcBorders>
              <w:top w:val="dotted" w:sz="4" w:space="0" w:color="606072"/>
              <w:left w:val="single" w:sz="4" w:space="0" w:color="606072"/>
              <w:bottom w:val="dotted" w:sz="4" w:space="0" w:color="606072"/>
              <w:right w:val="single" w:sz="4" w:space="0" w:color="606072"/>
            </w:tcBorders>
            <w:vAlign w:val="center"/>
          </w:tcPr>
          <w:p w14:paraId="0D044351" w14:textId="31D1E95C" w:rsidR="00975888" w:rsidRPr="005060E0" w:rsidRDefault="00AB79EC"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eastAsia="Times New Roman" w:cs="Arial"/>
                <w:bCs/>
                <w:sz w:val="16"/>
                <w:szCs w:val="16"/>
                <w:lang w:eastAsia="en-AU"/>
              </w:rPr>
              <w:t>–</w:t>
            </w:r>
            <w:r w:rsidR="00975888" w:rsidRPr="005060E0">
              <w:rPr>
                <w:rFonts w:eastAsia="Times New Roman" w:cs="Arial"/>
                <w:bCs/>
                <w:sz w:val="16"/>
                <w:szCs w:val="16"/>
                <w:lang w:eastAsia="en-AU"/>
              </w:rPr>
              <w:t xml:space="preserve"> (</w:t>
            </w:r>
            <w:r>
              <w:rPr>
                <w:rFonts w:eastAsia="Times New Roman" w:cs="Arial"/>
                <w:bCs/>
                <w:sz w:val="16"/>
                <w:szCs w:val="16"/>
                <w:lang w:eastAsia="en-AU"/>
              </w:rPr>
              <w:t>–</w:t>
            </w:r>
            <w:r w:rsidR="00975888" w:rsidRPr="005060E0">
              <w:rPr>
                <w:rFonts w:eastAsia="Times New Roman" w:cs="Arial"/>
                <w:bCs/>
                <w:sz w:val="16"/>
                <w:szCs w:val="16"/>
                <w:lang w:eastAsia="en-AU"/>
              </w:rPr>
              <w:t>)</w:t>
            </w:r>
          </w:p>
        </w:tc>
      </w:tr>
      <w:tr w:rsidR="00975888" w:rsidRPr="005060E0" w14:paraId="44F3F5AA" w14:textId="77777777" w:rsidTr="00AB79EC">
        <w:trPr>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right w:val="dotted" w:sz="4" w:space="0" w:color="606372" w:themeColor="text2"/>
            </w:tcBorders>
            <w:vAlign w:val="center"/>
            <w:hideMark/>
          </w:tcPr>
          <w:p w14:paraId="00132E36" w14:textId="77777777" w:rsidR="00975888" w:rsidRPr="005060E0" w:rsidRDefault="00975888" w:rsidP="009D3FA0">
            <w:pPr>
              <w:widowControl w:val="0"/>
              <w:spacing w:after="0" w:line="240" w:lineRule="auto"/>
              <w:rPr>
                <w:rFonts w:cs="Arial"/>
                <w:sz w:val="16"/>
                <w:szCs w:val="16"/>
              </w:rPr>
            </w:pPr>
          </w:p>
        </w:tc>
        <w:tc>
          <w:tcPr>
            <w:tcW w:w="318" w:type="pct"/>
            <w:tcBorders>
              <w:top w:val="dotted" w:sz="4" w:space="0" w:color="606072"/>
              <w:left w:val="dotted" w:sz="4" w:space="0" w:color="606372" w:themeColor="text2"/>
              <w:bottom w:val="dotted" w:sz="4" w:space="0" w:color="606072"/>
              <w:right w:val="single" w:sz="4" w:space="0" w:color="606072"/>
            </w:tcBorders>
            <w:vAlign w:val="center"/>
            <w:hideMark/>
          </w:tcPr>
          <w:p w14:paraId="7AE08416"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cs="Arial"/>
                <w:sz w:val="16"/>
                <w:szCs w:val="16"/>
              </w:rPr>
              <w:t>60</w:t>
            </w:r>
          </w:p>
        </w:tc>
        <w:tc>
          <w:tcPr>
            <w:tcW w:w="828" w:type="pct"/>
            <w:tcBorders>
              <w:top w:val="dotted" w:sz="4" w:space="0" w:color="606072"/>
              <w:left w:val="single" w:sz="4" w:space="0" w:color="606072"/>
              <w:bottom w:val="dotted" w:sz="4" w:space="0" w:color="606072"/>
              <w:right w:val="single" w:sz="4" w:space="0" w:color="606072"/>
            </w:tcBorders>
            <w:vAlign w:val="center"/>
          </w:tcPr>
          <w:p w14:paraId="12384239"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highlight w:val="yellow"/>
              </w:rPr>
            </w:pPr>
            <w:r w:rsidRPr="005060E0">
              <w:rPr>
                <w:rFonts w:eastAsia="Times New Roman" w:cs="Arial"/>
                <w:bCs/>
                <w:sz w:val="16"/>
                <w:szCs w:val="16"/>
                <w:lang w:eastAsia="en-AU"/>
              </w:rPr>
              <w:t>22 (4)</w:t>
            </w:r>
          </w:p>
        </w:tc>
        <w:tc>
          <w:tcPr>
            <w:tcW w:w="828" w:type="pct"/>
            <w:tcBorders>
              <w:top w:val="dotted" w:sz="4" w:space="0" w:color="606072"/>
              <w:left w:val="single" w:sz="4" w:space="0" w:color="606072"/>
              <w:bottom w:val="dotted" w:sz="4" w:space="0" w:color="606072"/>
              <w:right w:val="single" w:sz="4" w:space="0" w:color="606072"/>
            </w:tcBorders>
            <w:vAlign w:val="center"/>
          </w:tcPr>
          <w:p w14:paraId="13513A22"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highlight w:val="yellow"/>
              </w:rPr>
            </w:pPr>
            <w:r w:rsidRPr="005060E0">
              <w:rPr>
                <w:rFonts w:eastAsia="Times New Roman" w:cs="Arial"/>
                <w:bCs/>
                <w:sz w:val="16"/>
                <w:szCs w:val="16"/>
                <w:lang w:eastAsia="en-AU"/>
              </w:rPr>
              <w:t>49 (13)</w:t>
            </w:r>
          </w:p>
        </w:tc>
        <w:tc>
          <w:tcPr>
            <w:tcW w:w="828" w:type="pct"/>
            <w:tcBorders>
              <w:top w:val="dotted" w:sz="4" w:space="0" w:color="606072"/>
              <w:left w:val="single" w:sz="4" w:space="0" w:color="606072"/>
              <w:bottom w:val="dotted" w:sz="4" w:space="0" w:color="606072"/>
              <w:right w:val="single" w:sz="4" w:space="0" w:color="606072"/>
            </w:tcBorders>
            <w:vAlign w:val="center"/>
          </w:tcPr>
          <w:p w14:paraId="2E2FF163" w14:textId="7777777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10 (1)</w:t>
            </w:r>
          </w:p>
        </w:tc>
        <w:tc>
          <w:tcPr>
            <w:tcW w:w="828" w:type="pct"/>
            <w:tcBorders>
              <w:top w:val="dotted" w:sz="4" w:space="0" w:color="606072"/>
              <w:left w:val="single" w:sz="4" w:space="0" w:color="606072"/>
              <w:bottom w:val="dotted" w:sz="4" w:space="0" w:color="606072"/>
              <w:right w:val="single" w:sz="4" w:space="0" w:color="606072"/>
            </w:tcBorders>
            <w:vAlign w:val="center"/>
          </w:tcPr>
          <w:p w14:paraId="004C1DF0" w14:textId="5518CC07" w:rsidR="00975888" w:rsidRPr="005060E0" w:rsidRDefault="00975888"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060E0">
              <w:rPr>
                <w:rFonts w:eastAsia="Times New Roman" w:cs="Arial"/>
                <w:bCs/>
                <w:sz w:val="16"/>
                <w:szCs w:val="16"/>
                <w:lang w:eastAsia="en-AU"/>
              </w:rPr>
              <w:t>1 (</w:t>
            </w:r>
            <w:r w:rsidR="00AB79EC">
              <w:rPr>
                <w:rFonts w:eastAsia="Times New Roman" w:cs="Arial"/>
                <w:bCs/>
                <w:sz w:val="16"/>
                <w:szCs w:val="16"/>
                <w:lang w:eastAsia="en-AU"/>
              </w:rPr>
              <w:t>–</w:t>
            </w:r>
            <w:r w:rsidRPr="005060E0">
              <w:rPr>
                <w:rFonts w:eastAsia="Times New Roman" w:cs="Arial"/>
                <w:bCs/>
                <w:sz w:val="16"/>
                <w:szCs w:val="16"/>
                <w:lang w:eastAsia="en-AU"/>
              </w:rPr>
              <w:t>)</w:t>
            </w:r>
          </w:p>
        </w:tc>
        <w:tc>
          <w:tcPr>
            <w:tcW w:w="828" w:type="pct"/>
            <w:tcBorders>
              <w:top w:val="dotted" w:sz="4" w:space="0" w:color="606072"/>
              <w:left w:val="single" w:sz="4" w:space="0" w:color="606072"/>
              <w:bottom w:val="dotted" w:sz="4" w:space="0" w:color="606072"/>
              <w:right w:val="single" w:sz="4" w:space="0" w:color="606072"/>
            </w:tcBorders>
            <w:vAlign w:val="center"/>
          </w:tcPr>
          <w:p w14:paraId="032531CB" w14:textId="6E7FDAD5" w:rsidR="00975888" w:rsidRPr="005060E0" w:rsidRDefault="00AB79EC" w:rsidP="009D3F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eastAsia="Times New Roman" w:cs="Arial"/>
                <w:bCs/>
                <w:sz w:val="16"/>
                <w:szCs w:val="16"/>
                <w:lang w:eastAsia="en-AU"/>
              </w:rPr>
              <w:t>–</w:t>
            </w:r>
            <w:r w:rsidR="00975888" w:rsidRPr="005060E0">
              <w:rPr>
                <w:rFonts w:eastAsia="Times New Roman" w:cs="Arial"/>
                <w:bCs/>
                <w:sz w:val="16"/>
                <w:szCs w:val="16"/>
                <w:lang w:eastAsia="en-AU"/>
              </w:rPr>
              <w:t xml:space="preserve"> (</w:t>
            </w:r>
            <w:r>
              <w:rPr>
                <w:rFonts w:eastAsia="Times New Roman" w:cs="Arial"/>
                <w:bCs/>
                <w:sz w:val="16"/>
                <w:szCs w:val="16"/>
                <w:lang w:eastAsia="en-AU"/>
              </w:rPr>
              <w:t>–</w:t>
            </w:r>
            <w:r w:rsidR="00975888" w:rsidRPr="005060E0">
              <w:rPr>
                <w:rFonts w:eastAsia="Times New Roman" w:cs="Arial"/>
                <w:bCs/>
                <w:sz w:val="16"/>
                <w:szCs w:val="16"/>
                <w:lang w:eastAsia="en-AU"/>
              </w:rPr>
              <w:t>)</w:t>
            </w:r>
          </w:p>
        </w:tc>
      </w:tr>
      <w:tr w:rsidR="00975888" w:rsidRPr="005060E0" w14:paraId="69A20AF1" w14:textId="77777777" w:rsidTr="00AB79E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606072"/>
              <w:bottom w:val="single" w:sz="4" w:space="0" w:color="606072"/>
              <w:right w:val="dotted" w:sz="4" w:space="0" w:color="606372" w:themeColor="text2"/>
            </w:tcBorders>
            <w:vAlign w:val="center"/>
            <w:hideMark/>
          </w:tcPr>
          <w:p w14:paraId="5E245675" w14:textId="77777777" w:rsidR="00975888" w:rsidRPr="005060E0" w:rsidRDefault="00975888" w:rsidP="009D3FA0">
            <w:pPr>
              <w:widowControl w:val="0"/>
              <w:spacing w:after="0" w:line="240" w:lineRule="auto"/>
              <w:rPr>
                <w:rFonts w:cs="Arial"/>
                <w:sz w:val="16"/>
                <w:szCs w:val="16"/>
              </w:rPr>
            </w:pPr>
          </w:p>
        </w:tc>
        <w:tc>
          <w:tcPr>
            <w:tcW w:w="318" w:type="pct"/>
            <w:tcBorders>
              <w:top w:val="dotted" w:sz="4" w:space="0" w:color="606072"/>
              <w:left w:val="dotted" w:sz="4" w:space="0" w:color="606372" w:themeColor="text2"/>
              <w:bottom w:val="single" w:sz="4" w:space="0" w:color="606072"/>
              <w:right w:val="single" w:sz="4" w:space="0" w:color="606072"/>
            </w:tcBorders>
            <w:vAlign w:val="center"/>
            <w:hideMark/>
          </w:tcPr>
          <w:p w14:paraId="3315AD02"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cs="Arial"/>
                <w:sz w:val="16"/>
                <w:szCs w:val="16"/>
              </w:rPr>
              <w:t>70</w:t>
            </w:r>
          </w:p>
        </w:tc>
        <w:tc>
          <w:tcPr>
            <w:tcW w:w="828" w:type="pct"/>
            <w:tcBorders>
              <w:top w:val="dotted" w:sz="4" w:space="0" w:color="606072"/>
              <w:left w:val="single" w:sz="4" w:space="0" w:color="606072"/>
              <w:bottom w:val="single" w:sz="4" w:space="0" w:color="606072"/>
              <w:right w:val="single" w:sz="4" w:space="0" w:color="606072"/>
            </w:tcBorders>
            <w:vAlign w:val="center"/>
          </w:tcPr>
          <w:p w14:paraId="619AEBC8" w14:textId="6CD0E6BE"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highlight w:val="yellow"/>
              </w:rPr>
            </w:pPr>
            <w:r w:rsidRPr="005060E0">
              <w:rPr>
                <w:rFonts w:eastAsia="Times New Roman" w:cs="Arial"/>
                <w:bCs/>
                <w:sz w:val="16"/>
                <w:szCs w:val="16"/>
                <w:lang w:eastAsia="en-AU"/>
              </w:rPr>
              <w:t>5 (</w:t>
            </w:r>
            <w:r w:rsidR="00AB79EC">
              <w:rPr>
                <w:rFonts w:eastAsia="Times New Roman" w:cs="Arial"/>
                <w:bCs/>
                <w:sz w:val="16"/>
                <w:szCs w:val="16"/>
                <w:lang w:eastAsia="en-AU"/>
              </w:rPr>
              <w:t>–</w:t>
            </w:r>
            <w:r w:rsidRPr="005060E0">
              <w:rPr>
                <w:rFonts w:eastAsia="Times New Roman" w:cs="Arial"/>
                <w:bCs/>
                <w:sz w:val="16"/>
                <w:szCs w:val="16"/>
                <w:lang w:eastAsia="en-AU"/>
              </w:rPr>
              <w:t>)</w:t>
            </w:r>
          </w:p>
        </w:tc>
        <w:tc>
          <w:tcPr>
            <w:tcW w:w="828" w:type="pct"/>
            <w:tcBorders>
              <w:top w:val="dotted" w:sz="4" w:space="0" w:color="606072"/>
              <w:left w:val="single" w:sz="4" w:space="0" w:color="606072"/>
              <w:bottom w:val="single" w:sz="4" w:space="0" w:color="606072"/>
              <w:right w:val="single" w:sz="4" w:space="0" w:color="606072"/>
            </w:tcBorders>
            <w:vAlign w:val="center"/>
          </w:tcPr>
          <w:p w14:paraId="0F54517E"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highlight w:val="yellow"/>
              </w:rPr>
            </w:pPr>
            <w:r w:rsidRPr="005060E0">
              <w:rPr>
                <w:rFonts w:eastAsia="Times New Roman" w:cs="Arial"/>
                <w:bCs/>
                <w:sz w:val="16"/>
                <w:szCs w:val="16"/>
                <w:lang w:eastAsia="en-AU"/>
              </w:rPr>
              <w:t>23 (7)</w:t>
            </w:r>
          </w:p>
        </w:tc>
        <w:tc>
          <w:tcPr>
            <w:tcW w:w="828" w:type="pct"/>
            <w:tcBorders>
              <w:top w:val="dotted" w:sz="4" w:space="0" w:color="606072"/>
              <w:left w:val="single" w:sz="4" w:space="0" w:color="606072"/>
              <w:bottom w:val="single" w:sz="4" w:space="0" w:color="606072"/>
              <w:right w:val="single" w:sz="4" w:space="0" w:color="606072"/>
            </w:tcBorders>
            <w:vAlign w:val="center"/>
          </w:tcPr>
          <w:p w14:paraId="30C70F96" w14:textId="77777777" w:rsidR="00975888" w:rsidRPr="005060E0" w:rsidRDefault="00975888"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060E0">
              <w:rPr>
                <w:rFonts w:eastAsia="Times New Roman" w:cs="Arial"/>
                <w:bCs/>
                <w:sz w:val="16"/>
                <w:szCs w:val="16"/>
                <w:lang w:eastAsia="en-AU"/>
              </w:rPr>
              <w:t>2 (1)</w:t>
            </w:r>
          </w:p>
        </w:tc>
        <w:tc>
          <w:tcPr>
            <w:tcW w:w="828" w:type="pct"/>
            <w:tcBorders>
              <w:top w:val="dotted" w:sz="4" w:space="0" w:color="606072"/>
              <w:left w:val="single" w:sz="4" w:space="0" w:color="606072"/>
              <w:bottom w:val="single" w:sz="4" w:space="0" w:color="606072"/>
              <w:right w:val="single" w:sz="4" w:space="0" w:color="606072"/>
            </w:tcBorders>
            <w:vAlign w:val="center"/>
          </w:tcPr>
          <w:p w14:paraId="5FADCBE6" w14:textId="1B728784" w:rsidR="00975888" w:rsidRPr="005060E0" w:rsidRDefault="00AB79EC"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eastAsia="Times New Roman" w:cs="Arial"/>
                <w:bCs/>
                <w:sz w:val="16"/>
                <w:szCs w:val="16"/>
                <w:lang w:eastAsia="en-AU"/>
              </w:rPr>
              <w:t>–</w:t>
            </w:r>
            <w:r w:rsidR="00975888" w:rsidRPr="005060E0">
              <w:rPr>
                <w:rFonts w:eastAsia="Times New Roman" w:cs="Arial"/>
                <w:bCs/>
                <w:sz w:val="16"/>
                <w:szCs w:val="16"/>
                <w:lang w:eastAsia="en-AU"/>
              </w:rPr>
              <w:t xml:space="preserve"> (</w:t>
            </w:r>
            <w:r>
              <w:rPr>
                <w:rFonts w:eastAsia="Times New Roman" w:cs="Arial"/>
                <w:bCs/>
                <w:sz w:val="16"/>
                <w:szCs w:val="16"/>
                <w:lang w:eastAsia="en-AU"/>
              </w:rPr>
              <w:t>–</w:t>
            </w:r>
            <w:r w:rsidR="00975888" w:rsidRPr="005060E0">
              <w:rPr>
                <w:rFonts w:eastAsia="Times New Roman" w:cs="Arial"/>
                <w:bCs/>
                <w:sz w:val="16"/>
                <w:szCs w:val="16"/>
                <w:lang w:eastAsia="en-AU"/>
              </w:rPr>
              <w:t>)</w:t>
            </w:r>
          </w:p>
        </w:tc>
        <w:tc>
          <w:tcPr>
            <w:tcW w:w="828" w:type="pct"/>
            <w:tcBorders>
              <w:top w:val="dotted" w:sz="4" w:space="0" w:color="606072"/>
              <w:left w:val="single" w:sz="4" w:space="0" w:color="606072"/>
              <w:bottom w:val="single" w:sz="4" w:space="0" w:color="606072"/>
              <w:right w:val="single" w:sz="4" w:space="0" w:color="606072"/>
            </w:tcBorders>
            <w:vAlign w:val="center"/>
          </w:tcPr>
          <w:p w14:paraId="297431AA" w14:textId="45109729" w:rsidR="00975888" w:rsidRPr="005060E0" w:rsidRDefault="00AB79EC" w:rsidP="009D3F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eastAsia="Times New Roman" w:cs="Arial"/>
                <w:bCs/>
                <w:sz w:val="16"/>
                <w:szCs w:val="16"/>
                <w:lang w:eastAsia="en-AU"/>
              </w:rPr>
              <w:t>–</w:t>
            </w:r>
            <w:r w:rsidR="00975888" w:rsidRPr="005060E0">
              <w:rPr>
                <w:rFonts w:eastAsia="Times New Roman" w:cs="Arial"/>
                <w:bCs/>
                <w:sz w:val="16"/>
                <w:szCs w:val="16"/>
                <w:lang w:eastAsia="en-AU"/>
              </w:rPr>
              <w:t xml:space="preserve"> (</w:t>
            </w:r>
            <w:r>
              <w:rPr>
                <w:rFonts w:eastAsia="Times New Roman" w:cs="Arial"/>
                <w:bCs/>
                <w:sz w:val="16"/>
                <w:szCs w:val="16"/>
                <w:lang w:eastAsia="en-AU"/>
              </w:rPr>
              <w:t>–</w:t>
            </w:r>
            <w:r w:rsidR="00975888" w:rsidRPr="005060E0">
              <w:rPr>
                <w:rFonts w:eastAsia="Times New Roman" w:cs="Arial"/>
                <w:bCs/>
                <w:sz w:val="16"/>
                <w:szCs w:val="16"/>
                <w:lang w:eastAsia="en-AU"/>
              </w:rPr>
              <w:t>)</w:t>
            </w:r>
          </w:p>
        </w:tc>
      </w:tr>
    </w:tbl>
    <w:p w14:paraId="088AA4A2" w14:textId="4D9F0924" w:rsidR="009D3FA0" w:rsidRPr="005060E0" w:rsidRDefault="009D3FA0" w:rsidP="009D3FA0">
      <w:pPr>
        <w:rPr>
          <w:rFonts w:cs="Arial"/>
        </w:rPr>
      </w:pPr>
    </w:p>
    <w:p w14:paraId="3173B959" w14:textId="77777777" w:rsidR="00A72561" w:rsidRPr="005060E0" w:rsidRDefault="00A72561" w:rsidP="00A72561">
      <w:pPr>
        <w:pStyle w:val="Heading3"/>
      </w:pPr>
      <w:r w:rsidRPr="005060E0">
        <w:t>Future projections</w:t>
      </w:r>
    </w:p>
    <w:p w14:paraId="0D9C0DD2" w14:textId="2B549065" w:rsidR="007E6026" w:rsidRPr="005060E0" w:rsidRDefault="005F3F40" w:rsidP="009B0776">
      <w:pPr>
        <w:rPr>
          <w:rFonts w:cs="Arial"/>
        </w:rPr>
      </w:pPr>
      <w:r w:rsidRPr="005060E0">
        <w:rPr>
          <w:rFonts w:cs="Arial"/>
        </w:rPr>
        <w:t>For O</w:t>
      </w:r>
      <w:r w:rsidRPr="005060E0">
        <w:rPr>
          <w:rFonts w:cs="Arial"/>
          <w:vertAlign w:val="subscript"/>
        </w:rPr>
        <w:t>3</w:t>
      </w:r>
      <w:r w:rsidRPr="005060E0">
        <w:rPr>
          <w:rFonts w:cs="Arial"/>
        </w:rPr>
        <w:t xml:space="preserve"> in NSW the projected unique exceedance days in the BAU and Abatement Package scenarios are shown in </w:t>
      </w:r>
      <w:r w:rsidRPr="005060E0">
        <w:rPr>
          <w:rFonts w:cs="Arial"/>
        </w:rPr>
        <w:fldChar w:fldCharType="begin"/>
      </w:r>
      <w:r w:rsidRPr="005060E0">
        <w:rPr>
          <w:rFonts w:cs="Arial"/>
        </w:rPr>
        <w:instrText xml:space="preserve"> REF _Ref507507931 \h  \* MERGEFORMAT </w:instrText>
      </w:r>
      <w:r w:rsidRPr="005060E0">
        <w:rPr>
          <w:rFonts w:cs="Arial"/>
        </w:rPr>
      </w:r>
      <w:r w:rsidRPr="005060E0">
        <w:rPr>
          <w:rFonts w:cs="Arial"/>
        </w:rPr>
        <w:fldChar w:fldCharType="separate"/>
      </w:r>
      <w:r w:rsidR="00F2067C" w:rsidRPr="005060E0">
        <w:rPr>
          <w:rFonts w:cs="Arial"/>
        </w:rPr>
        <w:t xml:space="preserve">Table </w:t>
      </w:r>
      <w:r w:rsidR="00F2067C">
        <w:rPr>
          <w:rFonts w:cs="Arial"/>
          <w:noProof/>
        </w:rPr>
        <w:t>8</w:t>
      </w:r>
      <w:r w:rsidR="00F2067C" w:rsidRPr="005060E0">
        <w:rPr>
          <w:rFonts w:cs="Arial"/>
          <w:noProof/>
        </w:rPr>
        <w:noBreakHyphen/>
      </w:r>
      <w:r w:rsidR="00F2067C">
        <w:rPr>
          <w:rFonts w:cs="Arial"/>
          <w:noProof/>
        </w:rPr>
        <w:t>7</w:t>
      </w:r>
      <w:r w:rsidRPr="005060E0">
        <w:rPr>
          <w:rFonts w:cs="Arial"/>
        </w:rPr>
        <w:fldChar w:fldCharType="end"/>
      </w:r>
      <w:r w:rsidRPr="005060E0">
        <w:rPr>
          <w:rFonts w:cs="Arial"/>
        </w:rPr>
        <w:t xml:space="preserve"> and </w:t>
      </w:r>
      <w:r w:rsidRPr="005060E0">
        <w:rPr>
          <w:rFonts w:cs="Arial"/>
        </w:rPr>
        <w:fldChar w:fldCharType="begin"/>
      </w:r>
      <w:r w:rsidRPr="005060E0">
        <w:rPr>
          <w:rFonts w:cs="Arial"/>
        </w:rPr>
        <w:instrText xml:space="preserve"> REF _Ref507507932 \h  \* MERGEFORMAT </w:instrText>
      </w:r>
      <w:r w:rsidRPr="005060E0">
        <w:rPr>
          <w:rFonts w:cs="Arial"/>
        </w:rPr>
      </w:r>
      <w:r w:rsidRPr="005060E0">
        <w:rPr>
          <w:rFonts w:cs="Arial"/>
        </w:rPr>
        <w:fldChar w:fldCharType="separate"/>
      </w:r>
      <w:r w:rsidR="00F2067C" w:rsidRPr="005060E0">
        <w:rPr>
          <w:rFonts w:cs="Arial"/>
        </w:rPr>
        <w:t xml:space="preserve">Table </w:t>
      </w:r>
      <w:r w:rsidR="00F2067C">
        <w:rPr>
          <w:rFonts w:cs="Arial"/>
          <w:noProof/>
        </w:rPr>
        <w:t>8</w:t>
      </w:r>
      <w:r w:rsidR="00F2067C" w:rsidRPr="005060E0">
        <w:rPr>
          <w:rFonts w:cs="Arial"/>
          <w:noProof/>
        </w:rPr>
        <w:noBreakHyphen/>
      </w:r>
      <w:r w:rsidR="00F2067C">
        <w:rPr>
          <w:rFonts w:cs="Arial"/>
          <w:noProof/>
        </w:rPr>
        <w:t>8</w:t>
      </w:r>
      <w:r w:rsidRPr="005060E0">
        <w:rPr>
          <w:rFonts w:cs="Arial"/>
        </w:rPr>
        <w:fldChar w:fldCharType="end"/>
      </w:r>
      <w:r w:rsidRPr="005060E0">
        <w:rPr>
          <w:rFonts w:cs="Arial"/>
        </w:rPr>
        <w:t xml:space="preserve"> respectively. The corresponding results for Victoria are shown in </w:t>
      </w:r>
      <w:r w:rsidRPr="005060E0">
        <w:rPr>
          <w:rFonts w:cs="Arial"/>
        </w:rPr>
        <w:fldChar w:fldCharType="begin"/>
      </w:r>
      <w:r w:rsidRPr="005060E0">
        <w:rPr>
          <w:rFonts w:cs="Arial"/>
        </w:rPr>
        <w:instrText xml:space="preserve"> REF _Ref507507950 \h  \* MERGEFORMAT </w:instrText>
      </w:r>
      <w:r w:rsidRPr="005060E0">
        <w:rPr>
          <w:rFonts w:cs="Arial"/>
        </w:rPr>
      </w:r>
      <w:r w:rsidRPr="005060E0">
        <w:rPr>
          <w:rFonts w:cs="Arial"/>
        </w:rPr>
        <w:fldChar w:fldCharType="separate"/>
      </w:r>
      <w:r w:rsidR="00F2067C" w:rsidRPr="005060E0">
        <w:rPr>
          <w:rFonts w:cs="Arial"/>
        </w:rPr>
        <w:t xml:space="preserve">Table </w:t>
      </w:r>
      <w:r w:rsidR="00F2067C">
        <w:rPr>
          <w:rFonts w:cs="Arial"/>
          <w:noProof/>
        </w:rPr>
        <w:t>8</w:t>
      </w:r>
      <w:r w:rsidR="00F2067C" w:rsidRPr="005060E0">
        <w:rPr>
          <w:rFonts w:cs="Arial"/>
          <w:noProof/>
        </w:rPr>
        <w:noBreakHyphen/>
      </w:r>
      <w:r w:rsidR="00F2067C">
        <w:rPr>
          <w:rFonts w:cs="Arial"/>
          <w:noProof/>
        </w:rPr>
        <w:t>9</w:t>
      </w:r>
      <w:r w:rsidRPr="005060E0">
        <w:rPr>
          <w:rFonts w:cs="Arial"/>
        </w:rPr>
        <w:fldChar w:fldCharType="end"/>
      </w:r>
      <w:r w:rsidRPr="005060E0">
        <w:rPr>
          <w:rFonts w:cs="Arial"/>
        </w:rPr>
        <w:t xml:space="preserve"> and </w:t>
      </w:r>
      <w:r w:rsidRPr="005060E0">
        <w:rPr>
          <w:rFonts w:cs="Arial"/>
        </w:rPr>
        <w:fldChar w:fldCharType="begin"/>
      </w:r>
      <w:r w:rsidRPr="005060E0">
        <w:rPr>
          <w:rFonts w:cs="Arial"/>
        </w:rPr>
        <w:instrText xml:space="preserve"> REF _Ref507507951 \h  \* MERGEFORMAT </w:instrText>
      </w:r>
      <w:r w:rsidRPr="005060E0">
        <w:rPr>
          <w:rFonts w:cs="Arial"/>
        </w:rPr>
      </w:r>
      <w:r w:rsidRPr="005060E0">
        <w:rPr>
          <w:rFonts w:cs="Arial"/>
        </w:rPr>
        <w:fldChar w:fldCharType="separate"/>
      </w:r>
      <w:r w:rsidR="00F2067C" w:rsidRPr="005060E0">
        <w:rPr>
          <w:rFonts w:cs="Arial"/>
        </w:rPr>
        <w:t xml:space="preserve">Table </w:t>
      </w:r>
      <w:r w:rsidR="00F2067C">
        <w:rPr>
          <w:rFonts w:cs="Arial"/>
          <w:noProof/>
        </w:rPr>
        <w:t>8</w:t>
      </w:r>
      <w:r w:rsidR="00F2067C" w:rsidRPr="005060E0">
        <w:rPr>
          <w:rFonts w:cs="Arial"/>
          <w:noProof/>
        </w:rPr>
        <w:noBreakHyphen/>
      </w:r>
      <w:r w:rsidR="00F2067C">
        <w:rPr>
          <w:rFonts w:cs="Arial"/>
          <w:noProof/>
        </w:rPr>
        <w:t>10</w:t>
      </w:r>
      <w:r w:rsidRPr="005060E0">
        <w:rPr>
          <w:rFonts w:cs="Arial"/>
        </w:rPr>
        <w:fldChar w:fldCharType="end"/>
      </w:r>
      <w:r w:rsidR="007E6026" w:rsidRPr="005060E0">
        <w:rPr>
          <w:rFonts w:cs="Arial"/>
        </w:rPr>
        <w:t>.</w:t>
      </w:r>
    </w:p>
    <w:p w14:paraId="2724FB75" w14:textId="340AFF65" w:rsidR="001465C8" w:rsidRPr="005060E0" w:rsidRDefault="001465C8" w:rsidP="001465C8">
      <w:pPr>
        <w:rPr>
          <w:rFonts w:cs="Arial"/>
        </w:rPr>
      </w:pPr>
      <w:r w:rsidRPr="005060E0">
        <w:rPr>
          <w:rFonts w:cs="Arial"/>
        </w:rPr>
        <w:t>The experience with the historical monitoring data showed the patterns of exceedance for O</w:t>
      </w:r>
      <w:r w:rsidRPr="005060E0">
        <w:rPr>
          <w:rFonts w:cs="Arial"/>
          <w:vertAlign w:val="subscript"/>
        </w:rPr>
        <w:t>3</w:t>
      </w:r>
      <w:r w:rsidRPr="005060E0">
        <w:rPr>
          <w:rFonts w:cs="Arial"/>
        </w:rPr>
        <w:t xml:space="preserve"> were more complicated than those for SO</w:t>
      </w:r>
      <w:r w:rsidRPr="005060E0">
        <w:rPr>
          <w:rFonts w:cs="Arial"/>
          <w:vertAlign w:val="subscript"/>
        </w:rPr>
        <w:t>2</w:t>
      </w:r>
      <w:r w:rsidRPr="005060E0">
        <w:rPr>
          <w:rFonts w:cs="Arial"/>
        </w:rPr>
        <w:t xml:space="preserve"> and NO</w:t>
      </w:r>
      <w:r w:rsidRPr="005060E0">
        <w:rPr>
          <w:rFonts w:cs="Arial"/>
          <w:vertAlign w:val="subscript"/>
        </w:rPr>
        <w:t>2</w:t>
      </w:r>
      <w:r w:rsidRPr="005060E0">
        <w:rPr>
          <w:rFonts w:cs="Arial"/>
        </w:rPr>
        <w:t>, and this was also reflected in the projections.</w:t>
      </w:r>
    </w:p>
    <w:p w14:paraId="5137E17B" w14:textId="77777777" w:rsidR="001465C8" w:rsidRPr="005060E0" w:rsidRDefault="001465C8" w:rsidP="001465C8">
      <w:pPr>
        <w:spacing w:after="120"/>
        <w:rPr>
          <w:rFonts w:cs="Arial"/>
        </w:rPr>
      </w:pPr>
      <w:r w:rsidRPr="005060E0">
        <w:rPr>
          <w:rFonts w:cs="Arial"/>
        </w:rPr>
        <w:t>For the 1-hour standards:</w:t>
      </w:r>
    </w:p>
    <w:p w14:paraId="67D217A7" w14:textId="77777777" w:rsidR="001465C8" w:rsidRPr="005060E0" w:rsidRDefault="001465C8" w:rsidP="001465C8">
      <w:pPr>
        <w:pStyle w:val="ListBullet"/>
        <w:spacing w:after="120"/>
        <w:rPr>
          <w:rFonts w:cs="Arial"/>
        </w:rPr>
      </w:pPr>
      <w:r w:rsidRPr="005060E0">
        <w:rPr>
          <w:rFonts w:cs="Arial"/>
        </w:rPr>
        <w:t>All airsheds except Wollongong were predicted to exceed the 70 ppb standard in the future in the BAU scenario, and the Abatement Package did not result in compliance in the other airsheds.</w:t>
      </w:r>
    </w:p>
    <w:p w14:paraId="01E2580F" w14:textId="006EF045" w:rsidR="001465C8" w:rsidRPr="005060E0" w:rsidRDefault="001465C8" w:rsidP="001465C8">
      <w:pPr>
        <w:pStyle w:val="ListBullet"/>
        <w:spacing w:after="120"/>
        <w:rPr>
          <w:rFonts w:cs="Arial"/>
        </w:rPr>
      </w:pPr>
      <w:bookmarkStart w:id="217" w:name="_Hlk1759297"/>
      <w:r w:rsidRPr="005060E0">
        <w:rPr>
          <w:rFonts w:cs="Arial"/>
        </w:rPr>
        <w:t>In the BAU scenario</w:t>
      </w:r>
      <w:r w:rsidR="00CD2F38">
        <w:rPr>
          <w:rFonts w:cs="Arial"/>
        </w:rPr>
        <w:t>,</w:t>
      </w:r>
      <w:r w:rsidRPr="005060E0">
        <w:rPr>
          <w:rFonts w:cs="Arial"/>
        </w:rPr>
        <w:t xml:space="preserve"> Sydney</w:t>
      </w:r>
      <w:r w:rsidR="00E11D73">
        <w:rPr>
          <w:rFonts w:cs="Arial"/>
        </w:rPr>
        <w:t xml:space="preserve"> and</w:t>
      </w:r>
      <w:r w:rsidRPr="005060E0">
        <w:rPr>
          <w:rFonts w:cs="Arial"/>
        </w:rPr>
        <w:t xml:space="preserve"> Newcastle exceeded the 85 ppb standard</w:t>
      </w:r>
      <w:bookmarkEnd w:id="217"/>
      <w:r w:rsidRPr="005060E0">
        <w:rPr>
          <w:rFonts w:cs="Arial"/>
        </w:rPr>
        <w:t xml:space="preserve">, although the Abatement Package resulted </w:t>
      </w:r>
      <w:r w:rsidR="00CD2F38">
        <w:rPr>
          <w:rFonts w:cs="Arial"/>
        </w:rPr>
        <w:t xml:space="preserve">in </w:t>
      </w:r>
      <w:r w:rsidRPr="005060E0">
        <w:rPr>
          <w:rFonts w:cs="Arial"/>
        </w:rPr>
        <w:t>compliance in all years in Newcastle and by 2031 in Sydney. There were predicted to be no exceedances of this standard in the Port Phillip Region</w:t>
      </w:r>
      <w:r w:rsidR="00E11D73">
        <w:rPr>
          <w:rFonts w:cs="Arial"/>
        </w:rPr>
        <w:t xml:space="preserve"> or Latrobe Valley</w:t>
      </w:r>
      <w:r w:rsidRPr="005060E0">
        <w:rPr>
          <w:rFonts w:cs="Arial"/>
        </w:rPr>
        <w:t>.</w:t>
      </w:r>
    </w:p>
    <w:p w14:paraId="6358EAA0" w14:textId="77777777" w:rsidR="001465C8" w:rsidRPr="005060E0" w:rsidRDefault="001465C8" w:rsidP="001465C8">
      <w:pPr>
        <w:pStyle w:val="ListBullet"/>
        <w:rPr>
          <w:rFonts w:cs="Arial"/>
        </w:rPr>
      </w:pPr>
      <w:r w:rsidRPr="005060E0">
        <w:rPr>
          <w:rFonts w:cs="Arial"/>
        </w:rPr>
        <w:t>Both NSW and Victoria were compliant with the current 100 ppb standard in the BAU scenario.</w:t>
      </w:r>
    </w:p>
    <w:p w14:paraId="652DD84A" w14:textId="77777777" w:rsidR="001465C8" w:rsidRPr="005060E0" w:rsidRDefault="001465C8" w:rsidP="001465C8">
      <w:pPr>
        <w:spacing w:after="120"/>
      </w:pPr>
      <w:r w:rsidRPr="005060E0">
        <w:rPr>
          <w:rFonts w:cs="Arial"/>
        </w:rPr>
        <w:t>For the 4-hour standards:</w:t>
      </w:r>
    </w:p>
    <w:p w14:paraId="2ACF6966" w14:textId="77777777" w:rsidR="001465C8" w:rsidRPr="005060E0" w:rsidRDefault="001465C8" w:rsidP="001465C8">
      <w:pPr>
        <w:pStyle w:val="ListBullet"/>
        <w:spacing w:after="120"/>
        <w:rPr>
          <w:rFonts w:cs="Arial"/>
        </w:rPr>
      </w:pPr>
      <w:r w:rsidRPr="005060E0">
        <w:rPr>
          <w:rFonts w:cs="Arial"/>
        </w:rPr>
        <w:t>Both NSW and Victoria exceeded the 60 ppb standard in the BAU scenario, and t</w:t>
      </w:r>
      <w:r w:rsidRPr="005060E0">
        <w:t xml:space="preserve">he Abatement Package did not deliver compliance for either Sydney or the Port Phillip Region. Indeed, the Abatement Package had no substantial effect on the numbers of exceedances predicted to occur in these airsheds. </w:t>
      </w:r>
    </w:p>
    <w:p w14:paraId="720B31B6" w14:textId="77777777" w:rsidR="001465C8" w:rsidRPr="005060E0" w:rsidRDefault="001465C8" w:rsidP="001465C8">
      <w:pPr>
        <w:pStyle w:val="ListBullet"/>
        <w:spacing w:after="120"/>
        <w:rPr>
          <w:rFonts w:cs="Arial"/>
        </w:rPr>
      </w:pPr>
      <w:r w:rsidRPr="005060E0">
        <w:rPr>
          <w:rFonts w:cs="Arial"/>
        </w:rPr>
        <w:t xml:space="preserve">Sydney was predicted to exceed the 70 ppb standard, while the Port Phillip Region was predicted to achieve this. The Abatement Package had little effect in Sydney in 2021, but it did reduce exceedances in 2031 and 2040. </w:t>
      </w:r>
    </w:p>
    <w:p w14:paraId="327F1425" w14:textId="77777777" w:rsidR="001465C8" w:rsidRPr="005060E0" w:rsidRDefault="001465C8" w:rsidP="001465C8">
      <w:pPr>
        <w:pStyle w:val="ListBullet"/>
        <w:rPr>
          <w:rFonts w:cs="Arial"/>
        </w:rPr>
      </w:pPr>
      <w:r w:rsidRPr="005060E0">
        <w:rPr>
          <w:rFonts w:cs="Arial"/>
        </w:rPr>
        <w:t>There were small numbers of exceedances of the 80 ppb standard in Sydney in the BAU scenario, and these did not occur in future years in the Abatement Package scenario.</w:t>
      </w:r>
    </w:p>
    <w:p w14:paraId="5034A130" w14:textId="77777777" w:rsidR="001465C8" w:rsidRPr="005060E0" w:rsidRDefault="001465C8" w:rsidP="001465C8">
      <w:pPr>
        <w:spacing w:after="120"/>
      </w:pPr>
      <w:r w:rsidRPr="005060E0">
        <w:rPr>
          <w:rFonts w:cs="Arial"/>
        </w:rPr>
        <w:t>For the 8-hour standards:</w:t>
      </w:r>
    </w:p>
    <w:p w14:paraId="0E188ECC" w14:textId="77777777" w:rsidR="001465C8" w:rsidRPr="005060E0" w:rsidRDefault="001465C8" w:rsidP="001465C8">
      <w:pPr>
        <w:pStyle w:val="ListBullet"/>
        <w:spacing w:after="120"/>
      </w:pPr>
      <w:r w:rsidRPr="005060E0">
        <w:t>All airsheds were predicted to exceed the 47 ppb standard in at least one year in the BAU scenario. With the exception of Newcastle, this was also the case in the Abatement Package scenario. The</w:t>
      </w:r>
      <w:r w:rsidRPr="005060E0">
        <w:rPr>
          <w:rFonts w:cs="Arial"/>
        </w:rPr>
        <w:t xml:space="preserve"> Abatement Package </w:t>
      </w:r>
      <w:r w:rsidRPr="005060E0">
        <w:t xml:space="preserve">has no discernible effect on the number of exceedances in Sydney, with some improvement predicted for the Port Phillip Region in 2040. </w:t>
      </w:r>
    </w:p>
    <w:p w14:paraId="5F2AF236" w14:textId="77777777" w:rsidR="001465C8" w:rsidRPr="005060E0" w:rsidRDefault="001465C8" w:rsidP="001465C8">
      <w:pPr>
        <w:pStyle w:val="ListBullet"/>
        <w:spacing w:after="120"/>
        <w:rPr>
          <w:rFonts w:cs="Arial"/>
        </w:rPr>
      </w:pPr>
      <w:r w:rsidRPr="005060E0">
        <w:rPr>
          <w:rFonts w:cs="Arial"/>
        </w:rPr>
        <w:t xml:space="preserve">All airsheds except Newcastle and Wollongong were predicted to exceed the 55 ppb standard, even with the Abatement Package. Again, the Abatement Package had no discernible impact in Sydney, with some improvement predicted for the Port Phillip Region in 2031 and 2040. </w:t>
      </w:r>
    </w:p>
    <w:p w14:paraId="0D9AF41C" w14:textId="098FA36A" w:rsidR="001465C8" w:rsidRPr="00295B11" w:rsidRDefault="001465C8" w:rsidP="001465C8">
      <w:pPr>
        <w:pStyle w:val="ListBullet"/>
        <w:spacing w:after="120"/>
      </w:pPr>
      <w:r w:rsidRPr="005060E0">
        <w:t xml:space="preserve">Sydney and the Latrobe Valley were predicted to exceed the 60 ppb standard in the BAU scenario in future years. </w:t>
      </w:r>
      <w:bookmarkStart w:id="218" w:name="_Hlk1760045"/>
      <w:r w:rsidRPr="005060E0">
        <w:t xml:space="preserve">In Sydney </w:t>
      </w:r>
      <w:r w:rsidR="00552683">
        <w:t xml:space="preserve">and the Latrobe Valley </w:t>
      </w:r>
      <w:r w:rsidRPr="005060E0">
        <w:t>in 2031 and 2040 the Abatement Package resulted in no exceedances</w:t>
      </w:r>
      <w:bookmarkEnd w:id="218"/>
      <w:r w:rsidRPr="005060E0">
        <w:t>. This was most likely due to the overall reductions in VOC and NO</w:t>
      </w:r>
      <w:r w:rsidRPr="005060E0">
        <w:rPr>
          <w:vertAlign w:val="subscript"/>
        </w:rPr>
        <w:t>x</w:t>
      </w:r>
      <w:r w:rsidRPr="005060E0">
        <w:t xml:space="preserve"> emissions.</w:t>
      </w:r>
    </w:p>
    <w:p w14:paraId="6932509F" w14:textId="60CEACAB" w:rsidR="001465C8" w:rsidRPr="005060E0" w:rsidRDefault="001465C8" w:rsidP="001465C8">
      <w:pPr>
        <w:pStyle w:val="ListBullet"/>
        <w:rPr>
          <w:rFonts w:cs="Arial"/>
        </w:rPr>
      </w:pPr>
      <w:r w:rsidRPr="005060E0">
        <w:rPr>
          <w:rFonts w:cs="Arial"/>
        </w:rPr>
        <w:t>There were no predicted exceedances of the 70 ppb standard in any airshed in the BAU scenario. With the Abatement Package all airsheds still complied with this standard in future years.</w:t>
      </w:r>
    </w:p>
    <w:p w14:paraId="2B3C506F" w14:textId="77777777" w:rsidR="001465C8" w:rsidRPr="005060E0" w:rsidRDefault="001465C8" w:rsidP="001465C8">
      <w:pPr>
        <w:rPr>
          <w:rFonts w:cs="Arial"/>
        </w:rPr>
      </w:pPr>
    </w:p>
    <w:p w14:paraId="536AEBDC" w14:textId="7481294B" w:rsidR="00DF24E9" w:rsidRPr="005060E0" w:rsidRDefault="00DF24E9" w:rsidP="009B0776">
      <w:pPr>
        <w:rPr>
          <w:rFonts w:cs="Arial"/>
          <w:color w:val="7030A0"/>
        </w:rPr>
      </w:pPr>
    </w:p>
    <w:p w14:paraId="1A1A2333" w14:textId="77777777" w:rsidR="00DF24E9" w:rsidRPr="005060E0" w:rsidRDefault="00DF24E9" w:rsidP="001465C8">
      <w:pPr>
        <w:sectPr w:rsidR="00DF24E9" w:rsidRPr="005060E0" w:rsidSect="005F3F40">
          <w:headerReference w:type="default" r:id="rId39"/>
          <w:pgSz w:w="11906" w:h="16838" w:code="9"/>
          <w:pgMar w:top="1440" w:right="1133" w:bottom="1843" w:left="1134" w:header="680" w:footer="170" w:gutter="0"/>
          <w:cols w:space="708"/>
          <w:docGrid w:linePitch="360"/>
        </w:sectPr>
      </w:pPr>
    </w:p>
    <w:p w14:paraId="2AEFAC0A" w14:textId="3A98D02E" w:rsidR="005F3F40" w:rsidRPr="005060E0" w:rsidRDefault="005F3F40" w:rsidP="005F3F40">
      <w:pPr>
        <w:pStyle w:val="PBTablecaption"/>
        <w:rPr>
          <w:rFonts w:eastAsia="Arial" w:cs="Arial"/>
        </w:rPr>
      </w:pPr>
      <w:bookmarkStart w:id="219" w:name="_Ref507507931"/>
      <w:r w:rsidRPr="005060E0">
        <w:rPr>
          <w:rFonts w:cs="Arial"/>
        </w:rPr>
        <w:t xml:space="preserve">Table </w:t>
      </w:r>
      <w:r w:rsidRPr="005060E0">
        <w:rPr>
          <w:rFonts w:cs="Arial"/>
        </w:rPr>
        <w:fldChar w:fldCharType="begin"/>
      </w:r>
      <w:r w:rsidRPr="005060E0">
        <w:rPr>
          <w:rFonts w:cs="Arial"/>
        </w:rPr>
        <w:instrText xml:space="preserve"> STYLEREF 1 \s </w:instrText>
      </w:r>
      <w:r w:rsidRPr="005060E0">
        <w:rPr>
          <w:rFonts w:cs="Arial"/>
        </w:rPr>
        <w:fldChar w:fldCharType="separate"/>
      </w:r>
      <w:r w:rsidR="00F2067C">
        <w:rPr>
          <w:rFonts w:cs="Arial"/>
          <w:noProof/>
        </w:rPr>
        <w:t>8</w:t>
      </w:r>
      <w:r w:rsidRPr="005060E0">
        <w:rPr>
          <w:rFonts w:cs="Arial"/>
          <w:noProof/>
        </w:rPr>
        <w:fldChar w:fldCharType="end"/>
      </w:r>
      <w:r w:rsidRPr="005060E0">
        <w:rPr>
          <w:rFonts w:cs="Arial"/>
        </w:rPr>
        <w:noBreakHyphen/>
      </w:r>
      <w:r w:rsidRPr="005060E0">
        <w:rPr>
          <w:rFonts w:cs="Arial"/>
        </w:rPr>
        <w:fldChar w:fldCharType="begin"/>
      </w:r>
      <w:r w:rsidRPr="005060E0">
        <w:rPr>
          <w:rFonts w:cs="Arial"/>
        </w:rPr>
        <w:instrText xml:space="preserve"> SEQ Table \* ARABIC \s 1 </w:instrText>
      </w:r>
      <w:r w:rsidRPr="005060E0">
        <w:rPr>
          <w:rFonts w:cs="Arial"/>
        </w:rPr>
        <w:fldChar w:fldCharType="separate"/>
      </w:r>
      <w:r w:rsidR="00F2067C">
        <w:rPr>
          <w:rFonts w:cs="Arial"/>
          <w:noProof/>
        </w:rPr>
        <w:t>7</w:t>
      </w:r>
      <w:r w:rsidRPr="005060E0">
        <w:rPr>
          <w:rFonts w:cs="Arial"/>
          <w:noProof/>
        </w:rPr>
        <w:fldChar w:fldCharType="end"/>
      </w:r>
      <w:bookmarkEnd w:id="219"/>
      <w:r w:rsidRPr="005060E0">
        <w:rPr>
          <w:rFonts w:cs="Arial"/>
        </w:rPr>
        <w:t>: Projected</w:t>
      </w:r>
      <w:r w:rsidR="00CE5917" w:rsidRPr="005060E0">
        <w:rPr>
          <w:rFonts w:eastAsia="Arial" w:cs="Arial"/>
        </w:rPr>
        <w:t xml:space="preserve"> </w:t>
      </w:r>
      <w:r w:rsidRPr="005060E0">
        <w:rPr>
          <w:rFonts w:eastAsia="Arial" w:cs="Arial"/>
        </w:rPr>
        <w:t>exceedance</w:t>
      </w:r>
      <w:r w:rsidR="00CE5917" w:rsidRPr="005060E0">
        <w:rPr>
          <w:rFonts w:eastAsia="Arial" w:cs="Arial"/>
        </w:rPr>
        <w:t>s of current and proposed</w:t>
      </w:r>
      <w:r w:rsidRPr="005060E0">
        <w:rPr>
          <w:rFonts w:eastAsia="Arial" w:cs="Arial"/>
        </w:rPr>
        <w:t xml:space="preserve"> O</w:t>
      </w:r>
      <w:r w:rsidRPr="005060E0">
        <w:rPr>
          <w:rFonts w:eastAsia="Arial" w:cs="Arial"/>
          <w:vertAlign w:val="subscript"/>
        </w:rPr>
        <w:t>3</w:t>
      </w:r>
      <w:r w:rsidRPr="005060E0">
        <w:rPr>
          <w:rFonts w:eastAsia="Arial" w:cs="Arial"/>
        </w:rPr>
        <w:t xml:space="preserve"> standards (BAU scenario, NSW)</w:t>
      </w:r>
    </w:p>
    <w:tbl>
      <w:tblPr>
        <w:tblStyle w:val="ListTable3-Accent17"/>
        <w:tblW w:w="5000" w:type="pct"/>
        <w:tblLook w:val="04A0" w:firstRow="1" w:lastRow="0" w:firstColumn="1" w:lastColumn="0" w:noHBand="0" w:noVBand="1"/>
      </w:tblPr>
      <w:tblGrid>
        <w:gridCol w:w="853"/>
        <w:gridCol w:w="856"/>
        <w:gridCol w:w="571"/>
        <w:gridCol w:w="1544"/>
        <w:gridCol w:w="706"/>
        <w:gridCol w:w="711"/>
        <w:gridCol w:w="708"/>
        <w:gridCol w:w="708"/>
        <w:gridCol w:w="1276"/>
        <w:gridCol w:w="708"/>
        <w:gridCol w:w="567"/>
        <w:gridCol w:w="711"/>
        <w:gridCol w:w="708"/>
        <w:gridCol w:w="1276"/>
        <w:gridCol w:w="567"/>
        <w:gridCol w:w="567"/>
        <w:gridCol w:w="567"/>
        <w:gridCol w:w="508"/>
      </w:tblGrid>
      <w:tr w:rsidR="005F3F40" w:rsidRPr="005060E0" w14:paraId="2B74167F" w14:textId="77777777" w:rsidTr="001F63CF">
        <w:trPr>
          <w:cnfStyle w:val="100000000000" w:firstRow="1" w:lastRow="0" w:firstColumn="0" w:lastColumn="0" w:oddVBand="0" w:evenVBand="0" w:oddHBand="0" w:evenHBand="0" w:firstRowFirstColumn="0" w:firstRowLastColumn="0" w:lastRowFirstColumn="0" w:lastRowLastColumn="0"/>
          <w:trHeight w:hRule="exact" w:val="340"/>
          <w:tblHeader/>
        </w:trPr>
        <w:tc>
          <w:tcPr>
            <w:cnfStyle w:val="001000000100" w:firstRow="0" w:lastRow="0" w:firstColumn="1" w:lastColumn="0" w:oddVBand="0" w:evenVBand="0" w:oddHBand="0" w:evenHBand="0" w:firstRowFirstColumn="1" w:firstRowLastColumn="0" w:lastRowFirstColumn="0" w:lastRowLastColumn="0"/>
            <w:tcW w:w="302" w:type="pct"/>
            <w:vMerge w:val="restar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47A7D82B" w14:textId="77777777" w:rsidR="005F3F40" w:rsidRPr="005060E0" w:rsidRDefault="005F3F40" w:rsidP="005F3F40">
            <w:pPr>
              <w:widowControl w:val="0"/>
              <w:spacing w:after="0" w:line="240" w:lineRule="auto"/>
              <w:jc w:val="center"/>
              <w:rPr>
                <w:rFonts w:cs="Arial"/>
                <w:b w:val="0"/>
                <w:color w:val="FFFFFF" w:themeColor="background1"/>
                <w:sz w:val="15"/>
                <w:szCs w:val="15"/>
              </w:rPr>
            </w:pPr>
            <w:r w:rsidRPr="005060E0">
              <w:rPr>
                <w:rFonts w:cs="Arial"/>
                <w:b w:val="0"/>
                <w:color w:val="FFFFFF" w:themeColor="background1"/>
                <w:sz w:val="15"/>
                <w:szCs w:val="15"/>
              </w:rPr>
              <w:t>Period</w:t>
            </w:r>
          </w:p>
        </w:tc>
        <w:tc>
          <w:tcPr>
            <w:tcW w:w="303" w:type="pct"/>
            <w:vMerge w:val="restar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0D1CCFFA" w14:textId="77777777" w:rsidR="005F3F40" w:rsidRPr="005060E0" w:rsidRDefault="005F3F40"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Standard (ppb)</w:t>
            </w:r>
          </w:p>
        </w:tc>
        <w:tc>
          <w:tcPr>
            <w:tcW w:w="202" w:type="pct"/>
            <w:vMerge w:val="restar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256361F2" w14:textId="77777777" w:rsidR="005F3F40" w:rsidRPr="005060E0" w:rsidRDefault="005F3F40" w:rsidP="005F3F4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p>
        </w:tc>
        <w:tc>
          <w:tcPr>
            <w:tcW w:w="1551" w:type="pct"/>
            <w:gridSpan w:val="5"/>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70B13643" w14:textId="77777777" w:rsidR="005F3F40" w:rsidRPr="005060E0" w:rsidRDefault="005F3F40" w:rsidP="005F3F4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NSW: Sydney</w:t>
            </w:r>
          </w:p>
        </w:tc>
        <w:tc>
          <w:tcPr>
            <w:tcW w:w="1407" w:type="pct"/>
            <w:gridSpan w:val="5"/>
            <w:tcBorders>
              <w:top w:val="single" w:sz="4" w:space="0" w:color="606072"/>
              <w:left w:val="single" w:sz="4" w:space="0" w:color="606072"/>
              <w:bottom w:val="single" w:sz="4" w:space="0" w:color="606072"/>
              <w:right w:val="single" w:sz="4" w:space="0" w:color="606072"/>
            </w:tcBorders>
            <w:shd w:val="clear" w:color="auto" w:fill="606072"/>
            <w:vAlign w:val="center"/>
          </w:tcPr>
          <w:p w14:paraId="597B8EC4" w14:textId="77777777" w:rsidR="005F3F40" w:rsidRPr="005060E0" w:rsidRDefault="005F3F40" w:rsidP="005F3F4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NSW: Newcastle</w:t>
            </w:r>
          </w:p>
        </w:tc>
        <w:tc>
          <w:tcPr>
            <w:tcW w:w="1235" w:type="pct"/>
            <w:gridSpan w:val="5"/>
            <w:tcBorders>
              <w:top w:val="single" w:sz="4" w:space="0" w:color="606072"/>
              <w:left w:val="single" w:sz="4" w:space="0" w:color="606072"/>
              <w:bottom w:val="single" w:sz="4" w:space="0" w:color="606072"/>
              <w:right w:val="single" w:sz="4" w:space="0" w:color="606072"/>
            </w:tcBorders>
            <w:shd w:val="clear" w:color="auto" w:fill="606072"/>
            <w:vAlign w:val="center"/>
          </w:tcPr>
          <w:p w14:paraId="7420DABA" w14:textId="77777777" w:rsidR="005F3F40" w:rsidRPr="005060E0" w:rsidRDefault="005F3F40" w:rsidP="005F3F4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NSW: Wollongong</w:t>
            </w:r>
          </w:p>
        </w:tc>
      </w:tr>
      <w:tr w:rsidR="00BF7BF2" w:rsidRPr="005060E0" w14:paraId="61080775" w14:textId="77777777" w:rsidTr="001F63CF">
        <w:tblPrEx>
          <w:tblBorders>
            <w:top w:val="single" w:sz="2" w:space="0" w:color="0076C0"/>
            <w:left w:val="single" w:sz="2" w:space="0" w:color="0076C0"/>
            <w:bottom w:val="single" w:sz="2" w:space="0" w:color="0076C0"/>
            <w:right w:val="single" w:sz="2" w:space="0" w:color="0076C0"/>
          </w:tblBorders>
          <w:tblCellMar>
            <w:left w:w="41" w:type="dxa"/>
            <w:right w:w="41" w:type="dxa"/>
          </w:tblCellMar>
        </w:tblPrEx>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100" w:firstRow="0" w:lastRow="0" w:firstColumn="1" w:lastColumn="0" w:oddVBand="0" w:evenVBand="0" w:oddHBand="0" w:evenHBand="0" w:firstRowFirstColumn="1" w:firstRowLastColumn="0" w:lastRowFirstColumn="0" w:lastRowLastColumn="0"/>
            <w:tcW w:w="302" w:type="pct"/>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1F8FC29B" w14:textId="77777777" w:rsidR="005F3F40" w:rsidRPr="005060E0" w:rsidRDefault="005F3F40" w:rsidP="005F3F40">
            <w:pPr>
              <w:widowControl w:val="0"/>
              <w:spacing w:after="0" w:line="240" w:lineRule="auto"/>
              <w:rPr>
                <w:rFonts w:cs="Arial"/>
                <w:b w:val="0"/>
                <w:color w:val="FFFFFF" w:themeColor="background1"/>
                <w:sz w:val="15"/>
                <w:szCs w:val="15"/>
              </w:rPr>
            </w:pPr>
          </w:p>
        </w:tc>
        <w:tc>
          <w:tcPr>
            <w:tcW w:w="303" w:type="pct"/>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69297E30" w14:textId="77777777" w:rsidR="005F3F40" w:rsidRPr="005060E0" w:rsidRDefault="005F3F40" w:rsidP="005F3F4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p>
        </w:tc>
        <w:tc>
          <w:tcPr>
            <w:tcW w:w="202" w:type="pct"/>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77DAD505" w14:textId="77777777" w:rsidR="005F3F40" w:rsidRPr="005060E0" w:rsidRDefault="005F3F40"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p>
        </w:tc>
        <w:tc>
          <w:tcPr>
            <w:tcW w:w="547" w:type="pct"/>
            <w:tcBorders>
              <w:top w:val="single" w:sz="4" w:space="0" w:color="606072"/>
              <w:left w:val="single" w:sz="4" w:space="0" w:color="606072"/>
              <w:bottom w:val="single" w:sz="4" w:space="0" w:color="606072"/>
              <w:right w:val="single" w:sz="4" w:space="0" w:color="606072"/>
            </w:tcBorders>
            <w:shd w:val="clear" w:color="auto" w:fill="828284" w:themeFill="text1" w:themeFillTint="A6"/>
            <w:tcMar>
              <w:left w:w="28" w:type="dxa"/>
              <w:right w:w="28" w:type="dxa"/>
            </w:tcMar>
            <w:vAlign w:val="center"/>
          </w:tcPr>
          <w:p w14:paraId="212B1C00" w14:textId="77777777" w:rsidR="005F3F40" w:rsidRPr="005060E0" w:rsidRDefault="005F3F40"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i/>
                <w:color w:val="FFFFFF" w:themeColor="background1"/>
                <w:sz w:val="15"/>
                <w:szCs w:val="15"/>
              </w:rPr>
            </w:pPr>
            <w:r w:rsidRPr="005060E0">
              <w:rPr>
                <w:rFonts w:cs="Arial"/>
                <w:b w:val="0"/>
                <w:i/>
                <w:color w:val="FFFFFF" w:themeColor="background1"/>
                <w:sz w:val="15"/>
                <w:szCs w:val="15"/>
              </w:rPr>
              <w:t>Measured</w:t>
            </w:r>
          </w:p>
        </w:tc>
        <w:tc>
          <w:tcPr>
            <w:tcW w:w="1004" w:type="pct"/>
            <w:gridSpan w:val="4"/>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0DDDF728" w14:textId="1E7D7F56" w:rsidR="005F3F40" w:rsidRPr="005060E0" w:rsidRDefault="00CE5917"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Projected</w:t>
            </w:r>
          </w:p>
        </w:tc>
        <w:tc>
          <w:tcPr>
            <w:tcW w:w="452" w:type="pct"/>
            <w:tcBorders>
              <w:top w:val="single" w:sz="4" w:space="0" w:color="606072"/>
              <w:left w:val="single" w:sz="4" w:space="0" w:color="606072"/>
              <w:bottom w:val="single" w:sz="4" w:space="0" w:color="606072"/>
              <w:right w:val="single" w:sz="4" w:space="0" w:color="606072"/>
            </w:tcBorders>
            <w:shd w:val="clear" w:color="auto" w:fill="828284" w:themeFill="text1" w:themeFillTint="A6"/>
            <w:tcMar>
              <w:left w:w="28" w:type="dxa"/>
              <w:right w:w="28" w:type="dxa"/>
            </w:tcMar>
            <w:vAlign w:val="center"/>
          </w:tcPr>
          <w:p w14:paraId="175F7421" w14:textId="77777777" w:rsidR="005F3F40" w:rsidRPr="005060E0" w:rsidRDefault="005F3F40"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i/>
                <w:color w:val="FFFFFF" w:themeColor="background1"/>
                <w:sz w:val="15"/>
                <w:szCs w:val="15"/>
              </w:rPr>
            </w:pPr>
            <w:r w:rsidRPr="005060E0">
              <w:rPr>
                <w:rFonts w:cs="Arial"/>
                <w:b w:val="0"/>
                <w:i/>
                <w:color w:val="FFFFFF" w:themeColor="background1"/>
                <w:sz w:val="15"/>
                <w:szCs w:val="15"/>
              </w:rPr>
              <w:t>Measured</w:t>
            </w:r>
          </w:p>
        </w:tc>
        <w:tc>
          <w:tcPr>
            <w:tcW w:w="955" w:type="pct"/>
            <w:gridSpan w:val="4"/>
            <w:tcBorders>
              <w:top w:val="single" w:sz="4" w:space="0" w:color="606072"/>
              <w:left w:val="single" w:sz="4" w:space="0" w:color="606072"/>
              <w:bottom w:val="single" w:sz="4" w:space="0" w:color="606072"/>
              <w:right w:val="single" w:sz="4" w:space="0" w:color="606072"/>
            </w:tcBorders>
            <w:shd w:val="clear" w:color="auto" w:fill="606072"/>
            <w:vAlign w:val="center"/>
          </w:tcPr>
          <w:p w14:paraId="43F6CB1D" w14:textId="1206CECF" w:rsidR="005F3F40" w:rsidRPr="005060E0" w:rsidRDefault="00CE5917"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Projected</w:t>
            </w:r>
          </w:p>
        </w:tc>
        <w:tc>
          <w:tcPr>
            <w:tcW w:w="452" w:type="pct"/>
            <w:tcBorders>
              <w:top w:val="single" w:sz="4" w:space="0" w:color="606072"/>
              <w:left w:val="single" w:sz="4" w:space="0" w:color="606072"/>
              <w:bottom w:val="single" w:sz="4" w:space="0" w:color="606072"/>
              <w:right w:val="single" w:sz="4" w:space="0" w:color="606072"/>
            </w:tcBorders>
            <w:shd w:val="clear" w:color="auto" w:fill="828284" w:themeFill="text1" w:themeFillTint="A6"/>
            <w:tcMar>
              <w:left w:w="28" w:type="dxa"/>
              <w:right w:w="28" w:type="dxa"/>
            </w:tcMar>
            <w:vAlign w:val="center"/>
          </w:tcPr>
          <w:p w14:paraId="6DDAE90E" w14:textId="77777777" w:rsidR="005F3F40" w:rsidRPr="005060E0" w:rsidRDefault="005F3F40"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i/>
                <w:color w:val="FFFFFF" w:themeColor="background1"/>
                <w:sz w:val="15"/>
                <w:szCs w:val="15"/>
              </w:rPr>
            </w:pPr>
            <w:r w:rsidRPr="005060E0">
              <w:rPr>
                <w:rFonts w:cs="Arial"/>
                <w:b w:val="0"/>
                <w:i/>
                <w:color w:val="FFFFFF" w:themeColor="background1"/>
                <w:sz w:val="15"/>
                <w:szCs w:val="15"/>
              </w:rPr>
              <w:t>Measured</w:t>
            </w:r>
          </w:p>
        </w:tc>
        <w:tc>
          <w:tcPr>
            <w:tcW w:w="783" w:type="pct"/>
            <w:gridSpan w:val="4"/>
            <w:tcBorders>
              <w:top w:val="single" w:sz="4" w:space="0" w:color="606072"/>
              <w:left w:val="single" w:sz="4" w:space="0" w:color="606072"/>
              <w:bottom w:val="single" w:sz="4" w:space="0" w:color="606072"/>
              <w:right w:val="single" w:sz="4" w:space="0" w:color="606072"/>
            </w:tcBorders>
            <w:shd w:val="clear" w:color="auto" w:fill="606072"/>
            <w:vAlign w:val="center"/>
          </w:tcPr>
          <w:p w14:paraId="022BAFE8" w14:textId="1FD035BD" w:rsidR="005F3F40" w:rsidRPr="005060E0" w:rsidRDefault="00CE5917"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Projected</w:t>
            </w:r>
          </w:p>
        </w:tc>
      </w:tr>
      <w:tr w:rsidR="007F77AB" w:rsidRPr="005060E0" w14:paraId="1F4BBA9A" w14:textId="77777777" w:rsidTr="001F63CF">
        <w:tblPrEx>
          <w:tblBorders>
            <w:top w:val="single" w:sz="2" w:space="0" w:color="0076C0"/>
            <w:left w:val="single" w:sz="2" w:space="0" w:color="0076C0"/>
            <w:bottom w:val="single" w:sz="2" w:space="0" w:color="0076C0"/>
            <w:right w:val="single" w:sz="2" w:space="0" w:color="0076C0"/>
          </w:tblBorders>
          <w:tblCellMar>
            <w:left w:w="41" w:type="dxa"/>
            <w:right w:w="41" w:type="dxa"/>
          </w:tblCellMar>
        </w:tblPrEx>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100" w:firstRow="0" w:lastRow="0" w:firstColumn="1" w:lastColumn="0" w:oddVBand="0" w:evenVBand="0" w:oddHBand="0" w:evenHBand="0" w:firstRowFirstColumn="1" w:firstRowLastColumn="0" w:lastRowFirstColumn="0" w:lastRowLastColumn="0"/>
            <w:tcW w:w="302" w:type="pct"/>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0C130BD8" w14:textId="77777777" w:rsidR="005F3F40" w:rsidRPr="005060E0" w:rsidRDefault="005F3F40" w:rsidP="005F3F40">
            <w:pPr>
              <w:widowControl w:val="0"/>
              <w:spacing w:after="0" w:line="240" w:lineRule="auto"/>
              <w:rPr>
                <w:rFonts w:cs="Arial"/>
                <w:b w:val="0"/>
                <w:color w:val="FFFFFF" w:themeColor="background1"/>
                <w:sz w:val="15"/>
                <w:szCs w:val="15"/>
              </w:rPr>
            </w:pPr>
          </w:p>
        </w:tc>
        <w:tc>
          <w:tcPr>
            <w:tcW w:w="303" w:type="pct"/>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51BA1D02" w14:textId="77777777" w:rsidR="005F3F40" w:rsidRPr="005060E0" w:rsidRDefault="005F3F40" w:rsidP="005F3F4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p>
        </w:tc>
        <w:tc>
          <w:tcPr>
            <w:tcW w:w="202" w:type="pct"/>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6BF7B0C3" w14:textId="77777777" w:rsidR="005F3F40" w:rsidRPr="005060E0" w:rsidRDefault="005F3F40"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p>
        </w:tc>
        <w:tc>
          <w:tcPr>
            <w:tcW w:w="547" w:type="pct"/>
            <w:tcBorders>
              <w:top w:val="single" w:sz="4" w:space="0" w:color="606072"/>
              <w:left w:val="single" w:sz="4" w:space="0" w:color="606072"/>
              <w:bottom w:val="single" w:sz="4" w:space="0" w:color="606072"/>
              <w:right w:val="single" w:sz="4" w:space="0" w:color="606072"/>
            </w:tcBorders>
            <w:shd w:val="clear" w:color="auto" w:fill="808080" w:themeFill="background1" w:themeFillShade="80"/>
            <w:tcMar>
              <w:left w:w="28" w:type="dxa"/>
              <w:right w:w="28" w:type="dxa"/>
            </w:tcMar>
            <w:vAlign w:val="center"/>
          </w:tcPr>
          <w:p w14:paraId="2E811120" w14:textId="024BC65C" w:rsidR="005F3F40" w:rsidRPr="005060E0" w:rsidRDefault="001F63CF" w:rsidP="001F63C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i/>
                <w:color w:val="FFFFFF" w:themeColor="background1"/>
                <w:sz w:val="15"/>
                <w:szCs w:val="15"/>
              </w:rPr>
            </w:pPr>
            <w:r w:rsidRPr="005060E0">
              <w:rPr>
                <w:rFonts w:cs="Arial"/>
                <w:b w:val="0"/>
                <w:i/>
                <w:color w:val="FFFFFF" w:themeColor="background1"/>
                <w:sz w:val="15"/>
                <w:szCs w:val="15"/>
              </w:rPr>
              <w:t>2010</w:t>
            </w:r>
            <w:r w:rsidR="00DF4D3A" w:rsidRPr="005060E0">
              <w:rPr>
                <w:rFonts w:cs="Arial"/>
                <w:b w:val="0"/>
                <w:i/>
                <w:color w:val="FFFFFF" w:themeColor="background1"/>
                <w:sz w:val="15"/>
                <w:szCs w:val="15"/>
              </w:rPr>
              <w:t>–20</w:t>
            </w:r>
            <w:r w:rsidR="001B3859" w:rsidRPr="005060E0">
              <w:rPr>
                <w:rFonts w:cs="Arial"/>
                <w:b w:val="0"/>
                <w:i/>
                <w:color w:val="FFFFFF" w:themeColor="background1"/>
                <w:sz w:val="15"/>
                <w:szCs w:val="15"/>
              </w:rPr>
              <w:t>14 annual</w:t>
            </w:r>
            <w:r w:rsidR="005F3F40" w:rsidRPr="005060E0">
              <w:rPr>
                <w:rFonts w:cs="Arial"/>
                <w:b w:val="0"/>
                <w:i/>
                <w:color w:val="FFFFFF" w:themeColor="background1"/>
                <w:sz w:val="15"/>
                <w:szCs w:val="15"/>
              </w:rPr>
              <w:t xml:space="preserve"> average</w:t>
            </w:r>
            <w:r w:rsidR="005F3F40" w:rsidRPr="005060E0">
              <w:rPr>
                <w:rFonts w:cs="Arial"/>
                <w:b w:val="0"/>
                <w:i/>
                <w:color w:val="FFFFFF" w:themeColor="background1"/>
                <w:sz w:val="15"/>
                <w:szCs w:val="15"/>
                <w:vertAlign w:val="superscript"/>
              </w:rPr>
              <w:t>(a)</w:t>
            </w:r>
          </w:p>
        </w:tc>
        <w:tc>
          <w:tcPr>
            <w:tcW w:w="250" w:type="pc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287AB46B" w14:textId="77777777" w:rsidR="005F3F40" w:rsidRPr="005060E0" w:rsidRDefault="005F3F40"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2016</w:t>
            </w:r>
          </w:p>
        </w:tc>
        <w:tc>
          <w:tcPr>
            <w:tcW w:w="252" w:type="pc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066844C4" w14:textId="77777777" w:rsidR="005F3F40" w:rsidRPr="005060E0" w:rsidRDefault="005F3F40"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2021</w:t>
            </w:r>
          </w:p>
        </w:tc>
        <w:tc>
          <w:tcPr>
            <w:tcW w:w="251" w:type="pc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6922C926" w14:textId="77777777" w:rsidR="005F3F40" w:rsidRPr="005060E0" w:rsidRDefault="005F3F40"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2031</w:t>
            </w:r>
          </w:p>
        </w:tc>
        <w:tc>
          <w:tcPr>
            <w:tcW w:w="251" w:type="pc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768BAE9D" w14:textId="77777777" w:rsidR="005F3F40" w:rsidRPr="005060E0" w:rsidRDefault="005F3F40"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2040</w:t>
            </w:r>
          </w:p>
        </w:tc>
        <w:tc>
          <w:tcPr>
            <w:tcW w:w="452" w:type="pct"/>
            <w:tcBorders>
              <w:top w:val="single" w:sz="4" w:space="0" w:color="606072"/>
              <w:left w:val="single" w:sz="4" w:space="0" w:color="606072"/>
              <w:bottom w:val="single" w:sz="4" w:space="0" w:color="606072"/>
              <w:right w:val="single" w:sz="4" w:space="0" w:color="606072"/>
            </w:tcBorders>
            <w:shd w:val="clear" w:color="auto" w:fill="808080" w:themeFill="background1" w:themeFillShade="80"/>
            <w:tcMar>
              <w:left w:w="28" w:type="dxa"/>
              <w:right w:w="28" w:type="dxa"/>
            </w:tcMar>
            <w:vAlign w:val="center"/>
          </w:tcPr>
          <w:p w14:paraId="655363D6" w14:textId="5C07FE09" w:rsidR="005F3F40" w:rsidRPr="005060E0" w:rsidRDefault="001F63CF" w:rsidP="001F63C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i/>
                <w:color w:val="FFFFFF" w:themeColor="background1"/>
                <w:sz w:val="15"/>
                <w:szCs w:val="15"/>
              </w:rPr>
            </w:pPr>
            <w:r w:rsidRPr="005060E0">
              <w:rPr>
                <w:rFonts w:cs="Arial"/>
                <w:b w:val="0"/>
                <w:i/>
                <w:color w:val="FFFFFF" w:themeColor="background1"/>
                <w:sz w:val="15"/>
                <w:szCs w:val="15"/>
              </w:rPr>
              <w:t>2010</w:t>
            </w:r>
            <w:r w:rsidR="00DF4D3A" w:rsidRPr="005060E0">
              <w:rPr>
                <w:rFonts w:cs="Arial"/>
                <w:b w:val="0"/>
                <w:i/>
                <w:color w:val="FFFFFF" w:themeColor="background1"/>
                <w:sz w:val="15"/>
                <w:szCs w:val="15"/>
              </w:rPr>
              <w:t>–20</w:t>
            </w:r>
            <w:r w:rsidR="005F3F40" w:rsidRPr="005060E0">
              <w:rPr>
                <w:rFonts w:cs="Arial"/>
                <w:b w:val="0"/>
                <w:i/>
                <w:color w:val="FFFFFF" w:themeColor="background1"/>
                <w:sz w:val="15"/>
                <w:szCs w:val="15"/>
              </w:rPr>
              <w:t>14</w:t>
            </w:r>
          </w:p>
          <w:p w14:paraId="4B2A07AC" w14:textId="7F6B7A75" w:rsidR="005F3F40" w:rsidRPr="005060E0" w:rsidRDefault="001B3859"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i/>
                <w:color w:val="FFFFFF" w:themeColor="background1"/>
                <w:sz w:val="15"/>
                <w:szCs w:val="15"/>
              </w:rPr>
            </w:pPr>
            <w:r w:rsidRPr="005060E0">
              <w:rPr>
                <w:rFonts w:cs="Arial"/>
                <w:b w:val="0"/>
                <w:i/>
                <w:color w:val="FFFFFF" w:themeColor="background1"/>
                <w:sz w:val="15"/>
                <w:szCs w:val="15"/>
              </w:rPr>
              <w:t>annual</w:t>
            </w:r>
            <w:r w:rsidR="005F3F40" w:rsidRPr="005060E0">
              <w:rPr>
                <w:rFonts w:cs="Arial"/>
                <w:b w:val="0"/>
                <w:i/>
                <w:color w:val="FFFFFF" w:themeColor="background1"/>
                <w:sz w:val="15"/>
                <w:szCs w:val="15"/>
              </w:rPr>
              <w:t xml:space="preserve"> average</w:t>
            </w:r>
            <w:r w:rsidR="005F3F40" w:rsidRPr="005060E0">
              <w:rPr>
                <w:rFonts w:cs="Arial"/>
                <w:b w:val="0"/>
                <w:i/>
                <w:color w:val="FFFFFF" w:themeColor="background1"/>
                <w:sz w:val="15"/>
                <w:szCs w:val="15"/>
                <w:vertAlign w:val="superscript"/>
              </w:rPr>
              <w:t>(a)</w:t>
            </w:r>
          </w:p>
        </w:tc>
        <w:tc>
          <w:tcPr>
            <w:tcW w:w="251" w:type="pct"/>
            <w:tcBorders>
              <w:top w:val="single" w:sz="4" w:space="0" w:color="606072"/>
              <w:left w:val="single" w:sz="4" w:space="0" w:color="606072"/>
              <w:bottom w:val="single" w:sz="4" w:space="0" w:color="606072"/>
              <w:right w:val="single" w:sz="4" w:space="0" w:color="606072"/>
            </w:tcBorders>
            <w:shd w:val="clear" w:color="auto" w:fill="606072"/>
            <w:vAlign w:val="center"/>
          </w:tcPr>
          <w:p w14:paraId="26751FC9" w14:textId="77777777" w:rsidR="005F3F40" w:rsidRPr="005060E0" w:rsidRDefault="005F3F40"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2016</w:t>
            </w:r>
          </w:p>
        </w:tc>
        <w:tc>
          <w:tcPr>
            <w:tcW w:w="201" w:type="pc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765134BD" w14:textId="77777777" w:rsidR="005F3F40" w:rsidRPr="005060E0" w:rsidRDefault="005F3F40"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2021</w:t>
            </w:r>
          </w:p>
        </w:tc>
        <w:tc>
          <w:tcPr>
            <w:tcW w:w="252" w:type="pc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246124E2" w14:textId="77777777" w:rsidR="005F3F40" w:rsidRPr="005060E0" w:rsidRDefault="005F3F40"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2031</w:t>
            </w:r>
          </w:p>
        </w:tc>
        <w:tc>
          <w:tcPr>
            <w:tcW w:w="251" w:type="pc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3DD0AD12" w14:textId="77777777" w:rsidR="005F3F40" w:rsidRPr="005060E0" w:rsidRDefault="005F3F40"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2040</w:t>
            </w:r>
          </w:p>
        </w:tc>
        <w:tc>
          <w:tcPr>
            <w:tcW w:w="452" w:type="pct"/>
            <w:tcBorders>
              <w:top w:val="single" w:sz="4" w:space="0" w:color="606072"/>
              <w:left w:val="single" w:sz="4" w:space="0" w:color="606072"/>
              <w:bottom w:val="single" w:sz="4" w:space="0" w:color="606072"/>
              <w:right w:val="single" w:sz="4" w:space="0" w:color="606072"/>
            </w:tcBorders>
            <w:shd w:val="clear" w:color="auto" w:fill="808080" w:themeFill="background1" w:themeFillShade="80"/>
            <w:tcMar>
              <w:left w:w="28" w:type="dxa"/>
              <w:right w:w="28" w:type="dxa"/>
            </w:tcMar>
            <w:vAlign w:val="center"/>
          </w:tcPr>
          <w:p w14:paraId="69D22F24" w14:textId="39386F12" w:rsidR="005F3F40" w:rsidRPr="005060E0" w:rsidRDefault="001F63CF" w:rsidP="001F63C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i/>
                <w:color w:val="FFFFFF" w:themeColor="background1"/>
                <w:sz w:val="15"/>
                <w:szCs w:val="15"/>
              </w:rPr>
            </w:pPr>
            <w:r w:rsidRPr="005060E0">
              <w:rPr>
                <w:rFonts w:cs="Arial"/>
                <w:b w:val="0"/>
                <w:bCs w:val="0"/>
                <w:i/>
                <w:color w:val="FFFFFF" w:themeColor="background1"/>
                <w:sz w:val="15"/>
                <w:szCs w:val="15"/>
              </w:rPr>
              <w:t>2010</w:t>
            </w:r>
            <w:r w:rsidR="00DF4D3A" w:rsidRPr="005060E0">
              <w:rPr>
                <w:rFonts w:cs="Arial"/>
                <w:b w:val="0"/>
                <w:bCs w:val="0"/>
                <w:i/>
                <w:color w:val="FFFFFF" w:themeColor="background1"/>
                <w:sz w:val="15"/>
                <w:szCs w:val="15"/>
              </w:rPr>
              <w:t>–20</w:t>
            </w:r>
            <w:r w:rsidR="001B3859" w:rsidRPr="005060E0">
              <w:rPr>
                <w:rFonts w:cs="Arial"/>
                <w:b w:val="0"/>
                <w:bCs w:val="0"/>
                <w:i/>
                <w:color w:val="FFFFFF" w:themeColor="background1"/>
                <w:sz w:val="15"/>
                <w:szCs w:val="15"/>
              </w:rPr>
              <w:t>14 annual</w:t>
            </w:r>
            <w:r w:rsidRPr="005060E0">
              <w:rPr>
                <w:rFonts w:cs="Arial"/>
                <w:b w:val="0"/>
                <w:bCs w:val="0"/>
                <w:i/>
                <w:color w:val="FFFFFF" w:themeColor="background1"/>
                <w:sz w:val="15"/>
                <w:szCs w:val="15"/>
              </w:rPr>
              <w:t xml:space="preserve"> </w:t>
            </w:r>
            <w:r w:rsidR="005F3F40" w:rsidRPr="005060E0">
              <w:rPr>
                <w:rFonts w:cs="Arial"/>
                <w:b w:val="0"/>
                <w:bCs w:val="0"/>
                <w:i/>
                <w:color w:val="FFFFFF" w:themeColor="background1"/>
                <w:sz w:val="15"/>
                <w:szCs w:val="15"/>
              </w:rPr>
              <w:t>average</w:t>
            </w:r>
            <w:r w:rsidR="005F3F40" w:rsidRPr="005060E0">
              <w:rPr>
                <w:rFonts w:cs="Arial"/>
                <w:b w:val="0"/>
                <w:i/>
                <w:color w:val="FFFFFF" w:themeColor="background1"/>
                <w:sz w:val="15"/>
                <w:szCs w:val="15"/>
                <w:vertAlign w:val="superscript"/>
              </w:rPr>
              <w:t>(a)</w:t>
            </w:r>
          </w:p>
        </w:tc>
        <w:tc>
          <w:tcPr>
            <w:tcW w:w="201" w:type="pct"/>
            <w:tcBorders>
              <w:top w:val="single" w:sz="4" w:space="0" w:color="606072"/>
              <w:left w:val="single" w:sz="4" w:space="0" w:color="606072"/>
              <w:bottom w:val="single" w:sz="4" w:space="0" w:color="606072"/>
              <w:right w:val="single" w:sz="4" w:space="0" w:color="606072"/>
            </w:tcBorders>
            <w:shd w:val="clear" w:color="auto" w:fill="606072"/>
            <w:vAlign w:val="center"/>
          </w:tcPr>
          <w:p w14:paraId="3F676BC5" w14:textId="77777777" w:rsidR="005F3F40" w:rsidRPr="005060E0" w:rsidRDefault="005F3F40"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2016</w:t>
            </w:r>
          </w:p>
        </w:tc>
        <w:tc>
          <w:tcPr>
            <w:tcW w:w="201" w:type="pc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7D9E296C" w14:textId="77777777" w:rsidR="005F3F40" w:rsidRPr="005060E0" w:rsidRDefault="005F3F40"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15"/>
                <w:szCs w:val="15"/>
              </w:rPr>
            </w:pPr>
            <w:r w:rsidRPr="005060E0">
              <w:rPr>
                <w:rFonts w:cs="Arial"/>
                <w:b w:val="0"/>
                <w:color w:val="FFFFFF" w:themeColor="background1"/>
                <w:sz w:val="15"/>
                <w:szCs w:val="15"/>
              </w:rPr>
              <w:t>2021</w:t>
            </w:r>
          </w:p>
        </w:tc>
        <w:tc>
          <w:tcPr>
            <w:tcW w:w="201" w:type="pc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37A811AA" w14:textId="77777777" w:rsidR="005F3F40" w:rsidRPr="005060E0" w:rsidRDefault="005F3F40"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15"/>
                <w:szCs w:val="15"/>
              </w:rPr>
            </w:pPr>
            <w:r w:rsidRPr="005060E0">
              <w:rPr>
                <w:rFonts w:cs="Arial"/>
                <w:b w:val="0"/>
                <w:color w:val="FFFFFF" w:themeColor="background1"/>
                <w:sz w:val="15"/>
                <w:szCs w:val="15"/>
              </w:rPr>
              <w:t>2031</w:t>
            </w:r>
          </w:p>
        </w:tc>
        <w:tc>
          <w:tcPr>
            <w:tcW w:w="180" w:type="pc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45BA834B" w14:textId="77777777" w:rsidR="005F3F40" w:rsidRPr="005060E0" w:rsidRDefault="005F3F40"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2040</w:t>
            </w:r>
          </w:p>
        </w:tc>
      </w:tr>
      <w:tr w:rsidR="001B3859" w:rsidRPr="005060E0" w14:paraId="0570E8C6" w14:textId="77777777" w:rsidTr="001F63C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5000" w:type="pct"/>
            <w:gridSpan w:val="18"/>
            <w:tcBorders>
              <w:top w:val="single" w:sz="4" w:space="0" w:color="606072"/>
              <w:left w:val="single" w:sz="4" w:space="0" w:color="606072"/>
              <w:bottom w:val="single" w:sz="4" w:space="0" w:color="606072"/>
              <w:right w:val="single" w:sz="4" w:space="0" w:color="606072"/>
            </w:tcBorders>
            <w:shd w:val="clear" w:color="auto" w:fill="BFBFBF" w:themeFill="background1" w:themeFillShade="BF"/>
            <w:tcMar>
              <w:left w:w="28" w:type="dxa"/>
              <w:right w:w="28" w:type="dxa"/>
            </w:tcMar>
            <w:vAlign w:val="center"/>
          </w:tcPr>
          <w:p w14:paraId="5596636B" w14:textId="348AEA63" w:rsidR="001B3859" w:rsidRPr="005060E0" w:rsidRDefault="001B3859" w:rsidP="001B3859">
            <w:pPr>
              <w:widowControl w:val="0"/>
              <w:spacing w:after="0" w:line="240" w:lineRule="auto"/>
              <w:rPr>
                <w:rFonts w:cs="Arial"/>
                <w:b w:val="0"/>
                <w:sz w:val="15"/>
                <w:szCs w:val="15"/>
              </w:rPr>
            </w:pPr>
            <w:r w:rsidRPr="005060E0">
              <w:rPr>
                <w:rFonts w:cs="Arial"/>
                <w:b w:val="0"/>
                <w:sz w:val="15"/>
                <w:szCs w:val="15"/>
              </w:rPr>
              <w:t>Total number of unique exceedance days</w:t>
            </w:r>
          </w:p>
        </w:tc>
      </w:tr>
      <w:tr w:rsidR="007F77AB" w:rsidRPr="005060E0" w14:paraId="56C3CEB9" w14:textId="77777777" w:rsidTr="001F63CF">
        <w:trPr>
          <w:trHeight w:hRule="exact" w:val="227"/>
        </w:trPr>
        <w:tc>
          <w:tcPr>
            <w:cnfStyle w:val="001000000000" w:firstRow="0" w:lastRow="0" w:firstColumn="1" w:lastColumn="0" w:oddVBand="0" w:evenVBand="0" w:oddHBand="0" w:evenHBand="0" w:firstRowFirstColumn="0" w:firstRowLastColumn="0" w:lastRowFirstColumn="0" w:lastRowLastColumn="0"/>
            <w:tcW w:w="302" w:type="pct"/>
            <w:vMerge w:val="restart"/>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37425E11" w14:textId="77777777" w:rsidR="005F3F40" w:rsidRPr="005060E0" w:rsidRDefault="005F3F40" w:rsidP="00F30B35">
            <w:pPr>
              <w:widowControl w:val="0"/>
              <w:spacing w:after="0" w:line="240" w:lineRule="auto"/>
              <w:jc w:val="center"/>
              <w:rPr>
                <w:rFonts w:cs="Arial"/>
                <w:b w:val="0"/>
                <w:sz w:val="15"/>
                <w:szCs w:val="15"/>
              </w:rPr>
            </w:pPr>
            <w:r w:rsidRPr="005060E0">
              <w:rPr>
                <w:rFonts w:cs="Arial"/>
                <w:b w:val="0"/>
                <w:sz w:val="15"/>
                <w:szCs w:val="15"/>
              </w:rPr>
              <w:t>1-hour</w:t>
            </w:r>
          </w:p>
        </w:tc>
        <w:tc>
          <w:tcPr>
            <w:tcW w:w="303" w:type="pct"/>
            <w:tcBorders>
              <w:top w:val="single" w:sz="4" w:space="0" w:color="606072"/>
              <w:left w:val="dotted" w:sz="4" w:space="0" w:color="606372" w:themeColor="text2"/>
              <w:bottom w:val="dotted" w:sz="4" w:space="0" w:color="606072"/>
              <w:right w:val="single" w:sz="4" w:space="0" w:color="606072"/>
            </w:tcBorders>
            <w:shd w:val="clear" w:color="auto" w:fill="DEDFE3" w:themeFill="text2" w:themeFillTint="33"/>
            <w:tcMar>
              <w:left w:w="28" w:type="dxa"/>
              <w:right w:w="28" w:type="dxa"/>
            </w:tcMar>
            <w:vAlign w:val="center"/>
          </w:tcPr>
          <w:p w14:paraId="081F8DE4"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70</w:t>
            </w:r>
          </w:p>
        </w:tc>
        <w:tc>
          <w:tcPr>
            <w:tcW w:w="202" w:type="pct"/>
            <w:tcBorders>
              <w:top w:val="single" w:sz="4" w:space="0" w:color="606072"/>
              <w:left w:val="single" w:sz="4" w:space="0" w:color="606072"/>
              <w:bottom w:val="nil"/>
              <w:right w:val="single" w:sz="4" w:space="0" w:color="606072"/>
            </w:tcBorders>
            <w:shd w:val="clear" w:color="auto" w:fill="auto"/>
            <w:tcMar>
              <w:left w:w="28" w:type="dxa"/>
              <w:right w:w="28" w:type="dxa"/>
            </w:tcMar>
            <w:vAlign w:val="center"/>
          </w:tcPr>
          <w:p w14:paraId="3D9323E4"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547" w:type="pct"/>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50D4C748"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sidRPr="005060E0">
              <w:rPr>
                <w:rFonts w:cs="Arial"/>
                <w:i/>
                <w:sz w:val="15"/>
                <w:szCs w:val="15"/>
              </w:rPr>
              <w:t>22</w:t>
            </w:r>
          </w:p>
        </w:tc>
        <w:tc>
          <w:tcPr>
            <w:tcW w:w="250" w:type="pct"/>
            <w:tcBorders>
              <w:top w:val="single" w:sz="4" w:space="0" w:color="606072"/>
              <w:left w:val="dotted" w:sz="4" w:space="0" w:color="606072"/>
              <w:bottom w:val="dotted" w:sz="4" w:space="0" w:color="606072"/>
              <w:right w:val="dotted" w:sz="4" w:space="0" w:color="606072"/>
            </w:tcBorders>
            <w:tcMar>
              <w:left w:w="28" w:type="dxa"/>
              <w:right w:w="28" w:type="dxa"/>
            </w:tcMar>
            <w:vAlign w:val="center"/>
          </w:tcPr>
          <w:p w14:paraId="0DEDECC0" w14:textId="3E11EC6D" w:rsidR="005F3F40" w:rsidRPr="005060E0" w:rsidRDefault="00812125"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11</w:t>
            </w:r>
          </w:p>
        </w:tc>
        <w:tc>
          <w:tcPr>
            <w:tcW w:w="252"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7BA0422F" w14:textId="74B71236" w:rsidR="005F3F40" w:rsidRPr="005060E0" w:rsidRDefault="00812125"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11</w:t>
            </w:r>
          </w:p>
        </w:tc>
        <w:tc>
          <w:tcPr>
            <w:tcW w:w="251"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4E180D5E" w14:textId="77D21899" w:rsidR="005F3F40" w:rsidRPr="005060E0" w:rsidRDefault="00812125"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11</w:t>
            </w:r>
          </w:p>
        </w:tc>
        <w:tc>
          <w:tcPr>
            <w:tcW w:w="251" w:type="pct"/>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0BC5B893" w14:textId="769A861D" w:rsidR="005F3F40" w:rsidRPr="005060E0" w:rsidRDefault="00812125"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11</w:t>
            </w:r>
          </w:p>
        </w:tc>
        <w:tc>
          <w:tcPr>
            <w:tcW w:w="452" w:type="pct"/>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3B46A8AF"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sidRPr="005060E0">
              <w:rPr>
                <w:rFonts w:eastAsia="Times New Roman" w:cs="Arial"/>
                <w:i/>
                <w:sz w:val="15"/>
                <w:szCs w:val="15"/>
                <w:lang w:eastAsia="en-AU"/>
              </w:rPr>
              <w:t>3</w:t>
            </w:r>
          </w:p>
        </w:tc>
        <w:tc>
          <w:tcPr>
            <w:tcW w:w="251" w:type="pct"/>
            <w:tcBorders>
              <w:top w:val="single" w:sz="4" w:space="0" w:color="606072"/>
              <w:left w:val="dotted" w:sz="4" w:space="0" w:color="606072"/>
              <w:bottom w:val="dotted" w:sz="4" w:space="0" w:color="606072"/>
              <w:right w:val="dotted" w:sz="4" w:space="0" w:color="606072"/>
            </w:tcBorders>
            <w:vAlign w:val="center"/>
          </w:tcPr>
          <w:p w14:paraId="20C20DC7" w14:textId="0E37804A" w:rsidR="005F3F40" w:rsidRPr="005060E0" w:rsidRDefault="00812125"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3</w:t>
            </w:r>
          </w:p>
        </w:tc>
        <w:tc>
          <w:tcPr>
            <w:tcW w:w="201"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4F975AB7" w14:textId="6CDFC747" w:rsidR="005F3F40" w:rsidRPr="005060E0" w:rsidRDefault="00812125"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3</w:t>
            </w:r>
          </w:p>
        </w:tc>
        <w:tc>
          <w:tcPr>
            <w:tcW w:w="252"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7C800CFF" w14:textId="2D516756" w:rsidR="005F3F40" w:rsidRPr="005060E0" w:rsidRDefault="00812125"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3</w:t>
            </w:r>
          </w:p>
        </w:tc>
        <w:tc>
          <w:tcPr>
            <w:tcW w:w="251" w:type="pct"/>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577F8FC4" w14:textId="6FB8D727" w:rsidR="005F3F40" w:rsidRPr="005060E0" w:rsidRDefault="00812125"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3</w:t>
            </w:r>
          </w:p>
        </w:tc>
        <w:tc>
          <w:tcPr>
            <w:tcW w:w="452" w:type="pct"/>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53BB393B"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sidRPr="005060E0">
              <w:rPr>
                <w:rFonts w:cs="Arial"/>
                <w:i/>
                <w:sz w:val="15"/>
                <w:szCs w:val="15"/>
              </w:rPr>
              <w:t>4</w:t>
            </w:r>
          </w:p>
        </w:tc>
        <w:tc>
          <w:tcPr>
            <w:tcW w:w="201" w:type="pct"/>
            <w:tcBorders>
              <w:top w:val="single" w:sz="4" w:space="0" w:color="606072"/>
              <w:left w:val="dotted" w:sz="4" w:space="0" w:color="606072"/>
              <w:bottom w:val="dotted" w:sz="4" w:space="0" w:color="606072"/>
              <w:right w:val="dotted" w:sz="4" w:space="0" w:color="606072"/>
            </w:tcBorders>
            <w:vAlign w:val="center"/>
          </w:tcPr>
          <w:p w14:paraId="508F5CE8" w14:textId="1FFB0FDD"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201"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26EC0D45" w14:textId="701AB218"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201"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48C5D380" w14:textId="6D4FBEB0"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180" w:type="pct"/>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684FC19F" w14:textId="4448F2FF"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r>
      <w:tr w:rsidR="007F77AB" w:rsidRPr="005060E0" w14:paraId="1714908C" w14:textId="77777777" w:rsidTr="001F63C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302" w:type="pct"/>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30DE6081" w14:textId="77777777" w:rsidR="005F3F40" w:rsidRPr="005060E0" w:rsidRDefault="005F3F40" w:rsidP="00F30B35">
            <w:pPr>
              <w:widowControl w:val="0"/>
              <w:spacing w:after="0" w:line="240" w:lineRule="auto"/>
              <w:jc w:val="center"/>
              <w:rPr>
                <w:rFonts w:cs="Arial"/>
                <w:b w:val="0"/>
                <w:sz w:val="15"/>
                <w:szCs w:val="15"/>
              </w:rPr>
            </w:pPr>
          </w:p>
        </w:tc>
        <w:tc>
          <w:tcPr>
            <w:tcW w:w="303" w:type="pct"/>
            <w:tcBorders>
              <w:top w:val="dotted" w:sz="4" w:space="0" w:color="606072"/>
              <w:left w:val="dotted" w:sz="4" w:space="0" w:color="606372" w:themeColor="text2"/>
              <w:bottom w:val="dotted" w:sz="4" w:space="0" w:color="606072"/>
              <w:right w:val="single" w:sz="4" w:space="0" w:color="606072"/>
            </w:tcBorders>
            <w:shd w:val="clear" w:color="auto" w:fill="DEDFE3" w:themeFill="text2" w:themeFillTint="33"/>
            <w:tcMar>
              <w:left w:w="28" w:type="dxa"/>
              <w:right w:w="28" w:type="dxa"/>
            </w:tcMar>
            <w:vAlign w:val="center"/>
          </w:tcPr>
          <w:p w14:paraId="5E2911C6" w14:textId="77777777" w:rsidR="005F3F40" w:rsidRPr="005060E0" w:rsidRDefault="005F3F40"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85</w:t>
            </w:r>
          </w:p>
        </w:tc>
        <w:tc>
          <w:tcPr>
            <w:tcW w:w="202" w:type="pct"/>
            <w:tcBorders>
              <w:top w:val="nil"/>
              <w:left w:val="single" w:sz="4" w:space="0" w:color="606072"/>
              <w:bottom w:val="nil"/>
              <w:right w:val="single" w:sz="4" w:space="0" w:color="606072"/>
            </w:tcBorders>
            <w:shd w:val="clear" w:color="auto" w:fill="auto"/>
            <w:tcMar>
              <w:left w:w="28" w:type="dxa"/>
              <w:right w:w="28" w:type="dxa"/>
            </w:tcMar>
            <w:vAlign w:val="center"/>
          </w:tcPr>
          <w:p w14:paraId="689BBBC2" w14:textId="77777777" w:rsidR="005F3F40" w:rsidRPr="005060E0" w:rsidRDefault="005F3F40"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p>
        </w:tc>
        <w:tc>
          <w:tcPr>
            <w:tcW w:w="547" w:type="pct"/>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397EF1B8" w14:textId="77777777" w:rsidR="005F3F40" w:rsidRPr="005060E0" w:rsidRDefault="005F3F40"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sidRPr="005060E0">
              <w:rPr>
                <w:rFonts w:cs="Arial"/>
                <w:i/>
                <w:sz w:val="15"/>
                <w:szCs w:val="15"/>
              </w:rPr>
              <w:t>7</w:t>
            </w:r>
          </w:p>
        </w:tc>
        <w:tc>
          <w:tcPr>
            <w:tcW w:w="250" w:type="pct"/>
            <w:tcBorders>
              <w:top w:val="dotted" w:sz="4" w:space="0" w:color="606072"/>
              <w:left w:val="dotted" w:sz="4" w:space="0" w:color="606072"/>
              <w:bottom w:val="dotted" w:sz="4" w:space="0" w:color="606072"/>
              <w:right w:val="dotted" w:sz="4" w:space="0" w:color="606072"/>
            </w:tcBorders>
            <w:tcMar>
              <w:left w:w="28" w:type="dxa"/>
              <w:right w:w="28" w:type="dxa"/>
            </w:tcMar>
            <w:vAlign w:val="center"/>
          </w:tcPr>
          <w:p w14:paraId="560BFD6E" w14:textId="77777777" w:rsidR="005F3F40" w:rsidRPr="005060E0" w:rsidRDefault="005F3F40"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2</w:t>
            </w:r>
          </w:p>
        </w:tc>
        <w:tc>
          <w:tcPr>
            <w:tcW w:w="252"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250639C8" w14:textId="1717E402" w:rsidR="005F3F40" w:rsidRPr="005060E0" w:rsidRDefault="00812125"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2</w:t>
            </w:r>
          </w:p>
        </w:tc>
        <w:tc>
          <w:tcPr>
            <w:tcW w:w="251"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7AE378CE" w14:textId="6DC9AE1C" w:rsidR="005F3F40" w:rsidRPr="005060E0" w:rsidRDefault="00812125"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2</w:t>
            </w:r>
          </w:p>
        </w:tc>
        <w:tc>
          <w:tcPr>
            <w:tcW w:w="251" w:type="pct"/>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039E7E29" w14:textId="23B9A7CE" w:rsidR="005F3F40" w:rsidRPr="005060E0" w:rsidRDefault="00812125"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2</w:t>
            </w:r>
          </w:p>
        </w:tc>
        <w:tc>
          <w:tcPr>
            <w:tcW w:w="452" w:type="pct"/>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725AA02A" w14:textId="175507FC"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Pr>
                <w:rFonts w:eastAsia="Times New Roman" w:cs="Arial"/>
                <w:i/>
                <w:sz w:val="15"/>
                <w:szCs w:val="15"/>
                <w:lang w:eastAsia="en-AU"/>
              </w:rPr>
              <w:t>–</w:t>
            </w:r>
          </w:p>
        </w:tc>
        <w:tc>
          <w:tcPr>
            <w:tcW w:w="251" w:type="pct"/>
            <w:tcBorders>
              <w:top w:val="dotted" w:sz="4" w:space="0" w:color="606072"/>
              <w:left w:val="dotted" w:sz="4" w:space="0" w:color="606072"/>
              <w:bottom w:val="dotted" w:sz="4" w:space="0" w:color="606072"/>
              <w:right w:val="dotted" w:sz="4" w:space="0" w:color="606072"/>
            </w:tcBorders>
            <w:vAlign w:val="center"/>
          </w:tcPr>
          <w:p w14:paraId="19BF7115" w14:textId="4EC32645"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201"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6061F5FD" w14:textId="26C98A0D"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252"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2926D011" w14:textId="77777777" w:rsidR="005F3F40" w:rsidRPr="005060E0" w:rsidRDefault="005F3F40"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3</w:t>
            </w:r>
          </w:p>
        </w:tc>
        <w:tc>
          <w:tcPr>
            <w:tcW w:w="251" w:type="pct"/>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5108D7E5" w14:textId="77777777" w:rsidR="005F3F40" w:rsidRPr="005060E0" w:rsidRDefault="005F3F40"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3</w:t>
            </w:r>
          </w:p>
        </w:tc>
        <w:tc>
          <w:tcPr>
            <w:tcW w:w="452" w:type="pct"/>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5B4F3D1D" w14:textId="77777777" w:rsidR="005F3F40" w:rsidRPr="005060E0" w:rsidRDefault="005F3F40"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sidRPr="005060E0">
              <w:rPr>
                <w:rFonts w:cs="Arial"/>
                <w:i/>
                <w:sz w:val="15"/>
                <w:szCs w:val="15"/>
              </w:rPr>
              <w:t>2</w:t>
            </w:r>
          </w:p>
        </w:tc>
        <w:tc>
          <w:tcPr>
            <w:tcW w:w="201" w:type="pct"/>
            <w:tcBorders>
              <w:top w:val="dotted" w:sz="4" w:space="0" w:color="606072"/>
              <w:left w:val="dotted" w:sz="4" w:space="0" w:color="606072"/>
              <w:bottom w:val="dotted" w:sz="4" w:space="0" w:color="606072"/>
              <w:right w:val="dotted" w:sz="4" w:space="0" w:color="606072"/>
            </w:tcBorders>
            <w:vAlign w:val="center"/>
          </w:tcPr>
          <w:p w14:paraId="09E861F9" w14:textId="552C5007"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201"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3303382B" w14:textId="49D2D4FC"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201"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1D8E91A1" w14:textId="480D0DD2"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180" w:type="pct"/>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01759653" w14:textId="73F97C22"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r>
      <w:tr w:rsidR="007F77AB" w:rsidRPr="005060E0" w14:paraId="3F28A443" w14:textId="77777777" w:rsidTr="005519A4">
        <w:trPr>
          <w:trHeight w:hRule="exact" w:val="227"/>
        </w:trPr>
        <w:tc>
          <w:tcPr>
            <w:cnfStyle w:val="001000000000" w:firstRow="0" w:lastRow="0" w:firstColumn="1" w:lastColumn="0" w:oddVBand="0" w:evenVBand="0" w:oddHBand="0" w:evenHBand="0" w:firstRowFirstColumn="0" w:firstRowLastColumn="0" w:lastRowFirstColumn="0" w:lastRowLastColumn="0"/>
            <w:tcW w:w="302" w:type="pct"/>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0AFA0CA7" w14:textId="77777777" w:rsidR="005F3F40" w:rsidRPr="005060E0" w:rsidRDefault="005F3F40" w:rsidP="00F30B35">
            <w:pPr>
              <w:widowControl w:val="0"/>
              <w:spacing w:after="0" w:line="240" w:lineRule="auto"/>
              <w:jc w:val="center"/>
              <w:rPr>
                <w:rFonts w:cs="Arial"/>
                <w:b w:val="0"/>
                <w:sz w:val="15"/>
                <w:szCs w:val="15"/>
              </w:rPr>
            </w:pPr>
          </w:p>
        </w:tc>
        <w:tc>
          <w:tcPr>
            <w:tcW w:w="303" w:type="pct"/>
            <w:tcBorders>
              <w:top w:val="dotted" w:sz="4" w:space="0" w:color="606072"/>
              <w:left w:val="dotted" w:sz="4" w:space="0" w:color="606372" w:themeColor="text2"/>
              <w:bottom w:val="single" w:sz="4" w:space="0" w:color="606072"/>
              <w:right w:val="single" w:sz="4" w:space="0" w:color="606072"/>
            </w:tcBorders>
            <w:shd w:val="clear" w:color="auto" w:fill="D5E5FF"/>
            <w:tcMar>
              <w:left w:w="28" w:type="dxa"/>
              <w:right w:w="28" w:type="dxa"/>
            </w:tcMar>
            <w:vAlign w:val="center"/>
          </w:tcPr>
          <w:p w14:paraId="35C40DB7"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100</w:t>
            </w:r>
          </w:p>
        </w:tc>
        <w:tc>
          <w:tcPr>
            <w:tcW w:w="202" w:type="pct"/>
            <w:tcBorders>
              <w:top w:val="nil"/>
              <w:left w:val="single" w:sz="4" w:space="0" w:color="606072"/>
              <w:bottom w:val="single" w:sz="4" w:space="0" w:color="606072"/>
              <w:right w:val="single" w:sz="4" w:space="0" w:color="606072"/>
            </w:tcBorders>
            <w:shd w:val="clear" w:color="auto" w:fill="auto"/>
            <w:tcMar>
              <w:left w:w="28" w:type="dxa"/>
              <w:right w:w="28" w:type="dxa"/>
            </w:tcMar>
            <w:vAlign w:val="center"/>
          </w:tcPr>
          <w:p w14:paraId="3D4EF9AA"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547" w:type="pct"/>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19CCB831"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sidRPr="005060E0">
              <w:rPr>
                <w:rFonts w:cs="Arial"/>
                <w:i/>
                <w:sz w:val="15"/>
                <w:szCs w:val="15"/>
              </w:rPr>
              <w:t>3</w:t>
            </w:r>
          </w:p>
        </w:tc>
        <w:tc>
          <w:tcPr>
            <w:tcW w:w="250"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5DC2E393" w14:textId="6490834C"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252"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18A16BF3" w14:textId="734701FC"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251"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03B71230" w14:textId="30883443"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251" w:type="pct"/>
            <w:tcBorders>
              <w:top w:val="dotted" w:sz="4" w:space="0" w:color="606072"/>
              <w:left w:val="dotted" w:sz="4" w:space="0" w:color="606072"/>
              <w:bottom w:val="single" w:sz="4" w:space="0" w:color="606072"/>
              <w:right w:val="single" w:sz="4" w:space="0" w:color="606072"/>
            </w:tcBorders>
            <w:shd w:val="clear" w:color="auto" w:fill="D5E5FF"/>
            <w:tcMar>
              <w:left w:w="28" w:type="dxa"/>
              <w:right w:w="28" w:type="dxa"/>
            </w:tcMar>
            <w:vAlign w:val="center"/>
          </w:tcPr>
          <w:p w14:paraId="214164CD" w14:textId="4D3E0222"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452" w:type="pct"/>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64C4CA23" w14:textId="0649DE7E"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Pr>
                <w:rFonts w:eastAsia="Times New Roman" w:cs="Arial"/>
                <w:i/>
                <w:sz w:val="15"/>
                <w:szCs w:val="15"/>
                <w:lang w:eastAsia="en-AU"/>
              </w:rPr>
              <w:t>–</w:t>
            </w:r>
          </w:p>
        </w:tc>
        <w:tc>
          <w:tcPr>
            <w:tcW w:w="251" w:type="pct"/>
            <w:tcBorders>
              <w:top w:val="dotted" w:sz="4" w:space="0" w:color="606072"/>
              <w:left w:val="dotted" w:sz="4" w:space="0" w:color="606072"/>
              <w:bottom w:val="single" w:sz="4" w:space="0" w:color="606072"/>
              <w:right w:val="dotted" w:sz="4" w:space="0" w:color="606072"/>
            </w:tcBorders>
            <w:shd w:val="clear" w:color="auto" w:fill="D5E5FF"/>
            <w:vAlign w:val="center"/>
          </w:tcPr>
          <w:p w14:paraId="6C8B8D5C" w14:textId="41A6CB82"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201"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40BAEACC" w14:textId="65637750"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252"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5DCE6EFF" w14:textId="7AA3E645"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251" w:type="pct"/>
            <w:tcBorders>
              <w:top w:val="dotted" w:sz="4" w:space="0" w:color="606072"/>
              <w:left w:val="dotted" w:sz="4" w:space="0" w:color="606072"/>
              <w:bottom w:val="single" w:sz="4" w:space="0" w:color="606072"/>
              <w:right w:val="single" w:sz="4" w:space="0" w:color="606072"/>
            </w:tcBorders>
            <w:shd w:val="clear" w:color="auto" w:fill="D5E5FF"/>
            <w:tcMar>
              <w:left w:w="28" w:type="dxa"/>
              <w:right w:w="28" w:type="dxa"/>
            </w:tcMar>
            <w:vAlign w:val="center"/>
          </w:tcPr>
          <w:p w14:paraId="53851323" w14:textId="4E3BA259"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452" w:type="pct"/>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333C1223"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sidRPr="005060E0">
              <w:rPr>
                <w:rFonts w:cs="Arial"/>
                <w:i/>
                <w:sz w:val="15"/>
                <w:szCs w:val="15"/>
              </w:rPr>
              <w:t>1</w:t>
            </w:r>
          </w:p>
        </w:tc>
        <w:tc>
          <w:tcPr>
            <w:tcW w:w="201" w:type="pct"/>
            <w:tcBorders>
              <w:top w:val="dotted" w:sz="4" w:space="0" w:color="606072"/>
              <w:left w:val="dotted" w:sz="4" w:space="0" w:color="606072"/>
              <w:bottom w:val="single" w:sz="4" w:space="0" w:color="606072"/>
              <w:right w:val="dotted" w:sz="4" w:space="0" w:color="606072"/>
            </w:tcBorders>
            <w:shd w:val="clear" w:color="auto" w:fill="D5E5FF"/>
            <w:vAlign w:val="center"/>
          </w:tcPr>
          <w:p w14:paraId="22909C30" w14:textId="29A43A54"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201"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20C49E41" w14:textId="6E65C9A1"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201" w:type="pct"/>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31F7DBA9" w14:textId="40DCB547"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180" w:type="pct"/>
            <w:tcBorders>
              <w:top w:val="dotted" w:sz="4" w:space="0" w:color="606072"/>
              <w:left w:val="dotted" w:sz="4" w:space="0" w:color="606072"/>
              <w:bottom w:val="single" w:sz="4" w:space="0" w:color="606072"/>
              <w:right w:val="single" w:sz="4" w:space="0" w:color="606072"/>
            </w:tcBorders>
            <w:shd w:val="clear" w:color="auto" w:fill="D5E5FF"/>
            <w:tcMar>
              <w:left w:w="28" w:type="dxa"/>
              <w:right w:w="28" w:type="dxa"/>
            </w:tcMar>
            <w:vAlign w:val="center"/>
          </w:tcPr>
          <w:p w14:paraId="0CB2B724" w14:textId="589F849A"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r>
      <w:tr w:rsidR="001B3859" w:rsidRPr="005060E0" w14:paraId="657B97CC" w14:textId="77777777" w:rsidTr="001F63C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5000" w:type="pct"/>
            <w:gridSpan w:val="18"/>
            <w:tcBorders>
              <w:top w:val="single" w:sz="4" w:space="0" w:color="606072"/>
              <w:left w:val="single" w:sz="4" w:space="0" w:color="606072"/>
              <w:right w:val="single" w:sz="4" w:space="0" w:color="606072"/>
            </w:tcBorders>
            <w:shd w:val="clear" w:color="auto" w:fill="BFBFBF" w:themeFill="background1" w:themeFillShade="BF"/>
            <w:tcMar>
              <w:left w:w="28" w:type="dxa"/>
              <w:right w:w="28" w:type="dxa"/>
            </w:tcMar>
            <w:vAlign w:val="center"/>
          </w:tcPr>
          <w:p w14:paraId="5C027627" w14:textId="545FD296" w:rsidR="001B3859" w:rsidRPr="005060E0" w:rsidRDefault="001B3859" w:rsidP="001B3859">
            <w:pPr>
              <w:widowControl w:val="0"/>
              <w:spacing w:after="0" w:line="240" w:lineRule="auto"/>
              <w:rPr>
                <w:rFonts w:cs="Arial"/>
                <w:b w:val="0"/>
                <w:sz w:val="15"/>
                <w:szCs w:val="15"/>
              </w:rPr>
            </w:pPr>
            <w:r w:rsidRPr="005060E0">
              <w:rPr>
                <w:rFonts w:cs="Arial"/>
                <w:b w:val="0"/>
                <w:sz w:val="15"/>
                <w:szCs w:val="15"/>
              </w:rPr>
              <w:t>Total number of unique exceedance days</w:t>
            </w:r>
          </w:p>
        </w:tc>
      </w:tr>
      <w:tr w:rsidR="007F77AB" w:rsidRPr="005060E0" w14:paraId="26374F91" w14:textId="77777777" w:rsidTr="001F63CF">
        <w:trPr>
          <w:trHeight w:hRule="exact" w:val="227"/>
        </w:trPr>
        <w:tc>
          <w:tcPr>
            <w:cnfStyle w:val="001000000000" w:firstRow="0" w:lastRow="0" w:firstColumn="1" w:lastColumn="0" w:oddVBand="0" w:evenVBand="0" w:oddHBand="0" w:evenHBand="0" w:firstRowFirstColumn="0" w:firstRowLastColumn="0" w:lastRowFirstColumn="0" w:lastRowLastColumn="0"/>
            <w:tcW w:w="302" w:type="pct"/>
            <w:vMerge w:val="restart"/>
            <w:tcBorders>
              <w:top w:val="single" w:sz="4" w:space="0" w:color="606072"/>
              <w:left w:val="single" w:sz="4" w:space="0" w:color="606072"/>
              <w:right w:val="dotted" w:sz="4" w:space="0" w:color="606372" w:themeColor="text2"/>
            </w:tcBorders>
            <w:shd w:val="clear" w:color="auto" w:fill="DEDFE3" w:themeFill="text2" w:themeFillTint="33"/>
            <w:tcMar>
              <w:left w:w="28" w:type="dxa"/>
              <w:right w:w="28" w:type="dxa"/>
            </w:tcMar>
            <w:vAlign w:val="center"/>
          </w:tcPr>
          <w:p w14:paraId="1532836C" w14:textId="002136FD" w:rsidR="005F3F40" w:rsidRPr="005060E0" w:rsidRDefault="005F3F40" w:rsidP="00F30B35">
            <w:pPr>
              <w:widowControl w:val="0"/>
              <w:spacing w:after="0" w:line="240" w:lineRule="auto"/>
              <w:jc w:val="center"/>
              <w:rPr>
                <w:rFonts w:cs="Arial"/>
                <w:b w:val="0"/>
                <w:sz w:val="15"/>
                <w:szCs w:val="15"/>
              </w:rPr>
            </w:pPr>
            <w:r w:rsidRPr="005060E0">
              <w:rPr>
                <w:rFonts w:cs="Arial"/>
                <w:b w:val="0"/>
                <w:sz w:val="15"/>
                <w:szCs w:val="15"/>
              </w:rPr>
              <w:t xml:space="preserve">Rolling </w:t>
            </w:r>
            <w:r w:rsidR="00CD2F38">
              <w:rPr>
                <w:rFonts w:cs="Arial"/>
                <w:b w:val="0"/>
                <w:sz w:val="15"/>
                <w:szCs w:val="15"/>
              </w:rPr>
              <w:br/>
            </w:r>
            <w:r w:rsidRPr="005060E0">
              <w:rPr>
                <w:rFonts w:cs="Arial"/>
                <w:b w:val="0"/>
                <w:sz w:val="15"/>
                <w:szCs w:val="15"/>
              </w:rPr>
              <w:t>4-hour</w:t>
            </w:r>
          </w:p>
        </w:tc>
        <w:tc>
          <w:tcPr>
            <w:tcW w:w="303" w:type="pct"/>
            <w:tcBorders>
              <w:top w:val="single" w:sz="4" w:space="0" w:color="606072"/>
              <w:left w:val="dotted" w:sz="4" w:space="0" w:color="606372" w:themeColor="text2"/>
              <w:bottom w:val="dotted" w:sz="4" w:space="0" w:color="606072"/>
              <w:right w:val="single" w:sz="4" w:space="0" w:color="606072"/>
            </w:tcBorders>
            <w:shd w:val="clear" w:color="auto" w:fill="DEDFE3" w:themeFill="text2" w:themeFillTint="33"/>
            <w:tcMar>
              <w:left w:w="28" w:type="dxa"/>
              <w:right w:w="28" w:type="dxa"/>
            </w:tcMar>
            <w:vAlign w:val="center"/>
          </w:tcPr>
          <w:p w14:paraId="4DE87AFC"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60</w:t>
            </w:r>
          </w:p>
        </w:tc>
        <w:tc>
          <w:tcPr>
            <w:tcW w:w="202" w:type="pct"/>
            <w:tcBorders>
              <w:top w:val="single" w:sz="4" w:space="0" w:color="606072"/>
              <w:left w:val="single" w:sz="4" w:space="0" w:color="606072"/>
              <w:bottom w:val="nil"/>
              <w:right w:val="single" w:sz="4" w:space="0" w:color="606072"/>
            </w:tcBorders>
            <w:shd w:val="clear" w:color="auto" w:fill="auto"/>
            <w:tcMar>
              <w:left w:w="28" w:type="dxa"/>
              <w:right w:w="28" w:type="dxa"/>
            </w:tcMar>
            <w:vAlign w:val="center"/>
          </w:tcPr>
          <w:p w14:paraId="6AC2EA97"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547" w:type="pct"/>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52AE82EA"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sidRPr="005060E0">
              <w:rPr>
                <w:rFonts w:cs="Arial"/>
                <w:i/>
                <w:sz w:val="15"/>
                <w:szCs w:val="15"/>
              </w:rPr>
              <w:t>23</w:t>
            </w:r>
          </w:p>
        </w:tc>
        <w:tc>
          <w:tcPr>
            <w:tcW w:w="250" w:type="pct"/>
            <w:tcBorders>
              <w:top w:val="single" w:sz="4" w:space="0" w:color="606072"/>
              <w:left w:val="dotted" w:sz="4" w:space="0" w:color="606072"/>
              <w:bottom w:val="dotted" w:sz="4" w:space="0" w:color="606072"/>
              <w:right w:val="dotted" w:sz="4" w:space="0" w:color="606072"/>
            </w:tcBorders>
            <w:tcMar>
              <w:left w:w="28" w:type="dxa"/>
              <w:right w:w="28" w:type="dxa"/>
            </w:tcMar>
            <w:vAlign w:val="center"/>
          </w:tcPr>
          <w:p w14:paraId="0BE11F9B" w14:textId="7A121B74" w:rsidR="005F3F40" w:rsidRPr="005060E0" w:rsidRDefault="00812125"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14</w:t>
            </w:r>
          </w:p>
        </w:tc>
        <w:tc>
          <w:tcPr>
            <w:tcW w:w="252"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5686338E" w14:textId="5A503909" w:rsidR="005F3F40" w:rsidRPr="005060E0" w:rsidRDefault="00812125"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11</w:t>
            </w:r>
          </w:p>
        </w:tc>
        <w:tc>
          <w:tcPr>
            <w:tcW w:w="251"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7574BBE7" w14:textId="7807BE56" w:rsidR="005F3F40" w:rsidRPr="005060E0" w:rsidRDefault="00812125"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8</w:t>
            </w:r>
          </w:p>
        </w:tc>
        <w:tc>
          <w:tcPr>
            <w:tcW w:w="251" w:type="pct"/>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1A598DA6" w14:textId="7B258942" w:rsidR="005F3F40" w:rsidRPr="005060E0" w:rsidRDefault="00812125"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14</w:t>
            </w:r>
          </w:p>
        </w:tc>
        <w:tc>
          <w:tcPr>
            <w:tcW w:w="452" w:type="pct"/>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789BCF2D"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sidRPr="005060E0">
              <w:rPr>
                <w:rFonts w:eastAsia="Times New Roman" w:cs="Arial"/>
                <w:i/>
                <w:sz w:val="15"/>
                <w:szCs w:val="15"/>
                <w:lang w:eastAsia="en-AU"/>
              </w:rPr>
              <w:t>4</w:t>
            </w:r>
          </w:p>
        </w:tc>
        <w:tc>
          <w:tcPr>
            <w:tcW w:w="251" w:type="pct"/>
            <w:tcBorders>
              <w:top w:val="single" w:sz="4" w:space="0" w:color="606072"/>
              <w:left w:val="dotted" w:sz="4" w:space="0" w:color="606072"/>
              <w:bottom w:val="dotted" w:sz="4" w:space="0" w:color="606072"/>
              <w:right w:val="dotted" w:sz="4" w:space="0" w:color="606072"/>
            </w:tcBorders>
            <w:vAlign w:val="center"/>
          </w:tcPr>
          <w:p w14:paraId="0C67E231" w14:textId="0FD31758" w:rsidR="005F3F40" w:rsidRPr="005060E0" w:rsidRDefault="00812125"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3</w:t>
            </w:r>
          </w:p>
        </w:tc>
        <w:tc>
          <w:tcPr>
            <w:tcW w:w="201"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085D3A8F" w14:textId="22F590D8" w:rsidR="005F3F40" w:rsidRPr="005060E0" w:rsidRDefault="00812125"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3</w:t>
            </w:r>
          </w:p>
        </w:tc>
        <w:tc>
          <w:tcPr>
            <w:tcW w:w="252"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7B9C41BC" w14:textId="47E90FCF" w:rsidR="005F3F40" w:rsidRPr="005060E0" w:rsidRDefault="00812125"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3</w:t>
            </w:r>
          </w:p>
        </w:tc>
        <w:tc>
          <w:tcPr>
            <w:tcW w:w="251" w:type="pct"/>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3492B592" w14:textId="2A51B757" w:rsidR="005F3F40" w:rsidRPr="005060E0" w:rsidRDefault="00812125"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3</w:t>
            </w:r>
          </w:p>
        </w:tc>
        <w:tc>
          <w:tcPr>
            <w:tcW w:w="452" w:type="pct"/>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7B4C67A5"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sidRPr="005060E0">
              <w:rPr>
                <w:rFonts w:cs="Arial"/>
                <w:i/>
                <w:sz w:val="15"/>
                <w:szCs w:val="15"/>
              </w:rPr>
              <w:t>5</w:t>
            </w:r>
          </w:p>
        </w:tc>
        <w:tc>
          <w:tcPr>
            <w:tcW w:w="201" w:type="pct"/>
            <w:tcBorders>
              <w:top w:val="single" w:sz="4" w:space="0" w:color="606072"/>
              <w:left w:val="dotted" w:sz="4" w:space="0" w:color="606072"/>
              <w:bottom w:val="dotted" w:sz="4" w:space="0" w:color="606072"/>
              <w:right w:val="dotted" w:sz="4" w:space="0" w:color="606072"/>
            </w:tcBorders>
            <w:vAlign w:val="center"/>
          </w:tcPr>
          <w:p w14:paraId="3D311B54" w14:textId="072A4F71" w:rsidR="005F3F40" w:rsidRPr="005060E0" w:rsidRDefault="00812125"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2</w:t>
            </w:r>
          </w:p>
        </w:tc>
        <w:tc>
          <w:tcPr>
            <w:tcW w:w="201"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1FF23F0F" w14:textId="6CBD75D1" w:rsidR="005F3F40" w:rsidRPr="005060E0" w:rsidRDefault="00812125"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2</w:t>
            </w:r>
          </w:p>
        </w:tc>
        <w:tc>
          <w:tcPr>
            <w:tcW w:w="201"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2B69D840" w14:textId="4258F783" w:rsidR="005F3F40" w:rsidRPr="005060E0" w:rsidRDefault="00812125"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2</w:t>
            </w:r>
          </w:p>
        </w:tc>
        <w:tc>
          <w:tcPr>
            <w:tcW w:w="180" w:type="pct"/>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1699D2C3" w14:textId="4977F1D0" w:rsidR="005F3F40" w:rsidRPr="005060E0" w:rsidRDefault="00812125"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2</w:t>
            </w:r>
          </w:p>
        </w:tc>
      </w:tr>
      <w:tr w:rsidR="007F77AB" w:rsidRPr="005060E0" w14:paraId="615CFB46" w14:textId="77777777" w:rsidTr="001F63C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302" w:type="pct"/>
            <w:vMerge/>
            <w:tcBorders>
              <w:left w:val="single" w:sz="4" w:space="0" w:color="606072"/>
              <w:right w:val="dotted" w:sz="4" w:space="0" w:color="606372" w:themeColor="text2"/>
            </w:tcBorders>
            <w:shd w:val="clear" w:color="auto" w:fill="DEDFE3" w:themeFill="text2" w:themeFillTint="33"/>
            <w:tcMar>
              <w:left w:w="28" w:type="dxa"/>
              <w:right w:w="28" w:type="dxa"/>
            </w:tcMar>
            <w:vAlign w:val="center"/>
          </w:tcPr>
          <w:p w14:paraId="32F44784" w14:textId="77777777" w:rsidR="005F3F40" w:rsidRPr="005060E0" w:rsidRDefault="005F3F40" w:rsidP="00F30B35">
            <w:pPr>
              <w:widowControl w:val="0"/>
              <w:spacing w:after="0" w:line="240" w:lineRule="auto"/>
              <w:jc w:val="center"/>
              <w:rPr>
                <w:rFonts w:cs="Arial"/>
                <w:b w:val="0"/>
                <w:sz w:val="15"/>
                <w:szCs w:val="15"/>
              </w:rPr>
            </w:pPr>
          </w:p>
        </w:tc>
        <w:tc>
          <w:tcPr>
            <w:tcW w:w="303" w:type="pct"/>
            <w:tcBorders>
              <w:top w:val="dotted" w:sz="4" w:space="0" w:color="606072"/>
              <w:left w:val="dotted" w:sz="4" w:space="0" w:color="606372" w:themeColor="text2"/>
              <w:bottom w:val="dotted" w:sz="4" w:space="0" w:color="606072"/>
              <w:right w:val="single" w:sz="4" w:space="0" w:color="606072"/>
            </w:tcBorders>
            <w:shd w:val="clear" w:color="auto" w:fill="DEDFE3" w:themeFill="text2" w:themeFillTint="33"/>
            <w:tcMar>
              <w:left w:w="28" w:type="dxa"/>
              <w:right w:w="28" w:type="dxa"/>
            </w:tcMar>
            <w:vAlign w:val="center"/>
          </w:tcPr>
          <w:p w14:paraId="606864A0" w14:textId="77777777" w:rsidR="005F3F40" w:rsidRPr="005060E0" w:rsidRDefault="005F3F40"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70</w:t>
            </w:r>
          </w:p>
        </w:tc>
        <w:tc>
          <w:tcPr>
            <w:tcW w:w="202" w:type="pct"/>
            <w:tcBorders>
              <w:top w:val="nil"/>
              <w:left w:val="single" w:sz="4" w:space="0" w:color="606072"/>
              <w:bottom w:val="nil"/>
              <w:right w:val="single" w:sz="4" w:space="0" w:color="606072"/>
            </w:tcBorders>
            <w:shd w:val="clear" w:color="auto" w:fill="auto"/>
            <w:tcMar>
              <w:left w:w="28" w:type="dxa"/>
              <w:right w:w="28" w:type="dxa"/>
            </w:tcMar>
            <w:vAlign w:val="center"/>
          </w:tcPr>
          <w:p w14:paraId="1FE92784" w14:textId="77777777" w:rsidR="005F3F40" w:rsidRPr="005060E0" w:rsidRDefault="005F3F40"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p>
        </w:tc>
        <w:tc>
          <w:tcPr>
            <w:tcW w:w="547" w:type="pct"/>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4E9DC12D" w14:textId="77777777" w:rsidR="005F3F40" w:rsidRPr="005060E0" w:rsidRDefault="005F3F40"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sidRPr="005060E0">
              <w:rPr>
                <w:rFonts w:cs="Arial"/>
                <w:i/>
                <w:sz w:val="15"/>
                <w:szCs w:val="15"/>
              </w:rPr>
              <w:t>11</w:t>
            </w:r>
          </w:p>
        </w:tc>
        <w:tc>
          <w:tcPr>
            <w:tcW w:w="250" w:type="pct"/>
            <w:tcBorders>
              <w:top w:val="dotted" w:sz="4" w:space="0" w:color="606072"/>
              <w:left w:val="dotted" w:sz="4" w:space="0" w:color="606072"/>
              <w:bottom w:val="dotted" w:sz="4" w:space="0" w:color="606072"/>
              <w:right w:val="dotted" w:sz="4" w:space="0" w:color="606072"/>
            </w:tcBorders>
            <w:tcMar>
              <w:left w:w="28" w:type="dxa"/>
              <w:right w:w="28" w:type="dxa"/>
            </w:tcMar>
            <w:vAlign w:val="center"/>
          </w:tcPr>
          <w:p w14:paraId="1508CD77" w14:textId="77777777" w:rsidR="005F3F40" w:rsidRPr="005060E0" w:rsidRDefault="005F3F40"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5</w:t>
            </w:r>
          </w:p>
        </w:tc>
        <w:tc>
          <w:tcPr>
            <w:tcW w:w="252"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0DBF1A36" w14:textId="77777777" w:rsidR="005F3F40" w:rsidRPr="005060E0" w:rsidRDefault="005F3F40"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2</w:t>
            </w:r>
          </w:p>
        </w:tc>
        <w:tc>
          <w:tcPr>
            <w:tcW w:w="251"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775D4422" w14:textId="741C4BA7" w:rsidR="005F3F40" w:rsidRPr="005060E0" w:rsidRDefault="00812125"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5</w:t>
            </w:r>
          </w:p>
        </w:tc>
        <w:tc>
          <w:tcPr>
            <w:tcW w:w="251" w:type="pct"/>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500BC73C" w14:textId="6171ED94" w:rsidR="005F3F40" w:rsidRPr="005060E0" w:rsidRDefault="00812125"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8</w:t>
            </w:r>
          </w:p>
        </w:tc>
        <w:tc>
          <w:tcPr>
            <w:tcW w:w="452" w:type="pct"/>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6EE71E70" w14:textId="77777777" w:rsidR="005F3F40" w:rsidRPr="005060E0" w:rsidRDefault="005F3F40"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sidRPr="005060E0">
              <w:rPr>
                <w:rFonts w:eastAsia="Times New Roman" w:cs="Arial"/>
                <w:i/>
                <w:sz w:val="15"/>
                <w:szCs w:val="15"/>
                <w:lang w:eastAsia="en-AU"/>
              </w:rPr>
              <w:t>1</w:t>
            </w:r>
          </w:p>
        </w:tc>
        <w:tc>
          <w:tcPr>
            <w:tcW w:w="251" w:type="pct"/>
            <w:tcBorders>
              <w:top w:val="dotted" w:sz="4" w:space="0" w:color="606072"/>
              <w:left w:val="dotted" w:sz="4" w:space="0" w:color="606072"/>
              <w:bottom w:val="dotted" w:sz="4" w:space="0" w:color="606072"/>
              <w:right w:val="dotted" w:sz="4" w:space="0" w:color="606072"/>
            </w:tcBorders>
            <w:vAlign w:val="center"/>
          </w:tcPr>
          <w:p w14:paraId="3387A021" w14:textId="22522B1B"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201"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7516EC20" w14:textId="22A3B053"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252"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0B6D752C" w14:textId="0D4672A0"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251" w:type="pct"/>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0134E20B" w14:textId="657BC22B"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452" w:type="pct"/>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64D0774B" w14:textId="77777777" w:rsidR="005F3F40" w:rsidRPr="005060E0" w:rsidRDefault="005F3F40"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sidRPr="005060E0">
              <w:rPr>
                <w:rFonts w:cs="Arial"/>
                <w:i/>
                <w:sz w:val="15"/>
                <w:szCs w:val="15"/>
              </w:rPr>
              <w:t>2</w:t>
            </w:r>
          </w:p>
        </w:tc>
        <w:tc>
          <w:tcPr>
            <w:tcW w:w="201" w:type="pct"/>
            <w:tcBorders>
              <w:top w:val="dotted" w:sz="4" w:space="0" w:color="606072"/>
              <w:left w:val="dotted" w:sz="4" w:space="0" w:color="606072"/>
              <w:bottom w:val="dotted" w:sz="4" w:space="0" w:color="606072"/>
              <w:right w:val="dotted" w:sz="4" w:space="0" w:color="606072"/>
            </w:tcBorders>
            <w:vAlign w:val="center"/>
          </w:tcPr>
          <w:p w14:paraId="2C7D5409" w14:textId="1A403F2D"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201"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5F0DAFC4" w14:textId="642FC3B2"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201"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2B1CCB85" w14:textId="434687F6"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180" w:type="pct"/>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0AB87494" w14:textId="7B05B52A"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r>
      <w:tr w:rsidR="007F77AB" w:rsidRPr="005060E0" w14:paraId="60BCB44F" w14:textId="77777777" w:rsidTr="005519A4">
        <w:trPr>
          <w:trHeight w:hRule="exact" w:val="227"/>
        </w:trPr>
        <w:tc>
          <w:tcPr>
            <w:cnfStyle w:val="001000000000" w:firstRow="0" w:lastRow="0" w:firstColumn="1" w:lastColumn="0" w:oddVBand="0" w:evenVBand="0" w:oddHBand="0" w:evenHBand="0" w:firstRowFirstColumn="0" w:firstRowLastColumn="0" w:lastRowFirstColumn="0" w:lastRowLastColumn="0"/>
            <w:tcW w:w="302" w:type="pct"/>
            <w:vMerge/>
            <w:tcBorders>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47209E65" w14:textId="77777777" w:rsidR="005F3F40" w:rsidRPr="005060E0" w:rsidRDefault="005F3F40" w:rsidP="00F30B35">
            <w:pPr>
              <w:widowControl w:val="0"/>
              <w:spacing w:after="0" w:line="240" w:lineRule="auto"/>
              <w:jc w:val="center"/>
              <w:rPr>
                <w:rFonts w:cs="Arial"/>
                <w:b w:val="0"/>
                <w:sz w:val="15"/>
                <w:szCs w:val="15"/>
              </w:rPr>
            </w:pPr>
          </w:p>
        </w:tc>
        <w:tc>
          <w:tcPr>
            <w:tcW w:w="303" w:type="pct"/>
            <w:tcBorders>
              <w:top w:val="dotted" w:sz="4" w:space="0" w:color="606072"/>
              <w:left w:val="dotted" w:sz="4" w:space="0" w:color="606372" w:themeColor="text2"/>
              <w:bottom w:val="dotted" w:sz="4" w:space="0" w:color="606072"/>
              <w:right w:val="single" w:sz="4" w:space="0" w:color="606072"/>
            </w:tcBorders>
            <w:shd w:val="clear" w:color="auto" w:fill="D5E5FF"/>
            <w:tcMar>
              <w:left w:w="28" w:type="dxa"/>
              <w:right w:w="28" w:type="dxa"/>
            </w:tcMar>
            <w:vAlign w:val="center"/>
          </w:tcPr>
          <w:p w14:paraId="49696D18"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80</w:t>
            </w:r>
          </w:p>
        </w:tc>
        <w:tc>
          <w:tcPr>
            <w:tcW w:w="202" w:type="pct"/>
            <w:tcBorders>
              <w:top w:val="nil"/>
              <w:left w:val="single" w:sz="4" w:space="0" w:color="606072"/>
              <w:bottom w:val="nil"/>
              <w:right w:val="single" w:sz="4" w:space="0" w:color="606072"/>
            </w:tcBorders>
            <w:shd w:val="clear" w:color="auto" w:fill="auto"/>
            <w:tcMar>
              <w:left w:w="28" w:type="dxa"/>
              <w:right w:w="28" w:type="dxa"/>
            </w:tcMar>
            <w:vAlign w:val="center"/>
          </w:tcPr>
          <w:p w14:paraId="6C8B1AD7"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547" w:type="pct"/>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2F91A43D"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sidRPr="005060E0">
              <w:rPr>
                <w:rFonts w:cs="Arial"/>
                <w:i/>
                <w:sz w:val="15"/>
                <w:szCs w:val="15"/>
              </w:rPr>
              <w:t>5</w:t>
            </w:r>
          </w:p>
        </w:tc>
        <w:tc>
          <w:tcPr>
            <w:tcW w:w="250" w:type="pct"/>
            <w:tcBorders>
              <w:top w:val="dotted" w:sz="4" w:space="0" w:color="606072"/>
              <w:left w:val="dotted" w:sz="4" w:space="0" w:color="606072"/>
              <w:bottom w:val="dotted" w:sz="4" w:space="0" w:color="606072"/>
              <w:right w:val="dotted" w:sz="4" w:space="0" w:color="606072"/>
            </w:tcBorders>
            <w:shd w:val="clear" w:color="auto" w:fill="D5E5FF"/>
            <w:tcMar>
              <w:left w:w="28" w:type="dxa"/>
              <w:right w:w="28" w:type="dxa"/>
            </w:tcMar>
            <w:vAlign w:val="center"/>
          </w:tcPr>
          <w:p w14:paraId="01569500"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2</w:t>
            </w:r>
          </w:p>
        </w:tc>
        <w:tc>
          <w:tcPr>
            <w:tcW w:w="252" w:type="pct"/>
            <w:tcBorders>
              <w:top w:val="dotted" w:sz="4" w:space="0" w:color="606072"/>
              <w:left w:val="dotted" w:sz="4" w:space="0" w:color="606072"/>
              <w:bottom w:val="dotted" w:sz="4" w:space="0" w:color="606072"/>
              <w:right w:val="dotted" w:sz="4" w:space="0" w:color="606072"/>
            </w:tcBorders>
            <w:shd w:val="clear" w:color="auto" w:fill="D5E5FF"/>
            <w:tcMar>
              <w:left w:w="28" w:type="dxa"/>
              <w:right w:w="28" w:type="dxa"/>
            </w:tcMar>
            <w:vAlign w:val="center"/>
          </w:tcPr>
          <w:p w14:paraId="719ED67F" w14:textId="24BE3AE1"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251" w:type="pct"/>
            <w:tcBorders>
              <w:top w:val="dotted" w:sz="4" w:space="0" w:color="606072"/>
              <w:left w:val="dotted" w:sz="4" w:space="0" w:color="606072"/>
              <w:bottom w:val="dotted" w:sz="4" w:space="0" w:color="606072"/>
              <w:right w:val="dotted" w:sz="4" w:space="0" w:color="606072"/>
            </w:tcBorders>
            <w:shd w:val="clear" w:color="auto" w:fill="D5E5FF"/>
            <w:tcMar>
              <w:left w:w="28" w:type="dxa"/>
              <w:right w:w="28" w:type="dxa"/>
            </w:tcMar>
            <w:vAlign w:val="center"/>
          </w:tcPr>
          <w:p w14:paraId="7597BA80" w14:textId="70C4C458"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251" w:type="pct"/>
            <w:tcBorders>
              <w:top w:val="dotted" w:sz="4" w:space="0" w:color="606072"/>
              <w:left w:val="dotted" w:sz="4" w:space="0" w:color="606072"/>
              <w:bottom w:val="dotted" w:sz="4" w:space="0" w:color="606072"/>
              <w:right w:val="single" w:sz="4" w:space="0" w:color="606072"/>
            </w:tcBorders>
            <w:shd w:val="clear" w:color="auto" w:fill="D5E5FF"/>
            <w:tcMar>
              <w:left w:w="28" w:type="dxa"/>
              <w:right w:w="28" w:type="dxa"/>
            </w:tcMar>
            <w:vAlign w:val="center"/>
          </w:tcPr>
          <w:p w14:paraId="58DAA953"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2</w:t>
            </w:r>
          </w:p>
        </w:tc>
        <w:tc>
          <w:tcPr>
            <w:tcW w:w="452" w:type="pct"/>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579EB37C" w14:textId="629DD5A8"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Pr>
                <w:rFonts w:eastAsia="Times New Roman" w:cs="Arial"/>
                <w:i/>
                <w:sz w:val="15"/>
                <w:szCs w:val="15"/>
                <w:lang w:eastAsia="en-AU"/>
              </w:rPr>
              <w:t>–</w:t>
            </w:r>
          </w:p>
        </w:tc>
        <w:tc>
          <w:tcPr>
            <w:tcW w:w="251" w:type="pct"/>
            <w:tcBorders>
              <w:top w:val="dotted" w:sz="4" w:space="0" w:color="606072"/>
              <w:left w:val="dotted" w:sz="4" w:space="0" w:color="606072"/>
              <w:bottom w:val="dotted" w:sz="4" w:space="0" w:color="606072"/>
              <w:right w:val="dotted" w:sz="4" w:space="0" w:color="606072"/>
            </w:tcBorders>
            <w:shd w:val="clear" w:color="auto" w:fill="D5E5FF"/>
            <w:vAlign w:val="center"/>
          </w:tcPr>
          <w:p w14:paraId="7E58902F" w14:textId="7F6B2103"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201" w:type="pct"/>
            <w:tcBorders>
              <w:top w:val="dotted" w:sz="4" w:space="0" w:color="606072"/>
              <w:left w:val="dotted" w:sz="4" w:space="0" w:color="606072"/>
              <w:bottom w:val="dotted" w:sz="4" w:space="0" w:color="606072"/>
              <w:right w:val="dotted" w:sz="4" w:space="0" w:color="606072"/>
            </w:tcBorders>
            <w:shd w:val="clear" w:color="auto" w:fill="D5E5FF"/>
            <w:tcMar>
              <w:left w:w="28" w:type="dxa"/>
              <w:right w:w="28" w:type="dxa"/>
            </w:tcMar>
            <w:vAlign w:val="center"/>
          </w:tcPr>
          <w:p w14:paraId="26A049BF" w14:textId="2EC62796"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252" w:type="pct"/>
            <w:tcBorders>
              <w:top w:val="dotted" w:sz="4" w:space="0" w:color="606072"/>
              <w:left w:val="dotted" w:sz="4" w:space="0" w:color="606072"/>
              <w:bottom w:val="dotted" w:sz="4" w:space="0" w:color="606072"/>
              <w:right w:val="dotted" w:sz="4" w:space="0" w:color="606072"/>
            </w:tcBorders>
            <w:shd w:val="clear" w:color="auto" w:fill="D5E5FF"/>
            <w:tcMar>
              <w:left w:w="28" w:type="dxa"/>
              <w:right w:w="28" w:type="dxa"/>
            </w:tcMar>
            <w:vAlign w:val="center"/>
          </w:tcPr>
          <w:p w14:paraId="6E39E2CD" w14:textId="4E18077B"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251" w:type="pct"/>
            <w:tcBorders>
              <w:top w:val="dotted" w:sz="4" w:space="0" w:color="606072"/>
              <w:left w:val="dotted" w:sz="4" w:space="0" w:color="606072"/>
              <w:bottom w:val="dotted" w:sz="4" w:space="0" w:color="606072"/>
              <w:right w:val="single" w:sz="4" w:space="0" w:color="606072"/>
            </w:tcBorders>
            <w:shd w:val="clear" w:color="auto" w:fill="D5E5FF"/>
            <w:tcMar>
              <w:left w:w="28" w:type="dxa"/>
              <w:right w:w="28" w:type="dxa"/>
            </w:tcMar>
            <w:vAlign w:val="center"/>
          </w:tcPr>
          <w:p w14:paraId="3DBEB813" w14:textId="5FF792B5"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452" w:type="pct"/>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58A8966E"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sidRPr="005060E0">
              <w:rPr>
                <w:rFonts w:cs="Arial"/>
                <w:i/>
                <w:sz w:val="15"/>
                <w:szCs w:val="15"/>
              </w:rPr>
              <w:t>1</w:t>
            </w:r>
          </w:p>
        </w:tc>
        <w:tc>
          <w:tcPr>
            <w:tcW w:w="201" w:type="pct"/>
            <w:tcBorders>
              <w:top w:val="dotted" w:sz="4" w:space="0" w:color="606072"/>
              <w:left w:val="dotted" w:sz="4" w:space="0" w:color="606072"/>
              <w:bottom w:val="dotted" w:sz="4" w:space="0" w:color="606072"/>
              <w:right w:val="dotted" w:sz="4" w:space="0" w:color="606072"/>
            </w:tcBorders>
            <w:shd w:val="clear" w:color="auto" w:fill="D5E5FF"/>
            <w:vAlign w:val="center"/>
          </w:tcPr>
          <w:p w14:paraId="569FD885" w14:textId="79AD4324"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201" w:type="pct"/>
            <w:tcBorders>
              <w:top w:val="dotted" w:sz="4" w:space="0" w:color="606072"/>
              <w:left w:val="dotted" w:sz="4" w:space="0" w:color="606072"/>
              <w:bottom w:val="dotted" w:sz="4" w:space="0" w:color="606072"/>
              <w:right w:val="dotted" w:sz="4" w:space="0" w:color="606072"/>
            </w:tcBorders>
            <w:shd w:val="clear" w:color="auto" w:fill="D5E5FF"/>
            <w:tcMar>
              <w:left w:w="28" w:type="dxa"/>
              <w:right w:w="28" w:type="dxa"/>
            </w:tcMar>
            <w:vAlign w:val="center"/>
          </w:tcPr>
          <w:p w14:paraId="4D4248FF" w14:textId="1B3C73CE"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201" w:type="pct"/>
            <w:tcBorders>
              <w:top w:val="dotted" w:sz="4" w:space="0" w:color="606072"/>
              <w:left w:val="dotted" w:sz="4" w:space="0" w:color="606072"/>
              <w:bottom w:val="dotted" w:sz="4" w:space="0" w:color="606072"/>
              <w:right w:val="dotted" w:sz="4" w:space="0" w:color="606072"/>
            </w:tcBorders>
            <w:shd w:val="clear" w:color="auto" w:fill="D5E5FF"/>
            <w:tcMar>
              <w:left w:w="28" w:type="dxa"/>
              <w:right w:w="28" w:type="dxa"/>
            </w:tcMar>
            <w:vAlign w:val="center"/>
          </w:tcPr>
          <w:p w14:paraId="02F740F2" w14:textId="4243C03E"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180" w:type="pct"/>
            <w:tcBorders>
              <w:top w:val="dotted" w:sz="4" w:space="0" w:color="606072"/>
              <w:left w:val="dotted" w:sz="4" w:space="0" w:color="606072"/>
              <w:bottom w:val="dotted" w:sz="4" w:space="0" w:color="606072"/>
              <w:right w:val="single" w:sz="4" w:space="0" w:color="606072"/>
            </w:tcBorders>
            <w:shd w:val="clear" w:color="auto" w:fill="D5E5FF"/>
            <w:tcMar>
              <w:left w:w="28" w:type="dxa"/>
              <w:right w:w="28" w:type="dxa"/>
            </w:tcMar>
            <w:vAlign w:val="center"/>
          </w:tcPr>
          <w:p w14:paraId="62834360" w14:textId="07F3CF83"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r>
      <w:tr w:rsidR="001B3859" w:rsidRPr="005060E0" w14:paraId="2C2DA71A" w14:textId="77777777" w:rsidTr="001F63C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5000" w:type="pct"/>
            <w:gridSpan w:val="18"/>
            <w:tcBorders>
              <w:top w:val="single" w:sz="4" w:space="0" w:color="606072"/>
              <w:left w:val="single" w:sz="4" w:space="0" w:color="606072"/>
              <w:right w:val="single" w:sz="4" w:space="0" w:color="606072"/>
            </w:tcBorders>
            <w:shd w:val="clear" w:color="auto" w:fill="BFBFBF" w:themeFill="background1" w:themeFillShade="BF"/>
            <w:tcMar>
              <w:left w:w="28" w:type="dxa"/>
              <w:right w:w="28" w:type="dxa"/>
            </w:tcMar>
            <w:vAlign w:val="center"/>
          </w:tcPr>
          <w:p w14:paraId="07ED0D8E" w14:textId="5689C375" w:rsidR="001B3859" w:rsidRPr="005060E0" w:rsidRDefault="001B3859" w:rsidP="001B3859">
            <w:pPr>
              <w:widowControl w:val="0"/>
              <w:spacing w:after="0" w:line="240" w:lineRule="auto"/>
              <w:rPr>
                <w:rFonts w:cs="Arial"/>
                <w:b w:val="0"/>
                <w:sz w:val="15"/>
                <w:szCs w:val="15"/>
              </w:rPr>
            </w:pPr>
            <w:r w:rsidRPr="005060E0">
              <w:rPr>
                <w:rFonts w:cs="Arial"/>
                <w:b w:val="0"/>
                <w:sz w:val="15"/>
                <w:szCs w:val="15"/>
              </w:rPr>
              <w:t>Total number of unique exceedance days</w:t>
            </w:r>
          </w:p>
        </w:tc>
      </w:tr>
      <w:tr w:rsidR="007F77AB" w:rsidRPr="005060E0" w14:paraId="7AAEA3AF" w14:textId="77777777" w:rsidTr="001F63CF">
        <w:trPr>
          <w:trHeight w:hRule="exact" w:val="227"/>
        </w:trPr>
        <w:tc>
          <w:tcPr>
            <w:cnfStyle w:val="001000000000" w:firstRow="0" w:lastRow="0" w:firstColumn="1" w:lastColumn="0" w:oddVBand="0" w:evenVBand="0" w:oddHBand="0" w:evenHBand="0" w:firstRowFirstColumn="0" w:firstRowLastColumn="0" w:lastRowFirstColumn="0" w:lastRowLastColumn="0"/>
            <w:tcW w:w="302" w:type="pct"/>
            <w:vMerge w:val="restart"/>
            <w:tcBorders>
              <w:top w:val="single" w:sz="4" w:space="0" w:color="606072"/>
              <w:left w:val="single" w:sz="4" w:space="0" w:color="606072"/>
              <w:right w:val="dotted" w:sz="4" w:space="0" w:color="606372" w:themeColor="text2"/>
            </w:tcBorders>
            <w:shd w:val="clear" w:color="auto" w:fill="DEDFE3" w:themeFill="text2" w:themeFillTint="33"/>
            <w:tcMar>
              <w:left w:w="28" w:type="dxa"/>
              <w:right w:w="28" w:type="dxa"/>
            </w:tcMar>
            <w:vAlign w:val="center"/>
          </w:tcPr>
          <w:p w14:paraId="425E23E6" w14:textId="03055F2F" w:rsidR="005F3F40" w:rsidRPr="005060E0" w:rsidRDefault="005F3F40" w:rsidP="00F30B35">
            <w:pPr>
              <w:widowControl w:val="0"/>
              <w:spacing w:after="0" w:line="240" w:lineRule="auto"/>
              <w:jc w:val="center"/>
              <w:rPr>
                <w:rFonts w:cs="Arial"/>
                <w:b w:val="0"/>
                <w:sz w:val="15"/>
                <w:szCs w:val="15"/>
              </w:rPr>
            </w:pPr>
            <w:r w:rsidRPr="005060E0">
              <w:rPr>
                <w:rFonts w:cs="Arial"/>
                <w:b w:val="0"/>
                <w:sz w:val="15"/>
                <w:szCs w:val="15"/>
              </w:rPr>
              <w:t xml:space="preserve">Rolling </w:t>
            </w:r>
            <w:r w:rsidR="00CD2F38">
              <w:rPr>
                <w:rFonts w:cs="Arial"/>
                <w:b w:val="0"/>
                <w:sz w:val="15"/>
                <w:szCs w:val="15"/>
              </w:rPr>
              <w:br/>
            </w:r>
            <w:r w:rsidRPr="005060E0">
              <w:rPr>
                <w:rFonts w:cs="Arial"/>
                <w:b w:val="0"/>
                <w:sz w:val="15"/>
                <w:szCs w:val="15"/>
              </w:rPr>
              <w:t>8-hour</w:t>
            </w:r>
          </w:p>
        </w:tc>
        <w:tc>
          <w:tcPr>
            <w:tcW w:w="303" w:type="pct"/>
            <w:tcBorders>
              <w:top w:val="single" w:sz="4" w:space="0" w:color="606072"/>
              <w:left w:val="dotted" w:sz="4" w:space="0" w:color="606372" w:themeColor="text2"/>
              <w:bottom w:val="dotted" w:sz="4" w:space="0" w:color="606072"/>
              <w:right w:val="single" w:sz="4" w:space="0" w:color="606072"/>
            </w:tcBorders>
            <w:shd w:val="clear" w:color="auto" w:fill="DEDFE3" w:themeFill="text2" w:themeFillTint="33"/>
            <w:tcMar>
              <w:left w:w="28" w:type="dxa"/>
              <w:right w:w="28" w:type="dxa"/>
            </w:tcMar>
            <w:vAlign w:val="center"/>
          </w:tcPr>
          <w:p w14:paraId="3094094B"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47</w:t>
            </w:r>
          </w:p>
        </w:tc>
        <w:tc>
          <w:tcPr>
            <w:tcW w:w="202" w:type="pct"/>
            <w:tcBorders>
              <w:top w:val="single" w:sz="4" w:space="0" w:color="606072"/>
              <w:left w:val="single" w:sz="4" w:space="0" w:color="606072"/>
              <w:bottom w:val="nil"/>
              <w:right w:val="single" w:sz="4" w:space="0" w:color="606072"/>
            </w:tcBorders>
            <w:shd w:val="clear" w:color="auto" w:fill="auto"/>
            <w:tcMar>
              <w:left w:w="28" w:type="dxa"/>
              <w:right w:w="28" w:type="dxa"/>
            </w:tcMar>
            <w:vAlign w:val="center"/>
          </w:tcPr>
          <w:p w14:paraId="3A355AD0"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547" w:type="pct"/>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2BE9ABDD"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sidRPr="005060E0">
              <w:rPr>
                <w:rFonts w:cs="Arial"/>
                <w:i/>
                <w:sz w:val="15"/>
                <w:szCs w:val="15"/>
              </w:rPr>
              <w:t>37</w:t>
            </w:r>
          </w:p>
        </w:tc>
        <w:tc>
          <w:tcPr>
            <w:tcW w:w="250" w:type="pct"/>
            <w:tcBorders>
              <w:top w:val="single" w:sz="4" w:space="0" w:color="606072"/>
              <w:left w:val="dotted" w:sz="4" w:space="0" w:color="606072"/>
              <w:bottom w:val="dotted" w:sz="4" w:space="0" w:color="606072"/>
              <w:right w:val="dotted" w:sz="4" w:space="0" w:color="606072"/>
            </w:tcBorders>
            <w:tcMar>
              <w:left w:w="28" w:type="dxa"/>
              <w:right w:w="28" w:type="dxa"/>
            </w:tcMar>
            <w:vAlign w:val="center"/>
          </w:tcPr>
          <w:p w14:paraId="3E731002"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11</w:t>
            </w:r>
          </w:p>
        </w:tc>
        <w:tc>
          <w:tcPr>
            <w:tcW w:w="252"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5F39E495"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11</w:t>
            </w:r>
          </w:p>
        </w:tc>
        <w:tc>
          <w:tcPr>
            <w:tcW w:w="251"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4B030963" w14:textId="23CD499F" w:rsidR="005F3F40" w:rsidRPr="005060E0" w:rsidRDefault="00812125"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11</w:t>
            </w:r>
          </w:p>
        </w:tc>
        <w:tc>
          <w:tcPr>
            <w:tcW w:w="251" w:type="pct"/>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4E8BEBF6" w14:textId="101CB7BF" w:rsidR="005F3F40" w:rsidRPr="005060E0" w:rsidRDefault="00812125"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14</w:t>
            </w:r>
          </w:p>
        </w:tc>
        <w:tc>
          <w:tcPr>
            <w:tcW w:w="452" w:type="pct"/>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68E823C4"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sidRPr="005060E0">
              <w:rPr>
                <w:rFonts w:eastAsia="Times New Roman" w:cs="Arial"/>
                <w:i/>
                <w:sz w:val="15"/>
                <w:szCs w:val="15"/>
                <w:lang w:eastAsia="en-AU"/>
              </w:rPr>
              <w:t>11</w:t>
            </w:r>
          </w:p>
        </w:tc>
        <w:tc>
          <w:tcPr>
            <w:tcW w:w="251" w:type="pct"/>
            <w:tcBorders>
              <w:top w:val="single" w:sz="4" w:space="0" w:color="606072"/>
              <w:left w:val="dotted" w:sz="4" w:space="0" w:color="606072"/>
              <w:bottom w:val="dotted" w:sz="4" w:space="0" w:color="606072"/>
              <w:right w:val="dotted" w:sz="4" w:space="0" w:color="606072"/>
            </w:tcBorders>
            <w:vAlign w:val="center"/>
          </w:tcPr>
          <w:p w14:paraId="2CB10985" w14:textId="71F1C2BE"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201"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1EC6FBB3" w14:textId="4EC3B0DF"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252"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52B2C756" w14:textId="7D2D1862"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251" w:type="pct"/>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2F9608C2" w14:textId="6059A0C9" w:rsidR="005F3F40" w:rsidRPr="005060E0" w:rsidRDefault="00812125"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3</w:t>
            </w:r>
          </w:p>
        </w:tc>
        <w:tc>
          <w:tcPr>
            <w:tcW w:w="452" w:type="pct"/>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29DABE23"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sidRPr="005060E0">
              <w:rPr>
                <w:rFonts w:cs="Arial"/>
                <w:i/>
                <w:sz w:val="15"/>
                <w:szCs w:val="15"/>
              </w:rPr>
              <w:t>10</w:t>
            </w:r>
          </w:p>
        </w:tc>
        <w:tc>
          <w:tcPr>
            <w:tcW w:w="201" w:type="pct"/>
            <w:tcBorders>
              <w:top w:val="single" w:sz="4" w:space="0" w:color="606072"/>
              <w:left w:val="dotted" w:sz="4" w:space="0" w:color="606072"/>
              <w:bottom w:val="dotted" w:sz="4" w:space="0" w:color="606072"/>
              <w:right w:val="dotted" w:sz="4" w:space="0" w:color="606072"/>
            </w:tcBorders>
            <w:vAlign w:val="center"/>
          </w:tcPr>
          <w:p w14:paraId="47BD1F61"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5</w:t>
            </w:r>
          </w:p>
        </w:tc>
        <w:tc>
          <w:tcPr>
            <w:tcW w:w="201"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3D699DD6"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5</w:t>
            </w:r>
          </w:p>
        </w:tc>
        <w:tc>
          <w:tcPr>
            <w:tcW w:w="201" w:type="pct"/>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17D8ED2B"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5</w:t>
            </w:r>
          </w:p>
        </w:tc>
        <w:tc>
          <w:tcPr>
            <w:tcW w:w="180" w:type="pct"/>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780F369A"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5</w:t>
            </w:r>
          </w:p>
        </w:tc>
      </w:tr>
      <w:tr w:rsidR="007F77AB" w:rsidRPr="005060E0" w14:paraId="683BC35C" w14:textId="77777777" w:rsidTr="001F63C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302" w:type="pct"/>
            <w:vMerge/>
            <w:tcBorders>
              <w:left w:val="single" w:sz="4" w:space="0" w:color="606072"/>
              <w:right w:val="dotted" w:sz="4" w:space="0" w:color="606372" w:themeColor="text2"/>
            </w:tcBorders>
            <w:shd w:val="clear" w:color="auto" w:fill="DEDFE3" w:themeFill="text2" w:themeFillTint="33"/>
            <w:tcMar>
              <w:left w:w="28" w:type="dxa"/>
              <w:right w:w="28" w:type="dxa"/>
            </w:tcMar>
            <w:vAlign w:val="center"/>
          </w:tcPr>
          <w:p w14:paraId="18CA6697" w14:textId="77777777" w:rsidR="005F3F40" w:rsidRPr="005060E0" w:rsidRDefault="005F3F40" w:rsidP="00F30B35">
            <w:pPr>
              <w:widowControl w:val="0"/>
              <w:spacing w:after="0" w:line="240" w:lineRule="auto"/>
              <w:jc w:val="center"/>
              <w:rPr>
                <w:rFonts w:cs="Arial"/>
                <w:sz w:val="15"/>
                <w:szCs w:val="15"/>
              </w:rPr>
            </w:pPr>
          </w:p>
        </w:tc>
        <w:tc>
          <w:tcPr>
            <w:tcW w:w="303" w:type="pct"/>
            <w:tcBorders>
              <w:top w:val="dotted" w:sz="4" w:space="0" w:color="606072"/>
              <w:left w:val="dotted" w:sz="4" w:space="0" w:color="606372" w:themeColor="text2"/>
              <w:bottom w:val="dotted" w:sz="4" w:space="0" w:color="606072"/>
              <w:right w:val="single" w:sz="4" w:space="0" w:color="606072"/>
            </w:tcBorders>
            <w:shd w:val="clear" w:color="auto" w:fill="DEDFE3" w:themeFill="text2" w:themeFillTint="33"/>
            <w:tcMar>
              <w:left w:w="28" w:type="dxa"/>
              <w:right w:w="28" w:type="dxa"/>
            </w:tcMar>
            <w:vAlign w:val="center"/>
          </w:tcPr>
          <w:p w14:paraId="27CE65A1" w14:textId="77777777" w:rsidR="005F3F40" w:rsidRPr="005060E0" w:rsidRDefault="005F3F40"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55</w:t>
            </w:r>
          </w:p>
        </w:tc>
        <w:tc>
          <w:tcPr>
            <w:tcW w:w="202" w:type="pct"/>
            <w:tcBorders>
              <w:top w:val="nil"/>
              <w:left w:val="single" w:sz="4" w:space="0" w:color="606072"/>
              <w:bottom w:val="nil"/>
              <w:right w:val="single" w:sz="4" w:space="0" w:color="606072"/>
            </w:tcBorders>
            <w:shd w:val="clear" w:color="auto" w:fill="auto"/>
            <w:tcMar>
              <w:left w:w="28" w:type="dxa"/>
              <w:right w:w="28" w:type="dxa"/>
            </w:tcMar>
            <w:vAlign w:val="center"/>
          </w:tcPr>
          <w:p w14:paraId="341DA2DD" w14:textId="77777777" w:rsidR="005F3F40" w:rsidRPr="005060E0" w:rsidRDefault="005F3F40"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p>
        </w:tc>
        <w:tc>
          <w:tcPr>
            <w:tcW w:w="547" w:type="pct"/>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6FFDB5CC" w14:textId="77777777" w:rsidR="005F3F40" w:rsidRPr="005060E0" w:rsidRDefault="005F3F40"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sidRPr="005060E0">
              <w:rPr>
                <w:rFonts w:cs="Arial"/>
                <w:i/>
                <w:sz w:val="15"/>
                <w:szCs w:val="15"/>
              </w:rPr>
              <w:t>19</w:t>
            </w:r>
          </w:p>
        </w:tc>
        <w:tc>
          <w:tcPr>
            <w:tcW w:w="250" w:type="pct"/>
            <w:tcBorders>
              <w:top w:val="dotted" w:sz="4" w:space="0" w:color="606072"/>
              <w:left w:val="dotted" w:sz="4" w:space="0" w:color="606072"/>
              <w:bottom w:val="dotted" w:sz="4" w:space="0" w:color="606072"/>
              <w:right w:val="dotted" w:sz="4" w:space="0" w:color="606072"/>
            </w:tcBorders>
            <w:tcMar>
              <w:left w:w="28" w:type="dxa"/>
              <w:right w:w="28" w:type="dxa"/>
            </w:tcMar>
            <w:vAlign w:val="center"/>
          </w:tcPr>
          <w:p w14:paraId="7334582E" w14:textId="77777777" w:rsidR="005F3F40" w:rsidRPr="005060E0" w:rsidRDefault="005F3F40"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5</w:t>
            </w:r>
          </w:p>
        </w:tc>
        <w:tc>
          <w:tcPr>
            <w:tcW w:w="252"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3A27CD54" w14:textId="77777777" w:rsidR="005F3F40" w:rsidRPr="005060E0" w:rsidRDefault="005F3F40"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5</w:t>
            </w:r>
          </w:p>
        </w:tc>
        <w:tc>
          <w:tcPr>
            <w:tcW w:w="251"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23FCE9A8" w14:textId="77777777" w:rsidR="005F3F40" w:rsidRPr="005060E0" w:rsidRDefault="005F3F40"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5</w:t>
            </w:r>
          </w:p>
        </w:tc>
        <w:tc>
          <w:tcPr>
            <w:tcW w:w="251" w:type="pct"/>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389C9937" w14:textId="77777777" w:rsidR="005F3F40" w:rsidRPr="005060E0" w:rsidRDefault="005F3F40"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5</w:t>
            </w:r>
          </w:p>
        </w:tc>
        <w:tc>
          <w:tcPr>
            <w:tcW w:w="452" w:type="pct"/>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6AAE9BE2" w14:textId="77777777" w:rsidR="005F3F40" w:rsidRPr="005060E0" w:rsidRDefault="005F3F40"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sidRPr="005060E0">
              <w:rPr>
                <w:rFonts w:eastAsia="Times New Roman" w:cs="Arial"/>
                <w:i/>
                <w:sz w:val="15"/>
                <w:szCs w:val="15"/>
                <w:lang w:eastAsia="en-AU"/>
              </w:rPr>
              <w:t>3</w:t>
            </w:r>
          </w:p>
        </w:tc>
        <w:tc>
          <w:tcPr>
            <w:tcW w:w="251" w:type="pct"/>
            <w:tcBorders>
              <w:top w:val="dotted" w:sz="4" w:space="0" w:color="606072"/>
              <w:left w:val="dotted" w:sz="4" w:space="0" w:color="606072"/>
              <w:bottom w:val="dotted" w:sz="4" w:space="0" w:color="606072"/>
              <w:right w:val="dotted" w:sz="4" w:space="0" w:color="606072"/>
            </w:tcBorders>
            <w:vAlign w:val="center"/>
          </w:tcPr>
          <w:p w14:paraId="479F2330" w14:textId="0D6DA37A"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201"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3F15CC78" w14:textId="299E9C53"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252"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4251DDE0" w14:textId="5BF8E4F5"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251" w:type="pct"/>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59B9C2C0" w14:textId="6BAF143B"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452" w:type="pct"/>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46711A90" w14:textId="77777777" w:rsidR="005F3F40" w:rsidRPr="005060E0" w:rsidRDefault="005F3F40"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sidRPr="005060E0">
              <w:rPr>
                <w:rFonts w:cs="Arial"/>
                <w:i/>
                <w:sz w:val="15"/>
                <w:szCs w:val="15"/>
              </w:rPr>
              <w:t>4</w:t>
            </w:r>
          </w:p>
        </w:tc>
        <w:tc>
          <w:tcPr>
            <w:tcW w:w="201" w:type="pct"/>
            <w:tcBorders>
              <w:top w:val="dotted" w:sz="4" w:space="0" w:color="606072"/>
              <w:left w:val="dotted" w:sz="4" w:space="0" w:color="606072"/>
              <w:bottom w:val="dotted" w:sz="4" w:space="0" w:color="606072"/>
              <w:right w:val="dotted" w:sz="4" w:space="0" w:color="606072"/>
            </w:tcBorders>
            <w:vAlign w:val="center"/>
          </w:tcPr>
          <w:p w14:paraId="7C14E5D8" w14:textId="68F15CB4"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201"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48C28003" w14:textId="1EB0D090"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201"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68B5C655" w14:textId="602A4AF1"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180" w:type="pct"/>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2086A384" w14:textId="30DB8C16"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r>
      <w:tr w:rsidR="007F77AB" w:rsidRPr="005060E0" w14:paraId="16844202" w14:textId="77777777" w:rsidTr="001F63CF">
        <w:trPr>
          <w:trHeight w:hRule="exact" w:val="227"/>
        </w:trPr>
        <w:tc>
          <w:tcPr>
            <w:cnfStyle w:val="001000000000" w:firstRow="0" w:lastRow="0" w:firstColumn="1" w:lastColumn="0" w:oddVBand="0" w:evenVBand="0" w:oddHBand="0" w:evenHBand="0" w:firstRowFirstColumn="0" w:firstRowLastColumn="0" w:lastRowFirstColumn="0" w:lastRowLastColumn="0"/>
            <w:tcW w:w="302" w:type="pct"/>
            <w:vMerge/>
            <w:tcBorders>
              <w:left w:val="single" w:sz="4" w:space="0" w:color="606072"/>
              <w:right w:val="dotted" w:sz="4" w:space="0" w:color="606372" w:themeColor="text2"/>
            </w:tcBorders>
            <w:shd w:val="clear" w:color="auto" w:fill="DEDFE3" w:themeFill="text2" w:themeFillTint="33"/>
            <w:tcMar>
              <w:left w:w="28" w:type="dxa"/>
              <w:right w:w="28" w:type="dxa"/>
            </w:tcMar>
            <w:vAlign w:val="center"/>
          </w:tcPr>
          <w:p w14:paraId="57C29A67" w14:textId="77777777" w:rsidR="005F3F40" w:rsidRPr="005060E0" w:rsidRDefault="005F3F40" w:rsidP="00F30B35">
            <w:pPr>
              <w:widowControl w:val="0"/>
              <w:spacing w:after="0" w:line="240" w:lineRule="auto"/>
              <w:jc w:val="center"/>
              <w:rPr>
                <w:rFonts w:cs="Arial"/>
                <w:sz w:val="15"/>
                <w:szCs w:val="15"/>
              </w:rPr>
            </w:pPr>
          </w:p>
        </w:tc>
        <w:tc>
          <w:tcPr>
            <w:tcW w:w="303" w:type="pct"/>
            <w:tcBorders>
              <w:top w:val="dotted" w:sz="4" w:space="0" w:color="606072"/>
              <w:left w:val="dotted" w:sz="4" w:space="0" w:color="606372" w:themeColor="text2"/>
              <w:bottom w:val="dotted" w:sz="4" w:space="0" w:color="606072"/>
              <w:right w:val="single" w:sz="4" w:space="0" w:color="606072"/>
            </w:tcBorders>
            <w:shd w:val="clear" w:color="auto" w:fill="DEDFE3" w:themeFill="text2" w:themeFillTint="33"/>
            <w:tcMar>
              <w:left w:w="28" w:type="dxa"/>
              <w:right w:w="28" w:type="dxa"/>
            </w:tcMar>
            <w:vAlign w:val="center"/>
          </w:tcPr>
          <w:p w14:paraId="5FAA5687"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60</w:t>
            </w:r>
          </w:p>
        </w:tc>
        <w:tc>
          <w:tcPr>
            <w:tcW w:w="202" w:type="pct"/>
            <w:tcBorders>
              <w:top w:val="nil"/>
              <w:left w:val="single" w:sz="4" w:space="0" w:color="606072"/>
              <w:bottom w:val="nil"/>
              <w:right w:val="single" w:sz="4" w:space="0" w:color="606072"/>
            </w:tcBorders>
            <w:shd w:val="clear" w:color="auto" w:fill="auto"/>
            <w:tcMar>
              <w:left w:w="28" w:type="dxa"/>
              <w:right w:w="28" w:type="dxa"/>
            </w:tcMar>
            <w:vAlign w:val="center"/>
          </w:tcPr>
          <w:p w14:paraId="24C67593"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547" w:type="pct"/>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6C995DE5"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sidRPr="005060E0">
              <w:rPr>
                <w:rFonts w:cs="Arial"/>
                <w:i/>
                <w:sz w:val="15"/>
                <w:szCs w:val="15"/>
              </w:rPr>
              <w:t>12</w:t>
            </w:r>
          </w:p>
        </w:tc>
        <w:tc>
          <w:tcPr>
            <w:tcW w:w="250" w:type="pct"/>
            <w:tcBorders>
              <w:top w:val="dotted" w:sz="4" w:space="0" w:color="606072"/>
              <w:left w:val="dotted" w:sz="4" w:space="0" w:color="606072"/>
              <w:bottom w:val="dotted" w:sz="4" w:space="0" w:color="606072"/>
              <w:right w:val="dotted" w:sz="4" w:space="0" w:color="606072"/>
            </w:tcBorders>
            <w:tcMar>
              <w:left w:w="28" w:type="dxa"/>
              <w:right w:w="28" w:type="dxa"/>
            </w:tcMar>
            <w:vAlign w:val="center"/>
          </w:tcPr>
          <w:p w14:paraId="52B3FDB2"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2</w:t>
            </w:r>
          </w:p>
        </w:tc>
        <w:tc>
          <w:tcPr>
            <w:tcW w:w="252"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5E1877E5"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2</w:t>
            </w:r>
          </w:p>
        </w:tc>
        <w:tc>
          <w:tcPr>
            <w:tcW w:w="251"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6BBC6B0C"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2</w:t>
            </w:r>
          </w:p>
        </w:tc>
        <w:tc>
          <w:tcPr>
            <w:tcW w:w="251" w:type="pct"/>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3663A9EA"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5</w:t>
            </w:r>
          </w:p>
        </w:tc>
        <w:tc>
          <w:tcPr>
            <w:tcW w:w="452" w:type="pct"/>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287A47E8"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sidRPr="005060E0">
              <w:rPr>
                <w:rFonts w:eastAsia="Times New Roman" w:cs="Arial"/>
                <w:i/>
                <w:sz w:val="15"/>
                <w:szCs w:val="15"/>
                <w:lang w:eastAsia="en-AU"/>
              </w:rPr>
              <w:t>1</w:t>
            </w:r>
          </w:p>
        </w:tc>
        <w:tc>
          <w:tcPr>
            <w:tcW w:w="251" w:type="pct"/>
            <w:tcBorders>
              <w:top w:val="dotted" w:sz="4" w:space="0" w:color="606072"/>
              <w:left w:val="dotted" w:sz="4" w:space="0" w:color="606072"/>
              <w:bottom w:val="dotted" w:sz="4" w:space="0" w:color="606072"/>
              <w:right w:val="dotted" w:sz="4" w:space="0" w:color="606072"/>
            </w:tcBorders>
            <w:vAlign w:val="center"/>
          </w:tcPr>
          <w:p w14:paraId="76255736" w14:textId="3928DDE0"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201"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118F9AD8" w14:textId="4C9CC477"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252"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4D341D6B" w14:textId="22B3FE51"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251" w:type="pct"/>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6359809D" w14:textId="4A133616"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452" w:type="pct"/>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7BA7F2B4" w14:textId="77777777" w:rsidR="005F3F40" w:rsidRPr="005060E0" w:rsidRDefault="005F3F40"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sidRPr="005060E0">
              <w:rPr>
                <w:rFonts w:cs="Arial"/>
                <w:i/>
                <w:sz w:val="15"/>
                <w:szCs w:val="15"/>
              </w:rPr>
              <w:t>3</w:t>
            </w:r>
          </w:p>
        </w:tc>
        <w:tc>
          <w:tcPr>
            <w:tcW w:w="201" w:type="pct"/>
            <w:tcBorders>
              <w:top w:val="dotted" w:sz="4" w:space="0" w:color="606072"/>
              <w:left w:val="dotted" w:sz="4" w:space="0" w:color="606072"/>
              <w:bottom w:val="dotted" w:sz="4" w:space="0" w:color="606072"/>
              <w:right w:val="dotted" w:sz="4" w:space="0" w:color="606072"/>
            </w:tcBorders>
            <w:vAlign w:val="center"/>
          </w:tcPr>
          <w:p w14:paraId="7516E444" w14:textId="768A1EE9"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201"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0A3FEEBB" w14:textId="04FA25CF"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201" w:type="pct"/>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51B6304F" w14:textId="255622F3"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180" w:type="pct"/>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55681F43" w14:textId="0C9112B6" w:rsidR="005F3F40" w:rsidRPr="005060E0" w:rsidRDefault="00E00FC4" w:rsidP="00F30B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r>
      <w:tr w:rsidR="007F77AB" w:rsidRPr="005060E0" w14:paraId="04C119D1" w14:textId="77777777" w:rsidTr="001F63CF">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302" w:type="pct"/>
            <w:vMerge/>
            <w:tcBorders>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6AE4F315" w14:textId="77777777" w:rsidR="005F3F40" w:rsidRPr="005060E0" w:rsidRDefault="005F3F40" w:rsidP="00F30B35">
            <w:pPr>
              <w:widowControl w:val="0"/>
              <w:spacing w:after="0" w:line="240" w:lineRule="auto"/>
              <w:jc w:val="center"/>
              <w:rPr>
                <w:rFonts w:cs="Arial"/>
                <w:sz w:val="15"/>
                <w:szCs w:val="15"/>
              </w:rPr>
            </w:pPr>
          </w:p>
        </w:tc>
        <w:tc>
          <w:tcPr>
            <w:tcW w:w="303" w:type="pct"/>
            <w:tcBorders>
              <w:top w:val="dotted" w:sz="4" w:space="0" w:color="606072"/>
              <w:left w:val="dotted" w:sz="4" w:space="0" w:color="606372" w:themeColor="text2"/>
              <w:bottom w:val="single" w:sz="4" w:space="0" w:color="606072"/>
              <w:right w:val="single" w:sz="4" w:space="0" w:color="606072"/>
            </w:tcBorders>
            <w:shd w:val="clear" w:color="auto" w:fill="DEDFE3" w:themeFill="text2" w:themeFillTint="33"/>
            <w:tcMar>
              <w:left w:w="28" w:type="dxa"/>
              <w:right w:w="28" w:type="dxa"/>
            </w:tcMar>
            <w:vAlign w:val="center"/>
          </w:tcPr>
          <w:p w14:paraId="6C4E5AD9" w14:textId="77777777" w:rsidR="005F3F40" w:rsidRPr="005060E0" w:rsidRDefault="005F3F40"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70</w:t>
            </w:r>
          </w:p>
        </w:tc>
        <w:tc>
          <w:tcPr>
            <w:tcW w:w="202" w:type="pct"/>
            <w:tcBorders>
              <w:top w:val="nil"/>
              <w:left w:val="single" w:sz="4" w:space="0" w:color="606072"/>
              <w:bottom w:val="single" w:sz="4" w:space="0" w:color="606072"/>
              <w:right w:val="single" w:sz="4" w:space="0" w:color="606072"/>
            </w:tcBorders>
            <w:shd w:val="clear" w:color="auto" w:fill="auto"/>
            <w:tcMar>
              <w:left w:w="28" w:type="dxa"/>
              <w:right w:w="28" w:type="dxa"/>
            </w:tcMar>
            <w:vAlign w:val="center"/>
          </w:tcPr>
          <w:p w14:paraId="1500182B" w14:textId="77777777" w:rsidR="005F3F40" w:rsidRPr="005060E0" w:rsidRDefault="005F3F40"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p>
        </w:tc>
        <w:tc>
          <w:tcPr>
            <w:tcW w:w="547" w:type="pct"/>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3FABDB4D" w14:textId="77777777" w:rsidR="005F3F40" w:rsidRPr="005060E0" w:rsidRDefault="005F3F40"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sidRPr="005060E0">
              <w:rPr>
                <w:rFonts w:cs="Arial"/>
                <w:i/>
                <w:sz w:val="15"/>
                <w:szCs w:val="15"/>
              </w:rPr>
              <w:t>3</w:t>
            </w:r>
          </w:p>
        </w:tc>
        <w:tc>
          <w:tcPr>
            <w:tcW w:w="250" w:type="pct"/>
            <w:tcBorders>
              <w:top w:val="dotted" w:sz="4" w:space="0" w:color="606072"/>
              <w:left w:val="dotted" w:sz="4" w:space="0" w:color="606072"/>
              <w:bottom w:val="single" w:sz="4" w:space="0" w:color="606072"/>
              <w:right w:val="dotted" w:sz="4" w:space="0" w:color="606072"/>
            </w:tcBorders>
            <w:tcMar>
              <w:left w:w="28" w:type="dxa"/>
              <w:right w:w="28" w:type="dxa"/>
            </w:tcMar>
            <w:vAlign w:val="center"/>
          </w:tcPr>
          <w:p w14:paraId="3F08DCDC" w14:textId="4D79F3C5"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252" w:type="pct"/>
            <w:tcBorders>
              <w:top w:val="dotted" w:sz="4" w:space="0" w:color="606072"/>
              <w:left w:val="dotted" w:sz="4" w:space="0" w:color="606072"/>
              <w:bottom w:val="single" w:sz="4" w:space="0" w:color="606072"/>
              <w:right w:val="dotted" w:sz="4" w:space="0" w:color="606072"/>
            </w:tcBorders>
            <w:shd w:val="clear" w:color="auto" w:fill="auto"/>
            <w:tcMar>
              <w:left w:w="28" w:type="dxa"/>
              <w:right w:w="28" w:type="dxa"/>
            </w:tcMar>
            <w:vAlign w:val="center"/>
          </w:tcPr>
          <w:p w14:paraId="520DAD20" w14:textId="6EF8277C"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251" w:type="pct"/>
            <w:tcBorders>
              <w:top w:val="dotted" w:sz="4" w:space="0" w:color="606072"/>
              <w:left w:val="dotted" w:sz="4" w:space="0" w:color="606072"/>
              <w:bottom w:val="single" w:sz="4" w:space="0" w:color="606072"/>
              <w:right w:val="dotted" w:sz="4" w:space="0" w:color="606072"/>
            </w:tcBorders>
            <w:shd w:val="clear" w:color="auto" w:fill="auto"/>
            <w:tcMar>
              <w:left w:w="28" w:type="dxa"/>
              <w:right w:w="28" w:type="dxa"/>
            </w:tcMar>
            <w:vAlign w:val="center"/>
          </w:tcPr>
          <w:p w14:paraId="71B79038" w14:textId="10C8919C"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251" w:type="pct"/>
            <w:tcBorders>
              <w:top w:val="dotted" w:sz="4" w:space="0" w:color="606072"/>
              <w:left w:val="dotted" w:sz="4" w:space="0" w:color="606072"/>
              <w:bottom w:val="single" w:sz="4" w:space="0" w:color="606072"/>
              <w:right w:val="single" w:sz="4" w:space="0" w:color="606072"/>
            </w:tcBorders>
            <w:shd w:val="clear" w:color="auto" w:fill="auto"/>
            <w:tcMar>
              <w:left w:w="28" w:type="dxa"/>
              <w:right w:w="28" w:type="dxa"/>
            </w:tcMar>
            <w:vAlign w:val="center"/>
          </w:tcPr>
          <w:p w14:paraId="2A24AE41" w14:textId="411A0713"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452" w:type="pct"/>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5C3DBB78" w14:textId="4ED596DF"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Pr>
                <w:rFonts w:eastAsia="Times New Roman" w:cs="Arial"/>
                <w:i/>
                <w:sz w:val="15"/>
                <w:szCs w:val="15"/>
                <w:lang w:eastAsia="en-AU"/>
              </w:rPr>
              <w:t>–</w:t>
            </w:r>
          </w:p>
        </w:tc>
        <w:tc>
          <w:tcPr>
            <w:tcW w:w="251" w:type="pct"/>
            <w:tcBorders>
              <w:top w:val="dotted" w:sz="4" w:space="0" w:color="606072"/>
              <w:left w:val="dotted" w:sz="4" w:space="0" w:color="606072"/>
              <w:bottom w:val="single" w:sz="4" w:space="0" w:color="606072"/>
              <w:right w:val="dotted" w:sz="4" w:space="0" w:color="606072"/>
            </w:tcBorders>
            <w:vAlign w:val="center"/>
          </w:tcPr>
          <w:p w14:paraId="474DCBDA" w14:textId="59B5A928"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201" w:type="pct"/>
            <w:tcBorders>
              <w:top w:val="dotted" w:sz="4" w:space="0" w:color="606072"/>
              <w:left w:val="dotted" w:sz="4" w:space="0" w:color="606072"/>
              <w:bottom w:val="single" w:sz="4" w:space="0" w:color="606072"/>
              <w:right w:val="dotted" w:sz="4" w:space="0" w:color="606072"/>
            </w:tcBorders>
            <w:shd w:val="clear" w:color="auto" w:fill="auto"/>
            <w:tcMar>
              <w:left w:w="28" w:type="dxa"/>
              <w:right w:w="28" w:type="dxa"/>
            </w:tcMar>
            <w:vAlign w:val="center"/>
          </w:tcPr>
          <w:p w14:paraId="0E923B32" w14:textId="64DF8F59"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252" w:type="pct"/>
            <w:tcBorders>
              <w:top w:val="dotted" w:sz="4" w:space="0" w:color="606072"/>
              <w:left w:val="dotted" w:sz="4" w:space="0" w:color="606072"/>
              <w:bottom w:val="single" w:sz="4" w:space="0" w:color="606072"/>
              <w:right w:val="dotted" w:sz="4" w:space="0" w:color="606072"/>
            </w:tcBorders>
            <w:shd w:val="clear" w:color="auto" w:fill="auto"/>
            <w:tcMar>
              <w:left w:w="28" w:type="dxa"/>
              <w:right w:w="28" w:type="dxa"/>
            </w:tcMar>
            <w:vAlign w:val="center"/>
          </w:tcPr>
          <w:p w14:paraId="1AF5AE34" w14:textId="4D0124E8"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251" w:type="pct"/>
            <w:tcBorders>
              <w:top w:val="dotted" w:sz="4" w:space="0" w:color="606072"/>
              <w:left w:val="dotted" w:sz="4" w:space="0" w:color="606072"/>
              <w:bottom w:val="single" w:sz="4" w:space="0" w:color="606072"/>
              <w:right w:val="single" w:sz="4" w:space="0" w:color="606072"/>
            </w:tcBorders>
            <w:shd w:val="clear" w:color="auto" w:fill="auto"/>
            <w:tcMar>
              <w:left w:w="28" w:type="dxa"/>
              <w:right w:w="28" w:type="dxa"/>
            </w:tcMar>
            <w:vAlign w:val="center"/>
          </w:tcPr>
          <w:p w14:paraId="5E28CDD7" w14:textId="385C0923"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452" w:type="pct"/>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5E6D9FD9" w14:textId="77777777" w:rsidR="005F3F40" w:rsidRPr="005060E0" w:rsidRDefault="005F3F40"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sidRPr="005060E0">
              <w:rPr>
                <w:rFonts w:cs="Arial"/>
                <w:i/>
                <w:sz w:val="15"/>
                <w:szCs w:val="15"/>
              </w:rPr>
              <w:t>1</w:t>
            </w:r>
          </w:p>
        </w:tc>
        <w:tc>
          <w:tcPr>
            <w:tcW w:w="201" w:type="pct"/>
            <w:tcBorders>
              <w:top w:val="dotted" w:sz="4" w:space="0" w:color="606072"/>
              <w:left w:val="dotted" w:sz="4" w:space="0" w:color="606072"/>
              <w:bottom w:val="single" w:sz="4" w:space="0" w:color="606072"/>
              <w:right w:val="dotted" w:sz="4" w:space="0" w:color="606072"/>
            </w:tcBorders>
            <w:vAlign w:val="center"/>
          </w:tcPr>
          <w:p w14:paraId="2E9A3381" w14:textId="0B749385"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201" w:type="pct"/>
            <w:tcBorders>
              <w:top w:val="dotted" w:sz="4" w:space="0" w:color="606072"/>
              <w:left w:val="dotted" w:sz="4" w:space="0" w:color="606072"/>
              <w:bottom w:val="single" w:sz="4" w:space="0" w:color="606072"/>
              <w:right w:val="dotted" w:sz="4" w:space="0" w:color="606072"/>
            </w:tcBorders>
            <w:shd w:val="clear" w:color="auto" w:fill="auto"/>
            <w:tcMar>
              <w:left w:w="28" w:type="dxa"/>
              <w:right w:w="28" w:type="dxa"/>
            </w:tcMar>
            <w:vAlign w:val="center"/>
          </w:tcPr>
          <w:p w14:paraId="6CB6B660" w14:textId="087EB67E"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201" w:type="pct"/>
            <w:tcBorders>
              <w:top w:val="dotted" w:sz="4" w:space="0" w:color="606072"/>
              <w:left w:val="dotted" w:sz="4" w:space="0" w:color="606072"/>
              <w:bottom w:val="single" w:sz="4" w:space="0" w:color="606072"/>
              <w:right w:val="dotted" w:sz="4" w:space="0" w:color="606072"/>
            </w:tcBorders>
            <w:shd w:val="clear" w:color="auto" w:fill="auto"/>
            <w:tcMar>
              <w:left w:w="28" w:type="dxa"/>
              <w:right w:w="28" w:type="dxa"/>
            </w:tcMar>
            <w:vAlign w:val="center"/>
          </w:tcPr>
          <w:p w14:paraId="387F6AE6" w14:textId="287FA4CD"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180" w:type="pct"/>
            <w:tcBorders>
              <w:top w:val="dotted" w:sz="4" w:space="0" w:color="606072"/>
              <w:left w:val="dotted" w:sz="4" w:space="0" w:color="606072"/>
              <w:bottom w:val="single" w:sz="4" w:space="0" w:color="606072"/>
              <w:right w:val="single" w:sz="4" w:space="0" w:color="606072"/>
            </w:tcBorders>
            <w:shd w:val="clear" w:color="auto" w:fill="auto"/>
            <w:tcMar>
              <w:left w:w="28" w:type="dxa"/>
              <w:right w:w="28" w:type="dxa"/>
            </w:tcMar>
            <w:vAlign w:val="center"/>
          </w:tcPr>
          <w:p w14:paraId="0B34D44C" w14:textId="5474BBAC" w:rsidR="005F3F40" w:rsidRPr="005060E0" w:rsidRDefault="00E00FC4" w:rsidP="00F30B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r>
    </w:tbl>
    <w:p w14:paraId="7F080EDC" w14:textId="77777777" w:rsidR="005F3F40" w:rsidRPr="005060E0" w:rsidRDefault="005F3F40" w:rsidP="00B81325">
      <w:pPr>
        <w:pStyle w:val="ListParagraph"/>
        <w:numPr>
          <w:ilvl w:val="0"/>
          <w:numId w:val="59"/>
        </w:numPr>
        <w:spacing w:before="40" w:after="0" w:line="240" w:lineRule="auto"/>
        <w:ind w:left="283" w:hanging="357"/>
        <w:rPr>
          <w:rFonts w:cs="Arial"/>
          <w:sz w:val="16"/>
          <w:szCs w:val="16"/>
        </w:rPr>
      </w:pPr>
      <w:r w:rsidRPr="005060E0">
        <w:rPr>
          <w:rFonts w:cs="Arial"/>
          <w:sz w:val="16"/>
          <w:szCs w:val="16"/>
        </w:rPr>
        <w:t>Rounded to nearest integer.</w:t>
      </w:r>
    </w:p>
    <w:p w14:paraId="6E2C9F95" w14:textId="5A403E4D" w:rsidR="005F3F40" w:rsidRPr="005060E0" w:rsidRDefault="005F3F40" w:rsidP="00805D1C">
      <w:pPr>
        <w:pStyle w:val="PBTablecaption"/>
        <w:spacing w:before="360"/>
        <w:rPr>
          <w:rFonts w:cs="Arial"/>
        </w:rPr>
      </w:pPr>
      <w:bookmarkStart w:id="220" w:name="_Ref507507932"/>
      <w:r w:rsidRPr="005060E0">
        <w:rPr>
          <w:rFonts w:cs="Arial"/>
        </w:rPr>
        <w:t xml:space="preserve">Table </w:t>
      </w:r>
      <w:r w:rsidRPr="005060E0">
        <w:rPr>
          <w:rFonts w:cs="Arial"/>
        </w:rPr>
        <w:fldChar w:fldCharType="begin"/>
      </w:r>
      <w:r w:rsidRPr="005060E0">
        <w:rPr>
          <w:rFonts w:cs="Arial"/>
        </w:rPr>
        <w:instrText xml:space="preserve"> STYLEREF 1 \s </w:instrText>
      </w:r>
      <w:r w:rsidRPr="005060E0">
        <w:rPr>
          <w:rFonts w:cs="Arial"/>
        </w:rPr>
        <w:fldChar w:fldCharType="separate"/>
      </w:r>
      <w:r w:rsidR="00F2067C">
        <w:rPr>
          <w:rFonts w:cs="Arial"/>
          <w:noProof/>
        </w:rPr>
        <w:t>8</w:t>
      </w:r>
      <w:r w:rsidRPr="005060E0">
        <w:rPr>
          <w:rFonts w:cs="Arial"/>
          <w:noProof/>
        </w:rPr>
        <w:fldChar w:fldCharType="end"/>
      </w:r>
      <w:r w:rsidRPr="005060E0">
        <w:rPr>
          <w:rFonts w:cs="Arial"/>
        </w:rPr>
        <w:noBreakHyphen/>
      </w:r>
      <w:r w:rsidRPr="005060E0">
        <w:rPr>
          <w:rFonts w:cs="Arial"/>
        </w:rPr>
        <w:fldChar w:fldCharType="begin"/>
      </w:r>
      <w:r w:rsidRPr="005060E0">
        <w:rPr>
          <w:rFonts w:cs="Arial"/>
        </w:rPr>
        <w:instrText xml:space="preserve"> SEQ Table \* ARABIC \s 1 </w:instrText>
      </w:r>
      <w:r w:rsidRPr="005060E0">
        <w:rPr>
          <w:rFonts w:cs="Arial"/>
        </w:rPr>
        <w:fldChar w:fldCharType="separate"/>
      </w:r>
      <w:r w:rsidR="00F2067C">
        <w:rPr>
          <w:rFonts w:cs="Arial"/>
          <w:noProof/>
        </w:rPr>
        <w:t>8</w:t>
      </w:r>
      <w:r w:rsidRPr="005060E0">
        <w:rPr>
          <w:rFonts w:cs="Arial"/>
          <w:noProof/>
        </w:rPr>
        <w:fldChar w:fldCharType="end"/>
      </w:r>
      <w:bookmarkEnd w:id="220"/>
      <w:r w:rsidRPr="005060E0">
        <w:rPr>
          <w:rFonts w:cs="Arial"/>
        </w:rPr>
        <w:t>: Projected</w:t>
      </w:r>
      <w:r w:rsidR="00CE5917" w:rsidRPr="005060E0">
        <w:rPr>
          <w:rFonts w:eastAsia="Arial" w:cs="Arial"/>
          <w:iCs/>
        </w:rPr>
        <w:t xml:space="preserve"> exceedance</w:t>
      </w:r>
      <w:r w:rsidRPr="005060E0">
        <w:rPr>
          <w:rFonts w:eastAsia="Arial" w:cs="Arial"/>
          <w:iCs/>
        </w:rPr>
        <w:t>s</w:t>
      </w:r>
      <w:r w:rsidR="00CE5917" w:rsidRPr="005060E0">
        <w:rPr>
          <w:rFonts w:cs="Arial"/>
        </w:rPr>
        <w:t xml:space="preserve"> of current and proposed</w:t>
      </w:r>
      <w:r w:rsidRPr="005060E0">
        <w:rPr>
          <w:rFonts w:cs="Arial"/>
        </w:rPr>
        <w:t xml:space="preserve"> O</w:t>
      </w:r>
      <w:r w:rsidRPr="005060E0">
        <w:rPr>
          <w:rFonts w:cs="Arial"/>
          <w:vertAlign w:val="subscript"/>
        </w:rPr>
        <w:t>3</w:t>
      </w:r>
      <w:r w:rsidRPr="005060E0">
        <w:rPr>
          <w:rFonts w:cs="Arial"/>
        </w:rPr>
        <w:t xml:space="preserve"> standards (Abatement Package scenario, NSW)</w:t>
      </w:r>
    </w:p>
    <w:tbl>
      <w:tblPr>
        <w:tblStyle w:val="ListTable3-Accent12"/>
        <w:tblW w:w="9403" w:type="dxa"/>
        <w:jc w:val="center"/>
        <w:tblLayout w:type="fixed"/>
        <w:tblLook w:val="04A0" w:firstRow="1" w:lastRow="0" w:firstColumn="1" w:lastColumn="0" w:noHBand="0" w:noVBand="1"/>
      </w:tblPr>
      <w:tblGrid>
        <w:gridCol w:w="851"/>
        <w:gridCol w:w="977"/>
        <w:gridCol w:w="616"/>
        <w:gridCol w:w="631"/>
        <w:gridCol w:w="631"/>
        <w:gridCol w:w="632"/>
        <w:gridCol w:w="12"/>
        <w:gridCol w:w="621"/>
        <w:gridCol w:w="632"/>
        <w:gridCol w:w="632"/>
        <w:gridCol w:w="633"/>
        <w:gridCol w:w="8"/>
        <w:gridCol w:w="624"/>
        <w:gridCol w:w="632"/>
        <w:gridCol w:w="633"/>
        <w:gridCol w:w="632"/>
        <w:gridCol w:w="6"/>
      </w:tblGrid>
      <w:tr w:rsidR="005F3F40" w:rsidRPr="005060E0" w14:paraId="765E249C" w14:textId="77777777" w:rsidTr="005F3F40">
        <w:trPr>
          <w:cnfStyle w:val="100000000000" w:firstRow="1" w:lastRow="0" w:firstColumn="0" w:lastColumn="0" w:oddVBand="0" w:evenVBand="0" w:oddHBand="0" w:evenHBand="0" w:firstRowFirstColumn="0" w:firstRowLastColumn="0" w:lastRowFirstColumn="0" w:lastRowLastColumn="0"/>
          <w:trHeight w:hRule="exact" w:val="340"/>
          <w:tblHeader/>
          <w:jc w:val="center"/>
        </w:trPr>
        <w:tc>
          <w:tcPr>
            <w:cnfStyle w:val="001000000100" w:firstRow="0" w:lastRow="0" w:firstColumn="1" w:lastColumn="0" w:oddVBand="0" w:evenVBand="0" w:oddHBand="0" w:evenHBand="0" w:firstRowFirstColumn="1" w:firstRowLastColumn="0" w:lastRowFirstColumn="0" w:lastRowLastColumn="0"/>
            <w:tcW w:w="851" w:type="dxa"/>
            <w:vMerge w:val="restart"/>
            <w:tcBorders>
              <w:top w:val="single" w:sz="4" w:space="0" w:color="606072"/>
              <w:left w:val="single" w:sz="4" w:space="0" w:color="606072"/>
              <w:bottom w:val="single" w:sz="4" w:space="0" w:color="606072"/>
              <w:right w:val="single" w:sz="4" w:space="0" w:color="606072"/>
            </w:tcBorders>
            <w:shd w:val="clear" w:color="auto" w:fill="606072"/>
            <w:vAlign w:val="center"/>
          </w:tcPr>
          <w:p w14:paraId="40F2F876" w14:textId="77777777" w:rsidR="005F3F40" w:rsidRPr="005060E0" w:rsidRDefault="005F3F40" w:rsidP="005F3F40">
            <w:pPr>
              <w:pStyle w:val="BodyText"/>
              <w:spacing w:after="0" w:line="240" w:lineRule="auto"/>
              <w:jc w:val="center"/>
              <w:rPr>
                <w:b w:val="0"/>
                <w:color w:val="FFFFFF" w:themeColor="background1"/>
                <w:sz w:val="15"/>
                <w:szCs w:val="15"/>
              </w:rPr>
            </w:pPr>
            <w:r w:rsidRPr="005060E0">
              <w:rPr>
                <w:b w:val="0"/>
                <w:color w:val="FFFFFF" w:themeColor="background1"/>
                <w:sz w:val="15"/>
                <w:szCs w:val="15"/>
              </w:rPr>
              <w:t>Period</w:t>
            </w:r>
          </w:p>
        </w:tc>
        <w:tc>
          <w:tcPr>
            <w:tcW w:w="977" w:type="dxa"/>
            <w:vMerge w:val="restart"/>
            <w:tcBorders>
              <w:top w:val="single" w:sz="4" w:space="0" w:color="606072"/>
              <w:left w:val="single" w:sz="4" w:space="0" w:color="606072"/>
              <w:bottom w:val="single" w:sz="4" w:space="0" w:color="606072"/>
              <w:right w:val="single" w:sz="4" w:space="0" w:color="606072"/>
            </w:tcBorders>
            <w:shd w:val="clear" w:color="auto" w:fill="606072"/>
            <w:vAlign w:val="center"/>
          </w:tcPr>
          <w:p w14:paraId="44329EE8" w14:textId="77777777" w:rsidR="005F3F40" w:rsidRPr="005060E0" w:rsidRDefault="005F3F40" w:rsidP="005F3F4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Standard (ppb)</w:t>
            </w:r>
          </w:p>
        </w:tc>
        <w:tc>
          <w:tcPr>
            <w:tcW w:w="2522" w:type="dxa"/>
            <w:gridSpan w:val="5"/>
            <w:tcBorders>
              <w:top w:val="single" w:sz="4" w:space="0" w:color="606072"/>
              <w:left w:val="single" w:sz="4" w:space="0" w:color="606072"/>
              <w:bottom w:val="single" w:sz="4" w:space="0" w:color="606072"/>
              <w:right w:val="single" w:sz="4" w:space="0" w:color="606072"/>
            </w:tcBorders>
            <w:shd w:val="clear" w:color="auto" w:fill="606072"/>
            <w:vAlign w:val="center"/>
          </w:tcPr>
          <w:p w14:paraId="65071487" w14:textId="77777777" w:rsidR="005F3F40" w:rsidRPr="005060E0" w:rsidRDefault="005F3F40" w:rsidP="005F3F40">
            <w:pPr>
              <w:pStyle w:val="BodyText"/>
              <w:spacing w:after="0" w:line="240" w:lineRule="auto"/>
              <w:ind w:left="-92"/>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 xml:space="preserve">   NSW: Sydney </w:t>
            </w:r>
          </w:p>
        </w:tc>
        <w:tc>
          <w:tcPr>
            <w:tcW w:w="2526" w:type="dxa"/>
            <w:gridSpan w:val="5"/>
            <w:tcBorders>
              <w:top w:val="single" w:sz="4" w:space="0" w:color="606072"/>
              <w:left w:val="single" w:sz="4" w:space="0" w:color="606072"/>
              <w:bottom w:val="single" w:sz="4" w:space="0" w:color="606072"/>
              <w:right w:val="single" w:sz="4" w:space="0" w:color="606072"/>
            </w:tcBorders>
            <w:shd w:val="clear" w:color="auto" w:fill="606072"/>
            <w:vAlign w:val="center"/>
          </w:tcPr>
          <w:p w14:paraId="5BAB6E9C" w14:textId="77777777" w:rsidR="005F3F40" w:rsidRPr="005060E0" w:rsidRDefault="005F3F40" w:rsidP="005F3F40">
            <w:pPr>
              <w:pStyle w:val="BodyText"/>
              <w:spacing w:after="0" w:line="240" w:lineRule="auto"/>
              <w:ind w:left="-61"/>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 xml:space="preserve"> NSW: Newcastle</w:t>
            </w:r>
          </w:p>
        </w:tc>
        <w:tc>
          <w:tcPr>
            <w:tcW w:w="2527" w:type="dxa"/>
            <w:gridSpan w:val="5"/>
            <w:tcBorders>
              <w:top w:val="single" w:sz="4" w:space="0" w:color="606072"/>
              <w:left w:val="single" w:sz="4" w:space="0" w:color="606072"/>
              <w:bottom w:val="single" w:sz="4" w:space="0" w:color="606072"/>
              <w:right w:val="single" w:sz="4" w:space="0" w:color="606072"/>
            </w:tcBorders>
            <w:shd w:val="clear" w:color="auto" w:fill="606072"/>
            <w:vAlign w:val="center"/>
          </w:tcPr>
          <w:p w14:paraId="5ABF4245" w14:textId="77777777" w:rsidR="005F3F40" w:rsidRPr="005060E0" w:rsidRDefault="005F3F40" w:rsidP="005F3F40">
            <w:pPr>
              <w:pStyle w:val="BodyText"/>
              <w:spacing w:after="0" w:line="240" w:lineRule="auto"/>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NSW: Wollongong</w:t>
            </w:r>
          </w:p>
        </w:tc>
      </w:tr>
      <w:tr w:rsidR="00BF7BF2" w:rsidRPr="005060E0" w14:paraId="1B11AE58" w14:textId="77777777" w:rsidTr="001F63CF">
        <w:tblPrEx>
          <w:tblBorders>
            <w:top w:val="single" w:sz="2" w:space="0" w:color="0076C0" w:themeColor="accent1"/>
            <w:left w:val="single" w:sz="2" w:space="0" w:color="0076C0" w:themeColor="accent1"/>
            <w:bottom w:val="single" w:sz="2" w:space="0" w:color="0076C0" w:themeColor="accent1"/>
            <w:right w:val="single" w:sz="2" w:space="0" w:color="0076C0" w:themeColor="accent1"/>
          </w:tblBorders>
          <w:tblCellMar>
            <w:left w:w="41" w:type="dxa"/>
            <w:right w:w="41" w:type="dxa"/>
          </w:tblCellMar>
        </w:tblPrEx>
        <w:trPr>
          <w:gridAfter w:val="1"/>
          <w:cnfStyle w:val="100000000000" w:firstRow="1" w:lastRow="0" w:firstColumn="0" w:lastColumn="0" w:oddVBand="0" w:evenVBand="0" w:oddHBand="0" w:evenHBand="0" w:firstRowFirstColumn="0" w:firstRowLastColumn="0" w:lastRowFirstColumn="0" w:lastRowLastColumn="0"/>
          <w:wAfter w:w="6" w:type="dxa"/>
          <w:trHeight w:hRule="exact" w:val="227"/>
          <w:tblHeader/>
          <w:jc w:val="center"/>
        </w:trPr>
        <w:tc>
          <w:tcPr>
            <w:cnfStyle w:val="001000000100" w:firstRow="0" w:lastRow="0" w:firstColumn="1" w:lastColumn="0" w:oddVBand="0" w:evenVBand="0" w:oddHBand="0" w:evenHBand="0" w:firstRowFirstColumn="1" w:firstRowLastColumn="0" w:lastRowFirstColumn="0" w:lastRowLastColumn="0"/>
            <w:tcW w:w="851" w:type="dxa"/>
            <w:vMerge/>
            <w:tcBorders>
              <w:top w:val="single" w:sz="4" w:space="0" w:color="606072"/>
              <w:left w:val="single" w:sz="4" w:space="0" w:color="606072"/>
              <w:bottom w:val="single" w:sz="4" w:space="0" w:color="606072"/>
              <w:right w:val="single" w:sz="4" w:space="0" w:color="606072"/>
            </w:tcBorders>
            <w:shd w:val="clear" w:color="auto" w:fill="606072"/>
            <w:vAlign w:val="center"/>
          </w:tcPr>
          <w:p w14:paraId="14AF62D2" w14:textId="77777777" w:rsidR="005F3F40" w:rsidRPr="005060E0" w:rsidRDefault="005F3F40" w:rsidP="005F3F40">
            <w:pPr>
              <w:pStyle w:val="BodyText"/>
              <w:spacing w:after="0" w:line="240" w:lineRule="auto"/>
              <w:rPr>
                <w:b w:val="0"/>
                <w:color w:val="FFFFFF" w:themeColor="background1"/>
                <w:sz w:val="15"/>
                <w:szCs w:val="15"/>
              </w:rPr>
            </w:pPr>
          </w:p>
        </w:tc>
        <w:tc>
          <w:tcPr>
            <w:tcW w:w="977" w:type="dxa"/>
            <w:vMerge/>
            <w:tcBorders>
              <w:top w:val="single" w:sz="4" w:space="0" w:color="606072"/>
              <w:left w:val="single" w:sz="4" w:space="0" w:color="606072"/>
              <w:bottom w:val="single" w:sz="4" w:space="0" w:color="606072"/>
              <w:right w:val="single" w:sz="4" w:space="0" w:color="606072"/>
            </w:tcBorders>
            <w:shd w:val="clear" w:color="auto" w:fill="606072"/>
            <w:vAlign w:val="center"/>
          </w:tcPr>
          <w:p w14:paraId="276EC65E" w14:textId="77777777" w:rsidR="005F3F40" w:rsidRPr="005060E0" w:rsidRDefault="005F3F40" w:rsidP="005F3F4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p>
        </w:tc>
        <w:tc>
          <w:tcPr>
            <w:tcW w:w="616"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5FBCC0D7" w14:textId="77777777" w:rsidR="005F3F40" w:rsidRPr="005060E0" w:rsidRDefault="005F3F40" w:rsidP="005F3F4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2016</w:t>
            </w:r>
          </w:p>
        </w:tc>
        <w:tc>
          <w:tcPr>
            <w:tcW w:w="631"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673ED6E3" w14:textId="77777777" w:rsidR="005F3F40" w:rsidRPr="005060E0" w:rsidRDefault="005F3F40" w:rsidP="005F3F4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2021</w:t>
            </w:r>
          </w:p>
        </w:tc>
        <w:tc>
          <w:tcPr>
            <w:tcW w:w="631"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70C6BA0C" w14:textId="77777777" w:rsidR="005F3F40" w:rsidRPr="005060E0" w:rsidRDefault="005F3F40" w:rsidP="005F3F4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2031</w:t>
            </w:r>
          </w:p>
        </w:tc>
        <w:tc>
          <w:tcPr>
            <w:tcW w:w="632"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12DC5AAB" w14:textId="77777777" w:rsidR="005F3F40" w:rsidRPr="005060E0" w:rsidRDefault="005F3F40" w:rsidP="005F3F4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2040</w:t>
            </w:r>
          </w:p>
        </w:tc>
        <w:tc>
          <w:tcPr>
            <w:tcW w:w="633" w:type="dxa"/>
            <w:gridSpan w:val="2"/>
            <w:tcBorders>
              <w:top w:val="single" w:sz="4" w:space="0" w:color="606072"/>
              <w:left w:val="single" w:sz="4" w:space="0" w:color="606072"/>
              <w:bottom w:val="single" w:sz="4" w:space="0" w:color="606072"/>
              <w:right w:val="single" w:sz="4" w:space="0" w:color="606072"/>
            </w:tcBorders>
            <w:shd w:val="clear" w:color="auto" w:fill="606072"/>
            <w:vAlign w:val="center"/>
          </w:tcPr>
          <w:p w14:paraId="2A8F12C9" w14:textId="77777777" w:rsidR="005F3F40" w:rsidRPr="005060E0" w:rsidRDefault="005F3F40" w:rsidP="005F3F4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2016</w:t>
            </w:r>
          </w:p>
        </w:tc>
        <w:tc>
          <w:tcPr>
            <w:tcW w:w="632"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4DD0797E" w14:textId="77777777" w:rsidR="005F3F40" w:rsidRPr="005060E0" w:rsidRDefault="005F3F40" w:rsidP="005F3F4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2021</w:t>
            </w:r>
          </w:p>
        </w:tc>
        <w:tc>
          <w:tcPr>
            <w:tcW w:w="632"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51D1B3C2" w14:textId="77777777" w:rsidR="005F3F40" w:rsidRPr="005060E0" w:rsidRDefault="005F3F40" w:rsidP="005F3F4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2031</w:t>
            </w:r>
          </w:p>
        </w:tc>
        <w:tc>
          <w:tcPr>
            <w:tcW w:w="633"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74EA0346" w14:textId="77777777" w:rsidR="005F3F40" w:rsidRPr="005060E0" w:rsidRDefault="005F3F40" w:rsidP="005F3F4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2040</w:t>
            </w:r>
          </w:p>
        </w:tc>
        <w:tc>
          <w:tcPr>
            <w:tcW w:w="632" w:type="dxa"/>
            <w:gridSpan w:val="2"/>
            <w:tcBorders>
              <w:top w:val="single" w:sz="4" w:space="0" w:color="606072"/>
              <w:left w:val="single" w:sz="4" w:space="0" w:color="606072"/>
              <w:bottom w:val="single" w:sz="4" w:space="0" w:color="606072"/>
              <w:right w:val="single" w:sz="4" w:space="0" w:color="606072"/>
            </w:tcBorders>
            <w:shd w:val="clear" w:color="auto" w:fill="606072"/>
            <w:vAlign w:val="center"/>
          </w:tcPr>
          <w:p w14:paraId="508C808D" w14:textId="77777777" w:rsidR="005F3F40" w:rsidRPr="005060E0" w:rsidRDefault="005F3F40" w:rsidP="005F3F4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sidRPr="005060E0">
              <w:rPr>
                <w:b w:val="0"/>
                <w:color w:val="FFFFFF" w:themeColor="background1"/>
                <w:sz w:val="15"/>
                <w:szCs w:val="15"/>
              </w:rPr>
              <w:t>2016</w:t>
            </w:r>
          </w:p>
        </w:tc>
        <w:tc>
          <w:tcPr>
            <w:tcW w:w="632"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392C7F42" w14:textId="77777777" w:rsidR="005F3F40" w:rsidRPr="005060E0" w:rsidRDefault="005F3F40" w:rsidP="005F3F4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sidRPr="005060E0">
              <w:rPr>
                <w:b w:val="0"/>
                <w:color w:val="FFFFFF" w:themeColor="background1"/>
                <w:sz w:val="15"/>
                <w:szCs w:val="15"/>
              </w:rPr>
              <w:t>2021</w:t>
            </w:r>
          </w:p>
        </w:tc>
        <w:tc>
          <w:tcPr>
            <w:tcW w:w="633"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7B1ADF3D" w14:textId="77777777" w:rsidR="005F3F40" w:rsidRPr="005060E0" w:rsidRDefault="005F3F40" w:rsidP="005F3F4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5"/>
                <w:szCs w:val="15"/>
              </w:rPr>
            </w:pPr>
            <w:r w:rsidRPr="005060E0">
              <w:rPr>
                <w:b w:val="0"/>
                <w:color w:val="FFFFFF" w:themeColor="background1"/>
                <w:sz w:val="15"/>
                <w:szCs w:val="15"/>
              </w:rPr>
              <w:t>2031</w:t>
            </w:r>
          </w:p>
        </w:tc>
        <w:tc>
          <w:tcPr>
            <w:tcW w:w="632"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50F32650" w14:textId="77777777" w:rsidR="005F3F40" w:rsidRPr="005060E0" w:rsidRDefault="005F3F40" w:rsidP="005F3F4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2040</w:t>
            </w:r>
          </w:p>
        </w:tc>
      </w:tr>
      <w:tr w:rsidR="001B3859" w:rsidRPr="005060E0" w14:paraId="79DE7C04" w14:textId="77777777" w:rsidTr="001F63CF">
        <w:trPr>
          <w:gridAfter w:val="1"/>
          <w:cnfStyle w:val="000000100000" w:firstRow="0" w:lastRow="0" w:firstColumn="0" w:lastColumn="0" w:oddVBand="0" w:evenVBand="0" w:oddHBand="1" w:evenHBand="0" w:firstRowFirstColumn="0" w:firstRowLastColumn="0" w:lastRowFirstColumn="0" w:lastRowLastColumn="0"/>
          <w:wAfter w:w="6"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9397" w:type="dxa"/>
            <w:gridSpan w:val="16"/>
            <w:tcBorders>
              <w:top w:val="single" w:sz="4" w:space="0" w:color="606072"/>
              <w:left w:val="single" w:sz="4" w:space="0" w:color="606072"/>
              <w:bottom w:val="single" w:sz="4" w:space="0" w:color="606072"/>
              <w:right w:val="single" w:sz="4" w:space="0" w:color="606072"/>
            </w:tcBorders>
            <w:shd w:val="clear" w:color="auto" w:fill="BFBFBF" w:themeFill="background1" w:themeFillShade="BF"/>
            <w:vAlign w:val="center"/>
          </w:tcPr>
          <w:p w14:paraId="5646EC27" w14:textId="389B94F4" w:rsidR="001B3859" w:rsidRPr="005060E0" w:rsidRDefault="001B3859" w:rsidP="001F63CF">
            <w:pPr>
              <w:pStyle w:val="BodyText"/>
              <w:spacing w:after="0" w:line="240" w:lineRule="auto"/>
              <w:rPr>
                <w:b w:val="0"/>
                <w:sz w:val="15"/>
                <w:szCs w:val="15"/>
              </w:rPr>
            </w:pPr>
            <w:r w:rsidRPr="005060E0">
              <w:rPr>
                <w:rFonts w:cs="Arial"/>
                <w:b w:val="0"/>
                <w:sz w:val="15"/>
                <w:szCs w:val="15"/>
              </w:rPr>
              <w:t>Total number of unique exceedance days</w:t>
            </w:r>
          </w:p>
        </w:tc>
      </w:tr>
      <w:tr w:rsidR="007F77AB" w:rsidRPr="005060E0" w14:paraId="61A7F0D8" w14:textId="77777777" w:rsidTr="001F63CF">
        <w:trPr>
          <w:gridAfter w:val="1"/>
          <w:wAfter w:w="6"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851" w:type="dxa"/>
            <w:vMerge w:val="restart"/>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105A334C" w14:textId="77777777" w:rsidR="005F3F40" w:rsidRPr="005060E0" w:rsidRDefault="005F3F40" w:rsidP="005F3F40">
            <w:pPr>
              <w:pStyle w:val="BodyText"/>
              <w:spacing w:after="0" w:line="240" w:lineRule="auto"/>
              <w:jc w:val="center"/>
              <w:rPr>
                <w:b w:val="0"/>
                <w:sz w:val="15"/>
                <w:szCs w:val="15"/>
              </w:rPr>
            </w:pPr>
            <w:r w:rsidRPr="005060E0">
              <w:rPr>
                <w:b w:val="0"/>
                <w:sz w:val="15"/>
                <w:szCs w:val="15"/>
              </w:rPr>
              <w:t>1-hour</w:t>
            </w:r>
          </w:p>
        </w:tc>
        <w:tc>
          <w:tcPr>
            <w:tcW w:w="977" w:type="dxa"/>
            <w:tcBorders>
              <w:top w:val="single" w:sz="4" w:space="0" w:color="606072"/>
              <w:left w:val="dotted" w:sz="4" w:space="0" w:color="606372" w:themeColor="text2"/>
              <w:bottom w:val="dotted" w:sz="4" w:space="0" w:color="606072"/>
              <w:right w:val="single" w:sz="4" w:space="0" w:color="606072"/>
            </w:tcBorders>
            <w:shd w:val="clear" w:color="auto" w:fill="DEDFE3" w:themeFill="text2" w:themeFillTint="33"/>
            <w:vAlign w:val="center"/>
          </w:tcPr>
          <w:p w14:paraId="6F6EAF77"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70</w:t>
            </w:r>
          </w:p>
        </w:tc>
        <w:tc>
          <w:tcPr>
            <w:tcW w:w="616" w:type="dxa"/>
            <w:tcBorders>
              <w:top w:val="single" w:sz="4" w:space="0" w:color="606072"/>
              <w:left w:val="single" w:sz="4" w:space="0" w:color="606072"/>
              <w:bottom w:val="dotted" w:sz="4" w:space="0" w:color="auto"/>
              <w:right w:val="dotted" w:sz="4" w:space="0" w:color="606072"/>
            </w:tcBorders>
            <w:shd w:val="clear" w:color="auto" w:fill="auto"/>
            <w:vAlign w:val="center"/>
          </w:tcPr>
          <w:p w14:paraId="044E65AA" w14:textId="55D024C3" w:rsidR="005F3F40" w:rsidRPr="005060E0" w:rsidRDefault="00812125"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11</w:t>
            </w:r>
          </w:p>
        </w:tc>
        <w:tc>
          <w:tcPr>
            <w:tcW w:w="631" w:type="dxa"/>
            <w:tcBorders>
              <w:top w:val="single" w:sz="4" w:space="0" w:color="606072"/>
              <w:left w:val="dotted" w:sz="4" w:space="0" w:color="606072"/>
              <w:bottom w:val="dotted" w:sz="4" w:space="0" w:color="606072"/>
              <w:right w:val="dotted" w:sz="4" w:space="0" w:color="606072"/>
            </w:tcBorders>
            <w:shd w:val="clear" w:color="auto" w:fill="auto"/>
            <w:vAlign w:val="center"/>
          </w:tcPr>
          <w:p w14:paraId="4E9EE0EE" w14:textId="461D0D39" w:rsidR="005F3F40" w:rsidRPr="005060E0" w:rsidRDefault="00812125"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11</w:t>
            </w:r>
          </w:p>
        </w:tc>
        <w:tc>
          <w:tcPr>
            <w:tcW w:w="631" w:type="dxa"/>
            <w:tcBorders>
              <w:top w:val="single" w:sz="4" w:space="0" w:color="606072"/>
              <w:left w:val="dotted" w:sz="4" w:space="0" w:color="606072"/>
              <w:bottom w:val="dotted" w:sz="4" w:space="0" w:color="606072"/>
              <w:right w:val="dotted" w:sz="4" w:space="0" w:color="606072"/>
            </w:tcBorders>
            <w:shd w:val="clear" w:color="auto" w:fill="auto"/>
            <w:vAlign w:val="center"/>
          </w:tcPr>
          <w:p w14:paraId="4027F0D0" w14:textId="5F2C85AA" w:rsidR="005F3F40" w:rsidRPr="005060E0" w:rsidRDefault="00812125"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8</w:t>
            </w:r>
          </w:p>
        </w:tc>
        <w:tc>
          <w:tcPr>
            <w:tcW w:w="632" w:type="dxa"/>
            <w:tcBorders>
              <w:top w:val="single" w:sz="4" w:space="0" w:color="606072"/>
              <w:left w:val="dotted" w:sz="4" w:space="0" w:color="606072"/>
              <w:bottom w:val="dotted" w:sz="4" w:space="0" w:color="606072"/>
              <w:right w:val="single" w:sz="4" w:space="0" w:color="606072"/>
            </w:tcBorders>
            <w:shd w:val="clear" w:color="auto" w:fill="auto"/>
            <w:vAlign w:val="center"/>
          </w:tcPr>
          <w:p w14:paraId="574E3A0C" w14:textId="6720E8E9" w:rsidR="005F3F40" w:rsidRPr="005060E0" w:rsidRDefault="00812125"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8</w:t>
            </w:r>
          </w:p>
        </w:tc>
        <w:tc>
          <w:tcPr>
            <w:tcW w:w="633" w:type="dxa"/>
            <w:gridSpan w:val="2"/>
            <w:tcBorders>
              <w:top w:val="single" w:sz="4" w:space="0" w:color="606072"/>
              <w:left w:val="single" w:sz="4" w:space="0" w:color="606072"/>
              <w:bottom w:val="dotted" w:sz="4" w:space="0" w:color="606072"/>
              <w:right w:val="dotted" w:sz="4" w:space="0" w:color="606072"/>
            </w:tcBorders>
            <w:shd w:val="clear" w:color="auto" w:fill="auto"/>
            <w:vAlign w:val="center"/>
          </w:tcPr>
          <w:p w14:paraId="6F15BA12" w14:textId="17E637EF" w:rsidR="005F3F40" w:rsidRPr="005060E0" w:rsidRDefault="00812125"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3</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2F902AF8" w14:textId="468411BA" w:rsidR="005F3F40" w:rsidRPr="005060E0" w:rsidRDefault="00812125"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3</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48CD2B42" w14:textId="40D24EE6" w:rsidR="005F3F40" w:rsidRPr="005060E0" w:rsidRDefault="00812125"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3</w:t>
            </w:r>
          </w:p>
        </w:tc>
        <w:tc>
          <w:tcPr>
            <w:tcW w:w="633" w:type="dxa"/>
            <w:tcBorders>
              <w:top w:val="single" w:sz="4" w:space="0" w:color="606072"/>
              <w:left w:val="dotted" w:sz="4" w:space="0" w:color="606072"/>
              <w:bottom w:val="dotted" w:sz="4" w:space="0" w:color="606072"/>
              <w:right w:val="single" w:sz="4" w:space="0" w:color="606072"/>
            </w:tcBorders>
            <w:shd w:val="clear" w:color="auto" w:fill="auto"/>
            <w:vAlign w:val="center"/>
          </w:tcPr>
          <w:p w14:paraId="0201618A" w14:textId="0B48AEA0" w:rsidR="005F3F40" w:rsidRPr="005060E0" w:rsidRDefault="00812125"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3</w:t>
            </w:r>
          </w:p>
        </w:tc>
        <w:tc>
          <w:tcPr>
            <w:tcW w:w="632" w:type="dxa"/>
            <w:gridSpan w:val="2"/>
            <w:tcBorders>
              <w:top w:val="single" w:sz="4" w:space="0" w:color="606072"/>
              <w:left w:val="single" w:sz="4" w:space="0" w:color="606072"/>
              <w:bottom w:val="dotted" w:sz="4" w:space="0" w:color="606072"/>
              <w:right w:val="dotted" w:sz="4" w:space="0" w:color="606072"/>
            </w:tcBorders>
            <w:shd w:val="clear" w:color="auto" w:fill="auto"/>
            <w:vAlign w:val="center"/>
          </w:tcPr>
          <w:p w14:paraId="0A07A774" w14:textId="3A1DCC37"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62AFC915" w14:textId="69BC3FE3"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3" w:type="dxa"/>
            <w:tcBorders>
              <w:top w:val="single" w:sz="4" w:space="0" w:color="606072"/>
              <w:left w:val="dotted" w:sz="4" w:space="0" w:color="606072"/>
              <w:bottom w:val="dotted" w:sz="4" w:space="0" w:color="606072"/>
              <w:right w:val="dotted" w:sz="4" w:space="0" w:color="606072"/>
            </w:tcBorders>
            <w:shd w:val="clear" w:color="auto" w:fill="auto"/>
            <w:vAlign w:val="center"/>
          </w:tcPr>
          <w:p w14:paraId="0CC22774" w14:textId="7509A977"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single" w:sz="4" w:space="0" w:color="606072"/>
              <w:left w:val="dotted" w:sz="4" w:space="0" w:color="606072"/>
              <w:bottom w:val="dotted" w:sz="4" w:space="0" w:color="606072"/>
              <w:right w:val="single" w:sz="4" w:space="0" w:color="606072"/>
            </w:tcBorders>
            <w:shd w:val="clear" w:color="auto" w:fill="auto"/>
            <w:vAlign w:val="center"/>
          </w:tcPr>
          <w:p w14:paraId="0F7048DD" w14:textId="2380A625"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7F77AB" w:rsidRPr="005060E0" w14:paraId="0A80B299" w14:textId="77777777" w:rsidTr="001F63CF">
        <w:trPr>
          <w:gridAfter w:val="1"/>
          <w:cnfStyle w:val="000000100000" w:firstRow="0" w:lastRow="0" w:firstColumn="0" w:lastColumn="0" w:oddVBand="0" w:evenVBand="0" w:oddHBand="1" w:evenHBand="0" w:firstRowFirstColumn="0" w:firstRowLastColumn="0" w:lastRowFirstColumn="0" w:lastRowLastColumn="0"/>
          <w:wAfter w:w="6"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851"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02CF6EE8" w14:textId="77777777" w:rsidR="005F3F40" w:rsidRPr="005060E0" w:rsidRDefault="005F3F40" w:rsidP="005F3F40">
            <w:pPr>
              <w:pStyle w:val="BodyText"/>
              <w:spacing w:after="0" w:line="240" w:lineRule="auto"/>
              <w:jc w:val="center"/>
              <w:rPr>
                <w:b w:val="0"/>
                <w:sz w:val="15"/>
                <w:szCs w:val="15"/>
              </w:rPr>
            </w:pPr>
          </w:p>
        </w:tc>
        <w:tc>
          <w:tcPr>
            <w:tcW w:w="977" w:type="dxa"/>
            <w:tcBorders>
              <w:top w:val="dotted" w:sz="4" w:space="0" w:color="606072"/>
              <w:left w:val="dotted" w:sz="4" w:space="0" w:color="606372" w:themeColor="text2"/>
              <w:bottom w:val="dotted" w:sz="4" w:space="0" w:color="606072"/>
              <w:right w:val="single" w:sz="4" w:space="0" w:color="606072"/>
            </w:tcBorders>
            <w:shd w:val="clear" w:color="auto" w:fill="DEDFE3" w:themeFill="text2" w:themeFillTint="33"/>
            <w:vAlign w:val="center"/>
          </w:tcPr>
          <w:p w14:paraId="6ADE64FD" w14:textId="77777777" w:rsidR="005F3F40" w:rsidRPr="005060E0" w:rsidRDefault="005F3F40"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85</w:t>
            </w:r>
          </w:p>
        </w:tc>
        <w:tc>
          <w:tcPr>
            <w:tcW w:w="616" w:type="dxa"/>
            <w:tcBorders>
              <w:top w:val="dotted" w:sz="4" w:space="0" w:color="auto"/>
              <w:left w:val="single" w:sz="4" w:space="0" w:color="606072"/>
              <w:bottom w:val="dotted" w:sz="4" w:space="0" w:color="606072"/>
              <w:right w:val="dotted" w:sz="4" w:space="0" w:color="606072"/>
            </w:tcBorders>
            <w:shd w:val="clear" w:color="auto" w:fill="auto"/>
            <w:vAlign w:val="center"/>
          </w:tcPr>
          <w:p w14:paraId="70D52C47" w14:textId="77777777" w:rsidR="005F3F40" w:rsidRPr="005060E0" w:rsidRDefault="005F3F40"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2</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3D10A5FD" w14:textId="77777777" w:rsidR="005F3F40" w:rsidRPr="005060E0" w:rsidRDefault="005F3F40"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2</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42BCC10A" w14:textId="5F3DCF5F"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dotted" w:sz="4" w:space="0" w:color="606072"/>
              <w:right w:val="single" w:sz="4" w:space="0" w:color="606072"/>
            </w:tcBorders>
            <w:shd w:val="clear" w:color="auto" w:fill="auto"/>
            <w:vAlign w:val="center"/>
          </w:tcPr>
          <w:p w14:paraId="5E466636" w14:textId="55E89856"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3" w:type="dxa"/>
            <w:gridSpan w:val="2"/>
            <w:tcBorders>
              <w:top w:val="dotted" w:sz="4" w:space="0" w:color="606072"/>
              <w:left w:val="single" w:sz="4" w:space="0" w:color="606072"/>
              <w:bottom w:val="dotted" w:sz="4" w:space="0" w:color="606072"/>
              <w:right w:val="dotted" w:sz="4" w:space="0" w:color="606072"/>
            </w:tcBorders>
            <w:shd w:val="clear" w:color="auto" w:fill="auto"/>
            <w:vAlign w:val="center"/>
          </w:tcPr>
          <w:p w14:paraId="4DCC0DB1" w14:textId="5C6574BC"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2836249B" w14:textId="10BB94C6"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402717F7" w14:textId="516224B7"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3" w:type="dxa"/>
            <w:tcBorders>
              <w:top w:val="dotted" w:sz="4" w:space="0" w:color="606072"/>
              <w:left w:val="dotted" w:sz="4" w:space="0" w:color="606072"/>
              <w:bottom w:val="dotted" w:sz="4" w:space="0" w:color="606072"/>
              <w:right w:val="single" w:sz="4" w:space="0" w:color="606072"/>
            </w:tcBorders>
            <w:shd w:val="clear" w:color="auto" w:fill="auto"/>
            <w:vAlign w:val="center"/>
          </w:tcPr>
          <w:p w14:paraId="36CF2769" w14:textId="2D4484FC"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gridSpan w:val="2"/>
            <w:tcBorders>
              <w:top w:val="dotted" w:sz="4" w:space="0" w:color="606072"/>
              <w:left w:val="single" w:sz="4" w:space="0" w:color="606072"/>
              <w:bottom w:val="dotted" w:sz="4" w:space="0" w:color="606072"/>
              <w:right w:val="dotted" w:sz="4" w:space="0" w:color="606072"/>
            </w:tcBorders>
            <w:shd w:val="clear" w:color="auto" w:fill="auto"/>
            <w:vAlign w:val="center"/>
          </w:tcPr>
          <w:p w14:paraId="4427C854" w14:textId="18661EAC"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453D088B" w14:textId="1BE298A3"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3" w:type="dxa"/>
            <w:tcBorders>
              <w:top w:val="dotted" w:sz="4" w:space="0" w:color="606072"/>
              <w:left w:val="dotted" w:sz="4" w:space="0" w:color="606072"/>
              <w:bottom w:val="dotted" w:sz="4" w:space="0" w:color="606072"/>
              <w:right w:val="dotted" w:sz="4" w:space="0" w:color="606072"/>
            </w:tcBorders>
            <w:shd w:val="clear" w:color="auto" w:fill="auto"/>
            <w:vAlign w:val="center"/>
          </w:tcPr>
          <w:p w14:paraId="517DA804" w14:textId="14345111"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dotted" w:sz="4" w:space="0" w:color="606072"/>
              <w:right w:val="single" w:sz="4" w:space="0" w:color="606072"/>
            </w:tcBorders>
            <w:shd w:val="clear" w:color="auto" w:fill="auto"/>
            <w:vAlign w:val="center"/>
          </w:tcPr>
          <w:p w14:paraId="5CA39464" w14:textId="20B91F85"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r>
      <w:tr w:rsidR="007F77AB" w:rsidRPr="005060E0" w14:paraId="5F937A64" w14:textId="77777777" w:rsidTr="005519A4">
        <w:trPr>
          <w:gridAfter w:val="1"/>
          <w:wAfter w:w="6"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851"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06504B23" w14:textId="77777777" w:rsidR="005F3F40" w:rsidRPr="005060E0" w:rsidRDefault="005F3F40" w:rsidP="005F3F40">
            <w:pPr>
              <w:pStyle w:val="BodyText"/>
              <w:spacing w:after="0" w:line="240" w:lineRule="auto"/>
              <w:jc w:val="center"/>
              <w:rPr>
                <w:b w:val="0"/>
                <w:sz w:val="15"/>
                <w:szCs w:val="15"/>
              </w:rPr>
            </w:pPr>
          </w:p>
        </w:tc>
        <w:tc>
          <w:tcPr>
            <w:tcW w:w="977" w:type="dxa"/>
            <w:tcBorders>
              <w:top w:val="dotted" w:sz="4" w:space="0" w:color="606072"/>
              <w:left w:val="dotted" w:sz="4" w:space="0" w:color="606372" w:themeColor="text2"/>
              <w:bottom w:val="single" w:sz="4" w:space="0" w:color="606072"/>
              <w:right w:val="single" w:sz="4" w:space="0" w:color="606072"/>
            </w:tcBorders>
            <w:shd w:val="clear" w:color="auto" w:fill="D5E5FF"/>
            <w:vAlign w:val="center"/>
          </w:tcPr>
          <w:p w14:paraId="515F2FFE"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100</w:t>
            </w:r>
          </w:p>
        </w:tc>
        <w:tc>
          <w:tcPr>
            <w:tcW w:w="616" w:type="dxa"/>
            <w:tcBorders>
              <w:top w:val="dotted" w:sz="4" w:space="0" w:color="606072"/>
              <w:left w:val="single" w:sz="4" w:space="0" w:color="606072"/>
              <w:bottom w:val="single" w:sz="4" w:space="0" w:color="606072"/>
              <w:right w:val="dotted" w:sz="4" w:space="0" w:color="606072"/>
            </w:tcBorders>
            <w:shd w:val="clear" w:color="auto" w:fill="D5E5FF"/>
            <w:vAlign w:val="center"/>
          </w:tcPr>
          <w:p w14:paraId="4BC0F88B" w14:textId="50248382"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1"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450BBB19" w14:textId="5FF9636B"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1"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6E15764F" w14:textId="13BBF0EE"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single" w:sz="4" w:space="0" w:color="606072"/>
              <w:right w:val="single" w:sz="4" w:space="0" w:color="606072"/>
            </w:tcBorders>
            <w:shd w:val="clear" w:color="auto" w:fill="D5E5FF"/>
            <w:vAlign w:val="center"/>
          </w:tcPr>
          <w:p w14:paraId="4868B8CC" w14:textId="7AC86568"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3" w:type="dxa"/>
            <w:gridSpan w:val="2"/>
            <w:tcBorders>
              <w:top w:val="dotted" w:sz="4" w:space="0" w:color="606072"/>
              <w:left w:val="single" w:sz="4" w:space="0" w:color="606072"/>
              <w:bottom w:val="single" w:sz="4" w:space="0" w:color="606072"/>
              <w:right w:val="dotted" w:sz="4" w:space="0" w:color="606072"/>
            </w:tcBorders>
            <w:shd w:val="clear" w:color="auto" w:fill="D5E5FF"/>
            <w:vAlign w:val="center"/>
          </w:tcPr>
          <w:p w14:paraId="74864CF0" w14:textId="63E66DF8"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5F42836E" w14:textId="4DC4655F"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15B8F0B3" w14:textId="60FCA4BF"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3" w:type="dxa"/>
            <w:tcBorders>
              <w:top w:val="dotted" w:sz="4" w:space="0" w:color="606072"/>
              <w:left w:val="dotted" w:sz="4" w:space="0" w:color="606072"/>
              <w:bottom w:val="single" w:sz="4" w:space="0" w:color="606072"/>
              <w:right w:val="single" w:sz="4" w:space="0" w:color="606072"/>
            </w:tcBorders>
            <w:shd w:val="clear" w:color="auto" w:fill="D5E5FF"/>
            <w:vAlign w:val="center"/>
          </w:tcPr>
          <w:p w14:paraId="72F6BF6B" w14:textId="2B16F585"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gridSpan w:val="2"/>
            <w:tcBorders>
              <w:top w:val="dotted" w:sz="4" w:space="0" w:color="606072"/>
              <w:left w:val="single" w:sz="4" w:space="0" w:color="606072"/>
              <w:bottom w:val="single" w:sz="4" w:space="0" w:color="606072"/>
              <w:right w:val="dotted" w:sz="4" w:space="0" w:color="606072"/>
            </w:tcBorders>
            <w:shd w:val="clear" w:color="auto" w:fill="D5E5FF"/>
            <w:vAlign w:val="center"/>
          </w:tcPr>
          <w:p w14:paraId="7F1A5524" w14:textId="638D97FD"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30414E39" w14:textId="664922D6"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3"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5462BC32" w14:textId="52BC4134"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single" w:sz="4" w:space="0" w:color="606072"/>
              <w:right w:val="single" w:sz="4" w:space="0" w:color="606072"/>
            </w:tcBorders>
            <w:shd w:val="clear" w:color="auto" w:fill="D5E5FF"/>
            <w:vAlign w:val="center"/>
          </w:tcPr>
          <w:p w14:paraId="6ADA9BAF" w14:textId="7314515F"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1B3859" w:rsidRPr="005060E0" w14:paraId="0EE37A0C" w14:textId="77777777" w:rsidTr="001F63CF">
        <w:trPr>
          <w:gridAfter w:val="1"/>
          <w:cnfStyle w:val="000000100000" w:firstRow="0" w:lastRow="0" w:firstColumn="0" w:lastColumn="0" w:oddVBand="0" w:evenVBand="0" w:oddHBand="1" w:evenHBand="0" w:firstRowFirstColumn="0" w:firstRowLastColumn="0" w:lastRowFirstColumn="0" w:lastRowLastColumn="0"/>
          <w:wAfter w:w="6"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9397" w:type="dxa"/>
            <w:gridSpan w:val="16"/>
            <w:tcBorders>
              <w:top w:val="single" w:sz="4" w:space="0" w:color="606072"/>
              <w:left w:val="single" w:sz="4" w:space="0" w:color="606072"/>
              <w:right w:val="single" w:sz="4" w:space="0" w:color="606072"/>
            </w:tcBorders>
            <w:shd w:val="clear" w:color="auto" w:fill="BFBFBF" w:themeFill="background1" w:themeFillShade="BF"/>
            <w:vAlign w:val="center"/>
          </w:tcPr>
          <w:p w14:paraId="4E50DAB7" w14:textId="6AC1F11A" w:rsidR="001B3859" w:rsidRPr="005060E0" w:rsidRDefault="001B3859" w:rsidP="001F63CF">
            <w:pPr>
              <w:pStyle w:val="BodyText"/>
              <w:spacing w:after="0" w:line="240" w:lineRule="auto"/>
              <w:rPr>
                <w:b w:val="0"/>
                <w:sz w:val="15"/>
                <w:szCs w:val="15"/>
              </w:rPr>
            </w:pPr>
            <w:r w:rsidRPr="005060E0">
              <w:rPr>
                <w:rFonts w:cs="Arial"/>
                <w:b w:val="0"/>
                <w:sz w:val="15"/>
                <w:szCs w:val="15"/>
              </w:rPr>
              <w:t>Total number of unique exceedance days</w:t>
            </w:r>
          </w:p>
        </w:tc>
      </w:tr>
      <w:tr w:rsidR="007F77AB" w:rsidRPr="005060E0" w14:paraId="276B8807" w14:textId="77777777" w:rsidTr="00812125">
        <w:trPr>
          <w:gridAfter w:val="1"/>
          <w:wAfter w:w="6"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851" w:type="dxa"/>
            <w:vMerge w:val="restart"/>
            <w:tcBorders>
              <w:top w:val="single" w:sz="4" w:space="0" w:color="606072"/>
              <w:left w:val="single" w:sz="4" w:space="0" w:color="606072"/>
              <w:right w:val="dotted" w:sz="4" w:space="0" w:color="606372" w:themeColor="text2"/>
            </w:tcBorders>
            <w:shd w:val="clear" w:color="auto" w:fill="DEDFE3" w:themeFill="text2" w:themeFillTint="33"/>
            <w:vAlign w:val="center"/>
          </w:tcPr>
          <w:p w14:paraId="37CB24DF" w14:textId="0D2C9965" w:rsidR="005F3F40" w:rsidRPr="005060E0" w:rsidRDefault="005F3F40" w:rsidP="005F3F40">
            <w:pPr>
              <w:pStyle w:val="BodyText"/>
              <w:spacing w:after="0" w:line="240" w:lineRule="auto"/>
              <w:jc w:val="center"/>
              <w:rPr>
                <w:b w:val="0"/>
                <w:sz w:val="15"/>
                <w:szCs w:val="15"/>
              </w:rPr>
            </w:pPr>
            <w:r w:rsidRPr="005060E0">
              <w:rPr>
                <w:b w:val="0"/>
                <w:sz w:val="15"/>
                <w:szCs w:val="15"/>
              </w:rPr>
              <w:t xml:space="preserve">Rolling </w:t>
            </w:r>
            <w:r w:rsidR="00CD2F38">
              <w:rPr>
                <w:b w:val="0"/>
                <w:sz w:val="15"/>
                <w:szCs w:val="15"/>
              </w:rPr>
              <w:br/>
            </w:r>
            <w:r w:rsidRPr="005060E0">
              <w:rPr>
                <w:b w:val="0"/>
                <w:sz w:val="15"/>
                <w:szCs w:val="15"/>
              </w:rPr>
              <w:t>4-hour</w:t>
            </w:r>
          </w:p>
        </w:tc>
        <w:tc>
          <w:tcPr>
            <w:tcW w:w="977" w:type="dxa"/>
            <w:tcBorders>
              <w:top w:val="single" w:sz="4" w:space="0" w:color="606072"/>
              <w:left w:val="dotted" w:sz="4" w:space="0" w:color="606372" w:themeColor="text2"/>
              <w:bottom w:val="dotted" w:sz="4" w:space="0" w:color="808080" w:themeColor="background1" w:themeShade="80"/>
              <w:right w:val="single" w:sz="4" w:space="0" w:color="606072"/>
            </w:tcBorders>
            <w:shd w:val="clear" w:color="auto" w:fill="DEDFE3" w:themeFill="text2" w:themeFillTint="33"/>
            <w:vAlign w:val="center"/>
          </w:tcPr>
          <w:p w14:paraId="075250FD"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60</w:t>
            </w:r>
          </w:p>
        </w:tc>
        <w:tc>
          <w:tcPr>
            <w:tcW w:w="616" w:type="dxa"/>
            <w:tcBorders>
              <w:top w:val="single" w:sz="4" w:space="0" w:color="606072"/>
              <w:left w:val="single" w:sz="4" w:space="0" w:color="606072"/>
              <w:bottom w:val="dotted" w:sz="4" w:space="0" w:color="808080" w:themeColor="background1" w:themeShade="80"/>
              <w:right w:val="dotted" w:sz="4" w:space="0" w:color="606072"/>
            </w:tcBorders>
            <w:shd w:val="clear" w:color="auto" w:fill="auto"/>
            <w:vAlign w:val="center"/>
          </w:tcPr>
          <w:p w14:paraId="7BF9A271" w14:textId="0D3BDBEC" w:rsidR="005F3F40" w:rsidRPr="005060E0" w:rsidRDefault="00812125"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14</w:t>
            </w:r>
          </w:p>
        </w:tc>
        <w:tc>
          <w:tcPr>
            <w:tcW w:w="631" w:type="dxa"/>
            <w:tcBorders>
              <w:top w:val="single" w:sz="4" w:space="0" w:color="606072"/>
              <w:left w:val="dotted" w:sz="4" w:space="0" w:color="606072"/>
              <w:bottom w:val="dotted" w:sz="4" w:space="0" w:color="808080" w:themeColor="background1" w:themeShade="80"/>
              <w:right w:val="dotted" w:sz="4" w:space="0" w:color="606072"/>
            </w:tcBorders>
            <w:shd w:val="clear" w:color="auto" w:fill="auto"/>
            <w:vAlign w:val="center"/>
          </w:tcPr>
          <w:p w14:paraId="32D9D385" w14:textId="78A066D0" w:rsidR="005F3F40" w:rsidRPr="005060E0" w:rsidRDefault="00812125"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8</w:t>
            </w:r>
          </w:p>
        </w:tc>
        <w:tc>
          <w:tcPr>
            <w:tcW w:w="631" w:type="dxa"/>
            <w:tcBorders>
              <w:top w:val="single" w:sz="4" w:space="0" w:color="606072"/>
              <w:left w:val="dotted" w:sz="4" w:space="0" w:color="606072"/>
              <w:bottom w:val="dotted" w:sz="4" w:space="0" w:color="808080" w:themeColor="background1" w:themeShade="80"/>
              <w:right w:val="dotted" w:sz="4" w:space="0" w:color="606072"/>
            </w:tcBorders>
            <w:shd w:val="clear" w:color="auto" w:fill="auto"/>
            <w:vAlign w:val="center"/>
          </w:tcPr>
          <w:p w14:paraId="69946291" w14:textId="75868F4C" w:rsidR="005F3F40" w:rsidRPr="005060E0" w:rsidRDefault="00812125"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8</w:t>
            </w:r>
          </w:p>
        </w:tc>
        <w:tc>
          <w:tcPr>
            <w:tcW w:w="632" w:type="dxa"/>
            <w:tcBorders>
              <w:top w:val="single" w:sz="4" w:space="0" w:color="606072"/>
              <w:left w:val="dotted" w:sz="4" w:space="0" w:color="606072"/>
              <w:bottom w:val="dotted" w:sz="4" w:space="0" w:color="808080" w:themeColor="background1" w:themeShade="80"/>
              <w:right w:val="single" w:sz="4" w:space="0" w:color="606072"/>
            </w:tcBorders>
            <w:shd w:val="clear" w:color="auto" w:fill="auto"/>
            <w:vAlign w:val="center"/>
          </w:tcPr>
          <w:p w14:paraId="7C9638ED" w14:textId="1F6DC235" w:rsidR="005F3F40" w:rsidRPr="005060E0" w:rsidRDefault="00812125"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8</w:t>
            </w:r>
          </w:p>
        </w:tc>
        <w:tc>
          <w:tcPr>
            <w:tcW w:w="633" w:type="dxa"/>
            <w:gridSpan w:val="2"/>
            <w:tcBorders>
              <w:top w:val="single" w:sz="4" w:space="0" w:color="606072"/>
              <w:left w:val="single" w:sz="4" w:space="0" w:color="606072"/>
              <w:bottom w:val="dotted" w:sz="4" w:space="0" w:color="808080" w:themeColor="background1" w:themeShade="80"/>
              <w:right w:val="dotted" w:sz="4" w:space="0" w:color="606072"/>
            </w:tcBorders>
            <w:shd w:val="clear" w:color="auto" w:fill="auto"/>
            <w:vAlign w:val="center"/>
          </w:tcPr>
          <w:p w14:paraId="2A12DDA6" w14:textId="6F376D67" w:rsidR="005F3F40" w:rsidRPr="005060E0" w:rsidRDefault="00812125"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3</w:t>
            </w:r>
          </w:p>
        </w:tc>
        <w:tc>
          <w:tcPr>
            <w:tcW w:w="632" w:type="dxa"/>
            <w:tcBorders>
              <w:top w:val="single" w:sz="4" w:space="0" w:color="606072"/>
              <w:left w:val="dotted" w:sz="4" w:space="0" w:color="606072"/>
              <w:bottom w:val="dotted" w:sz="4" w:space="0" w:color="808080" w:themeColor="background1" w:themeShade="80"/>
              <w:right w:val="dotted" w:sz="4" w:space="0" w:color="606072"/>
            </w:tcBorders>
            <w:shd w:val="clear" w:color="auto" w:fill="auto"/>
            <w:vAlign w:val="center"/>
          </w:tcPr>
          <w:p w14:paraId="30CE0565" w14:textId="6F2D98B6" w:rsidR="005F3F40" w:rsidRPr="005060E0" w:rsidRDefault="00812125"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3</w:t>
            </w:r>
          </w:p>
        </w:tc>
        <w:tc>
          <w:tcPr>
            <w:tcW w:w="632" w:type="dxa"/>
            <w:tcBorders>
              <w:top w:val="single" w:sz="4" w:space="0" w:color="606072"/>
              <w:left w:val="dotted" w:sz="4" w:space="0" w:color="606072"/>
              <w:bottom w:val="dotted" w:sz="4" w:space="0" w:color="808080" w:themeColor="background1" w:themeShade="80"/>
              <w:right w:val="dotted" w:sz="4" w:space="0" w:color="606072"/>
            </w:tcBorders>
            <w:shd w:val="clear" w:color="auto" w:fill="auto"/>
            <w:vAlign w:val="center"/>
          </w:tcPr>
          <w:p w14:paraId="6AB1B03B" w14:textId="44B37179"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3" w:type="dxa"/>
            <w:tcBorders>
              <w:top w:val="single" w:sz="4" w:space="0" w:color="606072"/>
              <w:left w:val="dotted" w:sz="4" w:space="0" w:color="606072"/>
              <w:bottom w:val="dotted" w:sz="4" w:space="0" w:color="808080" w:themeColor="background1" w:themeShade="80"/>
              <w:right w:val="single" w:sz="4" w:space="0" w:color="606072"/>
            </w:tcBorders>
            <w:shd w:val="clear" w:color="auto" w:fill="auto"/>
            <w:vAlign w:val="center"/>
          </w:tcPr>
          <w:p w14:paraId="3DC2BEA5" w14:textId="474A5F70"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gridSpan w:val="2"/>
            <w:tcBorders>
              <w:top w:val="single" w:sz="4" w:space="0" w:color="606072"/>
              <w:left w:val="single" w:sz="4" w:space="0" w:color="606072"/>
              <w:bottom w:val="dotted" w:sz="4" w:space="0" w:color="808080" w:themeColor="background1" w:themeShade="80"/>
              <w:right w:val="dotted" w:sz="4" w:space="0" w:color="606072"/>
            </w:tcBorders>
            <w:shd w:val="clear" w:color="auto" w:fill="auto"/>
            <w:vAlign w:val="center"/>
          </w:tcPr>
          <w:p w14:paraId="73189967" w14:textId="59BFF7F1" w:rsidR="005F3F40" w:rsidRPr="005060E0" w:rsidRDefault="00812125"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2</w:t>
            </w:r>
          </w:p>
        </w:tc>
        <w:tc>
          <w:tcPr>
            <w:tcW w:w="632" w:type="dxa"/>
            <w:tcBorders>
              <w:top w:val="single" w:sz="4" w:space="0" w:color="606072"/>
              <w:left w:val="dotted" w:sz="4" w:space="0" w:color="606072"/>
              <w:bottom w:val="dotted" w:sz="4" w:space="0" w:color="808080" w:themeColor="background1" w:themeShade="80"/>
              <w:right w:val="dotted" w:sz="4" w:space="0" w:color="606072"/>
            </w:tcBorders>
            <w:shd w:val="clear" w:color="auto" w:fill="auto"/>
            <w:vAlign w:val="center"/>
          </w:tcPr>
          <w:p w14:paraId="11C1FFFA" w14:textId="402AB175" w:rsidR="005F3F40" w:rsidRPr="005060E0" w:rsidRDefault="00812125"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2</w:t>
            </w:r>
          </w:p>
        </w:tc>
        <w:tc>
          <w:tcPr>
            <w:tcW w:w="633" w:type="dxa"/>
            <w:tcBorders>
              <w:top w:val="single" w:sz="4" w:space="0" w:color="606072"/>
              <w:left w:val="dotted" w:sz="4" w:space="0" w:color="606072"/>
              <w:bottom w:val="dotted" w:sz="4" w:space="0" w:color="808080" w:themeColor="background1" w:themeShade="80"/>
              <w:right w:val="dotted" w:sz="4" w:space="0" w:color="606072"/>
            </w:tcBorders>
            <w:shd w:val="clear" w:color="auto" w:fill="auto"/>
            <w:vAlign w:val="center"/>
          </w:tcPr>
          <w:p w14:paraId="5A85E187" w14:textId="1F4A28C4"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single" w:sz="4" w:space="0" w:color="606072"/>
              <w:left w:val="dotted" w:sz="4" w:space="0" w:color="606072"/>
              <w:bottom w:val="dotted" w:sz="4" w:space="0" w:color="808080" w:themeColor="background1" w:themeShade="80"/>
              <w:right w:val="single" w:sz="4" w:space="0" w:color="606072"/>
            </w:tcBorders>
            <w:shd w:val="clear" w:color="auto" w:fill="auto"/>
            <w:vAlign w:val="center"/>
          </w:tcPr>
          <w:p w14:paraId="5D29CB5D" w14:textId="643B3015"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7F77AB" w:rsidRPr="005060E0" w14:paraId="18A4A08D" w14:textId="77777777" w:rsidTr="00812125">
        <w:trPr>
          <w:gridAfter w:val="1"/>
          <w:cnfStyle w:val="000000100000" w:firstRow="0" w:lastRow="0" w:firstColumn="0" w:lastColumn="0" w:oddVBand="0" w:evenVBand="0" w:oddHBand="1" w:evenHBand="0" w:firstRowFirstColumn="0" w:firstRowLastColumn="0" w:lastRowFirstColumn="0" w:lastRowLastColumn="0"/>
          <w:wAfter w:w="6" w:type="dxa"/>
          <w:trHeight w:val="227"/>
          <w:jc w:val="center"/>
        </w:trPr>
        <w:tc>
          <w:tcPr>
            <w:cnfStyle w:val="001000000000" w:firstRow="0" w:lastRow="0" w:firstColumn="1" w:lastColumn="0" w:oddVBand="0" w:evenVBand="0" w:oddHBand="0" w:evenHBand="0" w:firstRowFirstColumn="0" w:firstRowLastColumn="0" w:lastRowFirstColumn="0" w:lastRowLastColumn="0"/>
            <w:tcW w:w="851" w:type="dxa"/>
            <w:vMerge/>
            <w:tcBorders>
              <w:left w:val="single" w:sz="4" w:space="0" w:color="606072"/>
              <w:right w:val="dotted" w:sz="4" w:space="0" w:color="606372" w:themeColor="text2"/>
            </w:tcBorders>
            <w:shd w:val="clear" w:color="auto" w:fill="DEDFE3" w:themeFill="text2" w:themeFillTint="33"/>
            <w:vAlign w:val="center"/>
          </w:tcPr>
          <w:p w14:paraId="634E34D4" w14:textId="77777777" w:rsidR="005F3F40" w:rsidRPr="005060E0" w:rsidRDefault="005F3F40" w:rsidP="005F3F40">
            <w:pPr>
              <w:pStyle w:val="BodyText"/>
              <w:spacing w:after="0" w:line="240" w:lineRule="auto"/>
              <w:jc w:val="center"/>
              <w:rPr>
                <w:b w:val="0"/>
                <w:sz w:val="15"/>
                <w:szCs w:val="15"/>
              </w:rPr>
            </w:pPr>
          </w:p>
        </w:tc>
        <w:tc>
          <w:tcPr>
            <w:tcW w:w="977" w:type="dxa"/>
            <w:tcBorders>
              <w:top w:val="dotted" w:sz="4" w:space="0" w:color="808080" w:themeColor="background1" w:themeShade="80"/>
              <w:left w:val="dotted" w:sz="4" w:space="0" w:color="606372" w:themeColor="text2"/>
              <w:bottom w:val="dotted" w:sz="4" w:space="0" w:color="808080" w:themeColor="background1" w:themeShade="80"/>
              <w:right w:val="single" w:sz="4" w:space="0" w:color="606072"/>
            </w:tcBorders>
            <w:shd w:val="clear" w:color="auto" w:fill="DEDFE3" w:themeFill="text2" w:themeFillTint="33"/>
            <w:vAlign w:val="center"/>
          </w:tcPr>
          <w:p w14:paraId="4A4DA360" w14:textId="77777777" w:rsidR="005F3F40" w:rsidRPr="005060E0" w:rsidRDefault="005F3F40"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70</w:t>
            </w:r>
          </w:p>
        </w:tc>
        <w:tc>
          <w:tcPr>
            <w:tcW w:w="616" w:type="dxa"/>
            <w:tcBorders>
              <w:top w:val="dotted" w:sz="4" w:space="0" w:color="808080" w:themeColor="background1" w:themeShade="80"/>
              <w:left w:val="single" w:sz="4" w:space="0" w:color="606072"/>
              <w:bottom w:val="dotted" w:sz="4" w:space="0" w:color="808080" w:themeColor="background1" w:themeShade="80"/>
              <w:right w:val="dotted" w:sz="4" w:space="0" w:color="606072"/>
            </w:tcBorders>
            <w:shd w:val="clear" w:color="auto" w:fill="auto"/>
            <w:vAlign w:val="center"/>
          </w:tcPr>
          <w:p w14:paraId="1F81651B" w14:textId="77777777" w:rsidR="005F3F40" w:rsidRPr="005060E0" w:rsidRDefault="005F3F40"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5</w:t>
            </w:r>
          </w:p>
        </w:tc>
        <w:tc>
          <w:tcPr>
            <w:tcW w:w="631" w:type="dxa"/>
            <w:tcBorders>
              <w:top w:val="dotted" w:sz="4" w:space="0" w:color="808080" w:themeColor="background1" w:themeShade="80"/>
              <w:left w:val="dotted" w:sz="4" w:space="0" w:color="606072"/>
              <w:bottom w:val="dotted" w:sz="4" w:space="0" w:color="808080" w:themeColor="background1" w:themeShade="80"/>
              <w:right w:val="dotted" w:sz="4" w:space="0" w:color="606072"/>
            </w:tcBorders>
            <w:shd w:val="clear" w:color="auto" w:fill="auto"/>
            <w:vAlign w:val="center"/>
          </w:tcPr>
          <w:p w14:paraId="42107E5F" w14:textId="77777777" w:rsidR="005F3F40" w:rsidRPr="005060E0" w:rsidRDefault="005F3F40"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2</w:t>
            </w:r>
          </w:p>
        </w:tc>
        <w:tc>
          <w:tcPr>
            <w:tcW w:w="631" w:type="dxa"/>
            <w:tcBorders>
              <w:top w:val="dotted" w:sz="4" w:space="0" w:color="808080" w:themeColor="background1" w:themeShade="80"/>
              <w:left w:val="dotted" w:sz="4" w:space="0" w:color="606072"/>
              <w:bottom w:val="dotted" w:sz="4" w:space="0" w:color="808080" w:themeColor="background1" w:themeShade="80"/>
              <w:right w:val="dotted" w:sz="4" w:space="0" w:color="606072"/>
            </w:tcBorders>
            <w:shd w:val="clear" w:color="auto" w:fill="auto"/>
            <w:vAlign w:val="center"/>
          </w:tcPr>
          <w:p w14:paraId="0DCCD9E2" w14:textId="77777777" w:rsidR="005F3F40" w:rsidRPr="005060E0" w:rsidRDefault="005F3F40"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2</w:t>
            </w:r>
          </w:p>
        </w:tc>
        <w:tc>
          <w:tcPr>
            <w:tcW w:w="632" w:type="dxa"/>
            <w:tcBorders>
              <w:top w:val="dotted" w:sz="4" w:space="0" w:color="808080" w:themeColor="background1" w:themeShade="80"/>
              <w:left w:val="dotted" w:sz="4" w:space="0" w:color="606072"/>
              <w:bottom w:val="dotted" w:sz="4" w:space="0" w:color="808080" w:themeColor="background1" w:themeShade="80"/>
              <w:right w:val="single" w:sz="4" w:space="0" w:color="606072"/>
            </w:tcBorders>
            <w:shd w:val="clear" w:color="auto" w:fill="auto"/>
            <w:vAlign w:val="center"/>
          </w:tcPr>
          <w:p w14:paraId="06CF5EA4" w14:textId="77777777" w:rsidR="005F3F40" w:rsidRPr="005060E0" w:rsidRDefault="005F3F40"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3</w:t>
            </w:r>
          </w:p>
        </w:tc>
        <w:tc>
          <w:tcPr>
            <w:tcW w:w="633" w:type="dxa"/>
            <w:gridSpan w:val="2"/>
            <w:tcBorders>
              <w:top w:val="dotted" w:sz="4" w:space="0" w:color="808080" w:themeColor="background1" w:themeShade="80"/>
              <w:left w:val="single" w:sz="4" w:space="0" w:color="606072"/>
              <w:bottom w:val="dotted" w:sz="4" w:space="0" w:color="808080" w:themeColor="background1" w:themeShade="80"/>
              <w:right w:val="dotted" w:sz="4" w:space="0" w:color="606072"/>
            </w:tcBorders>
            <w:shd w:val="clear" w:color="auto" w:fill="auto"/>
            <w:vAlign w:val="center"/>
          </w:tcPr>
          <w:p w14:paraId="5C6E5B25" w14:textId="0917ED93"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808080" w:themeColor="background1" w:themeShade="80"/>
              <w:left w:val="dotted" w:sz="4" w:space="0" w:color="606072"/>
              <w:bottom w:val="dotted" w:sz="4" w:space="0" w:color="808080" w:themeColor="background1" w:themeShade="80"/>
              <w:right w:val="dotted" w:sz="4" w:space="0" w:color="606072"/>
            </w:tcBorders>
            <w:shd w:val="clear" w:color="auto" w:fill="auto"/>
            <w:vAlign w:val="center"/>
          </w:tcPr>
          <w:p w14:paraId="10AB82AB" w14:textId="3E77F86E"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808080" w:themeColor="background1" w:themeShade="80"/>
              <w:left w:val="dotted" w:sz="4" w:space="0" w:color="606072"/>
              <w:bottom w:val="dotted" w:sz="4" w:space="0" w:color="808080" w:themeColor="background1" w:themeShade="80"/>
              <w:right w:val="dotted" w:sz="4" w:space="0" w:color="606072"/>
            </w:tcBorders>
            <w:shd w:val="clear" w:color="auto" w:fill="auto"/>
            <w:vAlign w:val="center"/>
          </w:tcPr>
          <w:p w14:paraId="1EC0A700" w14:textId="73B5BA6C"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3" w:type="dxa"/>
            <w:tcBorders>
              <w:top w:val="dotted" w:sz="4" w:space="0" w:color="808080" w:themeColor="background1" w:themeShade="80"/>
              <w:left w:val="dotted" w:sz="4" w:space="0" w:color="606072"/>
              <w:bottom w:val="dotted" w:sz="4" w:space="0" w:color="808080" w:themeColor="background1" w:themeShade="80"/>
              <w:right w:val="single" w:sz="4" w:space="0" w:color="606072"/>
            </w:tcBorders>
            <w:shd w:val="clear" w:color="auto" w:fill="auto"/>
            <w:vAlign w:val="center"/>
          </w:tcPr>
          <w:p w14:paraId="5FD36C69" w14:textId="0FD0242F"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gridSpan w:val="2"/>
            <w:tcBorders>
              <w:top w:val="dotted" w:sz="4" w:space="0" w:color="808080" w:themeColor="background1" w:themeShade="80"/>
              <w:left w:val="single" w:sz="4" w:space="0" w:color="606072"/>
              <w:bottom w:val="dotted" w:sz="4" w:space="0" w:color="808080" w:themeColor="background1" w:themeShade="80"/>
              <w:right w:val="dotted" w:sz="4" w:space="0" w:color="606072"/>
            </w:tcBorders>
            <w:shd w:val="clear" w:color="auto" w:fill="auto"/>
            <w:vAlign w:val="center"/>
          </w:tcPr>
          <w:p w14:paraId="4CF2E7F0" w14:textId="52738685"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808080" w:themeColor="background1" w:themeShade="80"/>
              <w:left w:val="dotted" w:sz="4" w:space="0" w:color="606072"/>
              <w:bottom w:val="dotted" w:sz="4" w:space="0" w:color="808080" w:themeColor="background1" w:themeShade="80"/>
              <w:right w:val="dotted" w:sz="4" w:space="0" w:color="606072"/>
            </w:tcBorders>
            <w:shd w:val="clear" w:color="auto" w:fill="auto"/>
            <w:vAlign w:val="center"/>
          </w:tcPr>
          <w:p w14:paraId="1DB8BC54" w14:textId="56A0B36E"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3" w:type="dxa"/>
            <w:tcBorders>
              <w:top w:val="dotted" w:sz="4" w:space="0" w:color="808080" w:themeColor="background1" w:themeShade="80"/>
              <w:left w:val="dotted" w:sz="4" w:space="0" w:color="606072"/>
              <w:bottom w:val="dotted" w:sz="4" w:space="0" w:color="808080" w:themeColor="background1" w:themeShade="80"/>
              <w:right w:val="dotted" w:sz="4" w:space="0" w:color="606072"/>
            </w:tcBorders>
            <w:shd w:val="clear" w:color="auto" w:fill="auto"/>
            <w:vAlign w:val="center"/>
          </w:tcPr>
          <w:p w14:paraId="531DA9B2" w14:textId="0917A45C"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808080" w:themeColor="background1" w:themeShade="80"/>
              <w:left w:val="dotted" w:sz="4" w:space="0" w:color="606072"/>
              <w:bottom w:val="dotted" w:sz="4" w:space="0" w:color="808080" w:themeColor="background1" w:themeShade="80"/>
              <w:right w:val="single" w:sz="4" w:space="0" w:color="606072"/>
            </w:tcBorders>
            <w:shd w:val="clear" w:color="auto" w:fill="auto"/>
            <w:vAlign w:val="center"/>
          </w:tcPr>
          <w:p w14:paraId="340400EF" w14:textId="53BDB18A"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r>
      <w:tr w:rsidR="007F77AB" w:rsidRPr="005060E0" w14:paraId="0CB57955" w14:textId="77777777" w:rsidTr="005519A4">
        <w:trPr>
          <w:gridAfter w:val="1"/>
          <w:wAfter w:w="6"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851" w:type="dxa"/>
            <w:vMerge/>
            <w:tcBorders>
              <w:left w:val="single" w:sz="4" w:space="0" w:color="606072"/>
              <w:bottom w:val="single" w:sz="4" w:space="0" w:color="606072"/>
              <w:right w:val="dotted" w:sz="4" w:space="0" w:color="606372" w:themeColor="text2"/>
            </w:tcBorders>
            <w:shd w:val="clear" w:color="auto" w:fill="DEDFE3" w:themeFill="text2" w:themeFillTint="33"/>
            <w:vAlign w:val="center"/>
          </w:tcPr>
          <w:p w14:paraId="7EAFFEE3" w14:textId="77777777" w:rsidR="005F3F40" w:rsidRPr="005060E0" w:rsidRDefault="005F3F40" w:rsidP="005F3F40">
            <w:pPr>
              <w:pStyle w:val="BodyText"/>
              <w:spacing w:after="0" w:line="240" w:lineRule="auto"/>
              <w:jc w:val="center"/>
              <w:rPr>
                <w:b w:val="0"/>
                <w:sz w:val="15"/>
                <w:szCs w:val="15"/>
              </w:rPr>
            </w:pPr>
          </w:p>
        </w:tc>
        <w:tc>
          <w:tcPr>
            <w:tcW w:w="977" w:type="dxa"/>
            <w:tcBorders>
              <w:top w:val="dotted" w:sz="4" w:space="0" w:color="808080" w:themeColor="background1" w:themeShade="80"/>
              <w:left w:val="dotted" w:sz="4" w:space="0" w:color="606372" w:themeColor="text2"/>
              <w:bottom w:val="dotted" w:sz="4" w:space="0" w:color="606072"/>
              <w:right w:val="single" w:sz="4" w:space="0" w:color="606072"/>
            </w:tcBorders>
            <w:shd w:val="clear" w:color="auto" w:fill="D5E5FF"/>
            <w:vAlign w:val="center"/>
          </w:tcPr>
          <w:p w14:paraId="40D2371C"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80</w:t>
            </w:r>
          </w:p>
        </w:tc>
        <w:tc>
          <w:tcPr>
            <w:tcW w:w="616" w:type="dxa"/>
            <w:tcBorders>
              <w:top w:val="dotted" w:sz="4" w:space="0" w:color="808080" w:themeColor="background1" w:themeShade="80"/>
              <w:left w:val="single" w:sz="4" w:space="0" w:color="606072"/>
              <w:bottom w:val="dotted" w:sz="4" w:space="0" w:color="606072"/>
              <w:right w:val="dotted" w:sz="4" w:space="0" w:color="606072"/>
            </w:tcBorders>
            <w:shd w:val="clear" w:color="auto" w:fill="D5E5FF"/>
            <w:vAlign w:val="center"/>
          </w:tcPr>
          <w:p w14:paraId="5B9915B2"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2</w:t>
            </w:r>
          </w:p>
        </w:tc>
        <w:tc>
          <w:tcPr>
            <w:tcW w:w="631" w:type="dxa"/>
            <w:tcBorders>
              <w:top w:val="dotted" w:sz="4" w:space="0" w:color="808080" w:themeColor="background1" w:themeShade="80"/>
              <w:left w:val="dotted" w:sz="4" w:space="0" w:color="606072"/>
              <w:bottom w:val="dotted" w:sz="4" w:space="0" w:color="606072"/>
              <w:right w:val="dotted" w:sz="4" w:space="0" w:color="606072"/>
            </w:tcBorders>
            <w:shd w:val="clear" w:color="auto" w:fill="D5E5FF"/>
            <w:vAlign w:val="center"/>
          </w:tcPr>
          <w:p w14:paraId="1AE2366B" w14:textId="4C1B19B7"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1" w:type="dxa"/>
            <w:tcBorders>
              <w:top w:val="dotted" w:sz="4" w:space="0" w:color="808080" w:themeColor="background1" w:themeShade="80"/>
              <w:left w:val="dotted" w:sz="4" w:space="0" w:color="606072"/>
              <w:bottom w:val="dotted" w:sz="4" w:space="0" w:color="606072"/>
              <w:right w:val="dotted" w:sz="4" w:space="0" w:color="606072"/>
            </w:tcBorders>
            <w:shd w:val="clear" w:color="auto" w:fill="D5E5FF"/>
            <w:vAlign w:val="center"/>
          </w:tcPr>
          <w:p w14:paraId="734E57CC" w14:textId="5AFCFFED"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dotted" w:sz="4" w:space="0" w:color="808080" w:themeColor="background1" w:themeShade="80"/>
              <w:left w:val="dotted" w:sz="4" w:space="0" w:color="606072"/>
              <w:bottom w:val="dotted" w:sz="4" w:space="0" w:color="606072"/>
              <w:right w:val="single" w:sz="4" w:space="0" w:color="606072"/>
            </w:tcBorders>
            <w:shd w:val="clear" w:color="auto" w:fill="D5E5FF"/>
            <w:vAlign w:val="center"/>
          </w:tcPr>
          <w:p w14:paraId="1F8B1E67" w14:textId="282F128B"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3" w:type="dxa"/>
            <w:gridSpan w:val="2"/>
            <w:tcBorders>
              <w:top w:val="dotted" w:sz="4" w:space="0" w:color="808080" w:themeColor="background1" w:themeShade="80"/>
              <w:left w:val="single" w:sz="4" w:space="0" w:color="606072"/>
              <w:bottom w:val="dotted" w:sz="4" w:space="0" w:color="606072"/>
              <w:right w:val="dotted" w:sz="4" w:space="0" w:color="606072"/>
            </w:tcBorders>
            <w:shd w:val="clear" w:color="auto" w:fill="D5E5FF"/>
            <w:vAlign w:val="center"/>
          </w:tcPr>
          <w:p w14:paraId="371A2179" w14:textId="30AB5573"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dotted" w:sz="4" w:space="0" w:color="808080" w:themeColor="background1" w:themeShade="80"/>
              <w:left w:val="dotted" w:sz="4" w:space="0" w:color="606072"/>
              <w:bottom w:val="dotted" w:sz="4" w:space="0" w:color="606072"/>
              <w:right w:val="dotted" w:sz="4" w:space="0" w:color="606072"/>
            </w:tcBorders>
            <w:shd w:val="clear" w:color="auto" w:fill="D5E5FF"/>
            <w:vAlign w:val="center"/>
          </w:tcPr>
          <w:p w14:paraId="0082E073" w14:textId="0BE9D7E7"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dotted" w:sz="4" w:space="0" w:color="808080" w:themeColor="background1" w:themeShade="80"/>
              <w:left w:val="dotted" w:sz="4" w:space="0" w:color="606072"/>
              <w:bottom w:val="dotted" w:sz="4" w:space="0" w:color="606072"/>
              <w:right w:val="dotted" w:sz="4" w:space="0" w:color="606072"/>
            </w:tcBorders>
            <w:shd w:val="clear" w:color="auto" w:fill="D5E5FF"/>
            <w:vAlign w:val="center"/>
          </w:tcPr>
          <w:p w14:paraId="37E945D0" w14:textId="66E104CB"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3" w:type="dxa"/>
            <w:tcBorders>
              <w:top w:val="dotted" w:sz="4" w:space="0" w:color="808080" w:themeColor="background1" w:themeShade="80"/>
              <w:left w:val="dotted" w:sz="4" w:space="0" w:color="606072"/>
              <w:bottom w:val="dotted" w:sz="4" w:space="0" w:color="606072"/>
              <w:right w:val="single" w:sz="4" w:space="0" w:color="606072"/>
            </w:tcBorders>
            <w:shd w:val="clear" w:color="auto" w:fill="D5E5FF"/>
            <w:vAlign w:val="center"/>
          </w:tcPr>
          <w:p w14:paraId="0B281296" w14:textId="4E3FC189"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gridSpan w:val="2"/>
            <w:tcBorders>
              <w:top w:val="dotted" w:sz="4" w:space="0" w:color="808080" w:themeColor="background1" w:themeShade="80"/>
              <w:left w:val="single" w:sz="4" w:space="0" w:color="606072"/>
              <w:bottom w:val="dotted" w:sz="4" w:space="0" w:color="606072"/>
              <w:right w:val="dotted" w:sz="4" w:space="0" w:color="606072"/>
            </w:tcBorders>
            <w:shd w:val="clear" w:color="auto" w:fill="D5E5FF"/>
            <w:vAlign w:val="center"/>
          </w:tcPr>
          <w:p w14:paraId="1B5DB127" w14:textId="6BFF2F4A"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dotted" w:sz="4" w:space="0" w:color="808080" w:themeColor="background1" w:themeShade="80"/>
              <w:left w:val="dotted" w:sz="4" w:space="0" w:color="606072"/>
              <w:bottom w:val="dotted" w:sz="4" w:space="0" w:color="606072"/>
              <w:right w:val="dotted" w:sz="4" w:space="0" w:color="606072"/>
            </w:tcBorders>
            <w:shd w:val="clear" w:color="auto" w:fill="D5E5FF"/>
            <w:vAlign w:val="center"/>
          </w:tcPr>
          <w:p w14:paraId="7461E288" w14:textId="453B82EA"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3" w:type="dxa"/>
            <w:tcBorders>
              <w:top w:val="dotted" w:sz="4" w:space="0" w:color="808080" w:themeColor="background1" w:themeShade="80"/>
              <w:left w:val="dotted" w:sz="4" w:space="0" w:color="606072"/>
              <w:bottom w:val="dotted" w:sz="4" w:space="0" w:color="606072"/>
              <w:right w:val="dotted" w:sz="4" w:space="0" w:color="606072"/>
            </w:tcBorders>
            <w:shd w:val="clear" w:color="auto" w:fill="D5E5FF"/>
            <w:vAlign w:val="center"/>
          </w:tcPr>
          <w:p w14:paraId="6A3C728A" w14:textId="634070C4"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dotted" w:sz="4" w:space="0" w:color="808080" w:themeColor="background1" w:themeShade="80"/>
              <w:left w:val="dotted" w:sz="4" w:space="0" w:color="606072"/>
              <w:bottom w:val="dotted" w:sz="4" w:space="0" w:color="606072"/>
              <w:right w:val="single" w:sz="4" w:space="0" w:color="606072"/>
            </w:tcBorders>
            <w:shd w:val="clear" w:color="auto" w:fill="D5E5FF"/>
            <w:vAlign w:val="center"/>
          </w:tcPr>
          <w:p w14:paraId="2C031125" w14:textId="51A6D430"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1B3859" w:rsidRPr="005060E0" w14:paraId="6107E677" w14:textId="77777777" w:rsidTr="001F63CF">
        <w:trPr>
          <w:gridAfter w:val="1"/>
          <w:cnfStyle w:val="000000100000" w:firstRow="0" w:lastRow="0" w:firstColumn="0" w:lastColumn="0" w:oddVBand="0" w:evenVBand="0" w:oddHBand="1" w:evenHBand="0" w:firstRowFirstColumn="0" w:firstRowLastColumn="0" w:lastRowFirstColumn="0" w:lastRowLastColumn="0"/>
          <w:wAfter w:w="6"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9397" w:type="dxa"/>
            <w:gridSpan w:val="16"/>
            <w:tcBorders>
              <w:top w:val="single" w:sz="4" w:space="0" w:color="606072"/>
              <w:left w:val="single" w:sz="4" w:space="0" w:color="606072"/>
              <w:right w:val="single" w:sz="4" w:space="0" w:color="606072"/>
            </w:tcBorders>
            <w:shd w:val="clear" w:color="auto" w:fill="BFBFBF" w:themeFill="background1" w:themeFillShade="BF"/>
            <w:vAlign w:val="center"/>
          </w:tcPr>
          <w:p w14:paraId="7FC26E21" w14:textId="639E0500" w:rsidR="001B3859" w:rsidRPr="005060E0" w:rsidRDefault="001B3859" w:rsidP="001B3859">
            <w:pPr>
              <w:pStyle w:val="BodyText"/>
              <w:spacing w:after="0" w:line="240" w:lineRule="auto"/>
              <w:rPr>
                <w:b w:val="0"/>
                <w:sz w:val="15"/>
                <w:szCs w:val="15"/>
              </w:rPr>
            </w:pPr>
            <w:r w:rsidRPr="005060E0">
              <w:rPr>
                <w:rFonts w:cs="Arial"/>
                <w:b w:val="0"/>
                <w:sz w:val="15"/>
                <w:szCs w:val="15"/>
              </w:rPr>
              <w:t>Total number of unique exceedance days</w:t>
            </w:r>
          </w:p>
        </w:tc>
      </w:tr>
      <w:tr w:rsidR="007F77AB" w:rsidRPr="005060E0" w14:paraId="6BDD2F15" w14:textId="77777777" w:rsidTr="00812125">
        <w:trPr>
          <w:gridAfter w:val="1"/>
          <w:wAfter w:w="6"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851" w:type="dxa"/>
            <w:vMerge w:val="restart"/>
            <w:tcBorders>
              <w:top w:val="single" w:sz="4" w:space="0" w:color="606072"/>
              <w:left w:val="single" w:sz="4" w:space="0" w:color="606072"/>
              <w:right w:val="dotted" w:sz="4" w:space="0" w:color="606372" w:themeColor="text2"/>
            </w:tcBorders>
            <w:shd w:val="clear" w:color="auto" w:fill="DEDFE3" w:themeFill="text2" w:themeFillTint="33"/>
            <w:vAlign w:val="center"/>
          </w:tcPr>
          <w:p w14:paraId="28FC70E5" w14:textId="6AFD2977" w:rsidR="005F3F40" w:rsidRPr="005060E0" w:rsidRDefault="005F3F40" w:rsidP="005F3F40">
            <w:pPr>
              <w:pStyle w:val="BodyText"/>
              <w:spacing w:after="0" w:line="240" w:lineRule="auto"/>
              <w:jc w:val="center"/>
              <w:rPr>
                <w:b w:val="0"/>
                <w:sz w:val="15"/>
                <w:szCs w:val="15"/>
              </w:rPr>
            </w:pPr>
            <w:r w:rsidRPr="005060E0">
              <w:rPr>
                <w:b w:val="0"/>
                <w:sz w:val="15"/>
                <w:szCs w:val="15"/>
              </w:rPr>
              <w:t xml:space="preserve">Rolling </w:t>
            </w:r>
            <w:r w:rsidR="00CD2F38">
              <w:rPr>
                <w:b w:val="0"/>
                <w:sz w:val="15"/>
                <w:szCs w:val="15"/>
              </w:rPr>
              <w:br/>
            </w:r>
            <w:r w:rsidRPr="005060E0">
              <w:rPr>
                <w:b w:val="0"/>
                <w:sz w:val="15"/>
                <w:szCs w:val="15"/>
              </w:rPr>
              <w:t>8-hour</w:t>
            </w:r>
          </w:p>
        </w:tc>
        <w:tc>
          <w:tcPr>
            <w:tcW w:w="977" w:type="dxa"/>
            <w:tcBorders>
              <w:top w:val="single" w:sz="4" w:space="0" w:color="606072"/>
              <w:left w:val="dotted" w:sz="4" w:space="0" w:color="606372" w:themeColor="text2"/>
              <w:bottom w:val="dotted" w:sz="4" w:space="0" w:color="808080" w:themeColor="background1" w:themeShade="80"/>
              <w:right w:val="single" w:sz="4" w:space="0" w:color="606072"/>
            </w:tcBorders>
            <w:shd w:val="clear" w:color="auto" w:fill="DEDFE3" w:themeFill="text2" w:themeFillTint="33"/>
            <w:vAlign w:val="center"/>
          </w:tcPr>
          <w:p w14:paraId="7783D1D0"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47</w:t>
            </w:r>
          </w:p>
        </w:tc>
        <w:tc>
          <w:tcPr>
            <w:tcW w:w="616" w:type="dxa"/>
            <w:tcBorders>
              <w:top w:val="single" w:sz="4" w:space="0" w:color="606072"/>
              <w:left w:val="single" w:sz="4" w:space="0" w:color="606072"/>
              <w:bottom w:val="dotted" w:sz="4" w:space="0" w:color="808080" w:themeColor="background1" w:themeShade="80"/>
              <w:right w:val="dotted" w:sz="4" w:space="0" w:color="606072"/>
            </w:tcBorders>
            <w:shd w:val="clear" w:color="auto" w:fill="auto"/>
            <w:vAlign w:val="center"/>
          </w:tcPr>
          <w:p w14:paraId="1715037D"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11</w:t>
            </w:r>
          </w:p>
        </w:tc>
        <w:tc>
          <w:tcPr>
            <w:tcW w:w="631" w:type="dxa"/>
            <w:tcBorders>
              <w:top w:val="single" w:sz="4" w:space="0" w:color="606072"/>
              <w:left w:val="dotted" w:sz="4" w:space="0" w:color="606072"/>
              <w:bottom w:val="dotted" w:sz="4" w:space="0" w:color="808080" w:themeColor="background1" w:themeShade="80"/>
              <w:right w:val="dotted" w:sz="4" w:space="0" w:color="606072"/>
            </w:tcBorders>
            <w:shd w:val="clear" w:color="auto" w:fill="auto"/>
            <w:vAlign w:val="center"/>
          </w:tcPr>
          <w:p w14:paraId="1C338DAE"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11</w:t>
            </w:r>
          </w:p>
        </w:tc>
        <w:tc>
          <w:tcPr>
            <w:tcW w:w="631" w:type="dxa"/>
            <w:tcBorders>
              <w:top w:val="single" w:sz="4" w:space="0" w:color="606072"/>
              <w:left w:val="dotted" w:sz="4" w:space="0" w:color="606072"/>
              <w:bottom w:val="dotted" w:sz="4" w:space="0" w:color="808080" w:themeColor="background1" w:themeShade="80"/>
              <w:right w:val="dotted" w:sz="4" w:space="0" w:color="606072"/>
            </w:tcBorders>
            <w:shd w:val="clear" w:color="auto" w:fill="auto"/>
            <w:vAlign w:val="center"/>
          </w:tcPr>
          <w:p w14:paraId="00CF19B1"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11</w:t>
            </w:r>
          </w:p>
        </w:tc>
        <w:tc>
          <w:tcPr>
            <w:tcW w:w="632" w:type="dxa"/>
            <w:tcBorders>
              <w:top w:val="single" w:sz="4" w:space="0" w:color="606072"/>
              <w:left w:val="dotted" w:sz="4" w:space="0" w:color="606072"/>
              <w:bottom w:val="dotted" w:sz="4" w:space="0" w:color="808080" w:themeColor="background1" w:themeShade="80"/>
              <w:right w:val="single" w:sz="4" w:space="0" w:color="606072"/>
            </w:tcBorders>
            <w:shd w:val="clear" w:color="auto" w:fill="auto"/>
            <w:vAlign w:val="center"/>
          </w:tcPr>
          <w:p w14:paraId="241947BC"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11</w:t>
            </w:r>
          </w:p>
        </w:tc>
        <w:tc>
          <w:tcPr>
            <w:tcW w:w="633" w:type="dxa"/>
            <w:gridSpan w:val="2"/>
            <w:tcBorders>
              <w:top w:val="single" w:sz="4" w:space="0" w:color="606072"/>
              <w:left w:val="single" w:sz="4" w:space="0" w:color="606072"/>
              <w:bottom w:val="dotted" w:sz="4" w:space="0" w:color="808080" w:themeColor="background1" w:themeShade="80"/>
              <w:right w:val="dotted" w:sz="4" w:space="0" w:color="606072"/>
            </w:tcBorders>
            <w:shd w:val="clear" w:color="auto" w:fill="auto"/>
            <w:vAlign w:val="center"/>
          </w:tcPr>
          <w:p w14:paraId="78E1C61F" w14:textId="5F9B7047"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single" w:sz="4" w:space="0" w:color="606072"/>
              <w:left w:val="dotted" w:sz="4" w:space="0" w:color="606072"/>
              <w:bottom w:val="dotted" w:sz="4" w:space="0" w:color="808080" w:themeColor="background1" w:themeShade="80"/>
              <w:right w:val="dotted" w:sz="4" w:space="0" w:color="606072"/>
            </w:tcBorders>
            <w:shd w:val="clear" w:color="auto" w:fill="auto"/>
            <w:vAlign w:val="center"/>
          </w:tcPr>
          <w:p w14:paraId="087A7BE7" w14:textId="572395E7"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single" w:sz="4" w:space="0" w:color="606072"/>
              <w:left w:val="dotted" w:sz="4" w:space="0" w:color="606072"/>
              <w:bottom w:val="dotted" w:sz="4" w:space="0" w:color="808080" w:themeColor="background1" w:themeShade="80"/>
              <w:right w:val="dotted" w:sz="4" w:space="0" w:color="606072"/>
            </w:tcBorders>
            <w:shd w:val="clear" w:color="auto" w:fill="auto"/>
            <w:vAlign w:val="center"/>
          </w:tcPr>
          <w:p w14:paraId="5DF006B0" w14:textId="64B21D3D"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3" w:type="dxa"/>
            <w:tcBorders>
              <w:top w:val="single" w:sz="4" w:space="0" w:color="606072"/>
              <w:left w:val="dotted" w:sz="4" w:space="0" w:color="606072"/>
              <w:bottom w:val="dotted" w:sz="4" w:space="0" w:color="808080" w:themeColor="background1" w:themeShade="80"/>
              <w:right w:val="single" w:sz="4" w:space="0" w:color="606072"/>
            </w:tcBorders>
            <w:shd w:val="clear" w:color="auto" w:fill="auto"/>
            <w:vAlign w:val="center"/>
          </w:tcPr>
          <w:p w14:paraId="5C3D6980" w14:textId="69CEA7D9"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gridSpan w:val="2"/>
            <w:tcBorders>
              <w:top w:val="single" w:sz="4" w:space="0" w:color="606072"/>
              <w:left w:val="single" w:sz="4" w:space="0" w:color="606072"/>
              <w:bottom w:val="dotted" w:sz="4" w:space="0" w:color="808080" w:themeColor="background1" w:themeShade="80"/>
              <w:right w:val="dotted" w:sz="4" w:space="0" w:color="606072"/>
            </w:tcBorders>
            <w:shd w:val="clear" w:color="auto" w:fill="auto"/>
            <w:vAlign w:val="center"/>
          </w:tcPr>
          <w:p w14:paraId="3B052BFE"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5</w:t>
            </w:r>
          </w:p>
        </w:tc>
        <w:tc>
          <w:tcPr>
            <w:tcW w:w="632" w:type="dxa"/>
            <w:tcBorders>
              <w:top w:val="single" w:sz="4" w:space="0" w:color="606072"/>
              <w:left w:val="dotted" w:sz="4" w:space="0" w:color="606072"/>
              <w:bottom w:val="dotted" w:sz="4" w:space="0" w:color="808080" w:themeColor="background1" w:themeShade="80"/>
              <w:right w:val="dotted" w:sz="4" w:space="0" w:color="606072"/>
            </w:tcBorders>
            <w:shd w:val="clear" w:color="auto" w:fill="auto"/>
            <w:vAlign w:val="center"/>
          </w:tcPr>
          <w:p w14:paraId="5075769B"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5</w:t>
            </w:r>
          </w:p>
        </w:tc>
        <w:tc>
          <w:tcPr>
            <w:tcW w:w="633" w:type="dxa"/>
            <w:tcBorders>
              <w:top w:val="single" w:sz="4" w:space="0" w:color="606072"/>
              <w:left w:val="dotted" w:sz="4" w:space="0" w:color="606072"/>
              <w:bottom w:val="dotted" w:sz="4" w:space="0" w:color="808080" w:themeColor="background1" w:themeShade="80"/>
              <w:right w:val="dotted" w:sz="4" w:space="0" w:color="606072"/>
            </w:tcBorders>
            <w:shd w:val="clear" w:color="auto" w:fill="auto"/>
            <w:vAlign w:val="center"/>
          </w:tcPr>
          <w:p w14:paraId="4553EF27"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5</w:t>
            </w:r>
          </w:p>
        </w:tc>
        <w:tc>
          <w:tcPr>
            <w:tcW w:w="632" w:type="dxa"/>
            <w:tcBorders>
              <w:top w:val="single" w:sz="4" w:space="0" w:color="606072"/>
              <w:left w:val="dotted" w:sz="4" w:space="0" w:color="606072"/>
              <w:bottom w:val="dotted" w:sz="4" w:space="0" w:color="808080" w:themeColor="background1" w:themeShade="80"/>
              <w:right w:val="single" w:sz="4" w:space="0" w:color="606072"/>
            </w:tcBorders>
            <w:shd w:val="clear" w:color="auto" w:fill="auto"/>
            <w:vAlign w:val="center"/>
          </w:tcPr>
          <w:p w14:paraId="400A72A6"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5</w:t>
            </w:r>
          </w:p>
        </w:tc>
      </w:tr>
      <w:tr w:rsidR="007F77AB" w:rsidRPr="005060E0" w14:paraId="3BD1BA8D" w14:textId="77777777" w:rsidTr="00812125">
        <w:trPr>
          <w:gridAfter w:val="1"/>
          <w:cnfStyle w:val="000000100000" w:firstRow="0" w:lastRow="0" w:firstColumn="0" w:lastColumn="0" w:oddVBand="0" w:evenVBand="0" w:oddHBand="1" w:evenHBand="0" w:firstRowFirstColumn="0" w:firstRowLastColumn="0" w:lastRowFirstColumn="0" w:lastRowLastColumn="0"/>
          <w:wAfter w:w="6"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851" w:type="dxa"/>
            <w:vMerge/>
            <w:tcBorders>
              <w:left w:val="single" w:sz="4" w:space="0" w:color="606072"/>
              <w:right w:val="dotted" w:sz="4" w:space="0" w:color="606372" w:themeColor="text2"/>
            </w:tcBorders>
            <w:shd w:val="clear" w:color="auto" w:fill="DEDFE3" w:themeFill="text2" w:themeFillTint="33"/>
            <w:vAlign w:val="center"/>
          </w:tcPr>
          <w:p w14:paraId="1F641E3C" w14:textId="77777777" w:rsidR="005F3F40" w:rsidRPr="005060E0" w:rsidRDefault="005F3F40" w:rsidP="005F3F40">
            <w:pPr>
              <w:pStyle w:val="BodyText"/>
              <w:spacing w:after="0" w:line="240" w:lineRule="auto"/>
              <w:jc w:val="center"/>
              <w:rPr>
                <w:b w:val="0"/>
                <w:sz w:val="15"/>
                <w:szCs w:val="15"/>
              </w:rPr>
            </w:pPr>
          </w:p>
        </w:tc>
        <w:tc>
          <w:tcPr>
            <w:tcW w:w="977" w:type="dxa"/>
            <w:tcBorders>
              <w:top w:val="dotted" w:sz="4" w:space="0" w:color="808080" w:themeColor="background1" w:themeShade="80"/>
              <w:left w:val="dotted" w:sz="4" w:space="0" w:color="606372" w:themeColor="text2"/>
              <w:bottom w:val="dotted" w:sz="4" w:space="0" w:color="808080" w:themeColor="background1" w:themeShade="80"/>
              <w:right w:val="single" w:sz="4" w:space="0" w:color="606072"/>
            </w:tcBorders>
            <w:shd w:val="clear" w:color="auto" w:fill="DEDFE3" w:themeFill="text2" w:themeFillTint="33"/>
            <w:vAlign w:val="center"/>
          </w:tcPr>
          <w:p w14:paraId="5EE8A2F6" w14:textId="77777777" w:rsidR="005F3F40" w:rsidRPr="005060E0" w:rsidRDefault="005F3F40"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55</w:t>
            </w:r>
          </w:p>
        </w:tc>
        <w:tc>
          <w:tcPr>
            <w:tcW w:w="616" w:type="dxa"/>
            <w:tcBorders>
              <w:top w:val="dotted" w:sz="4" w:space="0" w:color="808080" w:themeColor="background1" w:themeShade="80"/>
              <w:left w:val="single" w:sz="4" w:space="0" w:color="606072"/>
              <w:bottom w:val="dotted" w:sz="4" w:space="0" w:color="808080" w:themeColor="background1" w:themeShade="80"/>
              <w:right w:val="dotted" w:sz="4" w:space="0" w:color="606072"/>
            </w:tcBorders>
            <w:shd w:val="clear" w:color="auto" w:fill="auto"/>
            <w:vAlign w:val="center"/>
          </w:tcPr>
          <w:p w14:paraId="1DC095EE" w14:textId="77777777" w:rsidR="005F3F40" w:rsidRPr="005060E0" w:rsidRDefault="005F3F40"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5</w:t>
            </w:r>
          </w:p>
        </w:tc>
        <w:tc>
          <w:tcPr>
            <w:tcW w:w="631" w:type="dxa"/>
            <w:tcBorders>
              <w:top w:val="dotted" w:sz="4" w:space="0" w:color="808080" w:themeColor="background1" w:themeShade="80"/>
              <w:left w:val="dotted" w:sz="4" w:space="0" w:color="606072"/>
              <w:bottom w:val="dotted" w:sz="4" w:space="0" w:color="808080" w:themeColor="background1" w:themeShade="80"/>
              <w:right w:val="dotted" w:sz="4" w:space="0" w:color="606072"/>
            </w:tcBorders>
            <w:shd w:val="clear" w:color="auto" w:fill="auto"/>
            <w:vAlign w:val="center"/>
          </w:tcPr>
          <w:p w14:paraId="004487C8" w14:textId="77777777" w:rsidR="005F3F40" w:rsidRPr="005060E0" w:rsidRDefault="005F3F40"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5</w:t>
            </w:r>
          </w:p>
        </w:tc>
        <w:tc>
          <w:tcPr>
            <w:tcW w:w="631" w:type="dxa"/>
            <w:tcBorders>
              <w:top w:val="dotted" w:sz="4" w:space="0" w:color="808080" w:themeColor="background1" w:themeShade="80"/>
              <w:left w:val="dotted" w:sz="4" w:space="0" w:color="606072"/>
              <w:bottom w:val="dotted" w:sz="4" w:space="0" w:color="808080" w:themeColor="background1" w:themeShade="80"/>
              <w:right w:val="dotted" w:sz="4" w:space="0" w:color="606072"/>
            </w:tcBorders>
            <w:shd w:val="clear" w:color="auto" w:fill="auto"/>
            <w:vAlign w:val="center"/>
          </w:tcPr>
          <w:p w14:paraId="6019BF99" w14:textId="77777777" w:rsidR="005F3F40" w:rsidRPr="005060E0" w:rsidRDefault="005F3F40"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5</w:t>
            </w:r>
          </w:p>
        </w:tc>
        <w:tc>
          <w:tcPr>
            <w:tcW w:w="632" w:type="dxa"/>
            <w:tcBorders>
              <w:top w:val="dotted" w:sz="4" w:space="0" w:color="808080" w:themeColor="background1" w:themeShade="80"/>
              <w:left w:val="dotted" w:sz="4" w:space="0" w:color="606072"/>
              <w:bottom w:val="dotted" w:sz="4" w:space="0" w:color="808080" w:themeColor="background1" w:themeShade="80"/>
              <w:right w:val="single" w:sz="4" w:space="0" w:color="606072"/>
            </w:tcBorders>
            <w:shd w:val="clear" w:color="auto" w:fill="auto"/>
            <w:vAlign w:val="center"/>
          </w:tcPr>
          <w:p w14:paraId="56D83669" w14:textId="77777777" w:rsidR="005F3F40" w:rsidRPr="005060E0" w:rsidRDefault="005F3F40"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5</w:t>
            </w:r>
          </w:p>
        </w:tc>
        <w:tc>
          <w:tcPr>
            <w:tcW w:w="633" w:type="dxa"/>
            <w:gridSpan w:val="2"/>
            <w:tcBorders>
              <w:top w:val="dotted" w:sz="4" w:space="0" w:color="808080" w:themeColor="background1" w:themeShade="80"/>
              <w:left w:val="single" w:sz="4" w:space="0" w:color="606072"/>
              <w:bottom w:val="dotted" w:sz="4" w:space="0" w:color="808080" w:themeColor="background1" w:themeShade="80"/>
              <w:right w:val="dotted" w:sz="4" w:space="0" w:color="606072"/>
            </w:tcBorders>
            <w:shd w:val="clear" w:color="auto" w:fill="auto"/>
            <w:vAlign w:val="center"/>
          </w:tcPr>
          <w:p w14:paraId="3FAC3C9A" w14:textId="781E4F3E"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808080" w:themeColor="background1" w:themeShade="80"/>
              <w:left w:val="dotted" w:sz="4" w:space="0" w:color="606072"/>
              <w:bottom w:val="dotted" w:sz="4" w:space="0" w:color="808080" w:themeColor="background1" w:themeShade="80"/>
              <w:right w:val="dotted" w:sz="4" w:space="0" w:color="606072"/>
            </w:tcBorders>
            <w:shd w:val="clear" w:color="auto" w:fill="auto"/>
            <w:vAlign w:val="center"/>
          </w:tcPr>
          <w:p w14:paraId="4D9DAD59" w14:textId="618503F1"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808080" w:themeColor="background1" w:themeShade="80"/>
              <w:left w:val="dotted" w:sz="4" w:space="0" w:color="606072"/>
              <w:bottom w:val="dotted" w:sz="4" w:space="0" w:color="808080" w:themeColor="background1" w:themeShade="80"/>
              <w:right w:val="dotted" w:sz="4" w:space="0" w:color="606072"/>
            </w:tcBorders>
            <w:shd w:val="clear" w:color="auto" w:fill="auto"/>
            <w:vAlign w:val="center"/>
          </w:tcPr>
          <w:p w14:paraId="350FFB29" w14:textId="42780107"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3" w:type="dxa"/>
            <w:tcBorders>
              <w:top w:val="dotted" w:sz="4" w:space="0" w:color="808080" w:themeColor="background1" w:themeShade="80"/>
              <w:left w:val="dotted" w:sz="4" w:space="0" w:color="606072"/>
              <w:bottom w:val="dotted" w:sz="4" w:space="0" w:color="808080" w:themeColor="background1" w:themeShade="80"/>
              <w:right w:val="single" w:sz="4" w:space="0" w:color="606072"/>
            </w:tcBorders>
            <w:shd w:val="clear" w:color="auto" w:fill="auto"/>
            <w:vAlign w:val="center"/>
          </w:tcPr>
          <w:p w14:paraId="412326D7" w14:textId="047BD839"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gridSpan w:val="2"/>
            <w:tcBorders>
              <w:top w:val="dotted" w:sz="4" w:space="0" w:color="808080" w:themeColor="background1" w:themeShade="80"/>
              <w:left w:val="single" w:sz="4" w:space="0" w:color="606072"/>
              <w:bottom w:val="dotted" w:sz="4" w:space="0" w:color="808080" w:themeColor="background1" w:themeShade="80"/>
              <w:right w:val="dotted" w:sz="4" w:space="0" w:color="606072"/>
            </w:tcBorders>
            <w:shd w:val="clear" w:color="auto" w:fill="auto"/>
            <w:vAlign w:val="center"/>
          </w:tcPr>
          <w:p w14:paraId="7C95E2DD" w14:textId="31F3BA6F"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808080" w:themeColor="background1" w:themeShade="80"/>
              <w:left w:val="dotted" w:sz="4" w:space="0" w:color="606072"/>
              <w:bottom w:val="dotted" w:sz="4" w:space="0" w:color="808080" w:themeColor="background1" w:themeShade="80"/>
              <w:right w:val="dotted" w:sz="4" w:space="0" w:color="606072"/>
            </w:tcBorders>
            <w:shd w:val="clear" w:color="auto" w:fill="auto"/>
            <w:vAlign w:val="center"/>
          </w:tcPr>
          <w:p w14:paraId="1D2D338B" w14:textId="3FE3C0D7"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3" w:type="dxa"/>
            <w:tcBorders>
              <w:top w:val="dotted" w:sz="4" w:space="0" w:color="808080" w:themeColor="background1" w:themeShade="80"/>
              <w:left w:val="dotted" w:sz="4" w:space="0" w:color="606072"/>
              <w:bottom w:val="dotted" w:sz="4" w:space="0" w:color="808080" w:themeColor="background1" w:themeShade="80"/>
              <w:right w:val="dotted" w:sz="4" w:space="0" w:color="606072"/>
            </w:tcBorders>
            <w:shd w:val="clear" w:color="auto" w:fill="auto"/>
            <w:vAlign w:val="center"/>
          </w:tcPr>
          <w:p w14:paraId="6A1F2DB1" w14:textId="3A5FFA4F"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808080" w:themeColor="background1" w:themeShade="80"/>
              <w:left w:val="dotted" w:sz="4" w:space="0" w:color="606072"/>
              <w:bottom w:val="dotted" w:sz="4" w:space="0" w:color="808080" w:themeColor="background1" w:themeShade="80"/>
              <w:right w:val="single" w:sz="4" w:space="0" w:color="606072"/>
            </w:tcBorders>
            <w:shd w:val="clear" w:color="auto" w:fill="auto"/>
            <w:vAlign w:val="center"/>
          </w:tcPr>
          <w:p w14:paraId="4928C31B" w14:textId="54CD724E"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r>
      <w:tr w:rsidR="007F77AB" w:rsidRPr="005060E0" w14:paraId="526B6200" w14:textId="77777777" w:rsidTr="00812125">
        <w:trPr>
          <w:gridAfter w:val="1"/>
          <w:wAfter w:w="6"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851" w:type="dxa"/>
            <w:vMerge/>
            <w:tcBorders>
              <w:left w:val="single" w:sz="4" w:space="0" w:color="606072"/>
              <w:right w:val="dotted" w:sz="4" w:space="0" w:color="606372" w:themeColor="text2"/>
            </w:tcBorders>
            <w:shd w:val="clear" w:color="auto" w:fill="DEDFE3" w:themeFill="text2" w:themeFillTint="33"/>
            <w:vAlign w:val="center"/>
          </w:tcPr>
          <w:p w14:paraId="77EE8198" w14:textId="77777777" w:rsidR="005F3F40" w:rsidRPr="005060E0" w:rsidRDefault="005F3F40" w:rsidP="005F3F40">
            <w:pPr>
              <w:pStyle w:val="BodyText"/>
              <w:spacing w:after="0" w:line="240" w:lineRule="auto"/>
              <w:jc w:val="center"/>
              <w:rPr>
                <w:b w:val="0"/>
                <w:sz w:val="15"/>
                <w:szCs w:val="15"/>
              </w:rPr>
            </w:pPr>
          </w:p>
        </w:tc>
        <w:tc>
          <w:tcPr>
            <w:tcW w:w="977" w:type="dxa"/>
            <w:tcBorders>
              <w:top w:val="dotted" w:sz="4" w:space="0" w:color="808080" w:themeColor="background1" w:themeShade="80"/>
              <w:left w:val="dotted" w:sz="4" w:space="0" w:color="606372" w:themeColor="text2"/>
              <w:bottom w:val="dotted" w:sz="4" w:space="0" w:color="606072"/>
              <w:right w:val="single" w:sz="4" w:space="0" w:color="606072"/>
            </w:tcBorders>
            <w:shd w:val="clear" w:color="auto" w:fill="DEDFE3" w:themeFill="text2" w:themeFillTint="33"/>
            <w:vAlign w:val="center"/>
          </w:tcPr>
          <w:p w14:paraId="13EEA446"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60</w:t>
            </w:r>
          </w:p>
        </w:tc>
        <w:tc>
          <w:tcPr>
            <w:tcW w:w="616" w:type="dxa"/>
            <w:tcBorders>
              <w:top w:val="dotted" w:sz="4" w:space="0" w:color="808080" w:themeColor="background1" w:themeShade="80"/>
              <w:left w:val="single" w:sz="4" w:space="0" w:color="606072"/>
              <w:bottom w:val="dotted" w:sz="4" w:space="0" w:color="606072"/>
              <w:right w:val="dotted" w:sz="4" w:space="0" w:color="606072"/>
            </w:tcBorders>
            <w:shd w:val="clear" w:color="auto" w:fill="auto"/>
            <w:vAlign w:val="center"/>
          </w:tcPr>
          <w:p w14:paraId="4520D53D"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2</w:t>
            </w:r>
          </w:p>
        </w:tc>
        <w:tc>
          <w:tcPr>
            <w:tcW w:w="631" w:type="dxa"/>
            <w:tcBorders>
              <w:top w:val="dotted" w:sz="4" w:space="0" w:color="808080" w:themeColor="background1" w:themeShade="80"/>
              <w:left w:val="dotted" w:sz="4" w:space="0" w:color="606072"/>
              <w:bottom w:val="dotted" w:sz="4" w:space="0" w:color="606072"/>
              <w:right w:val="dotted" w:sz="4" w:space="0" w:color="606072"/>
            </w:tcBorders>
            <w:shd w:val="clear" w:color="auto" w:fill="auto"/>
            <w:vAlign w:val="center"/>
          </w:tcPr>
          <w:p w14:paraId="17A16DC3"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2</w:t>
            </w:r>
          </w:p>
        </w:tc>
        <w:tc>
          <w:tcPr>
            <w:tcW w:w="631" w:type="dxa"/>
            <w:tcBorders>
              <w:top w:val="dotted" w:sz="4" w:space="0" w:color="808080" w:themeColor="background1" w:themeShade="80"/>
              <w:left w:val="dotted" w:sz="4" w:space="0" w:color="606072"/>
              <w:bottom w:val="dotted" w:sz="4" w:space="0" w:color="606072"/>
              <w:right w:val="dotted" w:sz="4" w:space="0" w:color="606072"/>
            </w:tcBorders>
            <w:shd w:val="clear" w:color="auto" w:fill="auto"/>
            <w:vAlign w:val="center"/>
          </w:tcPr>
          <w:p w14:paraId="26FC9B32" w14:textId="668DC40E"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dotted" w:sz="4" w:space="0" w:color="808080" w:themeColor="background1" w:themeShade="80"/>
              <w:left w:val="dotted" w:sz="4" w:space="0" w:color="606072"/>
              <w:bottom w:val="dotted" w:sz="4" w:space="0" w:color="606072"/>
              <w:right w:val="single" w:sz="4" w:space="0" w:color="606072"/>
            </w:tcBorders>
            <w:shd w:val="clear" w:color="auto" w:fill="auto"/>
            <w:vAlign w:val="center"/>
          </w:tcPr>
          <w:p w14:paraId="43DAA056" w14:textId="14534F57"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3" w:type="dxa"/>
            <w:gridSpan w:val="2"/>
            <w:tcBorders>
              <w:top w:val="dotted" w:sz="4" w:space="0" w:color="808080" w:themeColor="background1" w:themeShade="80"/>
              <w:left w:val="single" w:sz="4" w:space="0" w:color="606072"/>
              <w:bottom w:val="dotted" w:sz="4" w:space="0" w:color="606072"/>
              <w:right w:val="dotted" w:sz="4" w:space="0" w:color="606072"/>
            </w:tcBorders>
            <w:shd w:val="clear" w:color="auto" w:fill="auto"/>
            <w:vAlign w:val="center"/>
          </w:tcPr>
          <w:p w14:paraId="3545CE8C" w14:textId="2D4AA645"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dotted" w:sz="4" w:space="0" w:color="808080" w:themeColor="background1" w:themeShade="80"/>
              <w:left w:val="dotted" w:sz="4" w:space="0" w:color="606072"/>
              <w:bottom w:val="dotted" w:sz="4" w:space="0" w:color="606072"/>
              <w:right w:val="dotted" w:sz="4" w:space="0" w:color="606072"/>
            </w:tcBorders>
            <w:shd w:val="clear" w:color="auto" w:fill="auto"/>
            <w:vAlign w:val="center"/>
          </w:tcPr>
          <w:p w14:paraId="52119964" w14:textId="64E455A1"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dotted" w:sz="4" w:space="0" w:color="808080" w:themeColor="background1" w:themeShade="80"/>
              <w:left w:val="dotted" w:sz="4" w:space="0" w:color="606072"/>
              <w:bottom w:val="dotted" w:sz="4" w:space="0" w:color="606072"/>
              <w:right w:val="dotted" w:sz="4" w:space="0" w:color="606072"/>
            </w:tcBorders>
            <w:shd w:val="clear" w:color="auto" w:fill="auto"/>
            <w:vAlign w:val="center"/>
          </w:tcPr>
          <w:p w14:paraId="08366494" w14:textId="2ED63BB3"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3" w:type="dxa"/>
            <w:tcBorders>
              <w:top w:val="dotted" w:sz="4" w:space="0" w:color="808080" w:themeColor="background1" w:themeShade="80"/>
              <w:left w:val="dotted" w:sz="4" w:space="0" w:color="606072"/>
              <w:bottom w:val="dotted" w:sz="4" w:space="0" w:color="606072"/>
              <w:right w:val="single" w:sz="4" w:space="0" w:color="606072"/>
            </w:tcBorders>
            <w:shd w:val="clear" w:color="auto" w:fill="auto"/>
            <w:vAlign w:val="center"/>
          </w:tcPr>
          <w:p w14:paraId="29BD2DAD" w14:textId="4E704183"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gridSpan w:val="2"/>
            <w:tcBorders>
              <w:top w:val="dotted" w:sz="4" w:space="0" w:color="808080" w:themeColor="background1" w:themeShade="80"/>
              <w:left w:val="single" w:sz="4" w:space="0" w:color="606072"/>
              <w:bottom w:val="dotted" w:sz="4" w:space="0" w:color="606072"/>
              <w:right w:val="dotted" w:sz="4" w:space="0" w:color="606072"/>
            </w:tcBorders>
            <w:shd w:val="clear" w:color="auto" w:fill="auto"/>
            <w:vAlign w:val="center"/>
          </w:tcPr>
          <w:p w14:paraId="598E0A42" w14:textId="3FA1EABC"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dotted" w:sz="4" w:space="0" w:color="808080" w:themeColor="background1" w:themeShade="80"/>
              <w:left w:val="dotted" w:sz="4" w:space="0" w:color="606072"/>
              <w:bottom w:val="dotted" w:sz="4" w:space="0" w:color="606072"/>
              <w:right w:val="dotted" w:sz="4" w:space="0" w:color="606072"/>
            </w:tcBorders>
            <w:shd w:val="clear" w:color="auto" w:fill="auto"/>
            <w:vAlign w:val="center"/>
          </w:tcPr>
          <w:p w14:paraId="392C5999" w14:textId="23B4CFED"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3" w:type="dxa"/>
            <w:tcBorders>
              <w:top w:val="dotted" w:sz="4" w:space="0" w:color="808080" w:themeColor="background1" w:themeShade="80"/>
              <w:left w:val="dotted" w:sz="4" w:space="0" w:color="606072"/>
              <w:bottom w:val="dotted" w:sz="4" w:space="0" w:color="606072"/>
              <w:right w:val="dotted" w:sz="4" w:space="0" w:color="606072"/>
            </w:tcBorders>
            <w:shd w:val="clear" w:color="auto" w:fill="auto"/>
            <w:vAlign w:val="center"/>
          </w:tcPr>
          <w:p w14:paraId="75761154" w14:textId="1DB3B762"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dotted" w:sz="4" w:space="0" w:color="808080" w:themeColor="background1" w:themeShade="80"/>
              <w:left w:val="dotted" w:sz="4" w:space="0" w:color="606072"/>
              <w:bottom w:val="dotted" w:sz="4" w:space="0" w:color="606072"/>
              <w:right w:val="single" w:sz="4" w:space="0" w:color="606072"/>
            </w:tcBorders>
            <w:shd w:val="clear" w:color="auto" w:fill="auto"/>
            <w:vAlign w:val="center"/>
          </w:tcPr>
          <w:p w14:paraId="4D83C00C" w14:textId="0FDEA070"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7F77AB" w:rsidRPr="005060E0" w14:paraId="156BD2A7" w14:textId="77777777" w:rsidTr="001F63CF">
        <w:trPr>
          <w:gridAfter w:val="1"/>
          <w:cnfStyle w:val="000000100000" w:firstRow="0" w:lastRow="0" w:firstColumn="0" w:lastColumn="0" w:oddVBand="0" w:evenVBand="0" w:oddHBand="1" w:evenHBand="0" w:firstRowFirstColumn="0" w:firstRowLastColumn="0" w:lastRowFirstColumn="0" w:lastRowLastColumn="0"/>
          <w:wAfter w:w="6"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851" w:type="dxa"/>
            <w:vMerge/>
            <w:tcBorders>
              <w:left w:val="single" w:sz="4" w:space="0" w:color="606072"/>
              <w:bottom w:val="single" w:sz="4" w:space="0" w:color="606072"/>
              <w:right w:val="dotted" w:sz="4" w:space="0" w:color="606372" w:themeColor="text2"/>
            </w:tcBorders>
            <w:shd w:val="clear" w:color="auto" w:fill="DEDFE3" w:themeFill="text2" w:themeFillTint="33"/>
            <w:vAlign w:val="center"/>
          </w:tcPr>
          <w:p w14:paraId="7C9B8B70" w14:textId="77777777" w:rsidR="005F3F40" w:rsidRPr="005060E0" w:rsidRDefault="005F3F40" w:rsidP="005F3F40">
            <w:pPr>
              <w:pStyle w:val="BodyText"/>
              <w:spacing w:after="0" w:line="240" w:lineRule="auto"/>
              <w:jc w:val="center"/>
              <w:rPr>
                <w:sz w:val="15"/>
                <w:szCs w:val="15"/>
              </w:rPr>
            </w:pPr>
          </w:p>
        </w:tc>
        <w:tc>
          <w:tcPr>
            <w:tcW w:w="977" w:type="dxa"/>
            <w:tcBorders>
              <w:top w:val="dotted" w:sz="4" w:space="0" w:color="606072"/>
              <w:left w:val="dotted" w:sz="4" w:space="0" w:color="606372" w:themeColor="text2"/>
              <w:bottom w:val="single" w:sz="4" w:space="0" w:color="606072"/>
              <w:right w:val="single" w:sz="4" w:space="0" w:color="606072"/>
            </w:tcBorders>
            <w:shd w:val="clear" w:color="auto" w:fill="DEDFE3" w:themeFill="text2" w:themeFillTint="33"/>
            <w:vAlign w:val="center"/>
          </w:tcPr>
          <w:p w14:paraId="76414809" w14:textId="77777777" w:rsidR="005F3F40" w:rsidRPr="005060E0" w:rsidRDefault="005F3F40"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70</w:t>
            </w:r>
          </w:p>
        </w:tc>
        <w:tc>
          <w:tcPr>
            <w:tcW w:w="616" w:type="dxa"/>
            <w:tcBorders>
              <w:top w:val="dotted" w:sz="4" w:space="0" w:color="606072"/>
              <w:left w:val="single" w:sz="4" w:space="0" w:color="606072"/>
              <w:bottom w:val="single" w:sz="4" w:space="0" w:color="606072"/>
              <w:right w:val="dotted" w:sz="4" w:space="0" w:color="606072"/>
            </w:tcBorders>
            <w:shd w:val="clear" w:color="auto" w:fill="auto"/>
            <w:vAlign w:val="center"/>
          </w:tcPr>
          <w:p w14:paraId="41758751" w14:textId="08D1B547"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1" w:type="dxa"/>
            <w:tcBorders>
              <w:top w:val="dotted" w:sz="4" w:space="0" w:color="606072"/>
              <w:left w:val="dotted" w:sz="4" w:space="0" w:color="606072"/>
              <w:bottom w:val="single" w:sz="4" w:space="0" w:color="606072"/>
              <w:right w:val="dotted" w:sz="4" w:space="0" w:color="606072"/>
            </w:tcBorders>
            <w:shd w:val="clear" w:color="auto" w:fill="auto"/>
            <w:vAlign w:val="center"/>
          </w:tcPr>
          <w:p w14:paraId="54D5069E" w14:textId="31CFB73E"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1" w:type="dxa"/>
            <w:tcBorders>
              <w:top w:val="dotted" w:sz="4" w:space="0" w:color="606072"/>
              <w:left w:val="dotted" w:sz="4" w:space="0" w:color="606072"/>
              <w:bottom w:val="single" w:sz="4" w:space="0" w:color="606072"/>
              <w:right w:val="dotted" w:sz="4" w:space="0" w:color="606072"/>
            </w:tcBorders>
            <w:shd w:val="clear" w:color="auto" w:fill="auto"/>
            <w:vAlign w:val="center"/>
          </w:tcPr>
          <w:p w14:paraId="0B6BAD39" w14:textId="38D819AB"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single" w:sz="4" w:space="0" w:color="606072"/>
              <w:right w:val="single" w:sz="4" w:space="0" w:color="606072"/>
            </w:tcBorders>
            <w:shd w:val="clear" w:color="auto" w:fill="auto"/>
            <w:vAlign w:val="center"/>
          </w:tcPr>
          <w:p w14:paraId="3CE124AC" w14:textId="7EFD9F29"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3" w:type="dxa"/>
            <w:gridSpan w:val="2"/>
            <w:tcBorders>
              <w:top w:val="dotted" w:sz="4" w:space="0" w:color="606072"/>
              <w:left w:val="single" w:sz="4" w:space="0" w:color="606072"/>
              <w:bottom w:val="single" w:sz="4" w:space="0" w:color="606072"/>
              <w:right w:val="dotted" w:sz="4" w:space="0" w:color="606072"/>
            </w:tcBorders>
            <w:shd w:val="clear" w:color="auto" w:fill="auto"/>
            <w:vAlign w:val="center"/>
          </w:tcPr>
          <w:p w14:paraId="2448A078" w14:textId="5B3BED85"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single" w:sz="4" w:space="0" w:color="606072"/>
              <w:right w:val="dotted" w:sz="4" w:space="0" w:color="606072"/>
            </w:tcBorders>
            <w:shd w:val="clear" w:color="auto" w:fill="auto"/>
            <w:vAlign w:val="center"/>
          </w:tcPr>
          <w:p w14:paraId="1140E819" w14:textId="08BF958A"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single" w:sz="4" w:space="0" w:color="606072"/>
              <w:right w:val="dotted" w:sz="4" w:space="0" w:color="606072"/>
            </w:tcBorders>
            <w:shd w:val="clear" w:color="auto" w:fill="auto"/>
            <w:vAlign w:val="center"/>
          </w:tcPr>
          <w:p w14:paraId="0214CC05" w14:textId="66FD367C"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3" w:type="dxa"/>
            <w:tcBorders>
              <w:top w:val="dotted" w:sz="4" w:space="0" w:color="606072"/>
              <w:left w:val="dotted" w:sz="4" w:space="0" w:color="606072"/>
              <w:bottom w:val="single" w:sz="4" w:space="0" w:color="606072"/>
              <w:right w:val="single" w:sz="4" w:space="0" w:color="606072"/>
            </w:tcBorders>
            <w:shd w:val="clear" w:color="auto" w:fill="auto"/>
            <w:vAlign w:val="center"/>
          </w:tcPr>
          <w:p w14:paraId="72E3937C" w14:textId="3C669AEA"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gridSpan w:val="2"/>
            <w:tcBorders>
              <w:top w:val="dotted" w:sz="4" w:space="0" w:color="606072"/>
              <w:left w:val="single" w:sz="4" w:space="0" w:color="606072"/>
              <w:bottom w:val="single" w:sz="4" w:space="0" w:color="606072"/>
              <w:right w:val="dotted" w:sz="4" w:space="0" w:color="606072"/>
            </w:tcBorders>
            <w:shd w:val="clear" w:color="auto" w:fill="auto"/>
            <w:vAlign w:val="center"/>
          </w:tcPr>
          <w:p w14:paraId="1F9DFAAE" w14:textId="2B419A9E"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single" w:sz="4" w:space="0" w:color="606072"/>
              <w:right w:val="dotted" w:sz="4" w:space="0" w:color="606072"/>
            </w:tcBorders>
            <w:shd w:val="clear" w:color="auto" w:fill="auto"/>
            <w:vAlign w:val="center"/>
          </w:tcPr>
          <w:p w14:paraId="0AA6AEB8" w14:textId="2B5A3035"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3" w:type="dxa"/>
            <w:tcBorders>
              <w:top w:val="dotted" w:sz="4" w:space="0" w:color="606072"/>
              <w:left w:val="dotted" w:sz="4" w:space="0" w:color="606072"/>
              <w:bottom w:val="single" w:sz="4" w:space="0" w:color="606072"/>
              <w:right w:val="dotted" w:sz="4" w:space="0" w:color="606072"/>
            </w:tcBorders>
            <w:shd w:val="clear" w:color="auto" w:fill="auto"/>
            <w:vAlign w:val="center"/>
          </w:tcPr>
          <w:p w14:paraId="7B94B88B" w14:textId="3777424F" w:rsidR="005F3F40" w:rsidRPr="00E00FC4" w:rsidRDefault="00E00FC4" w:rsidP="00E00FC4">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single" w:sz="4" w:space="0" w:color="606072"/>
              <w:right w:val="single" w:sz="4" w:space="0" w:color="606072"/>
            </w:tcBorders>
            <w:shd w:val="clear" w:color="auto" w:fill="auto"/>
            <w:vAlign w:val="center"/>
          </w:tcPr>
          <w:p w14:paraId="3285B816" w14:textId="6F85B09E" w:rsidR="005F3F40" w:rsidRPr="00E00FC4" w:rsidRDefault="00E00FC4" w:rsidP="00E00FC4">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r>
    </w:tbl>
    <w:p w14:paraId="497857CC" w14:textId="1501B234" w:rsidR="005F3F40" w:rsidRPr="005060E0" w:rsidRDefault="005F3F40" w:rsidP="005F3F40">
      <w:pPr>
        <w:pStyle w:val="PBTablecaption"/>
        <w:rPr>
          <w:rFonts w:eastAsia="Arial" w:cs="Arial"/>
        </w:rPr>
      </w:pPr>
      <w:bookmarkStart w:id="221" w:name="_Ref507507950"/>
      <w:r w:rsidRPr="005060E0">
        <w:rPr>
          <w:rFonts w:cs="Arial"/>
        </w:rPr>
        <w:t xml:space="preserve">Table </w:t>
      </w:r>
      <w:r w:rsidRPr="005060E0">
        <w:rPr>
          <w:rFonts w:cs="Arial"/>
        </w:rPr>
        <w:fldChar w:fldCharType="begin"/>
      </w:r>
      <w:r w:rsidRPr="005060E0">
        <w:rPr>
          <w:rFonts w:cs="Arial"/>
        </w:rPr>
        <w:instrText xml:space="preserve"> STYLEREF 1 \s </w:instrText>
      </w:r>
      <w:r w:rsidRPr="005060E0">
        <w:rPr>
          <w:rFonts w:cs="Arial"/>
        </w:rPr>
        <w:fldChar w:fldCharType="separate"/>
      </w:r>
      <w:r w:rsidR="00F2067C">
        <w:rPr>
          <w:rFonts w:cs="Arial"/>
          <w:noProof/>
        </w:rPr>
        <w:t>8</w:t>
      </w:r>
      <w:r w:rsidRPr="005060E0">
        <w:rPr>
          <w:rFonts w:cs="Arial"/>
          <w:noProof/>
        </w:rPr>
        <w:fldChar w:fldCharType="end"/>
      </w:r>
      <w:r w:rsidRPr="005060E0">
        <w:rPr>
          <w:rFonts w:cs="Arial"/>
        </w:rPr>
        <w:noBreakHyphen/>
      </w:r>
      <w:r w:rsidRPr="005060E0">
        <w:rPr>
          <w:rFonts w:cs="Arial"/>
        </w:rPr>
        <w:fldChar w:fldCharType="begin"/>
      </w:r>
      <w:r w:rsidRPr="005060E0">
        <w:rPr>
          <w:rFonts w:cs="Arial"/>
        </w:rPr>
        <w:instrText xml:space="preserve"> SEQ Table \* ARABIC \s 1 </w:instrText>
      </w:r>
      <w:r w:rsidRPr="005060E0">
        <w:rPr>
          <w:rFonts w:cs="Arial"/>
        </w:rPr>
        <w:fldChar w:fldCharType="separate"/>
      </w:r>
      <w:r w:rsidR="00F2067C">
        <w:rPr>
          <w:rFonts w:cs="Arial"/>
          <w:noProof/>
        </w:rPr>
        <w:t>9</w:t>
      </w:r>
      <w:r w:rsidRPr="005060E0">
        <w:rPr>
          <w:rFonts w:cs="Arial"/>
          <w:noProof/>
        </w:rPr>
        <w:fldChar w:fldCharType="end"/>
      </w:r>
      <w:bookmarkEnd w:id="221"/>
      <w:r w:rsidRPr="005060E0">
        <w:rPr>
          <w:rFonts w:cs="Arial"/>
        </w:rPr>
        <w:t>: Projected</w:t>
      </w:r>
      <w:r w:rsidR="00CE5917" w:rsidRPr="005060E0">
        <w:rPr>
          <w:rFonts w:eastAsia="Arial" w:cs="Arial"/>
        </w:rPr>
        <w:t xml:space="preserve"> exceedances of current and proposed</w:t>
      </w:r>
      <w:r w:rsidRPr="005060E0">
        <w:rPr>
          <w:rFonts w:eastAsia="Arial" w:cs="Arial"/>
        </w:rPr>
        <w:t xml:space="preserve"> O</w:t>
      </w:r>
      <w:r w:rsidRPr="005060E0">
        <w:rPr>
          <w:rFonts w:eastAsia="Arial" w:cs="Arial"/>
          <w:vertAlign w:val="subscript"/>
        </w:rPr>
        <w:t>3</w:t>
      </w:r>
      <w:r w:rsidRPr="005060E0">
        <w:rPr>
          <w:rFonts w:eastAsia="Arial" w:cs="Arial"/>
        </w:rPr>
        <w:t xml:space="preserve"> standards (BAU scenario, VIC)</w:t>
      </w:r>
    </w:p>
    <w:tbl>
      <w:tblPr>
        <w:tblStyle w:val="ListTable3-Accent17"/>
        <w:tblW w:w="10201" w:type="dxa"/>
        <w:jc w:val="center"/>
        <w:tblLayout w:type="fixed"/>
        <w:tblLook w:val="04A0" w:firstRow="1" w:lastRow="0" w:firstColumn="1" w:lastColumn="0" w:noHBand="0" w:noVBand="1"/>
      </w:tblPr>
      <w:tblGrid>
        <w:gridCol w:w="846"/>
        <w:gridCol w:w="850"/>
        <w:gridCol w:w="567"/>
        <w:gridCol w:w="851"/>
        <w:gridCol w:w="850"/>
        <w:gridCol w:w="851"/>
        <w:gridCol w:w="709"/>
        <w:gridCol w:w="850"/>
        <w:gridCol w:w="1134"/>
        <w:gridCol w:w="709"/>
        <w:gridCol w:w="567"/>
        <w:gridCol w:w="709"/>
        <w:gridCol w:w="708"/>
      </w:tblGrid>
      <w:tr w:rsidR="005F3F40" w:rsidRPr="005060E0" w14:paraId="566851D2" w14:textId="77777777" w:rsidTr="001F63CF">
        <w:trPr>
          <w:cnfStyle w:val="100000000000" w:firstRow="1" w:lastRow="0" w:firstColumn="0" w:lastColumn="0" w:oddVBand="0" w:evenVBand="0" w:oddHBand="0" w:evenHBand="0" w:firstRowFirstColumn="0" w:firstRowLastColumn="0" w:lastRowFirstColumn="0" w:lastRowLastColumn="0"/>
          <w:trHeight w:hRule="exact" w:val="283"/>
          <w:tblHeader/>
          <w:jc w:val="center"/>
        </w:trPr>
        <w:tc>
          <w:tcPr>
            <w:cnfStyle w:val="001000000100" w:firstRow="0" w:lastRow="0" w:firstColumn="1" w:lastColumn="0" w:oddVBand="0" w:evenVBand="0" w:oddHBand="0" w:evenHBand="0" w:firstRowFirstColumn="1" w:firstRowLastColumn="0" w:lastRowFirstColumn="0" w:lastRowLastColumn="0"/>
            <w:tcW w:w="846" w:type="dxa"/>
            <w:vMerge w:val="restar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28CD0C92" w14:textId="77777777" w:rsidR="005F3F40" w:rsidRPr="005060E0" w:rsidRDefault="005F3F40" w:rsidP="005F3F40">
            <w:pPr>
              <w:widowControl w:val="0"/>
              <w:spacing w:after="0" w:line="240" w:lineRule="auto"/>
              <w:jc w:val="center"/>
              <w:rPr>
                <w:rFonts w:cs="Arial"/>
                <w:b w:val="0"/>
                <w:color w:val="FFFFFF" w:themeColor="background1"/>
                <w:sz w:val="15"/>
                <w:szCs w:val="15"/>
              </w:rPr>
            </w:pPr>
            <w:r w:rsidRPr="005060E0">
              <w:rPr>
                <w:rFonts w:cs="Arial"/>
                <w:b w:val="0"/>
                <w:color w:val="FFFFFF" w:themeColor="background1"/>
                <w:sz w:val="15"/>
                <w:szCs w:val="15"/>
              </w:rPr>
              <w:t>Averaging period</w:t>
            </w:r>
          </w:p>
        </w:tc>
        <w:tc>
          <w:tcPr>
            <w:tcW w:w="850" w:type="dxa"/>
            <w:vMerge w:val="restar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5D680040" w14:textId="77777777" w:rsidR="005F3F40" w:rsidRPr="005060E0" w:rsidRDefault="005F3F40"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Standard (ppb)</w:t>
            </w:r>
          </w:p>
        </w:tc>
        <w:tc>
          <w:tcPr>
            <w:tcW w:w="567" w:type="dxa"/>
            <w:vMerge w:val="restart"/>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79DE6E77" w14:textId="77777777" w:rsidR="005F3F40" w:rsidRPr="005060E0" w:rsidRDefault="005F3F40" w:rsidP="005F3F4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p>
        </w:tc>
        <w:tc>
          <w:tcPr>
            <w:tcW w:w="4111" w:type="dxa"/>
            <w:gridSpan w:val="5"/>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6540B58D" w14:textId="77777777" w:rsidR="005F3F40" w:rsidRPr="005060E0" w:rsidRDefault="005F3F40" w:rsidP="005F3F4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VIC: Port Phillip Region</w:t>
            </w:r>
          </w:p>
        </w:tc>
        <w:tc>
          <w:tcPr>
            <w:tcW w:w="3827" w:type="dxa"/>
            <w:gridSpan w:val="5"/>
            <w:tcBorders>
              <w:top w:val="single" w:sz="4" w:space="0" w:color="606072"/>
              <w:left w:val="single" w:sz="4" w:space="0" w:color="606072"/>
              <w:bottom w:val="single" w:sz="4" w:space="0" w:color="606072"/>
              <w:right w:val="single" w:sz="4" w:space="0" w:color="606072"/>
            </w:tcBorders>
            <w:shd w:val="clear" w:color="auto" w:fill="606072"/>
            <w:vAlign w:val="center"/>
          </w:tcPr>
          <w:p w14:paraId="7E81D8D5" w14:textId="77777777" w:rsidR="005F3F40" w:rsidRPr="005060E0" w:rsidRDefault="005F3F40" w:rsidP="005F3F4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VIC: Latrobe Valley</w:t>
            </w:r>
          </w:p>
        </w:tc>
      </w:tr>
      <w:tr w:rsidR="005F3F40" w:rsidRPr="005060E0" w14:paraId="230D9EDB" w14:textId="77777777" w:rsidTr="001F63CF">
        <w:tblPrEx>
          <w:tblBorders>
            <w:top w:val="single" w:sz="2" w:space="0" w:color="0076C0"/>
            <w:left w:val="single" w:sz="2" w:space="0" w:color="0076C0"/>
            <w:bottom w:val="single" w:sz="2" w:space="0" w:color="0076C0"/>
            <w:right w:val="single" w:sz="2" w:space="0" w:color="0076C0"/>
          </w:tblBorders>
          <w:tblCellMar>
            <w:left w:w="41" w:type="dxa"/>
            <w:right w:w="41" w:type="dxa"/>
          </w:tblCellMar>
        </w:tblPrEx>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100" w:firstRow="0" w:lastRow="0" w:firstColumn="1" w:lastColumn="0" w:oddVBand="0" w:evenVBand="0" w:oddHBand="0" w:evenHBand="0" w:firstRowFirstColumn="1" w:firstRowLastColumn="0" w:lastRowFirstColumn="0" w:lastRowLastColumn="0"/>
            <w:tcW w:w="846" w:type="dxa"/>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7B17DB99" w14:textId="77777777" w:rsidR="005F3F40" w:rsidRPr="005060E0" w:rsidRDefault="005F3F40" w:rsidP="005F3F40">
            <w:pPr>
              <w:widowControl w:val="0"/>
              <w:spacing w:after="0" w:line="240" w:lineRule="auto"/>
              <w:rPr>
                <w:rFonts w:cs="Arial"/>
                <w:b w:val="0"/>
                <w:color w:val="FFFFFF" w:themeColor="background1"/>
                <w:sz w:val="15"/>
                <w:szCs w:val="15"/>
              </w:rPr>
            </w:pPr>
          </w:p>
        </w:tc>
        <w:tc>
          <w:tcPr>
            <w:tcW w:w="850" w:type="dxa"/>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5D507584" w14:textId="77777777" w:rsidR="005F3F40" w:rsidRPr="005060E0" w:rsidRDefault="005F3F40" w:rsidP="005F3F4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p>
        </w:tc>
        <w:tc>
          <w:tcPr>
            <w:tcW w:w="567" w:type="dxa"/>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72B92962" w14:textId="77777777" w:rsidR="005F3F40" w:rsidRPr="005060E0" w:rsidRDefault="005F3F40"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p>
        </w:tc>
        <w:tc>
          <w:tcPr>
            <w:tcW w:w="851" w:type="dxa"/>
            <w:tcBorders>
              <w:top w:val="single" w:sz="4" w:space="0" w:color="606072"/>
              <w:left w:val="single" w:sz="4" w:space="0" w:color="606072"/>
              <w:bottom w:val="single" w:sz="4" w:space="0" w:color="606072"/>
              <w:right w:val="single" w:sz="4" w:space="0" w:color="606072"/>
            </w:tcBorders>
            <w:shd w:val="clear" w:color="auto" w:fill="828284" w:themeFill="text1" w:themeFillTint="A6"/>
            <w:tcMar>
              <w:left w:w="28" w:type="dxa"/>
              <w:right w:w="28" w:type="dxa"/>
            </w:tcMar>
            <w:vAlign w:val="center"/>
          </w:tcPr>
          <w:p w14:paraId="44758C0A" w14:textId="77777777" w:rsidR="005F3F40" w:rsidRPr="005060E0" w:rsidRDefault="005F3F40"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i/>
                <w:color w:val="FFFFFF" w:themeColor="background1"/>
                <w:sz w:val="15"/>
                <w:szCs w:val="15"/>
              </w:rPr>
            </w:pPr>
            <w:r w:rsidRPr="005060E0">
              <w:rPr>
                <w:rFonts w:cs="Arial"/>
                <w:b w:val="0"/>
                <w:i/>
                <w:color w:val="FFFFFF" w:themeColor="background1"/>
                <w:sz w:val="15"/>
                <w:szCs w:val="15"/>
              </w:rPr>
              <w:t>Measured</w:t>
            </w:r>
          </w:p>
        </w:tc>
        <w:tc>
          <w:tcPr>
            <w:tcW w:w="3260" w:type="dxa"/>
            <w:gridSpan w:val="4"/>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6C8A23C9" w14:textId="029C7910" w:rsidR="005F3F40" w:rsidRPr="005060E0" w:rsidRDefault="00CE5917"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Projected</w:t>
            </w:r>
          </w:p>
        </w:tc>
        <w:tc>
          <w:tcPr>
            <w:tcW w:w="1134" w:type="dxa"/>
            <w:tcBorders>
              <w:top w:val="single" w:sz="4" w:space="0" w:color="606072"/>
              <w:left w:val="single" w:sz="4" w:space="0" w:color="606072"/>
              <w:bottom w:val="single" w:sz="4" w:space="0" w:color="606072"/>
              <w:right w:val="single" w:sz="4" w:space="0" w:color="606072"/>
            </w:tcBorders>
            <w:shd w:val="clear" w:color="auto" w:fill="828284" w:themeFill="text1" w:themeFillTint="A6"/>
            <w:tcMar>
              <w:left w:w="28" w:type="dxa"/>
              <w:right w:w="28" w:type="dxa"/>
            </w:tcMar>
            <w:vAlign w:val="center"/>
          </w:tcPr>
          <w:p w14:paraId="0A8BD327" w14:textId="77777777" w:rsidR="005F3F40" w:rsidRPr="005060E0" w:rsidRDefault="005F3F40"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Measured</w:t>
            </w:r>
          </w:p>
        </w:tc>
        <w:tc>
          <w:tcPr>
            <w:tcW w:w="2693" w:type="dxa"/>
            <w:gridSpan w:val="4"/>
            <w:tcBorders>
              <w:top w:val="single" w:sz="4" w:space="0" w:color="606072"/>
              <w:left w:val="single" w:sz="4" w:space="0" w:color="606072"/>
              <w:bottom w:val="single" w:sz="4" w:space="0" w:color="606072"/>
              <w:right w:val="single" w:sz="4" w:space="0" w:color="606072"/>
            </w:tcBorders>
            <w:shd w:val="clear" w:color="auto" w:fill="606072"/>
            <w:vAlign w:val="center"/>
          </w:tcPr>
          <w:p w14:paraId="31303FD5" w14:textId="088E1524" w:rsidR="005F3F40" w:rsidRPr="005060E0" w:rsidRDefault="00CE5917"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Projected</w:t>
            </w:r>
          </w:p>
        </w:tc>
      </w:tr>
      <w:tr w:rsidR="00BF7BF2" w:rsidRPr="005060E0" w14:paraId="2103B28F" w14:textId="77777777" w:rsidTr="001F63CF">
        <w:tblPrEx>
          <w:tblBorders>
            <w:top w:val="single" w:sz="2" w:space="0" w:color="0076C0"/>
            <w:left w:val="single" w:sz="2" w:space="0" w:color="0076C0"/>
            <w:bottom w:val="single" w:sz="2" w:space="0" w:color="0076C0"/>
            <w:right w:val="single" w:sz="2" w:space="0" w:color="0076C0"/>
          </w:tblBorders>
          <w:tblCellMar>
            <w:left w:w="41" w:type="dxa"/>
            <w:right w:w="41" w:type="dxa"/>
          </w:tblCellMar>
        </w:tblPrEx>
        <w:trPr>
          <w:cnfStyle w:val="100000000000" w:firstRow="1" w:lastRow="0" w:firstColumn="0" w:lastColumn="0" w:oddVBand="0" w:evenVBand="0" w:oddHBand="0" w:evenHBand="0" w:firstRowFirstColumn="0" w:firstRowLastColumn="0" w:lastRowFirstColumn="0" w:lastRowLastColumn="0"/>
          <w:trHeight w:hRule="exact" w:val="567"/>
          <w:tblHeader/>
          <w:jc w:val="center"/>
        </w:trPr>
        <w:tc>
          <w:tcPr>
            <w:cnfStyle w:val="001000000100" w:firstRow="0" w:lastRow="0" w:firstColumn="1" w:lastColumn="0" w:oddVBand="0" w:evenVBand="0" w:oddHBand="0" w:evenHBand="0" w:firstRowFirstColumn="1" w:firstRowLastColumn="0" w:lastRowFirstColumn="0" w:lastRowLastColumn="0"/>
            <w:tcW w:w="846" w:type="dxa"/>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5C93EE2E" w14:textId="77777777" w:rsidR="005F3F40" w:rsidRPr="005060E0" w:rsidRDefault="005F3F40" w:rsidP="005F3F40">
            <w:pPr>
              <w:widowControl w:val="0"/>
              <w:spacing w:after="0" w:line="240" w:lineRule="auto"/>
              <w:rPr>
                <w:rFonts w:cs="Arial"/>
                <w:b w:val="0"/>
                <w:color w:val="FFFFFF" w:themeColor="background1"/>
                <w:sz w:val="15"/>
                <w:szCs w:val="15"/>
              </w:rPr>
            </w:pPr>
          </w:p>
        </w:tc>
        <w:tc>
          <w:tcPr>
            <w:tcW w:w="850" w:type="dxa"/>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32254483" w14:textId="77777777" w:rsidR="005F3F40" w:rsidRPr="005060E0" w:rsidRDefault="005F3F40" w:rsidP="005F3F4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p>
        </w:tc>
        <w:tc>
          <w:tcPr>
            <w:tcW w:w="567" w:type="dxa"/>
            <w:vMerge/>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tcPr>
          <w:p w14:paraId="5AC21B59" w14:textId="77777777" w:rsidR="005F3F40" w:rsidRPr="005060E0" w:rsidRDefault="005F3F40"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p>
        </w:tc>
        <w:tc>
          <w:tcPr>
            <w:tcW w:w="851" w:type="dxa"/>
            <w:tcBorders>
              <w:top w:val="single" w:sz="4" w:space="0" w:color="606072"/>
              <w:left w:val="single" w:sz="4" w:space="0" w:color="606072"/>
              <w:bottom w:val="single" w:sz="4" w:space="0" w:color="606072"/>
              <w:right w:val="single" w:sz="4" w:space="0" w:color="606072"/>
            </w:tcBorders>
            <w:shd w:val="clear" w:color="auto" w:fill="808080" w:themeFill="background1" w:themeFillShade="80"/>
            <w:tcMar>
              <w:left w:w="28" w:type="dxa"/>
              <w:right w:w="28" w:type="dxa"/>
            </w:tcMar>
            <w:vAlign w:val="center"/>
          </w:tcPr>
          <w:p w14:paraId="0CAB258C" w14:textId="2877AAA4" w:rsidR="005F3F40" w:rsidRPr="005060E0" w:rsidRDefault="001F63CF" w:rsidP="001F63C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i/>
                <w:color w:val="FFFFFF" w:themeColor="background1"/>
                <w:sz w:val="15"/>
                <w:szCs w:val="15"/>
              </w:rPr>
            </w:pPr>
            <w:r w:rsidRPr="005060E0">
              <w:rPr>
                <w:rFonts w:cs="Arial"/>
                <w:b w:val="0"/>
                <w:i/>
                <w:color w:val="FFFFFF" w:themeColor="background1"/>
                <w:sz w:val="15"/>
                <w:szCs w:val="15"/>
              </w:rPr>
              <w:t>2010</w:t>
            </w:r>
            <w:r w:rsidR="00DF4D3A" w:rsidRPr="005060E0">
              <w:rPr>
                <w:rFonts w:cs="Arial"/>
                <w:b w:val="0"/>
                <w:i/>
                <w:color w:val="FFFFFF" w:themeColor="background1"/>
                <w:sz w:val="15"/>
                <w:szCs w:val="15"/>
              </w:rPr>
              <w:t>–20</w:t>
            </w:r>
            <w:r w:rsidRPr="005060E0">
              <w:rPr>
                <w:rFonts w:cs="Arial"/>
                <w:b w:val="0"/>
                <w:i/>
                <w:color w:val="FFFFFF" w:themeColor="background1"/>
                <w:sz w:val="15"/>
                <w:szCs w:val="15"/>
              </w:rPr>
              <w:t>14</w:t>
            </w:r>
          </w:p>
          <w:p w14:paraId="1CCC2269" w14:textId="349A2D68" w:rsidR="005F3F40" w:rsidRPr="005060E0" w:rsidRDefault="001F63CF"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i/>
                <w:color w:val="FFFFFF" w:themeColor="background1"/>
                <w:sz w:val="15"/>
                <w:szCs w:val="15"/>
              </w:rPr>
            </w:pPr>
            <w:r w:rsidRPr="005060E0">
              <w:rPr>
                <w:rFonts w:cs="Arial"/>
                <w:b w:val="0"/>
                <w:i/>
                <w:color w:val="FFFFFF" w:themeColor="background1"/>
                <w:sz w:val="15"/>
                <w:szCs w:val="15"/>
              </w:rPr>
              <w:t>annual</w:t>
            </w:r>
            <w:r w:rsidR="005F3F40" w:rsidRPr="005060E0">
              <w:rPr>
                <w:rFonts w:cs="Arial"/>
                <w:b w:val="0"/>
                <w:i/>
                <w:color w:val="FFFFFF" w:themeColor="background1"/>
                <w:sz w:val="15"/>
                <w:szCs w:val="15"/>
              </w:rPr>
              <w:t xml:space="preserve"> average</w:t>
            </w:r>
            <w:r w:rsidR="005F3F40" w:rsidRPr="005060E0">
              <w:rPr>
                <w:rFonts w:cs="Arial"/>
                <w:b w:val="0"/>
                <w:i/>
                <w:color w:val="FFFFFF" w:themeColor="background1"/>
                <w:sz w:val="15"/>
                <w:szCs w:val="15"/>
                <w:vertAlign w:val="superscript"/>
              </w:rPr>
              <w:t>(a)</w:t>
            </w:r>
          </w:p>
        </w:tc>
        <w:tc>
          <w:tcPr>
            <w:tcW w:w="850" w:type="dxa"/>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5E50D29C" w14:textId="77777777" w:rsidR="005F3F40" w:rsidRPr="005060E0" w:rsidRDefault="005F3F40"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2016</w:t>
            </w:r>
          </w:p>
        </w:tc>
        <w:tc>
          <w:tcPr>
            <w:tcW w:w="851" w:type="dxa"/>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5DAC9AEA" w14:textId="77777777" w:rsidR="005F3F40" w:rsidRPr="005060E0" w:rsidRDefault="005F3F40"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2021</w:t>
            </w:r>
          </w:p>
        </w:tc>
        <w:tc>
          <w:tcPr>
            <w:tcW w:w="709" w:type="dxa"/>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41BFE098" w14:textId="77777777" w:rsidR="005F3F40" w:rsidRPr="005060E0" w:rsidRDefault="005F3F40"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2031</w:t>
            </w:r>
          </w:p>
        </w:tc>
        <w:tc>
          <w:tcPr>
            <w:tcW w:w="850" w:type="dxa"/>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7917FC09" w14:textId="77777777" w:rsidR="005F3F40" w:rsidRPr="005060E0" w:rsidRDefault="005F3F40"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2040</w:t>
            </w:r>
          </w:p>
        </w:tc>
        <w:tc>
          <w:tcPr>
            <w:tcW w:w="1134" w:type="dxa"/>
            <w:tcBorders>
              <w:top w:val="single" w:sz="4" w:space="0" w:color="606072"/>
              <w:left w:val="single" w:sz="4" w:space="0" w:color="606072"/>
              <w:bottom w:val="single" w:sz="4" w:space="0" w:color="606072"/>
              <w:right w:val="single" w:sz="4" w:space="0" w:color="606072"/>
            </w:tcBorders>
            <w:shd w:val="clear" w:color="auto" w:fill="808080" w:themeFill="background1" w:themeFillShade="80"/>
            <w:tcMar>
              <w:left w:w="28" w:type="dxa"/>
              <w:right w:w="28" w:type="dxa"/>
            </w:tcMar>
            <w:vAlign w:val="center"/>
          </w:tcPr>
          <w:p w14:paraId="5B38BE0D" w14:textId="7A400EB4" w:rsidR="005F3F40" w:rsidRPr="005060E0" w:rsidRDefault="001F63CF" w:rsidP="001F63C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i/>
                <w:color w:val="FFFFFF" w:themeColor="background1"/>
                <w:sz w:val="15"/>
                <w:szCs w:val="15"/>
              </w:rPr>
            </w:pPr>
            <w:r w:rsidRPr="005060E0">
              <w:rPr>
                <w:rFonts w:cs="Arial"/>
                <w:b w:val="0"/>
                <w:i/>
                <w:color w:val="FFFFFF" w:themeColor="background1"/>
                <w:sz w:val="15"/>
                <w:szCs w:val="15"/>
              </w:rPr>
              <w:t>2010</w:t>
            </w:r>
            <w:r w:rsidR="00DF4D3A" w:rsidRPr="005060E0">
              <w:rPr>
                <w:rFonts w:cs="Arial"/>
                <w:b w:val="0"/>
                <w:i/>
                <w:color w:val="FFFFFF" w:themeColor="background1"/>
                <w:sz w:val="15"/>
                <w:szCs w:val="15"/>
              </w:rPr>
              <w:t>–20</w:t>
            </w:r>
            <w:r w:rsidR="005F3F40" w:rsidRPr="005060E0">
              <w:rPr>
                <w:rFonts w:cs="Arial"/>
                <w:b w:val="0"/>
                <w:i/>
                <w:color w:val="FFFFFF" w:themeColor="background1"/>
                <w:sz w:val="15"/>
                <w:szCs w:val="15"/>
              </w:rPr>
              <w:t>14</w:t>
            </w:r>
          </w:p>
          <w:p w14:paraId="2ADFDB2E" w14:textId="749E4D45" w:rsidR="005F3F40" w:rsidRPr="005060E0" w:rsidRDefault="001F63CF"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i/>
                <w:color w:val="FFFFFF" w:themeColor="background1"/>
                <w:sz w:val="15"/>
                <w:szCs w:val="15"/>
              </w:rPr>
            </w:pPr>
            <w:r w:rsidRPr="005060E0">
              <w:rPr>
                <w:rFonts w:cs="Arial"/>
                <w:b w:val="0"/>
                <w:i/>
                <w:color w:val="FFFFFF" w:themeColor="background1"/>
                <w:sz w:val="15"/>
                <w:szCs w:val="15"/>
              </w:rPr>
              <w:t xml:space="preserve">annual </w:t>
            </w:r>
            <w:r w:rsidR="005F3F40" w:rsidRPr="005060E0">
              <w:rPr>
                <w:rFonts w:cs="Arial"/>
                <w:b w:val="0"/>
                <w:i/>
                <w:color w:val="FFFFFF" w:themeColor="background1"/>
                <w:sz w:val="15"/>
                <w:szCs w:val="15"/>
              </w:rPr>
              <w:t>average</w:t>
            </w:r>
            <w:r w:rsidR="005F3F40" w:rsidRPr="005060E0">
              <w:rPr>
                <w:rFonts w:cs="Arial"/>
                <w:b w:val="0"/>
                <w:i/>
                <w:color w:val="FFFFFF" w:themeColor="background1"/>
                <w:sz w:val="15"/>
                <w:szCs w:val="15"/>
                <w:vertAlign w:val="superscript"/>
              </w:rPr>
              <w:t>(a)</w:t>
            </w:r>
          </w:p>
        </w:tc>
        <w:tc>
          <w:tcPr>
            <w:tcW w:w="709"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68E8411C" w14:textId="77777777" w:rsidR="005F3F40" w:rsidRPr="005060E0" w:rsidRDefault="005F3F40"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2016</w:t>
            </w:r>
          </w:p>
        </w:tc>
        <w:tc>
          <w:tcPr>
            <w:tcW w:w="567" w:type="dxa"/>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3116C15D" w14:textId="77777777" w:rsidR="005F3F40" w:rsidRPr="005060E0" w:rsidRDefault="005F3F40"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2021</w:t>
            </w:r>
          </w:p>
        </w:tc>
        <w:tc>
          <w:tcPr>
            <w:tcW w:w="709" w:type="dxa"/>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5104DFBB" w14:textId="77777777" w:rsidR="005F3F40" w:rsidRPr="005060E0" w:rsidRDefault="005F3F40"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2031</w:t>
            </w:r>
          </w:p>
        </w:tc>
        <w:tc>
          <w:tcPr>
            <w:tcW w:w="708" w:type="dxa"/>
            <w:tcBorders>
              <w:top w:val="single" w:sz="4" w:space="0" w:color="606072"/>
              <w:left w:val="single" w:sz="4" w:space="0" w:color="606072"/>
              <w:bottom w:val="single" w:sz="4" w:space="0" w:color="606072"/>
              <w:right w:val="single" w:sz="4" w:space="0" w:color="606072"/>
            </w:tcBorders>
            <w:shd w:val="clear" w:color="auto" w:fill="606072"/>
            <w:tcMar>
              <w:left w:w="28" w:type="dxa"/>
              <w:right w:w="28" w:type="dxa"/>
            </w:tcMar>
            <w:vAlign w:val="center"/>
          </w:tcPr>
          <w:p w14:paraId="4307E5B2" w14:textId="77777777" w:rsidR="005F3F40" w:rsidRPr="005060E0" w:rsidRDefault="005F3F40" w:rsidP="005F3F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5"/>
                <w:szCs w:val="15"/>
              </w:rPr>
            </w:pPr>
            <w:r w:rsidRPr="005060E0">
              <w:rPr>
                <w:rFonts w:cs="Arial"/>
                <w:b w:val="0"/>
                <w:color w:val="FFFFFF" w:themeColor="background1"/>
                <w:sz w:val="15"/>
                <w:szCs w:val="15"/>
              </w:rPr>
              <w:t>2040</w:t>
            </w:r>
          </w:p>
        </w:tc>
      </w:tr>
      <w:tr w:rsidR="001B3859" w:rsidRPr="005060E0" w14:paraId="4C7ECEF9" w14:textId="77777777" w:rsidTr="001F63CF">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0201" w:type="dxa"/>
            <w:gridSpan w:val="13"/>
            <w:tcBorders>
              <w:top w:val="single" w:sz="4" w:space="0" w:color="606072"/>
              <w:left w:val="single" w:sz="4" w:space="0" w:color="606072"/>
              <w:bottom w:val="single" w:sz="4" w:space="0" w:color="606072"/>
              <w:right w:val="single" w:sz="4" w:space="0" w:color="606072"/>
            </w:tcBorders>
            <w:shd w:val="clear" w:color="auto" w:fill="BFBFBF" w:themeFill="background1" w:themeFillShade="BF"/>
            <w:tcMar>
              <w:left w:w="28" w:type="dxa"/>
              <w:right w:w="28" w:type="dxa"/>
            </w:tcMar>
            <w:vAlign w:val="center"/>
          </w:tcPr>
          <w:p w14:paraId="139B6BAF" w14:textId="47C64B51" w:rsidR="001B3859" w:rsidRPr="005060E0" w:rsidRDefault="001B3859" w:rsidP="001B3859">
            <w:pPr>
              <w:widowControl w:val="0"/>
              <w:spacing w:after="0" w:line="240" w:lineRule="auto"/>
              <w:rPr>
                <w:rFonts w:cs="Arial"/>
                <w:b w:val="0"/>
                <w:sz w:val="15"/>
                <w:szCs w:val="15"/>
              </w:rPr>
            </w:pPr>
            <w:r w:rsidRPr="005060E0">
              <w:rPr>
                <w:rFonts w:cs="Arial"/>
                <w:b w:val="0"/>
                <w:sz w:val="15"/>
                <w:szCs w:val="15"/>
              </w:rPr>
              <w:t>Total number of unique exceedance days</w:t>
            </w:r>
          </w:p>
        </w:tc>
      </w:tr>
      <w:tr w:rsidR="007F77AB" w:rsidRPr="005060E0" w14:paraId="73D678BF" w14:textId="77777777" w:rsidTr="001F63CF">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25E5EA13" w14:textId="77777777" w:rsidR="005F3F40" w:rsidRPr="005060E0" w:rsidRDefault="005F3F40" w:rsidP="005F3F40">
            <w:pPr>
              <w:widowControl w:val="0"/>
              <w:spacing w:after="0" w:line="240" w:lineRule="auto"/>
              <w:jc w:val="center"/>
              <w:rPr>
                <w:rFonts w:cs="Arial"/>
                <w:b w:val="0"/>
                <w:sz w:val="15"/>
                <w:szCs w:val="15"/>
              </w:rPr>
            </w:pPr>
            <w:r w:rsidRPr="005060E0">
              <w:rPr>
                <w:rFonts w:cs="Arial"/>
                <w:b w:val="0"/>
                <w:sz w:val="15"/>
                <w:szCs w:val="15"/>
              </w:rPr>
              <w:t>1-hour</w:t>
            </w:r>
          </w:p>
        </w:tc>
        <w:tc>
          <w:tcPr>
            <w:tcW w:w="850" w:type="dxa"/>
            <w:tcBorders>
              <w:top w:val="single" w:sz="4" w:space="0" w:color="606072"/>
              <w:left w:val="dotted" w:sz="4" w:space="0" w:color="606372" w:themeColor="text2"/>
              <w:bottom w:val="dotted" w:sz="4" w:space="0" w:color="606072"/>
              <w:right w:val="single" w:sz="4" w:space="0" w:color="606072"/>
            </w:tcBorders>
            <w:shd w:val="clear" w:color="auto" w:fill="DEDFE3" w:themeFill="text2" w:themeFillTint="33"/>
            <w:tcMar>
              <w:left w:w="28" w:type="dxa"/>
              <w:right w:w="28" w:type="dxa"/>
            </w:tcMar>
            <w:vAlign w:val="center"/>
          </w:tcPr>
          <w:p w14:paraId="00519161"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70</w:t>
            </w:r>
          </w:p>
        </w:tc>
        <w:tc>
          <w:tcPr>
            <w:tcW w:w="567" w:type="dxa"/>
            <w:tcBorders>
              <w:top w:val="single" w:sz="4" w:space="0" w:color="606072"/>
              <w:left w:val="single" w:sz="4" w:space="0" w:color="606072"/>
              <w:bottom w:val="nil"/>
              <w:right w:val="single" w:sz="4" w:space="0" w:color="606072"/>
            </w:tcBorders>
            <w:tcMar>
              <w:left w:w="28" w:type="dxa"/>
              <w:right w:w="28" w:type="dxa"/>
            </w:tcMar>
            <w:vAlign w:val="center"/>
          </w:tcPr>
          <w:p w14:paraId="5442EBBC"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851" w:type="dxa"/>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265A7FAA"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sidRPr="005060E0">
              <w:rPr>
                <w:rFonts w:cs="Arial"/>
                <w:i/>
                <w:sz w:val="15"/>
                <w:szCs w:val="15"/>
              </w:rPr>
              <w:t>4</w:t>
            </w:r>
          </w:p>
        </w:tc>
        <w:tc>
          <w:tcPr>
            <w:tcW w:w="850" w:type="dxa"/>
            <w:tcBorders>
              <w:top w:val="single" w:sz="4" w:space="0" w:color="606072"/>
              <w:left w:val="dotted" w:sz="4" w:space="0" w:color="606072"/>
              <w:bottom w:val="dotted" w:sz="4" w:space="0" w:color="606072"/>
              <w:right w:val="dotted" w:sz="4" w:space="0" w:color="606072"/>
            </w:tcBorders>
            <w:tcMar>
              <w:left w:w="28" w:type="dxa"/>
              <w:right w:w="28" w:type="dxa"/>
            </w:tcMar>
            <w:vAlign w:val="center"/>
          </w:tcPr>
          <w:p w14:paraId="78E061FD"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3</w:t>
            </w:r>
          </w:p>
        </w:tc>
        <w:tc>
          <w:tcPr>
            <w:tcW w:w="851"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531C20D1"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3</w:t>
            </w:r>
          </w:p>
        </w:tc>
        <w:tc>
          <w:tcPr>
            <w:tcW w:w="709"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7923E024" w14:textId="449CDC78" w:rsidR="005F3F40" w:rsidRPr="005060E0" w:rsidRDefault="00E00FC4"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850" w:type="dxa"/>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705ACCB2" w14:textId="582ACC06" w:rsidR="005F3F40" w:rsidRPr="005060E0" w:rsidRDefault="00E00FC4"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1134" w:type="dxa"/>
            <w:tcBorders>
              <w:top w:val="single"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666BC02C"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sidRPr="005060E0">
              <w:rPr>
                <w:rFonts w:eastAsia="Times New Roman" w:cs="Arial"/>
                <w:i/>
                <w:sz w:val="15"/>
                <w:szCs w:val="15"/>
                <w:lang w:eastAsia="en-AU"/>
              </w:rPr>
              <w:t>1</w:t>
            </w:r>
          </w:p>
        </w:tc>
        <w:tc>
          <w:tcPr>
            <w:tcW w:w="709" w:type="dxa"/>
            <w:tcBorders>
              <w:top w:val="single" w:sz="4" w:space="0" w:color="606072"/>
              <w:left w:val="dotted" w:sz="4" w:space="0" w:color="606072"/>
              <w:bottom w:val="dotted" w:sz="4" w:space="0" w:color="606072"/>
              <w:right w:val="dotted" w:sz="4" w:space="0" w:color="606072"/>
            </w:tcBorders>
            <w:vAlign w:val="center"/>
          </w:tcPr>
          <w:p w14:paraId="4EB84D65"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3</w:t>
            </w:r>
          </w:p>
        </w:tc>
        <w:tc>
          <w:tcPr>
            <w:tcW w:w="567"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0F7E0DBC"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3</w:t>
            </w:r>
          </w:p>
        </w:tc>
        <w:tc>
          <w:tcPr>
            <w:tcW w:w="709" w:type="dxa"/>
            <w:tcBorders>
              <w:top w:val="single"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71E1AA4E"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3</w:t>
            </w:r>
          </w:p>
        </w:tc>
        <w:tc>
          <w:tcPr>
            <w:tcW w:w="708" w:type="dxa"/>
            <w:tcBorders>
              <w:top w:val="single"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794F5756"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3</w:t>
            </w:r>
          </w:p>
        </w:tc>
      </w:tr>
      <w:tr w:rsidR="007F77AB" w:rsidRPr="005060E0" w14:paraId="67CF0625" w14:textId="77777777" w:rsidTr="001F63CF">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05E336FE" w14:textId="77777777" w:rsidR="005F3F40" w:rsidRPr="005060E0" w:rsidRDefault="005F3F40" w:rsidP="005F3F40">
            <w:pPr>
              <w:widowControl w:val="0"/>
              <w:spacing w:after="0" w:line="240" w:lineRule="auto"/>
              <w:jc w:val="center"/>
              <w:rPr>
                <w:rFonts w:cs="Arial"/>
                <w:b w:val="0"/>
                <w:sz w:val="15"/>
                <w:szCs w:val="15"/>
              </w:rPr>
            </w:pPr>
          </w:p>
        </w:tc>
        <w:tc>
          <w:tcPr>
            <w:tcW w:w="850" w:type="dxa"/>
            <w:tcBorders>
              <w:top w:val="dotted" w:sz="4" w:space="0" w:color="606072"/>
              <w:left w:val="dotted" w:sz="4" w:space="0" w:color="606372" w:themeColor="text2"/>
              <w:bottom w:val="dotted" w:sz="4" w:space="0" w:color="606072"/>
              <w:right w:val="single" w:sz="4" w:space="0" w:color="606072"/>
            </w:tcBorders>
            <w:shd w:val="clear" w:color="auto" w:fill="DEDFE3" w:themeFill="text2" w:themeFillTint="33"/>
            <w:tcMar>
              <w:left w:w="28" w:type="dxa"/>
              <w:right w:w="28" w:type="dxa"/>
            </w:tcMar>
            <w:vAlign w:val="center"/>
          </w:tcPr>
          <w:p w14:paraId="78C16EA2" w14:textId="77777777" w:rsidR="005F3F40" w:rsidRPr="005060E0" w:rsidRDefault="005F3F40"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85</w:t>
            </w:r>
          </w:p>
        </w:tc>
        <w:tc>
          <w:tcPr>
            <w:tcW w:w="567" w:type="dxa"/>
            <w:tcBorders>
              <w:top w:val="nil"/>
              <w:left w:val="single" w:sz="4" w:space="0" w:color="606072"/>
              <w:bottom w:val="nil"/>
              <w:right w:val="single" w:sz="4" w:space="0" w:color="606072"/>
            </w:tcBorders>
            <w:tcMar>
              <w:left w:w="28" w:type="dxa"/>
              <w:right w:w="28" w:type="dxa"/>
            </w:tcMar>
            <w:vAlign w:val="center"/>
          </w:tcPr>
          <w:p w14:paraId="2FBE3E2E" w14:textId="77777777" w:rsidR="005F3F40" w:rsidRPr="005060E0" w:rsidRDefault="005F3F40"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p>
        </w:tc>
        <w:tc>
          <w:tcPr>
            <w:tcW w:w="851" w:type="dxa"/>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306431F8" w14:textId="77777777" w:rsidR="005F3F40" w:rsidRPr="005060E0" w:rsidRDefault="005F3F40"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sidRPr="005060E0">
              <w:rPr>
                <w:rFonts w:cs="Arial"/>
                <w:i/>
                <w:sz w:val="15"/>
                <w:szCs w:val="15"/>
              </w:rPr>
              <w:t>1</w:t>
            </w:r>
          </w:p>
        </w:tc>
        <w:tc>
          <w:tcPr>
            <w:tcW w:w="850" w:type="dxa"/>
            <w:tcBorders>
              <w:top w:val="dotted" w:sz="4" w:space="0" w:color="606072"/>
              <w:left w:val="dotted" w:sz="4" w:space="0" w:color="606072"/>
              <w:bottom w:val="dotted" w:sz="4" w:space="0" w:color="606072"/>
              <w:right w:val="dotted" w:sz="4" w:space="0" w:color="606072"/>
            </w:tcBorders>
            <w:tcMar>
              <w:left w:w="28" w:type="dxa"/>
              <w:right w:w="28" w:type="dxa"/>
            </w:tcMar>
            <w:vAlign w:val="center"/>
          </w:tcPr>
          <w:p w14:paraId="0EDDC6F8" w14:textId="02494065" w:rsidR="005F3F40" w:rsidRPr="005060E0" w:rsidRDefault="00E00FC4"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1"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6D26E3B2" w14:textId="34AECD32" w:rsidR="005F3F40" w:rsidRPr="005060E0" w:rsidRDefault="00E00FC4"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07FA0812" w14:textId="510DE815" w:rsidR="005F3F40" w:rsidRPr="005060E0" w:rsidRDefault="00E00FC4"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0" w:type="dxa"/>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1E145D4D" w14:textId="508E31AB" w:rsidR="005F3F40" w:rsidRPr="005060E0" w:rsidRDefault="00E00FC4"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1134" w:type="dxa"/>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0E4C26BF" w14:textId="79E15B48" w:rsidR="005F3F40" w:rsidRPr="005060E0" w:rsidRDefault="00E00FC4"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Pr>
                <w:rFonts w:cs="Arial"/>
                <w:i/>
                <w:sz w:val="15"/>
                <w:szCs w:val="15"/>
              </w:rPr>
              <w:t>–</w:t>
            </w:r>
          </w:p>
        </w:tc>
        <w:tc>
          <w:tcPr>
            <w:tcW w:w="709" w:type="dxa"/>
            <w:tcBorders>
              <w:top w:val="dotted" w:sz="4" w:space="0" w:color="606072"/>
              <w:left w:val="dotted" w:sz="4" w:space="0" w:color="606072"/>
              <w:bottom w:val="dotted" w:sz="4" w:space="0" w:color="606072"/>
              <w:right w:val="dotted" w:sz="4" w:space="0" w:color="606072"/>
            </w:tcBorders>
            <w:vAlign w:val="center"/>
          </w:tcPr>
          <w:p w14:paraId="1A7723B6" w14:textId="71957345" w:rsidR="005F3F40" w:rsidRPr="005060E0" w:rsidRDefault="00E00FC4"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567"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67A1CB0A" w14:textId="39473F92" w:rsidR="005F3F40" w:rsidRPr="005060E0" w:rsidRDefault="00E00FC4"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44F73B3D" w14:textId="330F2493" w:rsidR="005F3F40" w:rsidRPr="005060E0" w:rsidRDefault="00E00FC4"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8" w:type="dxa"/>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5BA86F9F" w14:textId="41B97E90" w:rsidR="005F3F40" w:rsidRPr="005060E0" w:rsidRDefault="00E00FC4"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r>
      <w:tr w:rsidR="007F77AB" w:rsidRPr="005060E0" w14:paraId="32B780BB" w14:textId="77777777" w:rsidTr="005519A4">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0C2B9C0D" w14:textId="77777777" w:rsidR="005F3F40" w:rsidRPr="005060E0" w:rsidRDefault="005F3F40" w:rsidP="005F3F40">
            <w:pPr>
              <w:widowControl w:val="0"/>
              <w:spacing w:after="0" w:line="240" w:lineRule="auto"/>
              <w:jc w:val="center"/>
              <w:rPr>
                <w:rFonts w:cs="Arial"/>
                <w:b w:val="0"/>
                <w:sz w:val="15"/>
                <w:szCs w:val="15"/>
              </w:rPr>
            </w:pPr>
          </w:p>
        </w:tc>
        <w:tc>
          <w:tcPr>
            <w:tcW w:w="850" w:type="dxa"/>
            <w:tcBorders>
              <w:top w:val="dotted" w:sz="4" w:space="0" w:color="606072"/>
              <w:left w:val="dotted" w:sz="4" w:space="0" w:color="606372" w:themeColor="text2"/>
              <w:bottom w:val="single" w:sz="4" w:space="0" w:color="606072"/>
              <w:right w:val="single" w:sz="4" w:space="0" w:color="606072"/>
            </w:tcBorders>
            <w:shd w:val="clear" w:color="auto" w:fill="D5E5FF"/>
            <w:tcMar>
              <w:left w:w="28" w:type="dxa"/>
              <w:right w:w="28" w:type="dxa"/>
            </w:tcMar>
            <w:vAlign w:val="center"/>
          </w:tcPr>
          <w:p w14:paraId="000E53B4"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100</w:t>
            </w:r>
          </w:p>
        </w:tc>
        <w:tc>
          <w:tcPr>
            <w:tcW w:w="567" w:type="dxa"/>
            <w:tcBorders>
              <w:top w:val="nil"/>
              <w:left w:val="single" w:sz="4" w:space="0" w:color="606072"/>
              <w:bottom w:val="single" w:sz="4" w:space="0" w:color="606072"/>
              <w:right w:val="single" w:sz="4" w:space="0" w:color="606072"/>
            </w:tcBorders>
            <w:tcMar>
              <w:left w:w="28" w:type="dxa"/>
              <w:right w:w="28" w:type="dxa"/>
            </w:tcMar>
            <w:vAlign w:val="center"/>
          </w:tcPr>
          <w:p w14:paraId="40ADBD9D"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851" w:type="dxa"/>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645003BB" w14:textId="1FDDA180" w:rsidR="005F3F40" w:rsidRPr="005060E0" w:rsidRDefault="00E00FC4"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Pr>
                <w:rFonts w:cs="Arial"/>
                <w:i/>
                <w:sz w:val="15"/>
                <w:szCs w:val="15"/>
              </w:rPr>
              <w:t>–</w:t>
            </w:r>
          </w:p>
        </w:tc>
        <w:tc>
          <w:tcPr>
            <w:tcW w:w="850"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6CAC0049" w14:textId="76DF198A" w:rsidR="005F3F40" w:rsidRPr="005060E0" w:rsidRDefault="00E00FC4"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851"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1D93EB2E" w14:textId="25682768" w:rsidR="005F3F40" w:rsidRPr="005060E0" w:rsidRDefault="00E00FC4"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4EB20486" w14:textId="09313B30" w:rsidR="005F3F40" w:rsidRPr="005060E0" w:rsidRDefault="00E00FC4"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850" w:type="dxa"/>
            <w:tcBorders>
              <w:top w:val="dotted" w:sz="4" w:space="0" w:color="606072"/>
              <w:left w:val="dotted" w:sz="4" w:space="0" w:color="606072"/>
              <w:bottom w:val="single" w:sz="4" w:space="0" w:color="606072"/>
              <w:right w:val="single" w:sz="4" w:space="0" w:color="606072"/>
            </w:tcBorders>
            <w:shd w:val="clear" w:color="auto" w:fill="D5E5FF"/>
            <w:tcMar>
              <w:left w:w="28" w:type="dxa"/>
              <w:right w:w="28" w:type="dxa"/>
            </w:tcMar>
            <w:vAlign w:val="center"/>
          </w:tcPr>
          <w:p w14:paraId="1E646717" w14:textId="7B1062D2" w:rsidR="005F3F40" w:rsidRPr="005060E0" w:rsidRDefault="00E00FC4"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1134" w:type="dxa"/>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0CD3B21A" w14:textId="6C004A11" w:rsidR="005F3F40" w:rsidRPr="005060E0" w:rsidRDefault="00E00FC4"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Pr>
                <w:rFonts w:cs="Arial"/>
                <w:i/>
                <w:sz w:val="15"/>
                <w:szCs w:val="15"/>
              </w:rPr>
              <w:t>–</w:t>
            </w:r>
          </w:p>
        </w:tc>
        <w:tc>
          <w:tcPr>
            <w:tcW w:w="709"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306453A2" w14:textId="72662A9B" w:rsidR="005F3F40" w:rsidRPr="005060E0" w:rsidRDefault="00E00FC4"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567"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13E92C92" w14:textId="6E019531" w:rsidR="005F3F40" w:rsidRPr="005060E0" w:rsidRDefault="00E00FC4"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single" w:sz="4" w:space="0" w:color="606072"/>
              <w:right w:val="dotted" w:sz="4" w:space="0" w:color="606072"/>
            </w:tcBorders>
            <w:shd w:val="clear" w:color="auto" w:fill="D5E5FF"/>
            <w:tcMar>
              <w:left w:w="28" w:type="dxa"/>
              <w:right w:w="28" w:type="dxa"/>
            </w:tcMar>
            <w:vAlign w:val="center"/>
          </w:tcPr>
          <w:p w14:paraId="735F91C9" w14:textId="2AF9961C" w:rsidR="005F3F40" w:rsidRPr="005060E0" w:rsidRDefault="00E00FC4"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8" w:type="dxa"/>
            <w:tcBorders>
              <w:top w:val="dotted" w:sz="4" w:space="0" w:color="606072"/>
              <w:left w:val="dotted" w:sz="4" w:space="0" w:color="606072"/>
              <w:bottom w:val="single" w:sz="4" w:space="0" w:color="606072"/>
              <w:right w:val="single" w:sz="4" w:space="0" w:color="606072"/>
            </w:tcBorders>
            <w:shd w:val="clear" w:color="auto" w:fill="D5E5FF"/>
            <w:tcMar>
              <w:left w:w="28" w:type="dxa"/>
              <w:right w:w="28" w:type="dxa"/>
            </w:tcMar>
            <w:vAlign w:val="center"/>
          </w:tcPr>
          <w:p w14:paraId="3468C76D" w14:textId="625F9669" w:rsidR="005F3F40" w:rsidRPr="005060E0" w:rsidRDefault="00E00FC4"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r>
      <w:tr w:rsidR="001B3859" w:rsidRPr="005060E0" w14:paraId="586A732E" w14:textId="77777777" w:rsidTr="001F63CF">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0201" w:type="dxa"/>
            <w:gridSpan w:val="13"/>
            <w:tcBorders>
              <w:top w:val="single" w:sz="4" w:space="0" w:color="606072"/>
              <w:left w:val="single" w:sz="4" w:space="0" w:color="606072"/>
              <w:right w:val="single" w:sz="4" w:space="0" w:color="606072"/>
            </w:tcBorders>
            <w:shd w:val="clear" w:color="auto" w:fill="BFBFBF" w:themeFill="background1" w:themeFillShade="BF"/>
            <w:tcMar>
              <w:left w:w="28" w:type="dxa"/>
              <w:right w:w="28" w:type="dxa"/>
            </w:tcMar>
            <w:vAlign w:val="center"/>
          </w:tcPr>
          <w:p w14:paraId="1CB7F624" w14:textId="7CE4BFD2" w:rsidR="001B3859" w:rsidRPr="005060E0" w:rsidRDefault="001B3859" w:rsidP="001B3859">
            <w:pPr>
              <w:widowControl w:val="0"/>
              <w:spacing w:after="0" w:line="240" w:lineRule="auto"/>
              <w:rPr>
                <w:rFonts w:cs="Arial"/>
                <w:b w:val="0"/>
                <w:sz w:val="15"/>
                <w:szCs w:val="15"/>
              </w:rPr>
            </w:pPr>
            <w:r w:rsidRPr="005060E0">
              <w:rPr>
                <w:rFonts w:cs="Arial"/>
                <w:b w:val="0"/>
                <w:sz w:val="15"/>
                <w:szCs w:val="15"/>
              </w:rPr>
              <w:t>Total number of unique exceedance days</w:t>
            </w:r>
          </w:p>
        </w:tc>
      </w:tr>
      <w:tr w:rsidR="007F77AB" w:rsidRPr="005060E0" w14:paraId="1F1C7B9B" w14:textId="77777777" w:rsidTr="00812125">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606072"/>
              <w:left w:val="single" w:sz="4" w:space="0" w:color="606072"/>
              <w:right w:val="dotted" w:sz="4" w:space="0" w:color="606372" w:themeColor="text2"/>
            </w:tcBorders>
            <w:shd w:val="clear" w:color="auto" w:fill="DEDFE3" w:themeFill="text2" w:themeFillTint="33"/>
            <w:tcMar>
              <w:left w:w="28" w:type="dxa"/>
              <w:right w:w="28" w:type="dxa"/>
            </w:tcMar>
            <w:vAlign w:val="center"/>
          </w:tcPr>
          <w:p w14:paraId="44D2617F" w14:textId="0EDDB33D" w:rsidR="005F3F40" w:rsidRPr="005060E0" w:rsidRDefault="005F3F40" w:rsidP="005F3F40">
            <w:pPr>
              <w:widowControl w:val="0"/>
              <w:spacing w:after="0" w:line="240" w:lineRule="auto"/>
              <w:jc w:val="center"/>
              <w:rPr>
                <w:rFonts w:cs="Arial"/>
                <w:b w:val="0"/>
                <w:sz w:val="15"/>
                <w:szCs w:val="15"/>
              </w:rPr>
            </w:pPr>
            <w:r w:rsidRPr="005060E0">
              <w:rPr>
                <w:rFonts w:cs="Arial"/>
                <w:b w:val="0"/>
                <w:sz w:val="15"/>
                <w:szCs w:val="15"/>
              </w:rPr>
              <w:t xml:space="preserve">Rolling </w:t>
            </w:r>
            <w:r w:rsidR="00CD2F38">
              <w:rPr>
                <w:rFonts w:cs="Arial"/>
                <w:b w:val="0"/>
                <w:sz w:val="15"/>
                <w:szCs w:val="15"/>
              </w:rPr>
              <w:br/>
            </w:r>
            <w:r w:rsidRPr="005060E0">
              <w:rPr>
                <w:rFonts w:cs="Arial"/>
                <w:b w:val="0"/>
                <w:sz w:val="15"/>
                <w:szCs w:val="15"/>
              </w:rPr>
              <w:t>4-hour</w:t>
            </w:r>
          </w:p>
        </w:tc>
        <w:tc>
          <w:tcPr>
            <w:tcW w:w="850" w:type="dxa"/>
            <w:tcBorders>
              <w:top w:val="single" w:sz="4" w:space="0" w:color="606072"/>
              <w:left w:val="dotted" w:sz="4" w:space="0" w:color="606372" w:themeColor="text2"/>
              <w:bottom w:val="dotted" w:sz="4" w:space="0" w:color="808080" w:themeColor="background1" w:themeShade="80"/>
              <w:right w:val="single" w:sz="4" w:space="0" w:color="606072"/>
            </w:tcBorders>
            <w:shd w:val="clear" w:color="auto" w:fill="DEDFE3" w:themeFill="text2" w:themeFillTint="33"/>
            <w:tcMar>
              <w:left w:w="28" w:type="dxa"/>
              <w:right w:w="28" w:type="dxa"/>
            </w:tcMar>
            <w:vAlign w:val="center"/>
          </w:tcPr>
          <w:p w14:paraId="55F31DA0"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60</w:t>
            </w:r>
          </w:p>
        </w:tc>
        <w:tc>
          <w:tcPr>
            <w:tcW w:w="567" w:type="dxa"/>
            <w:tcBorders>
              <w:top w:val="single" w:sz="4" w:space="0" w:color="606072"/>
              <w:left w:val="single" w:sz="4" w:space="0" w:color="606072"/>
              <w:bottom w:val="nil"/>
              <w:right w:val="single" w:sz="4" w:space="0" w:color="606072"/>
            </w:tcBorders>
            <w:tcMar>
              <w:left w:w="28" w:type="dxa"/>
              <w:right w:w="28" w:type="dxa"/>
            </w:tcMar>
            <w:vAlign w:val="center"/>
          </w:tcPr>
          <w:p w14:paraId="6AC470D1"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851" w:type="dxa"/>
            <w:tcBorders>
              <w:top w:val="single" w:sz="4" w:space="0" w:color="606072"/>
              <w:left w:val="single" w:sz="4" w:space="0" w:color="606072"/>
              <w:bottom w:val="dotted" w:sz="4" w:space="0" w:color="808080" w:themeColor="background1" w:themeShade="80"/>
              <w:right w:val="dotted" w:sz="4" w:space="0" w:color="606072"/>
            </w:tcBorders>
            <w:shd w:val="clear" w:color="auto" w:fill="DEDFE3" w:themeFill="text2" w:themeFillTint="33"/>
            <w:tcMar>
              <w:left w:w="28" w:type="dxa"/>
              <w:right w:w="28" w:type="dxa"/>
            </w:tcMar>
            <w:vAlign w:val="center"/>
          </w:tcPr>
          <w:p w14:paraId="0D28FF22"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sidRPr="005060E0">
              <w:rPr>
                <w:rFonts w:cs="Arial"/>
                <w:i/>
                <w:sz w:val="15"/>
                <w:szCs w:val="15"/>
              </w:rPr>
              <w:t>6</w:t>
            </w:r>
          </w:p>
        </w:tc>
        <w:tc>
          <w:tcPr>
            <w:tcW w:w="850" w:type="dxa"/>
            <w:tcBorders>
              <w:top w:val="single" w:sz="4" w:space="0" w:color="606072"/>
              <w:left w:val="dotted" w:sz="4" w:space="0" w:color="606072"/>
              <w:bottom w:val="dotted" w:sz="4" w:space="0" w:color="808080" w:themeColor="background1" w:themeShade="80"/>
              <w:right w:val="dotted" w:sz="4" w:space="0" w:color="606072"/>
            </w:tcBorders>
            <w:tcMar>
              <w:left w:w="28" w:type="dxa"/>
              <w:right w:w="28" w:type="dxa"/>
            </w:tcMar>
            <w:vAlign w:val="center"/>
          </w:tcPr>
          <w:p w14:paraId="78D082E8"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6</w:t>
            </w:r>
          </w:p>
        </w:tc>
        <w:tc>
          <w:tcPr>
            <w:tcW w:w="851" w:type="dxa"/>
            <w:tcBorders>
              <w:top w:val="single" w:sz="4" w:space="0" w:color="606072"/>
              <w:left w:val="dotted" w:sz="4" w:space="0" w:color="606072"/>
              <w:bottom w:val="dotted" w:sz="4" w:space="0" w:color="808080" w:themeColor="background1" w:themeShade="80"/>
              <w:right w:val="dotted" w:sz="4" w:space="0" w:color="606072"/>
            </w:tcBorders>
            <w:shd w:val="clear" w:color="auto" w:fill="auto"/>
            <w:tcMar>
              <w:left w:w="28" w:type="dxa"/>
              <w:right w:w="28" w:type="dxa"/>
            </w:tcMar>
            <w:vAlign w:val="center"/>
          </w:tcPr>
          <w:p w14:paraId="723AEA07"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3</w:t>
            </w:r>
          </w:p>
        </w:tc>
        <w:tc>
          <w:tcPr>
            <w:tcW w:w="709" w:type="dxa"/>
            <w:tcBorders>
              <w:top w:val="single" w:sz="4" w:space="0" w:color="606072"/>
              <w:left w:val="dotted" w:sz="4" w:space="0" w:color="606072"/>
              <w:bottom w:val="dotted" w:sz="4" w:space="0" w:color="808080" w:themeColor="background1" w:themeShade="80"/>
              <w:right w:val="dotted" w:sz="4" w:space="0" w:color="606072"/>
            </w:tcBorders>
            <w:shd w:val="clear" w:color="auto" w:fill="auto"/>
            <w:tcMar>
              <w:left w:w="28" w:type="dxa"/>
              <w:right w:w="28" w:type="dxa"/>
            </w:tcMar>
            <w:vAlign w:val="center"/>
          </w:tcPr>
          <w:p w14:paraId="5930F02C" w14:textId="60C14512" w:rsidR="005F3F40" w:rsidRPr="005060E0" w:rsidRDefault="00812125"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3</w:t>
            </w:r>
          </w:p>
        </w:tc>
        <w:tc>
          <w:tcPr>
            <w:tcW w:w="850" w:type="dxa"/>
            <w:tcBorders>
              <w:top w:val="single" w:sz="4" w:space="0" w:color="606072"/>
              <w:left w:val="dotted" w:sz="4" w:space="0" w:color="606072"/>
              <w:bottom w:val="dotted" w:sz="4" w:space="0" w:color="808080" w:themeColor="background1" w:themeShade="80"/>
              <w:right w:val="single" w:sz="4" w:space="0" w:color="606072"/>
            </w:tcBorders>
            <w:shd w:val="clear" w:color="auto" w:fill="auto"/>
            <w:tcMar>
              <w:left w:w="28" w:type="dxa"/>
              <w:right w:w="28" w:type="dxa"/>
            </w:tcMar>
            <w:vAlign w:val="center"/>
          </w:tcPr>
          <w:p w14:paraId="457ABBE6" w14:textId="1A817AB1" w:rsidR="005F3F40" w:rsidRPr="005060E0" w:rsidRDefault="00812125"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3</w:t>
            </w:r>
          </w:p>
        </w:tc>
        <w:tc>
          <w:tcPr>
            <w:tcW w:w="1134" w:type="dxa"/>
            <w:tcBorders>
              <w:top w:val="single" w:sz="4" w:space="0" w:color="606072"/>
              <w:left w:val="single" w:sz="4" w:space="0" w:color="606072"/>
              <w:bottom w:val="dotted" w:sz="4" w:space="0" w:color="808080" w:themeColor="background1" w:themeShade="80"/>
              <w:right w:val="dotted" w:sz="4" w:space="0" w:color="606072"/>
            </w:tcBorders>
            <w:shd w:val="clear" w:color="auto" w:fill="DEDFE3" w:themeFill="text2" w:themeFillTint="33"/>
            <w:tcMar>
              <w:left w:w="28" w:type="dxa"/>
              <w:right w:w="28" w:type="dxa"/>
            </w:tcMar>
            <w:vAlign w:val="center"/>
          </w:tcPr>
          <w:p w14:paraId="10874052" w14:textId="6B695D1F" w:rsidR="005F3F40" w:rsidRPr="005060E0" w:rsidRDefault="00E00FC4"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Pr>
                <w:rFonts w:cs="Arial"/>
                <w:i/>
                <w:sz w:val="15"/>
                <w:szCs w:val="15"/>
              </w:rPr>
              <w:t>–</w:t>
            </w:r>
          </w:p>
        </w:tc>
        <w:tc>
          <w:tcPr>
            <w:tcW w:w="709" w:type="dxa"/>
            <w:tcBorders>
              <w:top w:val="single" w:sz="4" w:space="0" w:color="606072"/>
              <w:left w:val="dotted" w:sz="4" w:space="0" w:color="606072"/>
              <w:bottom w:val="dotted" w:sz="4" w:space="0" w:color="808080" w:themeColor="background1" w:themeShade="80"/>
              <w:right w:val="dotted" w:sz="4" w:space="0" w:color="606072"/>
            </w:tcBorders>
            <w:vAlign w:val="center"/>
          </w:tcPr>
          <w:p w14:paraId="2FBB547E"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3</w:t>
            </w:r>
          </w:p>
        </w:tc>
        <w:tc>
          <w:tcPr>
            <w:tcW w:w="567" w:type="dxa"/>
            <w:tcBorders>
              <w:top w:val="single" w:sz="4" w:space="0" w:color="606072"/>
              <w:left w:val="dotted" w:sz="4" w:space="0" w:color="606072"/>
              <w:bottom w:val="dotted" w:sz="4" w:space="0" w:color="808080" w:themeColor="background1" w:themeShade="80"/>
              <w:right w:val="dotted" w:sz="4" w:space="0" w:color="606072"/>
            </w:tcBorders>
            <w:shd w:val="clear" w:color="auto" w:fill="auto"/>
            <w:tcMar>
              <w:left w:w="28" w:type="dxa"/>
              <w:right w:w="28" w:type="dxa"/>
            </w:tcMar>
            <w:vAlign w:val="center"/>
          </w:tcPr>
          <w:p w14:paraId="40A54349"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3</w:t>
            </w:r>
          </w:p>
        </w:tc>
        <w:tc>
          <w:tcPr>
            <w:tcW w:w="709" w:type="dxa"/>
            <w:tcBorders>
              <w:top w:val="single" w:sz="4" w:space="0" w:color="606072"/>
              <w:left w:val="dotted" w:sz="4" w:space="0" w:color="606072"/>
              <w:bottom w:val="dotted" w:sz="4" w:space="0" w:color="808080" w:themeColor="background1" w:themeShade="80"/>
              <w:right w:val="dotted" w:sz="4" w:space="0" w:color="606072"/>
            </w:tcBorders>
            <w:shd w:val="clear" w:color="auto" w:fill="auto"/>
            <w:tcMar>
              <w:left w:w="28" w:type="dxa"/>
              <w:right w:w="28" w:type="dxa"/>
            </w:tcMar>
            <w:vAlign w:val="center"/>
          </w:tcPr>
          <w:p w14:paraId="1F13155F"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3</w:t>
            </w:r>
          </w:p>
        </w:tc>
        <w:tc>
          <w:tcPr>
            <w:tcW w:w="708" w:type="dxa"/>
            <w:tcBorders>
              <w:top w:val="single" w:sz="4" w:space="0" w:color="606072"/>
              <w:left w:val="dotted" w:sz="4" w:space="0" w:color="606072"/>
              <w:bottom w:val="dotted" w:sz="4" w:space="0" w:color="808080" w:themeColor="background1" w:themeShade="80"/>
              <w:right w:val="single" w:sz="4" w:space="0" w:color="606072"/>
            </w:tcBorders>
            <w:shd w:val="clear" w:color="auto" w:fill="auto"/>
            <w:tcMar>
              <w:left w:w="28" w:type="dxa"/>
              <w:right w:w="28" w:type="dxa"/>
            </w:tcMar>
            <w:vAlign w:val="center"/>
          </w:tcPr>
          <w:p w14:paraId="3A27ACC9"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3</w:t>
            </w:r>
          </w:p>
        </w:tc>
      </w:tr>
      <w:tr w:rsidR="007F77AB" w:rsidRPr="005060E0" w14:paraId="71099CCE" w14:textId="77777777" w:rsidTr="00812125">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606072"/>
              <w:right w:val="dotted" w:sz="4" w:space="0" w:color="606372" w:themeColor="text2"/>
            </w:tcBorders>
            <w:shd w:val="clear" w:color="auto" w:fill="DEDFE3" w:themeFill="text2" w:themeFillTint="33"/>
            <w:tcMar>
              <w:left w:w="28" w:type="dxa"/>
              <w:right w:w="28" w:type="dxa"/>
            </w:tcMar>
            <w:vAlign w:val="center"/>
          </w:tcPr>
          <w:p w14:paraId="22BEA1F5" w14:textId="77777777" w:rsidR="005F3F40" w:rsidRPr="005060E0" w:rsidRDefault="005F3F40" w:rsidP="005F3F40">
            <w:pPr>
              <w:widowControl w:val="0"/>
              <w:spacing w:after="0" w:line="240" w:lineRule="auto"/>
              <w:jc w:val="center"/>
              <w:rPr>
                <w:rFonts w:cs="Arial"/>
                <w:b w:val="0"/>
                <w:sz w:val="15"/>
                <w:szCs w:val="15"/>
              </w:rPr>
            </w:pPr>
          </w:p>
        </w:tc>
        <w:tc>
          <w:tcPr>
            <w:tcW w:w="850" w:type="dxa"/>
            <w:tcBorders>
              <w:top w:val="dotted" w:sz="4" w:space="0" w:color="808080" w:themeColor="background1" w:themeShade="80"/>
              <w:left w:val="dotted" w:sz="4" w:space="0" w:color="606372" w:themeColor="text2"/>
              <w:bottom w:val="dotted" w:sz="4" w:space="0" w:color="808080" w:themeColor="background1" w:themeShade="80"/>
              <w:right w:val="single" w:sz="4" w:space="0" w:color="606072"/>
            </w:tcBorders>
            <w:shd w:val="clear" w:color="auto" w:fill="DEDFE3" w:themeFill="text2" w:themeFillTint="33"/>
            <w:tcMar>
              <w:left w:w="28" w:type="dxa"/>
              <w:right w:w="28" w:type="dxa"/>
            </w:tcMar>
            <w:vAlign w:val="center"/>
          </w:tcPr>
          <w:p w14:paraId="0657F3C6" w14:textId="77777777" w:rsidR="005F3F40" w:rsidRPr="005060E0" w:rsidRDefault="005F3F40"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70</w:t>
            </w:r>
          </w:p>
        </w:tc>
        <w:tc>
          <w:tcPr>
            <w:tcW w:w="567" w:type="dxa"/>
            <w:tcBorders>
              <w:top w:val="nil"/>
              <w:left w:val="single" w:sz="4" w:space="0" w:color="606072"/>
              <w:bottom w:val="nil"/>
              <w:right w:val="single" w:sz="4" w:space="0" w:color="606072"/>
            </w:tcBorders>
            <w:tcMar>
              <w:left w:w="28" w:type="dxa"/>
              <w:right w:w="28" w:type="dxa"/>
            </w:tcMar>
            <w:vAlign w:val="center"/>
          </w:tcPr>
          <w:p w14:paraId="772F9625" w14:textId="77777777" w:rsidR="005F3F40" w:rsidRPr="005060E0" w:rsidRDefault="005F3F40"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p>
        </w:tc>
        <w:tc>
          <w:tcPr>
            <w:tcW w:w="851" w:type="dxa"/>
            <w:tcBorders>
              <w:top w:val="dotted" w:sz="4" w:space="0" w:color="808080" w:themeColor="background1" w:themeShade="80"/>
              <w:left w:val="single" w:sz="4" w:space="0" w:color="606072"/>
              <w:bottom w:val="dotted" w:sz="4" w:space="0" w:color="808080" w:themeColor="background1" w:themeShade="80"/>
              <w:right w:val="dotted" w:sz="4" w:space="0" w:color="606072"/>
            </w:tcBorders>
            <w:shd w:val="clear" w:color="auto" w:fill="DEDFE3" w:themeFill="text2" w:themeFillTint="33"/>
            <w:tcMar>
              <w:left w:w="28" w:type="dxa"/>
              <w:right w:w="28" w:type="dxa"/>
            </w:tcMar>
            <w:vAlign w:val="center"/>
          </w:tcPr>
          <w:p w14:paraId="779FF184" w14:textId="77777777" w:rsidR="005F3F40" w:rsidRPr="005060E0" w:rsidRDefault="005F3F40"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sidRPr="005060E0">
              <w:rPr>
                <w:rFonts w:cs="Arial"/>
                <w:i/>
                <w:sz w:val="15"/>
                <w:szCs w:val="15"/>
              </w:rPr>
              <w:t>2</w:t>
            </w:r>
          </w:p>
        </w:tc>
        <w:tc>
          <w:tcPr>
            <w:tcW w:w="850" w:type="dxa"/>
            <w:tcBorders>
              <w:top w:val="dotted" w:sz="4" w:space="0" w:color="808080" w:themeColor="background1" w:themeShade="80"/>
              <w:left w:val="dotted" w:sz="4" w:space="0" w:color="606072"/>
              <w:bottom w:val="dotted" w:sz="4" w:space="0" w:color="808080" w:themeColor="background1" w:themeShade="80"/>
              <w:right w:val="dotted" w:sz="4" w:space="0" w:color="606072"/>
            </w:tcBorders>
            <w:tcMar>
              <w:left w:w="28" w:type="dxa"/>
              <w:right w:w="28" w:type="dxa"/>
            </w:tcMar>
            <w:vAlign w:val="center"/>
          </w:tcPr>
          <w:p w14:paraId="4E013A55" w14:textId="0FEA4E41" w:rsidR="005F3F40" w:rsidRPr="005060E0" w:rsidRDefault="00E00FC4"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1" w:type="dxa"/>
            <w:tcBorders>
              <w:top w:val="dotted" w:sz="4" w:space="0" w:color="808080" w:themeColor="background1" w:themeShade="80"/>
              <w:left w:val="dotted" w:sz="4" w:space="0" w:color="606072"/>
              <w:bottom w:val="dotted" w:sz="4" w:space="0" w:color="808080" w:themeColor="background1" w:themeShade="80"/>
              <w:right w:val="dotted" w:sz="4" w:space="0" w:color="606072"/>
            </w:tcBorders>
            <w:shd w:val="clear" w:color="auto" w:fill="auto"/>
            <w:tcMar>
              <w:left w:w="28" w:type="dxa"/>
              <w:right w:w="28" w:type="dxa"/>
            </w:tcMar>
            <w:vAlign w:val="center"/>
          </w:tcPr>
          <w:p w14:paraId="20279F94" w14:textId="773684BC" w:rsidR="005F3F40" w:rsidRPr="005060E0" w:rsidRDefault="00E00FC4"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808080" w:themeColor="background1" w:themeShade="80"/>
              <w:left w:val="dotted" w:sz="4" w:space="0" w:color="606072"/>
              <w:bottom w:val="dotted" w:sz="4" w:space="0" w:color="808080" w:themeColor="background1" w:themeShade="80"/>
              <w:right w:val="dotted" w:sz="4" w:space="0" w:color="606072"/>
            </w:tcBorders>
            <w:shd w:val="clear" w:color="auto" w:fill="auto"/>
            <w:tcMar>
              <w:left w:w="28" w:type="dxa"/>
              <w:right w:w="28" w:type="dxa"/>
            </w:tcMar>
            <w:vAlign w:val="center"/>
          </w:tcPr>
          <w:p w14:paraId="2B21BC4C" w14:textId="6A12895A" w:rsidR="005F3F40" w:rsidRPr="005060E0" w:rsidRDefault="00E00FC4"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0" w:type="dxa"/>
            <w:tcBorders>
              <w:top w:val="dotted" w:sz="4" w:space="0" w:color="808080" w:themeColor="background1" w:themeShade="80"/>
              <w:left w:val="dotted" w:sz="4" w:space="0" w:color="606072"/>
              <w:bottom w:val="dotted" w:sz="4" w:space="0" w:color="808080" w:themeColor="background1" w:themeShade="80"/>
              <w:right w:val="single" w:sz="4" w:space="0" w:color="606072"/>
            </w:tcBorders>
            <w:shd w:val="clear" w:color="auto" w:fill="auto"/>
            <w:tcMar>
              <w:left w:w="28" w:type="dxa"/>
              <w:right w:w="28" w:type="dxa"/>
            </w:tcMar>
            <w:vAlign w:val="center"/>
          </w:tcPr>
          <w:p w14:paraId="484166AE" w14:textId="0EB2AB2C" w:rsidR="005F3F40" w:rsidRPr="005060E0" w:rsidRDefault="00E00FC4"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1134" w:type="dxa"/>
            <w:tcBorders>
              <w:top w:val="dotted" w:sz="4" w:space="0" w:color="808080" w:themeColor="background1" w:themeShade="80"/>
              <w:left w:val="single" w:sz="4" w:space="0" w:color="606072"/>
              <w:bottom w:val="dotted" w:sz="4" w:space="0" w:color="808080" w:themeColor="background1" w:themeShade="80"/>
              <w:right w:val="dotted" w:sz="4" w:space="0" w:color="606072"/>
            </w:tcBorders>
            <w:shd w:val="clear" w:color="auto" w:fill="DEDFE3" w:themeFill="text2" w:themeFillTint="33"/>
            <w:tcMar>
              <w:left w:w="28" w:type="dxa"/>
              <w:right w:w="28" w:type="dxa"/>
            </w:tcMar>
            <w:vAlign w:val="center"/>
          </w:tcPr>
          <w:p w14:paraId="100D0E76" w14:textId="5573C66B" w:rsidR="005F3F40" w:rsidRPr="005060E0" w:rsidRDefault="00E00FC4"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Pr>
                <w:rFonts w:cs="Arial"/>
                <w:i/>
                <w:sz w:val="15"/>
                <w:szCs w:val="15"/>
              </w:rPr>
              <w:t>–</w:t>
            </w:r>
          </w:p>
        </w:tc>
        <w:tc>
          <w:tcPr>
            <w:tcW w:w="709" w:type="dxa"/>
            <w:tcBorders>
              <w:top w:val="dotted" w:sz="4" w:space="0" w:color="808080" w:themeColor="background1" w:themeShade="80"/>
              <w:left w:val="dotted" w:sz="4" w:space="0" w:color="606072"/>
              <w:bottom w:val="dotted" w:sz="4" w:space="0" w:color="808080" w:themeColor="background1" w:themeShade="80"/>
              <w:right w:val="dotted" w:sz="4" w:space="0" w:color="606072"/>
            </w:tcBorders>
            <w:vAlign w:val="center"/>
          </w:tcPr>
          <w:p w14:paraId="5FF071E6" w14:textId="77777777" w:rsidR="005F3F40" w:rsidRPr="005060E0" w:rsidRDefault="005F3F40"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3</w:t>
            </w:r>
          </w:p>
        </w:tc>
        <w:tc>
          <w:tcPr>
            <w:tcW w:w="567" w:type="dxa"/>
            <w:tcBorders>
              <w:top w:val="dotted" w:sz="4" w:space="0" w:color="808080" w:themeColor="background1" w:themeShade="80"/>
              <w:left w:val="dotted" w:sz="4" w:space="0" w:color="606072"/>
              <w:bottom w:val="dotted" w:sz="4" w:space="0" w:color="808080" w:themeColor="background1" w:themeShade="80"/>
              <w:right w:val="dotted" w:sz="4" w:space="0" w:color="606072"/>
            </w:tcBorders>
            <w:shd w:val="clear" w:color="auto" w:fill="auto"/>
            <w:tcMar>
              <w:left w:w="28" w:type="dxa"/>
              <w:right w:w="28" w:type="dxa"/>
            </w:tcMar>
            <w:vAlign w:val="center"/>
          </w:tcPr>
          <w:p w14:paraId="264E64C4" w14:textId="0A7D19D3" w:rsidR="005F3F40" w:rsidRPr="005060E0" w:rsidRDefault="00E00FC4"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808080" w:themeColor="background1" w:themeShade="80"/>
              <w:left w:val="dotted" w:sz="4" w:space="0" w:color="606072"/>
              <w:bottom w:val="dotted" w:sz="4" w:space="0" w:color="808080" w:themeColor="background1" w:themeShade="80"/>
              <w:right w:val="dotted" w:sz="4" w:space="0" w:color="606072"/>
            </w:tcBorders>
            <w:shd w:val="clear" w:color="auto" w:fill="auto"/>
            <w:tcMar>
              <w:left w:w="28" w:type="dxa"/>
              <w:right w:w="28" w:type="dxa"/>
            </w:tcMar>
            <w:vAlign w:val="center"/>
          </w:tcPr>
          <w:p w14:paraId="287C6F5F" w14:textId="4F3E550E" w:rsidR="005F3F40" w:rsidRPr="005060E0" w:rsidRDefault="00E00FC4"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8" w:type="dxa"/>
            <w:tcBorders>
              <w:top w:val="dotted" w:sz="4" w:space="0" w:color="808080" w:themeColor="background1" w:themeShade="80"/>
              <w:left w:val="dotted" w:sz="4" w:space="0" w:color="606072"/>
              <w:bottom w:val="dotted" w:sz="4" w:space="0" w:color="808080" w:themeColor="background1" w:themeShade="80"/>
              <w:right w:val="single" w:sz="4" w:space="0" w:color="606072"/>
            </w:tcBorders>
            <w:shd w:val="clear" w:color="auto" w:fill="auto"/>
            <w:tcMar>
              <w:left w:w="28" w:type="dxa"/>
              <w:right w:w="28" w:type="dxa"/>
            </w:tcMar>
            <w:vAlign w:val="center"/>
          </w:tcPr>
          <w:p w14:paraId="48C963E1" w14:textId="77777777" w:rsidR="005F3F40" w:rsidRPr="005060E0" w:rsidRDefault="005F3F40"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3</w:t>
            </w:r>
          </w:p>
        </w:tc>
      </w:tr>
      <w:tr w:rsidR="007F77AB" w:rsidRPr="005060E0" w14:paraId="6E7E3DA1" w14:textId="77777777" w:rsidTr="005519A4">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18D18486" w14:textId="77777777" w:rsidR="005F3F40" w:rsidRPr="005060E0" w:rsidRDefault="005F3F40" w:rsidP="005F3F40">
            <w:pPr>
              <w:widowControl w:val="0"/>
              <w:spacing w:after="0" w:line="240" w:lineRule="auto"/>
              <w:jc w:val="center"/>
              <w:rPr>
                <w:rFonts w:cs="Arial"/>
                <w:b w:val="0"/>
                <w:sz w:val="15"/>
                <w:szCs w:val="15"/>
              </w:rPr>
            </w:pPr>
          </w:p>
        </w:tc>
        <w:tc>
          <w:tcPr>
            <w:tcW w:w="850" w:type="dxa"/>
            <w:tcBorders>
              <w:top w:val="dotted" w:sz="4" w:space="0" w:color="808080" w:themeColor="background1" w:themeShade="80"/>
              <w:left w:val="dotted" w:sz="4" w:space="0" w:color="606372" w:themeColor="text2"/>
              <w:bottom w:val="dotted" w:sz="4" w:space="0" w:color="606072"/>
              <w:right w:val="single" w:sz="4" w:space="0" w:color="606072"/>
            </w:tcBorders>
            <w:shd w:val="clear" w:color="auto" w:fill="D5E5FF"/>
            <w:tcMar>
              <w:left w:w="28" w:type="dxa"/>
              <w:right w:w="28" w:type="dxa"/>
            </w:tcMar>
            <w:vAlign w:val="center"/>
          </w:tcPr>
          <w:p w14:paraId="38D5BB8F"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80</w:t>
            </w:r>
          </w:p>
        </w:tc>
        <w:tc>
          <w:tcPr>
            <w:tcW w:w="567" w:type="dxa"/>
            <w:tcBorders>
              <w:top w:val="nil"/>
              <w:left w:val="single" w:sz="4" w:space="0" w:color="606072"/>
              <w:bottom w:val="nil"/>
              <w:right w:val="single" w:sz="4" w:space="0" w:color="606072"/>
            </w:tcBorders>
            <w:tcMar>
              <w:left w:w="28" w:type="dxa"/>
              <w:right w:w="28" w:type="dxa"/>
            </w:tcMar>
            <w:vAlign w:val="center"/>
          </w:tcPr>
          <w:p w14:paraId="7A891D3C"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851" w:type="dxa"/>
            <w:tcBorders>
              <w:top w:val="dotted" w:sz="4" w:space="0" w:color="808080" w:themeColor="background1" w:themeShade="80"/>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79338127"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sidRPr="005060E0">
              <w:rPr>
                <w:rFonts w:cs="Arial"/>
                <w:i/>
                <w:sz w:val="15"/>
                <w:szCs w:val="15"/>
              </w:rPr>
              <w:t>1</w:t>
            </w:r>
          </w:p>
        </w:tc>
        <w:tc>
          <w:tcPr>
            <w:tcW w:w="850" w:type="dxa"/>
            <w:tcBorders>
              <w:top w:val="dotted" w:sz="4" w:space="0" w:color="808080" w:themeColor="background1" w:themeShade="80"/>
              <w:left w:val="dotted" w:sz="4" w:space="0" w:color="606072"/>
              <w:bottom w:val="dotted" w:sz="4" w:space="0" w:color="606072"/>
              <w:right w:val="dotted" w:sz="4" w:space="0" w:color="606072"/>
            </w:tcBorders>
            <w:shd w:val="clear" w:color="auto" w:fill="D5E5FF"/>
            <w:tcMar>
              <w:left w:w="28" w:type="dxa"/>
              <w:right w:w="28" w:type="dxa"/>
            </w:tcMar>
            <w:vAlign w:val="center"/>
          </w:tcPr>
          <w:p w14:paraId="47EEA6D6" w14:textId="4D9E0F64" w:rsidR="005F3F40" w:rsidRPr="005060E0" w:rsidRDefault="00E00FC4"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851" w:type="dxa"/>
            <w:tcBorders>
              <w:top w:val="dotted" w:sz="4" w:space="0" w:color="808080" w:themeColor="background1" w:themeShade="80"/>
              <w:left w:val="dotted" w:sz="4" w:space="0" w:color="606072"/>
              <w:bottom w:val="dotted" w:sz="4" w:space="0" w:color="606072"/>
              <w:right w:val="dotted" w:sz="4" w:space="0" w:color="606072"/>
            </w:tcBorders>
            <w:shd w:val="clear" w:color="auto" w:fill="D5E5FF"/>
            <w:tcMar>
              <w:left w:w="28" w:type="dxa"/>
              <w:right w:w="28" w:type="dxa"/>
            </w:tcMar>
            <w:vAlign w:val="center"/>
          </w:tcPr>
          <w:p w14:paraId="29832859" w14:textId="6BC16A07" w:rsidR="005F3F40" w:rsidRPr="005060E0" w:rsidRDefault="00E00FC4"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808080" w:themeColor="background1" w:themeShade="80"/>
              <w:left w:val="dotted" w:sz="4" w:space="0" w:color="606072"/>
              <w:bottom w:val="dotted" w:sz="4" w:space="0" w:color="606072"/>
              <w:right w:val="dotted" w:sz="4" w:space="0" w:color="606072"/>
            </w:tcBorders>
            <w:shd w:val="clear" w:color="auto" w:fill="D5E5FF"/>
            <w:tcMar>
              <w:left w:w="28" w:type="dxa"/>
              <w:right w:w="28" w:type="dxa"/>
            </w:tcMar>
            <w:vAlign w:val="center"/>
          </w:tcPr>
          <w:p w14:paraId="27AFB88C" w14:textId="004F90F7" w:rsidR="005F3F40" w:rsidRPr="005060E0" w:rsidRDefault="00E00FC4"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850" w:type="dxa"/>
            <w:tcBorders>
              <w:top w:val="dotted" w:sz="4" w:space="0" w:color="808080" w:themeColor="background1" w:themeShade="80"/>
              <w:left w:val="dotted" w:sz="4" w:space="0" w:color="606072"/>
              <w:bottom w:val="dotted" w:sz="4" w:space="0" w:color="606072"/>
              <w:right w:val="single" w:sz="4" w:space="0" w:color="606072"/>
            </w:tcBorders>
            <w:shd w:val="clear" w:color="auto" w:fill="D5E5FF"/>
            <w:tcMar>
              <w:left w:w="28" w:type="dxa"/>
              <w:right w:w="28" w:type="dxa"/>
            </w:tcMar>
            <w:vAlign w:val="center"/>
          </w:tcPr>
          <w:p w14:paraId="1B47A103" w14:textId="4B04B7AF" w:rsidR="005F3F40" w:rsidRPr="005060E0" w:rsidRDefault="00E00FC4"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1134" w:type="dxa"/>
            <w:tcBorders>
              <w:top w:val="dotted" w:sz="4" w:space="0" w:color="808080" w:themeColor="background1" w:themeShade="80"/>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25F8B4E0" w14:textId="2F4835AC" w:rsidR="005F3F40" w:rsidRPr="005060E0" w:rsidRDefault="00E00FC4"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Pr>
                <w:rFonts w:cs="Arial"/>
                <w:i/>
                <w:sz w:val="15"/>
                <w:szCs w:val="15"/>
              </w:rPr>
              <w:t>–</w:t>
            </w:r>
          </w:p>
        </w:tc>
        <w:tc>
          <w:tcPr>
            <w:tcW w:w="709" w:type="dxa"/>
            <w:tcBorders>
              <w:top w:val="dotted" w:sz="4" w:space="0" w:color="808080" w:themeColor="background1" w:themeShade="80"/>
              <w:left w:val="dotted" w:sz="4" w:space="0" w:color="606072"/>
              <w:bottom w:val="dotted" w:sz="4" w:space="0" w:color="606072"/>
              <w:right w:val="dotted" w:sz="4" w:space="0" w:color="606072"/>
            </w:tcBorders>
            <w:shd w:val="clear" w:color="auto" w:fill="D5E5FF"/>
            <w:vAlign w:val="center"/>
          </w:tcPr>
          <w:p w14:paraId="513FC579" w14:textId="28E5B62D" w:rsidR="005F3F40" w:rsidRPr="005060E0" w:rsidRDefault="00E00FC4"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567" w:type="dxa"/>
            <w:tcBorders>
              <w:top w:val="dotted" w:sz="4" w:space="0" w:color="808080" w:themeColor="background1" w:themeShade="80"/>
              <w:left w:val="dotted" w:sz="4" w:space="0" w:color="606072"/>
              <w:bottom w:val="dotted" w:sz="4" w:space="0" w:color="606072"/>
              <w:right w:val="dotted" w:sz="4" w:space="0" w:color="606072"/>
            </w:tcBorders>
            <w:shd w:val="clear" w:color="auto" w:fill="D5E5FF"/>
            <w:tcMar>
              <w:left w:w="28" w:type="dxa"/>
              <w:right w:w="28" w:type="dxa"/>
            </w:tcMar>
            <w:vAlign w:val="center"/>
          </w:tcPr>
          <w:p w14:paraId="16879378" w14:textId="574871D3" w:rsidR="005F3F40" w:rsidRPr="005060E0" w:rsidRDefault="00E00FC4"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808080" w:themeColor="background1" w:themeShade="80"/>
              <w:left w:val="dotted" w:sz="4" w:space="0" w:color="606072"/>
              <w:bottom w:val="dotted" w:sz="4" w:space="0" w:color="606072"/>
              <w:right w:val="dotted" w:sz="4" w:space="0" w:color="606072"/>
            </w:tcBorders>
            <w:shd w:val="clear" w:color="auto" w:fill="D5E5FF"/>
            <w:tcMar>
              <w:left w:w="28" w:type="dxa"/>
              <w:right w:w="28" w:type="dxa"/>
            </w:tcMar>
            <w:vAlign w:val="center"/>
          </w:tcPr>
          <w:p w14:paraId="6A311445" w14:textId="653A11E5" w:rsidR="005F3F40" w:rsidRPr="005060E0" w:rsidRDefault="00E00FC4"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8" w:type="dxa"/>
            <w:tcBorders>
              <w:top w:val="dotted" w:sz="4" w:space="0" w:color="808080" w:themeColor="background1" w:themeShade="80"/>
              <w:left w:val="dotted" w:sz="4" w:space="0" w:color="606072"/>
              <w:bottom w:val="dotted" w:sz="4" w:space="0" w:color="606072"/>
              <w:right w:val="single" w:sz="4" w:space="0" w:color="606072"/>
            </w:tcBorders>
            <w:shd w:val="clear" w:color="auto" w:fill="D5E5FF"/>
            <w:tcMar>
              <w:left w:w="28" w:type="dxa"/>
              <w:right w:w="28" w:type="dxa"/>
            </w:tcMar>
            <w:vAlign w:val="center"/>
          </w:tcPr>
          <w:p w14:paraId="77E38550" w14:textId="04A2B1FA" w:rsidR="005F3F40" w:rsidRPr="005060E0" w:rsidRDefault="00E00FC4"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r>
      <w:tr w:rsidR="001B3859" w:rsidRPr="005060E0" w14:paraId="0B14C957" w14:textId="77777777" w:rsidTr="001F63CF">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0201" w:type="dxa"/>
            <w:gridSpan w:val="13"/>
            <w:tcBorders>
              <w:top w:val="single" w:sz="4" w:space="0" w:color="606072"/>
              <w:left w:val="single" w:sz="4" w:space="0" w:color="606072"/>
              <w:right w:val="single" w:sz="4" w:space="0" w:color="606072"/>
            </w:tcBorders>
            <w:shd w:val="clear" w:color="auto" w:fill="BFBFBF" w:themeFill="background1" w:themeFillShade="BF"/>
            <w:tcMar>
              <w:left w:w="28" w:type="dxa"/>
              <w:right w:w="28" w:type="dxa"/>
            </w:tcMar>
            <w:vAlign w:val="center"/>
          </w:tcPr>
          <w:p w14:paraId="1F2289FF" w14:textId="5263EA64" w:rsidR="001B3859" w:rsidRPr="005060E0" w:rsidRDefault="001B3859" w:rsidP="001B3859">
            <w:pPr>
              <w:widowControl w:val="0"/>
              <w:spacing w:after="0" w:line="240" w:lineRule="auto"/>
              <w:rPr>
                <w:rFonts w:cs="Arial"/>
                <w:b w:val="0"/>
                <w:sz w:val="15"/>
                <w:szCs w:val="15"/>
              </w:rPr>
            </w:pPr>
            <w:r w:rsidRPr="005060E0">
              <w:rPr>
                <w:rFonts w:cs="Arial"/>
                <w:b w:val="0"/>
                <w:sz w:val="15"/>
                <w:szCs w:val="15"/>
              </w:rPr>
              <w:t>Total number of unique exceedance days</w:t>
            </w:r>
          </w:p>
        </w:tc>
      </w:tr>
      <w:tr w:rsidR="007F77AB" w:rsidRPr="005060E0" w14:paraId="0D9AFEB6" w14:textId="77777777" w:rsidTr="00812125">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606072"/>
              <w:left w:val="single" w:sz="4" w:space="0" w:color="606072"/>
              <w:right w:val="dotted" w:sz="4" w:space="0" w:color="606372" w:themeColor="text2"/>
            </w:tcBorders>
            <w:shd w:val="clear" w:color="auto" w:fill="DEDFE3" w:themeFill="text2" w:themeFillTint="33"/>
            <w:tcMar>
              <w:left w:w="28" w:type="dxa"/>
              <w:right w:w="28" w:type="dxa"/>
            </w:tcMar>
            <w:vAlign w:val="center"/>
          </w:tcPr>
          <w:p w14:paraId="7C0F3528" w14:textId="3252002E" w:rsidR="005F3F40" w:rsidRPr="005060E0" w:rsidRDefault="005F3F40" w:rsidP="005F3F40">
            <w:pPr>
              <w:widowControl w:val="0"/>
              <w:spacing w:after="0" w:line="240" w:lineRule="auto"/>
              <w:jc w:val="center"/>
              <w:rPr>
                <w:rFonts w:cs="Arial"/>
                <w:b w:val="0"/>
                <w:sz w:val="15"/>
                <w:szCs w:val="15"/>
              </w:rPr>
            </w:pPr>
            <w:r w:rsidRPr="005060E0">
              <w:rPr>
                <w:rFonts w:cs="Arial"/>
                <w:b w:val="0"/>
                <w:sz w:val="15"/>
                <w:szCs w:val="15"/>
              </w:rPr>
              <w:t xml:space="preserve">Rolling </w:t>
            </w:r>
            <w:r w:rsidR="00CD2F38">
              <w:rPr>
                <w:rFonts w:cs="Arial"/>
                <w:b w:val="0"/>
                <w:sz w:val="15"/>
                <w:szCs w:val="15"/>
              </w:rPr>
              <w:br/>
            </w:r>
            <w:r w:rsidRPr="005060E0">
              <w:rPr>
                <w:rFonts w:cs="Arial"/>
                <w:b w:val="0"/>
                <w:sz w:val="15"/>
                <w:szCs w:val="15"/>
              </w:rPr>
              <w:t>8-hour</w:t>
            </w:r>
          </w:p>
        </w:tc>
        <w:tc>
          <w:tcPr>
            <w:tcW w:w="850" w:type="dxa"/>
            <w:tcBorders>
              <w:top w:val="single" w:sz="4" w:space="0" w:color="606072"/>
              <w:left w:val="dotted" w:sz="4" w:space="0" w:color="606372" w:themeColor="text2"/>
              <w:bottom w:val="dotted" w:sz="4" w:space="0" w:color="808080" w:themeColor="background1" w:themeShade="80"/>
              <w:right w:val="single" w:sz="4" w:space="0" w:color="606072"/>
            </w:tcBorders>
            <w:shd w:val="clear" w:color="auto" w:fill="DEDFE3" w:themeFill="text2" w:themeFillTint="33"/>
            <w:tcMar>
              <w:left w:w="28" w:type="dxa"/>
              <w:right w:w="28" w:type="dxa"/>
            </w:tcMar>
            <w:vAlign w:val="center"/>
          </w:tcPr>
          <w:p w14:paraId="6E77407B"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47</w:t>
            </w:r>
          </w:p>
        </w:tc>
        <w:tc>
          <w:tcPr>
            <w:tcW w:w="567" w:type="dxa"/>
            <w:tcBorders>
              <w:top w:val="single" w:sz="4" w:space="0" w:color="606072"/>
              <w:left w:val="single" w:sz="4" w:space="0" w:color="606072"/>
              <w:bottom w:val="nil"/>
              <w:right w:val="single" w:sz="4" w:space="0" w:color="606072"/>
            </w:tcBorders>
            <w:tcMar>
              <w:left w:w="28" w:type="dxa"/>
              <w:right w:w="28" w:type="dxa"/>
            </w:tcMar>
            <w:vAlign w:val="center"/>
          </w:tcPr>
          <w:p w14:paraId="6FF19FBF"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851" w:type="dxa"/>
            <w:tcBorders>
              <w:top w:val="single" w:sz="4" w:space="0" w:color="606072"/>
              <w:left w:val="single" w:sz="4" w:space="0" w:color="606072"/>
              <w:bottom w:val="dotted" w:sz="4" w:space="0" w:color="808080" w:themeColor="background1" w:themeShade="80"/>
              <w:right w:val="dotted" w:sz="4" w:space="0" w:color="606072"/>
            </w:tcBorders>
            <w:shd w:val="clear" w:color="auto" w:fill="DEDFE3" w:themeFill="text2" w:themeFillTint="33"/>
            <w:tcMar>
              <w:left w:w="28" w:type="dxa"/>
              <w:right w:w="28" w:type="dxa"/>
            </w:tcMar>
            <w:vAlign w:val="center"/>
          </w:tcPr>
          <w:p w14:paraId="238A6656"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sidRPr="005060E0">
              <w:rPr>
                <w:rFonts w:cs="Arial"/>
                <w:i/>
                <w:sz w:val="15"/>
                <w:szCs w:val="15"/>
              </w:rPr>
              <w:t>11</w:t>
            </w:r>
          </w:p>
        </w:tc>
        <w:tc>
          <w:tcPr>
            <w:tcW w:w="850" w:type="dxa"/>
            <w:tcBorders>
              <w:top w:val="single" w:sz="4" w:space="0" w:color="606072"/>
              <w:left w:val="dotted" w:sz="4" w:space="0" w:color="606072"/>
              <w:bottom w:val="dotted" w:sz="4" w:space="0" w:color="808080" w:themeColor="background1" w:themeShade="80"/>
              <w:right w:val="dotted" w:sz="4" w:space="0" w:color="606072"/>
            </w:tcBorders>
            <w:tcMar>
              <w:left w:w="28" w:type="dxa"/>
              <w:right w:w="28" w:type="dxa"/>
            </w:tcMar>
            <w:vAlign w:val="center"/>
          </w:tcPr>
          <w:p w14:paraId="0F84C624" w14:textId="37A18D6D" w:rsidR="005F3F40" w:rsidRPr="005060E0" w:rsidRDefault="00812125"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6</w:t>
            </w:r>
          </w:p>
        </w:tc>
        <w:tc>
          <w:tcPr>
            <w:tcW w:w="851" w:type="dxa"/>
            <w:tcBorders>
              <w:top w:val="single" w:sz="4" w:space="0" w:color="606072"/>
              <w:left w:val="dotted" w:sz="4" w:space="0" w:color="606072"/>
              <w:bottom w:val="dotted" w:sz="4" w:space="0" w:color="808080" w:themeColor="background1" w:themeShade="80"/>
              <w:right w:val="dotted" w:sz="4" w:space="0" w:color="606072"/>
            </w:tcBorders>
            <w:shd w:val="clear" w:color="auto" w:fill="auto"/>
            <w:tcMar>
              <w:left w:w="28" w:type="dxa"/>
              <w:right w:w="28" w:type="dxa"/>
            </w:tcMar>
            <w:vAlign w:val="center"/>
          </w:tcPr>
          <w:p w14:paraId="73B1FED5" w14:textId="30E838CF" w:rsidR="005F3F40" w:rsidRPr="005060E0" w:rsidRDefault="00812125"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9</w:t>
            </w:r>
          </w:p>
        </w:tc>
        <w:tc>
          <w:tcPr>
            <w:tcW w:w="709" w:type="dxa"/>
            <w:tcBorders>
              <w:top w:val="single" w:sz="4" w:space="0" w:color="606072"/>
              <w:left w:val="dotted" w:sz="4" w:space="0" w:color="606072"/>
              <w:bottom w:val="dotted" w:sz="4" w:space="0" w:color="808080" w:themeColor="background1" w:themeShade="80"/>
              <w:right w:val="dotted" w:sz="4" w:space="0" w:color="606072"/>
            </w:tcBorders>
            <w:shd w:val="clear" w:color="auto" w:fill="auto"/>
            <w:tcMar>
              <w:left w:w="28" w:type="dxa"/>
              <w:right w:w="28" w:type="dxa"/>
            </w:tcMar>
            <w:vAlign w:val="center"/>
          </w:tcPr>
          <w:p w14:paraId="0E8A3495" w14:textId="51FDD986" w:rsidR="005F3F40" w:rsidRPr="005060E0" w:rsidRDefault="00812125"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6</w:t>
            </w:r>
          </w:p>
        </w:tc>
        <w:tc>
          <w:tcPr>
            <w:tcW w:w="850" w:type="dxa"/>
            <w:tcBorders>
              <w:top w:val="single" w:sz="4" w:space="0" w:color="606072"/>
              <w:left w:val="dotted" w:sz="4" w:space="0" w:color="606072"/>
              <w:bottom w:val="dotted" w:sz="4" w:space="0" w:color="808080" w:themeColor="background1" w:themeShade="80"/>
              <w:right w:val="single" w:sz="4" w:space="0" w:color="606072"/>
            </w:tcBorders>
            <w:shd w:val="clear" w:color="auto" w:fill="auto"/>
            <w:tcMar>
              <w:left w:w="28" w:type="dxa"/>
              <w:right w:w="28" w:type="dxa"/>
            </w:tcMar>
            <w:vAlign w:val="center"/>
          </w:tcPr>
          <w:p w14:paraId="670FEDB3" w14:textId="4A0BFDA2" w:rsidR="005F3F40" w:rsidRPr="005060E0" w:rsidRDefault="00812125"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9</w:t>
            </w:r>
          </w:p>
        </w:tc>
        <w:tc>
          <w:tcPr>
            <w:tcW w:w="1134" w:type="dxa"/>
            <w:tcBorders>
              <w:top w:val="single" w:sz="4" w:space="0" w:color="606072"/>
              <w:left w:val="single" w:sz="4" w:space="0" w:color="606072"/>
              <w:bottom w:val="dotted" w:sz="4" w:space="0" w:color="808080" w:themeColor="background1" w:themeShade="80"/>
              <w:right w:val="dotted" w:sz="4" w:space="0" w:color="606072"/>
            </w:tcBorders>
            <w:shd w:val="clear" w:color="auto" w:fill="DEDFE3" w:themeFill="text2" w:themeFillTint="33"/>
            <w:tcMar>
              <w:left w:w="28" w:type="dxa"/>
              <w:right w:w="28" w:type="dxa"/>
            </w:tcMar>
            <w:vAlign w:val="center"/>
          </w:tcPr>
          <w:p w14:paraId="691EE75B"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sidRPr="005060E0">
              <w:rPr>
                <w:rFonts w:eastAsia="Times New Roman" w:cs="Arial"/>
                <w:i/>
                <w:sz w:val="15"/>
                <w:szCs w:val="15"/>
                <w:lang w:eastAsia="en-AU"/>
              </w:rPr>
              <w:t>2</w:t>
            </w:r>
          </w:p>
        </w:tc>
        <w:tc>
          <w:tcPr>
            <w:tcW w:w="709" w:type="dxa"/>
            <w:tcBorders>
              <w:top w:val="single" w:sz="4" w:space="0" w:color="606072"/>
              <w:left w:val="dotted" w:sz="4" w:space="0" w:color="606072"/>
              <w:bottom w:val="dotted" w:sz="4" w:space="0" w:color="808080" w:themeColor="background1" w:themeShade="80"/>
              <w:right w:val="dotted" w:sz="4" w:space="0" w:color="606072"/>
            </w:tcBorders>
            <w:vAlign w:val="center"/>
          </w:tcPr>
          <w:p w14:paraId="619E8D83"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9</w:t>
            </w:r>
          </w:p>
        </w:tc>
        <w:tc>
          <w:tcPr>
            <w:tcW w:w="567" w:type="dxa"/>
            <w:tcBorders>
              <w:top w:val="single" w:sz="4" w:space="0" w:color="606072"/>
              <w:left w:val="dotted" w:sz="4" w:space="0" w:color="606072"/>
              <w:bottom w:val="dotted" w:sz="4" w:space="0" w:color="808080" w:themeColor="background1" w:themeShade="80"/>
              <w:right w:val="dotted" w:sz="4" w:space="0" w:color="606072"/>
            </w:tcBorders>
            <w:shd w:val="clear" w:color="auto" w:fill="auto"/>
            <w:tcMar>
              <w:left w:w="28" w:type="dxa"/>
              <w:right w:w="28" w:type="dxa"/>
            </w:tcMar>
            <w:vAlign w:val="center"/>
          </w:tcPr>
          <w:p w14:paraId="1AA7B34F"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9</w:t>
            </w:r>
          </w:p>
        </w:tc>
        <w:tc>
          <w:tcPr>
            <w:tcW w:w="709" w:type="dxa"/>
            <w:tcBorders>
              <w:top w:val="single" w:sz="4" w:space="0" w:color="606072"/>
              <w:left w:val="dotted" w:sz="4" w:space="0" w:color="606072"/>
              <w:bottom w:val="dotted" w:sz="4" w:space="0" w:color="808080" w:themeColor="background1" w:themeShade="80"/>
              <w:right w:val="dotted" w:sz="4" w:space="0" w:color="606072"/>
            </w:tcBorders>
            <w:shd w:val="clear" w:color="auto" w:fill="auto"/>
            <w:tcMar>
              <w:left w:w="28" w:type="dxa"/>
              <w:right w:w="28" w:type="dxa"/>
            </w:tcMar>
            <w:vAlign w:val="center"/>
          </w:tcPr>
          <w:p w14:paraId="2E969393"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9</w:t>
            </w:r>
          </w:p>
        </w:tc>
        <w:tc>
          <w:tcPr>
            <w:tcW w:w="708" w:type="dxa"/>
            <w:tcBorders>
              <w:top w:val="single" w:sz="4" w:space="0" w:color="606072"/>
              <w:left w:val="dotted" w:sz="4" w:space="0" w:color="606072"/>
              <w:bottom w:val="dotted" w:sz="4" w:space="0" w:color="808080" w:themeColor="background1" w:themeShade="80"/>
              <w:right w:val="single" w:sz="4" w:space="0" w:color="606072"/>
            </w:tcBorders>
            <w:shd w:val="clear" w:color="auto" w:fill="auto"/>
            <w:tcMar>
              <w:left w:w="28" w:type="dxa"/>
              <w:right w:w="28" w:type="dxa"/>
            </w:tcMar>
            <w:vAlign w:val="center"/>
          </w:tcPr>
          <w:p w14:paraId="61A838E1"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9</w:t>
            </w:r>
          </w:p>
        </w:tc>
      </w:tr>
      <w:tr w:rsidR="007F77AB" w:rsidRPr="005060E0" w14:paraId="19B439FD" w14:textId="77777777" w:rsidTr="00812125">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606072"/>
              <w:right w:val="dotted" w:sz="4" w:space="0" w:color="606372" w:themeColor="text2"/>
            </w:tcBorders>
            <w:shd w:val="clear" w:color="auto" w:fill="DEDFE3" w:themeFill="text2" w:themeFillTint="33"/>
            <w:tcMar>
              <w:left w:w="28" w:type="dxa"/>
              <w:right w:w="28" w:type="dxa"/>
            </w:tcMar>
            <w:vAlign w:val="center"/>
          </w:tcPr>
          <w:p w14:paraId="0E2A3FF9" w14:textId="77777777" w:rsidR="005F3F40" w:rsidRPr="005060E0" w:rsidRDefault="005F3F40" w:rsidP="005F3F40">
            <w:pPr>
              <w:widowControl w:val="0"/>
              <w:spacing w:after="0" w:line="240" w:lineRule="auto"/>
              <w:jc w:val="center"/>
              <w:rPr>
                <w:rFonts w:cs="Arial"/>
                <w:b w:val="0"/>
                <w:sz w:val="15"/>
                <w:szCs w:val="15"/>
              </w:rPr>
            </w:pPr>
          </w:p>
        </w:tc>
        <w:tc>
          <w:tcPr>
            <w:tcW w:w="850" w:type="dxa"/>
            <w:tcBorders>
              <w:top w:val="dotted" w:sz="4" w:space="0" w:color="808080" w:themeColor="background1" w:themeShade="80"/>
              <w:left w:val="dotted" w:sz="4" w:space="0" w:color="606372" w:themeColor="text2"/>
              <w:bottom w:val="dotted" w:sz="4" w:space="0" w:color="606072"/>
              <w:right w:val="single" w:sz="4" w:space="0" w:color="606072"/>
            </w:tcBorders>
            <w:shd w:val="clear" w:color="auto" w:fill="DEDFE3" w:themeFill="text2" w:themeFillTint="33"/>
            <w:tcMar>
              <w:left w:w="28" w:type="dxa"/>
              <w:right w:w="28" w:type="dxa"/>
            </w:tcMar>
            <w:vAlign w:val="center"/>
          </w:tcPr>
          <w:p w14:paraId="05E4DB3F" w14:textId="77777777" w:rsidR="005F3F40" w:rsidRPr="005060E0" w:rsidRDefault="005F3F40"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55</w:t>
            </w:r>
          </w:p>
        </w:tc>
        <w:tc>
          <w:tcPr>
            <w:tcW w:w="567" w:type="dxa"/>
            <w:tcBorders>
              <w:top w:val="nil"/>
              <w:left w:val="single" w:sz="4" w:space="0" w:color="606072"/>
              <w:bottom w:val="nil"/>
              <w:right w:val="single" w:sz="4" w:space="0" w:color="606072"/>
            </w:tcBorders>
            <w:tcMar>
              <w:left w:w="28" w:type="dxa"/>
              <w:right w:w="28" w:type="dxa"/>
            </w:tcMar>
            <w:vAlign w:val="center"/>
          </w:tcPr>
          <w:p w14:paraId="37BBC4AC" w14:textId="77777777" w:rsidR="005F3F40" w:rsidRPr="005060E0" w:rsidRDefault="005F3F40"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p>
        </w:tc>
        <w:tc>
          <w:tcPr>
            <w:tcW w:w="851" w:type="dxa"/>
            <w:tcBorders>
              <w:top w:val="dotted" w:sz="4" w:space="0" w:color="808080" w:themeColor="background1" w:themeShade="80"/>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3974CA95" w14:textId="77777777" w:rsidR="005F3F40" w:rsidRPr="005060E0" w:rsidRDefault="005F3F40"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sidRPr="005060E0">
              <w:rPr>
                <w:rFonts w:cs="Arial"/>
                <w:i/>
                <w:sz w:val="15"/>
                <w:szCs w:val="15"/>
              </w:rPr>
              <w:t>4</w:t>
            </w:r>
          </w:p>
        </w:tc>
        <w:tc>
          <w:tcPr>
            <w:tcW w:w="850" w:type="dxa"/>
            <w:tcBorders>
              <w:top w:val="dotted" w:sz="4" w:space="0" w:color="808080" w:themeColor="background1" w:themeShade="80"/>
              <w:left w:val="dotted" w:sz="4" w:space="0" w:color="606072"/>
              <w:bottom w:val="dotted" w:sz="4" w:space="0" w:color="606072"/>
              <w:right w:val="dotted" w:sz="4" w:space="0" w:color="606072"/>
            </w:tcBorders>
            <w:tcMar>
              <w:left w:w="28" w:type="dxa"/>
              <w:right w:w="28" w:type="dxa"/>
            </w:tcMar>
            <w:vAlign w:val="center"/>
          </w:tcPr>
          <w:p w14:paraId="508C96A3" w14:textId="269640A7" w:rsidR="005F3F40" w:rsidRPr="005060E0" w:rsidRDefault="00812125"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3</w:t>
            </w:r>
          </w:p>
        </w:tc>
        <w:tc>
          <w:tcPr>
            <w:tcW w:w="851" w:type="dxa"/>
            <w:tcBorders>
              <w:top w:val="dotted" w:sz="4" w:space="0" w:color="808080" w:themeColor="background1" w:themeShade="80"/>
              <w:left w:val="dotted" w:sz="4" w:space="0" w:color="606072"/>
              <w:bottom w:val="dotted" w:sz="4" w:space="0" w:color="606072"/>
              <w:right w:val="dotted" w:sz="4" w:space="0" w:color="606072"/>
            </w:tcBorders>
            <w:shd w:val="clear" w:color="auto" w:fill="auto"/>
            <w:tcMar>
              <w:left w:w="28" w:type="dxa"/>
              <w:right w:w="28" w:type="dxa"/>
            </w:tcMar>
            <w:vAlign w:val="center"/>
          </w:tcPr>
          <w:p w14:paraId="3C7BC342" w14:textId="5A5AC6FA" w:rsidR="005F3F40" w:rsidRPr="005060E0" w:rsidRDefault="00812125"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3</w:t>
            </w:r>
          </w:p>
        </w:tc>
        <w:tc>
          <w:tcPr>
            <w:tcW w:w="709" w:type="dxa"/>
            <w:tcBorders>
              <w:top w:val="dotted" w:sz="4" w:space="0" w:color="808080" w:themeColor="background1" w:themeShade="80"/>
              <w:left w:val="dotted" w:sz="4" w:space="0" w:color="606072"/>
              <w:bottom w:val="dotted" w:sz="4" w:space="0" w:color="606072"/>
              <w:right w:val="dotted" w:sz="4" w:space="0" w:color="606072"/>
            </w:tcBorders>
            <w:shd w:val="clear" w:color="auto" w:fill="auto"/>
            <w:tcMar>
              <w:left w:w="28" w:type="dxa"/>
              <w:right w:w="28" w:type="dxa"/>
            </w:tcMar>
            <w:vAlign w:val="center"/>
          </w:tcPr>
          <w:p w14:paraId="72FE7EDC" w14:textId="61F55F95" w:rsidR="005F3F40" w:rsidRPr="005060E0" w:rsidRDefault="00812125"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3</w:t>
            </w:r>
          </w:p>
        </w:tc>
        <w:tc>
          <w:tcPr>
            <w:tcW w:w="850" w:type="dxa"/>
            <w:tcBorders>
              <w:top w:val="dotted" w:sz="4" w:space="0" w:color="808080" w:themeColor="background1" w:themeShade="80"/>
              <w:left w:val="dotted" w:sz="4" w:space="0" w:color="606072"/>
              <w:bottom w:val="dotted" w:sz="4" w:space="0" w:color="606072"/>
              <w:right w:val="single" w:sz="4" w:space="0" w:color="606072"/>
            </w:tcBorders>
            <w:shd w:val="clear" w:color="auto" w:fill="auto"/>
            <w:tcMar>
              <w:left w:w="28" w:type="dxa"/>
              <w:right w:w="28" w:type="dxa"/>
            </w:tcMar>
            <w:vAlign w:val="center"/>
          </w:tcPr>
          <w:p w14:paraId="2855AD7E" w14:textId="606ABFD3" w:rsidR="005F3F40" w:rsidRPr="005060E0" w:rsidRDefault="00812125"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3</w:t>
            </w:r>
          </w:p>
        </w:tc>
        <w:tc>
          <w:tcPr>
            <w:tcW w:w="1134" w:type="dxa"/>
            <w:tcBorders>
              <w:top w:val="dotted" w:sz="4" w:space="0" w:color="808080" w:themeColor="background1" w:themeShade="80"/>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79ED8014" w14:textId="3EFFE462" w:rsidR="005F3F40" w:rsidRPr="005060E0" w:rsidRDefault="00E00FC4"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Pr>
                <w:rFonts w:cs="Arial"/>
                <w:i/>
                <w:sz w:val="15"/>
                <w:szCs w:val="15"/>
              </w:rPr>
              <w:t>–</w:t>
            </w:r>
          </w:p>
        </w:tc>
        <w:tc>
          <w:tcPr>
            <w:tcW w:w="709" w:type="dxa"/>
            <w:tcBorders>
              <w:top w:val="dotted" w:sz="4" w:space="0" w:color="808080" w:themeColor="background1" w:themeShade="80"/>
              <w:left w:val="dotted" w:sz="4" w:space="0" w:color="606072"/>
              <w:bottom w:val="dotted" w:sz="4" w:space="0" w:color="606072"/>
              <w:right w:val="dotted" w:sz="4" w:space="0" w:color="606072"/>
            </w:tcBorders>
            <w:vAlign w:val="center"/>
          </w:tcPr>
          <w:p w14:paraId="27578025" w14:textId="77777777" w:rsidR="005F3F40" w:rsidRPr="005060E0" w:rsidRDefault="005F3F40"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3</w:t>
            </w:r>
          </w:p>
        </w:tc>
        <w:tc>
          <w:tcPr>
            <w:tcW w:w="567" w:type="dxa"/>
            <w:tcBorders>
              <w:top w:val="dotted" w:sz="4" w:space="0" w:color="808080" w:themeColor="background1" w:themeShade="80"/>
              <w:left w:val="dotted" w:sz="4" w:space="0" w:color="606072"/>
              <w:bottom w:val="dotted" w:sz="4" w:space="0" w:color="606072"/>
              <w:right w:val="dotted" w:sz="4" w:space="0" w:color="606072"/>
            </w:tcBorders>
            <w:shd w:val="clear" w:color="auto" w:fill="auto"/>
            <w:tcMar>
              <w:left w:w="28" w:type="dxa"/>
              <w:right w:w="28" w:type="dxa"/>
            </w:tcMar>
            <w:vAlign w:val="center"/>
          </w:tcPr>
          <w:p w14:paraId="62DBCF1A" w14:textId="77777777" w:rsidR="005F3F40" w:rsidRPr="005060E0" w:rsidRDefault="005F3F40"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3</w:t>
            </w:r>
          </w:p>
        </w:tc>
        <w:tc>
          <w:tcPr>
            <w:tcW w:w="709" w:type="dxa"/>
            <w:tcBorders>
              <w:top w:val="dotted" w:sz="4" w:space="0" w:color="808080" w:themeColor="background1" w:themeShade="80"/>
              <w:left w:val="dotted" w:sz="4" w:space="0" w:color="606072"/>
              <w:bottom w:val="dotted" w:sz="4" w:space="0" w:color="606072"/>
              <w:right w:val="dotted" w:sz="4" w:space="0" w:color="606072"/>
            </w:tcBorders>
            <w:shd w:val="clear" w:color="auto" w:fill="auto"/>
            <w:tcMar>
              <w:left w:w="28" w:type="dxa"/>
              <w:right w:w="28" w:type="dxa"/>
            </w:tcMar>
            <w:vAlign w:val="center"/>
          </w:tcPr>
          <w:p w14:paraId="25A4F31C" w14:textId="77777777" w:rsidR="005F3F40" w:rsidRPr="005060E0" w:rsidRDefault="005F3F40"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3</w:t>
            </w:r>
          </w:p>
        </w:tc>
        <w:tc>
          <w:tcPr>
            <w:tcW w:w="708" w:type="dxa"/>
            <w:tcBorders>
              <w:top w:val="dotted" w:sz="4" w:space="0" w:color="808080" w:themeColor="background1" w:themeShade="80"/>
              <w:left w:val="dotted" w:sz="4" w:space="0" w:color="606072"/>
              <w:bottom w:val="dotted" w:sz="4" w:space="0" w:color="606072"/>
              <w:right w:val="single" w:sz="4" w:space="0" w:color="606072"/>
            </w:tcBorders>
            <w:shd w:val="clear" w:color="auto" w:fill="auto"/>
            <w:tcMar>
              <w:left w:w="28" w:type="dxa"/>
              <w:right w:w="28" w:type="dxa"/>
            </w:tcMar>
            <w:vAlign w:val="center"/>
          </w:tcPr>
          <w:p w14:paraId="440F4AC5" w14:textId="77777777" w:rsidR="005F3F40" w:rsidRPr="005060E0" w:rsidRDefault="005F3F40"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3</w:t>
            </w:r>
          </w:p>
        </w:tc>
      </w:tr>
      <w:tr w:rsidR="007F77AB" w:rsidRPr="005060E0" w14:paraId="226E38D0" w14:textId="77777777" w:rsidTr="001F63CF">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606072"/>
              <w:right w:val="dotted" w:sz="4" w:space="0" w:color="606372" w:themeColor="text2"/>
            </w:tcBorders>
            <w:shd w:val="clear" w:color="auto" w:fill="DEDFE3" w:themeFill="text2" w:themeFillTint="33"/>
            <w:tcMar>
              <w:left w:w="28" w:type="dxa"/>
              <w:right w:w="28" w:type="dxa"/>
            </w:tcMar>
            <w:vAlign w:val="center"/>
          </w:tcPr>
          <w:p w14:paraId="32217142" w14:textId="77777777" w:rsidR="005F3F40" w:rsidRPr="005060E0" w:rsidRDefault="005F3F40" w:rsidP="005F3F40">
            <w:pPr>
              <w:widowControl w:val="0"/>
              <w:spacing w:after="0" w:line="240" w:lineRule="auto"/>
              <w:jc w:val="center"/>
              <w:rPr>
                <w:rFonts w:cs="Arial"/>
                <w:b w:val="0"/>
                <w:sz w:val="15"/>
                <w:szCs w:val="15"/>
              </w:rPr>
            </w:pPr>
          </w:p>
        </w:tc>
        <w:tc>
          <w:tcPr>
            <w:tcW w:w="850" w:type="dxa"/>
            <w:tcBorders>
              <w:top w:val="dotted" w:sz="4" w:space="0" w:color="606072"/>
              <w:left w:val="dotted" w:sz="4" w:space="0" w:color="606372" w:themeColor="text2"/>
              <w:bottom w:val="dotted" w:sz="4" w:space="0" w:color="606072"/>
              <w:right w:val="single" w:sz="4" w:space="0" w:color="606072"/>
            </w:tcBorders>
            <w:shd w:val="clear" w:color="auto" w:fill="DEDFE3" w:themeFill="text2" w:themeFillTint="33"/>
            <w:tcMar>
              <w:left w:w="28" w:type="dxa"/>
              <w:right w:w="28" w:type="dxa"/>
            </w:tcMar>
            <w:vAlign w:val="center"/>
          </w:tcPr>
          <w:p w14:paraId="4802BC5B"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60</w:t>
            </w:r>
          </w:p>
        </w:tc>
        <w:tc>
          <w:tcPr>
            <w:tcW w:w="567" w:type="dxa"/>
            <w:tcBorders>
              <w:top w:val="nil"/>
              <w:left w:val="single" w:sz="4" w:space="0" w:color="606072"/>
              <w:bottom w:val="nil"/>
              <w:right w:val="single" w:sz="4" w:space="0" w:color="606072"/>
            </w:tcBorders>
            <w:tcMar>
              <w:left w:w="28" w:type="dxa"/>
              <w:right w:w="28" w:type="dxa"/>
            </w:tcMar>
            <w:vAlign w:val="center"/>
          </w:tcPr>
          <w:p w14:paraId="2C00BE8F"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p>
        </w:tc>
        <w:tc>
          <w:tcPr>
            <w:tcW w:w="851" w:type="dxa"/>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339B4313" w14:textId="77777777" w:rsidR="005F3F40" w:rsidRPr="005060E0" w:rsidRDefault="005F3F40"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sidRPr="005060E0">
              <w:rPr>
                <w:rFonts w:cs="Arial"/>
                <w:i/>
                <w:sz w:val="15"/>
                <w:szCs w:val="15"/>
              </w:rPr>
              <w:t>3</w:t>
            </w:r>
          </w:p>
        </w:tc>
        <w:tc>
          <w:tcPr>
            <w:tcW w:w="850" w:type="dxa"/>
            <w:tcBorders>
              <w:top w:val="dotted" w:sz="4" w:space="0" w:color="606072"/>
              <w:left w:val="dotted" w:sz="4" w:space="0" w:color="606072"/>
              <w:bottom w:val="dotted" w:sz="4" w:space="0" w:color="606072"/>
              <w:right w:val="dotted" w:sz="4" w:space="0" w:color="606072"/>
            </w:tcBorders>
            <w:tcMar>
              <w:left w:w="28" w:type="dxa"/>
              <w:right w:w="28" w:type="dxa"/>
            </w:tcMar>
            <w:vAlign w:val="center"/>
          </w:tcPr>
          <w:p w14:paraId="6669028C" w14:textId="0BACDA5A" w:rsidR="005F3F40" w:rsidRPr="005060E0" w:rsidRDefault="00812125"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3</w:t>
            </w:r>
          </w:p>
        </w:tc>
        <w:tc>
          <w:tcPr>
            <w:tcW w:w="851"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65939C1C" w14:textId="0953827C" w:rsidR="005F3F40" w:rsidRPr="005060E0" w:rsidRDefault="00E00FC4"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6AD8C38C" w14:textId="1196A1E8" w:rsidR="005F3F40" w:rsidRPr="005060E0" w:rsidRDefault="00E00FC4"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850" w:type="dxa"/>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18D2C8D9" w14:textId="2BCBB5C9" w:rsidR="005F3F40" w:rsidRPr="005060E0" w:rsidRDefault="00E00FC4"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w:t>
            </w:r>
          </w:p>
        </w:tc>
        <w:tc>
          <w:tcPr>
            <w:tcW w:w="1134" w:type="dxa"/>
            <w:tcBorders>
              <w:top w:val="dotted" w:sz="4" w:space="0" w:color="606072"/>
              <w:left w:val="single" w:sz="4" w:space="0" w:color="606072"/>
              <w:bottom w:val="dotted" w:sz="4" w:space="0" w:color="606072"/>
              <w:right w:val="dotted" w:sz="4" w:space="0" w:color="606072"/>
            </w:tcBorders>
            <w:shd w:val="clear" w:color="auto" w:fill="DEDFE3" w:themeFill="text2" w:themeFillTint="33"/>
            <w:tcMar>
              <w:left w:w="28" w:type="dxa"/>
              <w:right w:w="28" w:type="dxa"/>
            </w:tcMar>
            <w:vAlign w:val="center"/>
          </w:tcPr>
          <w:p w14:paraId="696FF164" w14:textId="2BA5102F" w:rsidR="005F3F40" w:rsidRPr="005060E0" w:rsidRDefault="00E00FC4"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sz w:val="15"/>
                <w:szCs w:val="15"/>
              </w:rPr>
            </w:pPr>
            <w:r>
              <w:rPr>
                <w:rFonts w:cs="Arial"/>
                <w:i/>
                <w:sz w:val="15"/>
                <w:szCs w:val="15"/>
              </w:rPr>
              <w:t>–</w:t>
            </w:r>
          </w:p>
        </w:tc>
        <w:tc>
          <w:tcPr>
            <w:tcW w:w="709" w:type="dxa"/>
            <w:tcBorders>
              <w:top w:val="dotted" w:sz="4" w:space="0" w:color="606072"/>
              <w:left w:val="dotted" w:sz="4" w:space="0" w:color="606072"/>
              <w:bottom w:val="dotted" w:sz="4" w:space="0" w:color="606072"/>
              <w:right w:val="dotted" w:sz="4" w:space="0" w:color="606072"/>
            </w:tcBorders>
            <w:vAlign w:val="center"/>
          </w:tcPr>
          <w:p w14:paraId="068C6AE3" w14:textId="4000AE65" w:rsidR="005F3F40" w:rsidRPr="005060E0" w:rsidRDefault="00812125"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3</w:t>
            </w:r>
          </w:p>
        </w:tc>
        <w:tc>
          <w:tcPr>
            <w:tcW w:w="567"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53ED4CF9" w14:textId="3D2E490D" w:rsidR="005F3F40" w:rsidRPr="005060E0" w:rsidRDefault="00812125"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3</w:t>
            </w:r>
          </w:p>
        </w:tc>
        <w:tc>
          <w:tcPr>
            <w:tcW w:w="709" w:type="dxa"/>
            <w:tcBorders>
              <w:top w:val="dotted" w:sz="4" w:space="0" w:color="606072"/>
              <w:left w:val="dotted" w:sz="4" w:space="0" w:color="606072"/>
              <w:bottom w:val="dotted" w:sz="4" w:space="0" w:color="606072"/>
              <w:right w:val="dotted" w:sz="4" w:space="0" w:color="606072"/>
            </w:tcBorders>
            <w:shd w:val="clear" w:color="auto" w:fill="auto"/>
            <w:tcMar>
              <w:left w:w="28" w:type="dxa"/>
              <w:right w:w="28" w:type="dxa"/>
            </w:tcMar>
            <w:vAlign w:val="center"/>
          </w:tcPr>
          <w:p w14:paraId="51AEC360" w14:textId="34F29318" w:rsidR="005F3F40" w:rsidRPr="005060E0" w:rsidRDefault="00812125"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3</w:t>
            </w:r>
          </w:p>
        </w:tc>
        <w:tc>
          <w:tcPr>
            <w:tcW w:w="708" w:type="dxa"/>
            <w:tcBorders>
              <w:top w:val="dotted" w:sz="4" w:space="0" w:color="606072"/>
              <w:left w:val="dotted" w:sz="4" w:space="0" w:color="606072"/>
              <w:bottom w:val="dotted" w:sz="4" w:space="0" w:color="606072"/>
              <w:right w:val="single" w:sz="4" w:space="0" w:color="606072"/>
            </w:tcBorders>
            <w:shd w:val="clear" w:color="auto" w:fill="auto"/>
            <w:tcMar>
              <w:left w:w="28" w:type="dxa"/>
              <w:right w:w="28" w:type="dxa"/>
            </w:tcMar>
            <w:vAlign w:val="center"/>
          </w:tcPr>
          <w:p w14:paraId="388A0853" w14:textId="25066D11" w:rsidR="005F3F40" w:rsidRPr="005060E0" w:rsidRDefault="00812125" w:rsidP="005F3F4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sidRPr="005060E0">
              <w:rPr>
                <w:rFonts w:cs="Arial"/>
                <w:sz w:val="15"/>
                <w:szCs w:val="15"/>
              </w:rPr>
              <w:t>3</w:t>
            </w:r>
          </w:p>
        </w:tc>
      </w:tr>
      <w:tr w:rsidR="007F77AB" w:rsidRPr="005060E0" w14:paraId="6EE82821" w14:textId="77777777" w:rsidTr="001F63CF">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606072"/>
              <w:bottom w:val="single" w:sz="4" w:space="0" w:color="606072"/>
              <w:right w:val="dotted" w:sz="4" w:space="0" w:color="606372" w:themeColor="text2"/>
            </w:tcBorders>
            <w:shd w:val="clear" w:color="auto" w:fill="DEDFE3" w:themeFill="text2" w:themeFillTint="33"/>
            <w:tcMar>
              <w:left w:w="28" w:type="dxa"/>
              <w:right w:w="28" w:type="dxa"/>
            </w:tcMar>
            <w:vAlign w:val="center"/>
          </w:tcPr>
          <w:p w14:paraId="7986432C" w14:textId="77777777" w:rsidR="005F3F40" w:rsidRPr="005060E0" w:rsidRDefault="005F3F40" w:rsidP="005F3F40">
            <w:pPr>
              <w:widowControl w:val="0"/>
              <w:spacing w:after="0" w:line="240" w:lineRule="auto"/>
              <w:jc w:val="center"/>
              <w:rPr>
                <w:rFonts w:cs="Arial"/>
                <w:sz w:val="15"/>
                <w:szCs w:val="15"/>
              </w:rPr>
            </w:pPr>
          </w:p>
        </w:tc>
        <w:tc>
          <w:tcPr>
            <w:tcW w:w="850" w:type="dxa"/>
            <w:tcBorders>
              <w:top w:val="dotted" w:sz="4" w:space="0" w:color="606072"/>
              <w:left w:val="dotted" w:sz="4" w:space="0" w:color="606372" w:themeColor="text2"/>
              <w:bottom w:val="single" w:sz="4" w:space="0" w:color="606072"/>
              <w:right w:val="single" w:sz="4" w:space="0" w:color="606072"/>
            </w:tcBorders>
            <w:shd w:val="clear" w:color="auto" w:fill="DEDFE3" w:themeFill="text2" w:themeFillTint="33"/>
            <w:tcMar>
              <w:left w:w="28" w:type="dxa"/>
              <w:right w:w="28" w:type="dxa"/>
            </w:tcMar>
            <w:vAlign w:val="center"/>
          </w:tcPr>
          <w:p w14:paraId="2ECBF75B" w14:textId="77777777" w:rsidR="005F3F40" w:rsidRPr="005060E0" w:rsidRDefault="005F3F40"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sidRPr="005060E0">
              <w:rPr>
                <w:rFonts w:cs="Arial"/>
                <w:sz w:val="15"/>
                <w:szCs w:val="15"/>
              </w:rPr>
              <w:t>70</w:t>
            </w:r>
          </w:p>
        </w:tc>
        <w:tc>
          <w:tcPr>
            <w:tcW w:w="567" w:type="dxa"/>
            <w:tcBorders>
              <w:top w:val="nil"/>
              <w:left w:val="single" w:sz="4" w:space="0" w:color="606072"/>
              <w:bottom w:val="single" w:sz="4" w:space="0" w:color="606072"/>
              <w:right w:val="single" w:sz="4" w:space="0" w:color="606072"/>
            </w:tcBorders>
            <w:tcMar>
              <w:left w:w="28" w:type="dxa"/>
              <w:right w:w="28" w:type="dxa"/>
            </w:tcMar>
            <w:vAlign w:val="center"/>
          </w:tcPr>
          <w:p w14:paraId="61DD2803" w14:textId="77777777" w:rsidR="005F3F40" w:rsidRPr="005060E0" w:rsidRDefault="005F3F40"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p>
        </w:tc>
        <w:tc>
          <w:tcPr>
            <w:tcW w:w="851" w:type="dxa"/>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7C54DFA4" w14:textId="77777777" w:rsidR="005F3F40" w:rsidRPr="005060E0" w:rsidRDefault="005F3F40"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sidRPr="005060E0">
              <w:rPr>
                <w:rFonts w:cs="Arial"/>
                <w:i/>
                <w:sz w:val="15"/>
                <w:szCs w:val="15"/>
              </w:rPr>
              <w:t>1</w:t>
            </w:r>
          </w:p>
        </w:tc>
        <w:tc>
          <w:tcPr>
            <w:tcW w:w="850" w:type="dxa"/>
            <w:tcBorders>
              <w:top w:val="dotted" w:sz="4" w:space="0" w:color="606072"/>
              <w:left w:val="dotted" w:sz="4" w:space="0" w:color="606072"/>
              <w:bottom w:val="single" w:sz="4" w:space="0" w:color="606072"/>
              <w:right w:val="dotted" w:sz="4" w:space="0" w:color="606072"/>
            </w:tcBorders>
            <w:tcMar>
              <w:left w:w="28" w:type="dxa"/>
              <w:right w:w="28" w:type="dxa"/>
            </w:tcMar>
            <w:vAlign w:val="center"/>
          </w:tcPr>
          <w:p w14:paraId="5F148DA3" w14:textId="745B2151" w:rsidR="005F3F40" w:rsidRPr="005060E0" w:rsidRDefault="00E00FC4"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1" w:type="dxa"/>
            <w:tcBorders>
              <w:top w:val="dotted" w:sz="4" w:space="0" w:color="606072"/>
              <w:left w:val="dotted" w:sz="4" w:space="0" w:color="606072"/>
              <w:bottom w:val="single" w:sz="4" w:space="0" w:color="606072"/>
              <w:right w:val="dotted" w:sz="4" w:space="0" w:color="606072"/>
            </w:tcBorders>
            <w:shd w:val="clear" w:color="auto" w:fill="auto"/>
            <w:tcMar>
              <w:left w:w="28" w:type="dxa"/>
              <w:right w:w="28" w:type="dxa"/>
            </w:tcMar>
            <w:vAlign w:val="center"/>
          </w:tcPr>
          <w:p w14:paraId="328A982F" w14:textId="710F0A79" w:rsidR="005F3F40" w:rsidRPr="005060E0" w:rsidRDefault="00E00FC4"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single" w:sz="4" w:space="0" w:color="606072"/>
              <w:right w:val="dotted" w:sz="4" w:space="0" w:color="606072"/>
            </w:tcBorders>
            <w:shd w:val="clear" w:color="auto" w:fill="auto"/>
            <w:tcMar>
              <w:left w:w="28" w:type="dxa"/>
              <w:right w:w="28" w:type="dxa"/>
            </w:tcMar>
            <w:vAlign w:val="center"/>
          </w:tcPr>
          <w:p w14:paraId="09FD011E" w14:textId="6809DCF3" w:rsidR="005F3F40" w:rsidRPr="005060E0" w:rsidRDefault="00E00FC4"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850" w:type="dxa"/>
            <w:tcBorders>
              <w:top w:val="dotted" w:sz="4" w:space="0" w:color="606072"/>
              <w:left w:val="dotted" w:sz="4" w:space="0" w:color="606072"/>
              <w:bottom w:val="single" w:sz="4" w:space="0" w:color="606072"/>
              <w:right w:val="single" w:sz="4" w:space="0" w:color="606072"/>
            </w:tcBorders>
            <w:shd w:val="clear" w:color="auto" w:fill="auto"/>
            <w:tcMar>
              <w:left w:w="28" w:type="dxa"/>
              <w:right w:w="28" w:type="dxa"/>
            </w:tcMar>
            <w:vAlign w:val="center"/>
          </w:tcPr>
          <w:p w14:paraId="4A209EA9" w14:textId="6A15BF97" w:rsidR="005F3F40" w:rsidRPr="005060E0" w:rsidRDefault="00E00FC4"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1134" w:type="dxa"/>
            <w:tcBorders>
              <w:top w:val="dotted" w:sz="4" w:space="0" w:color="606072"/>
              <w:left w:val="single" w:sz="4" w:space="0" w:color="606072"/>
              <w:bottom w:val="single" w:sz="4" w:space="0" w:color="606072"/>
              <w:right w:val="dotted" w:sz="4" w:space="0" w:color="606072"/>
            </w:tcBorders>
            <w:shd w:val="clear" w:color="auto" w:fill="DEDFE3" w:themeFill="text2" w:themeFillTint="33"/>
            <w:tcMar>
              <w:left w:w="28" w:type="dxa"/>
              <w:right w:w="28" w:type="dxa"/>
            </w:tcMar>
            <w:vAlign w:val="center"/>
          </w:tcPr>
          <w:p w14:paraId="60738D2A" w14:textId="18A97FE5" w:rsidR="005F3F40" w:rsidRPr="005060E0" w:rsidRDefault="00E00FC4"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i/>
                <w:sz w:val="15"/>
                <w:szCs w:val="15"/>
              </w:rPr>
            </w:pPr>
            <w:r>
              <w:rPr>
                <w:rFonts w:cs="Arial"/>
                <w:i/>
                <w:sz w:val="15"/>
                <w:szCs w:val="15"/>
              </w:rPr>
              <w:t>–</w:t>
            </w:r>
          </w:p>
        </w:tc>
        <w:tc>
          <w:tcPr>
            <w:tcW w:w="709" w:type="dxa"/>
            <w:tcBorders>
              <w:top w:val="dotted" w:sz="4" w:space="0" w:color="606072"/>
              <w:left w:val="dotted" w:sz="4" w:space="0" w:color="606072"/>
              <w:bottom w:val="single" w:sz="4" w:space="0" w:color="606072"/>
              <w:right w:val="dotted" w:sz="4" w:space="0" w:color="606072"/>
            </w:tcBorders>
            <w:vAlign w:val="center"/>
          </w:tcPr>
          <w:p w14:paraId="4BFB60F2" w14:textId="37F52DEC" w:rsidR="005F3F40" w:rsidRPr="005060E0" w:rsidRDefault="00E00FC4"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567" w:type="dxa"/>
            <w:tcBorders>
              <w:top w:val="dotted" w:sz="4" w:space="0" w:color="606072"/>
              <w:left w:val="dotted" w:sz="4" w:space="0" w:color="606072"/>
              <w:bottom w:val="single" w:sz="4" w:space="0" w:color="606072"/>
              <w:right w:val="dotted" w:sz="4" w:space="0" w:color="606072"/>
            </w:tcBorders>
            <w:shd w:val="clear" w:color="auto" w:fill="auto"/>
            <w:tcMar>
              <w:left w:w="28" w:type="dxa"/>
              <w:right w:w="28" w:type="dxa"/>
            </w:tcMar>
            <w:vAlign w:val="center"/>
          </w:tcPr>
          <w:p w14:paraId="05C2F1D8" w14:textId="2670A143" w:rsidR="005F3F40" w:rsidRPr="005060E0" w:rsidRDefault="00E00FC4"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9" w:type="dxa"/>
            <w:tcBorders>
              <w:top w:val="dotted" w:sz="4" w:space="0" w:color="606072"/>
              <w:left w:val="dotted" w:sz="4" w:space="0" w:color="606072"/>
              <w:bottom w:val="single" w:sz="4" w:space="0" w:color="606072"/>
              <w:right w:val="dotted" w:sz="4" w:space="0" w:color="606072"/>
            </w:tcBorders>
            <w:shd w:val="clear" w:color="auto" w:fill="auto"/>
            <w:tcMar>
              <w:left w:w="28" w:type="dxa"/>
              <w:right w:w="28" w:type="dxa"/>
            </w:tcMar>
            <w:vAlign w:val="center"/>
          </w:tcPr>
          <w:p w14:paraId="22C49B5A" w14:textId="4738508E" w:rsidR="005F3F40" w:rsidRPr="005060E0" w:rsidRDefault="00E00FC4"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c>
          <w:tcPr>
            <w:tcW w:w="708" w:type="dxa"/>
            <w:tcBorders>
              <w:top w:val="dotted" w:sz="4" w:space="0" w:color="606072"/>
              <w:left w:val="dotted" w:sz="4" w:space="0" w:color="606072"/>
              <w:bottom w:val="single" w:sz="4" w:space="0" w:color="606072"/>
              <w:right w:val="single" w:sz="4" w:space="0" w:color="606072"/>
            </w:tcBorders>
            <w:shd w:val="clear" w:color="auto" w:fill="auto"/>
            <w:tcMar>
              <w:left w:w="28" w:type="dxa"/>
              <w:right w:w="28" w:type="dxa"/>
            </w:tcMar>
            <w:vAlign w:val="center"/>
          </w:tcPr>
          <w:p w14:paraId="6B8881CB" w14:textId="3487E197" w:rsidR="005F3F40" w:rsidRPr="005060E0" w:rsidRDefault="00E00FC4" w:rsidP="005F3F4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w:t>
            </w:r>
          </w:p>
        </w:tc>
      </w:tr>
    </w:tbl>
    <w:p w14:paraId="5B585CAB" w14:textId="77777777" w:rsidR="005F3F40" w:rsidRPr="005060E0" w:rsidRDefault="005F3F40" w:rsidP="00B81325">
      <w:pPr>
        <w:pStyle w:val="ListParagraph"/>
        <w:numPr>
          <w:ilvl w:val="0"/>
          <w:numId w:val="58"/>
        </w:numPr>
        <w:spacing w:before="40" w:after="0" w:line="240" w:lineRule="auto"/>
        <w:ind w:left="2268" w:hanging="357"/>
        <w:rPr>
          <w:rFonts w:cs="Arial"/>
          <w:sz w:val="16"/>
          <w:szCs w:val="16"/>
        </w:rPr>
      </w:pPr>
      <w:r w:rsidRPr="005060E0">
        <w:rPr>
          <w:rFonts w:cs="Arial"/>
          <w:sz w:val="16"/>
          <w:szCs w:val="16"/>
        </w:rPr>
        <w:t>Rounded to nearest integer.</w:t>
      </w:r>
    </w:p>
    <w:p w14:paraId="47B5914C" w14:textId="5ABF1217" w:rsidR="005F3F40" w:rsidRPr="005060E0" w:rsidRDefault="005F3F40" w:rsidP="00805D1C">
      <w:pPr>
        <w:pStyle w:val="PBTablecaption"/>
        <w:spacing w:before="360"/>
        <w:rPr>
          <w:rFonts w:cs="Arial"/>
        </w:rPr>
      </w:pPr>
      <w:bookmarkStart w:id="222" w:name="_Ref507507951"/>
      <w:r w:rsidRPr="005060E0">
        <w:rPr>
          <w:rFonts w:cs="Arial"/>
        </w:rPr>
        <w:t xml:space="preserve">Table </w:t>
      </w:r>
      <w:r w:rsidRPr="005060E0">
        <w:rPr>
          <w:rFonts w:cs="Arial"/>
        </w:rPr>
        <w:fldChar w:fldCharType="begin"/>
      </w:r>
      <w:r w:rsidRPr="005060E0">
        <w:rPr>
          <w:rFonts w:cs="Arial"/>
        </w:rPr>
        <w:instrText xml:space="preserve"> STYLEREF 1 \s </w:instrText>
      </w:r>
      <w:r w:rsidRPr="005060E0">
        <w:rPr>
          <w:rFonts w:cs="Arial"/>
        </w:rPr>
        <w:fldChar w:fldCharType="separate"/>
      </w:r>
      <w:r w:rsidR="00F2067C">
        <w:rPr>
          <w:rFonts w:cs="Arial"/>
          <w:noProof/>
        </w:rPr>
        <w:t>8</w:t>
      </w:r>
      <w:r w:rsidRPr="005060E0">
        <w:rPr>
          <w:rFonts w:cs="Arial"/>
          <w:noProof/>
        </w:rPr>
        <w:fldChar w:fldCharType="end"/>
      </w:r>
      <w:r w:rsidRPr="005060E0">
        <w:rPr>
          <w:rFonts w:cs="Arial"/>
        </w:rPr>
        <w:noBreakHyphen/>
      </w:r>
      <w:r w:rsidRPr="005060E0">
        <w:rPr>
          <w:rFonts w:cs="Arial"/>
        </w:rPr>
        <w:fldChar w:fldCharType="begin"/>
      </w:r>
      <w:r w:rsidRPr="005060E0">
        <w:rPr>
          <w:rFonts w:cs="Arial"/>
        </w:rPr>
        <w:instrText xml:space="preserve"> SEQ Table \* ARABIC \s 1 </w:instrText>
      </w:r>
      <w:r w:rsidRPr="005060E0">
        <w:rPr>
          <w:rFonts w:cs="Arial"/>
        </w:rPr>
        <w:fldChar w:fldCharType="separate"/>
      </w:r>
      <w:r w:rsidR="00F2067C">
        <w:rPr>
          <w:rFonts w:cs="Arial"/>
          <w:noProof/>
        </w:rPr>
        <w:t>10</w:t>
      </w:r>
      <w:r w:rsidRPr="005060E0">
        <w:rPr>
          <w:rFonts w:cs="Arial"/>
          <w:noProof/>
        </w:rPr>
        <w:fldChar w:fldCharType="end"/>
      </w:r>
      <w:bookmarkEnd w:id="222"/>
      <w:r w:rsidRPr="005060E0">
        <w:rPr>
          <w:rFonts w:cs="Arial"/>
        </w:rPr>
        <w:t>: Projected</w:t>
      </w:r>
      <w:r w:rsidR="00CE5917" w:rsidRPr="005060E0">
        <w:rPr>
          <w:rFonts w:eastAsia="Arial" w:cs="Arial"/>
          <w:iCs/>
        </w:rPr>
        <w:t xml:space="preserve"> </w:t>
      </w:r>
      <w:r w:rsidRPr="005060E0">
        <w:rPr>
          <w:rFonts w:eastAsia="Arial" w:cs="Arial"/>
          <w:iCs/>
        </w:rPr>
        <w:t>exceedance</w:t>
      </w:r>
      <w:r w:rsidR="00CE5917" w:rsidRPr="005060E0">
        <w:rPr>
          <w:rFonts w:eastAsia="Arial" w:cs="Arial"/>
          <w:iCs/>
        </w:rPr>
        <w:t>s of current and proposed</w:t>
      </w:r>
      <w:r w:rsidRPr="005060E0">
        <w:rPr>
          <w:rFonts w:cs="Arial"/>
        </w:rPr>
        <w:t xml:space="preserve"> O</w:t>
      </w:r>
      <w:r w:rsidRPr="005060E0">
        <w:rPr>
          <w:rFonts w:cs="Arial"/>
          <w:vertAlign w:val="subscript"/>
        </w:rPr>
        <w:t>3</w:t>
      </w:r>
      <w:r w:rsidRPr="005060E0">
        <w:rPr>
          <w:rFonts w:cs="Arial"/>
        </w:rPr>
        <w:t xml:space="preserve"> standards (Abatement Package scenario, VIC)</w:t>
      </w:r>
    </w:p>
    <w:tbl>
      <w:tblPr>
        <w:tblStyle w:val="ListTable3-Accent12"/>
        <w:tblW w:w="6876" w:type="dxa"/>
        <w:jc w:val="center"/>
        <w:tblLayout w:type="fixed"/>
        <w:tblLook w:val="04A0" w:firstRow="1" w:lastRow="0" w:firstColumn="1" w:lastColumn="0" w:noHBand="0" w:noVBand="1"/>
      </w:tblPr>
      <w:tblGrid>
        <w:gridCol w:w="851"/>
        <w:gridCol w:w="977"/>
        <w:gridCol w:w="616"/>
        <w:gridCol w:w="631"/>
        <w:gridCol w:w="631"/>
        <w:gridCol w:w="632"/>
        <w:gridCol w:w="12"/>
        <w:gridCol w:w="621"/>
        <w:gridCol w:w="632"/>
        <w:gridCol w:w="632"/>
        <w:gridCol w:w="633"/>
        <w:gridCol w:w="8"/>
      </w:tblGrid>
      <w:tr w:rsidR="005F3F40" w:rsidRPr="005060E0" w14:paraId="0C5BEEE1" w14:textId="77777777" w:rsidTr="005F3F40">
        <w:trPr>
          <w:cnfStyle w:val="100000000000" w:firstRow="1" w:lastRow="0" w:firstColumn="0" w:lastColumn="0" w:oddVBand="0" w:evenVBand="0" w:oddHBand="0" w:evenHBand="0" w:firstRowFirstColumn="0" w:firstRowLastColumn="0" w:lastRowFirstColumn="0" w:lastRowLastColumn="0"/>
          <w:trHeight w:hRule="exact" w:val="340"/>
          <w:tblHeader/>
          <w:jc w:val="center"/>
        </w:trPr>
        <w:tc>
          <w:tcPr>
            <w:cnfStyle w:val="001000000100" w:firstRow="0" w:lastRow="0" w:firstColumn="1" w:lastColumn="0" w:oddVBand="0" w:evenVBand="0" w:oddHBand="0" w:evenHBand="0" w:firstRowFirstColumn="1" w:firstRowLastColumn="0" w:lastRowFirstColumn="0" w:lastRowLastColumn="0"/>
            <w:tcW w:w="851" w:type="dxa"/>
            <w:vMerge w:val="restart"/>
            <w:tcBorders>
              <w:top w:val="single" w:sz="4" w:space="0" w:color="606072"/>
              <w:left w:val="single" w:sz="4" w:space="0" w:color="606072"/>
              <w:bottom w:val="single" w:sz="4" w:space="0" w:color="606072"/>
              <w:right w:val="single" w:sz="4" w:space="0" w:color="606072"/>
            </w:tcBorders>
            <w:shd w:val="clear" w:color="auto" w:fill="606072"/>
            <w:vAlign w:val="center"/>
          </w:tcPr>
          <w:p w14:paraId="1B93E08F" w14:textId="77777777" w:rsidR="005F3F40" w:rsidRPr="005060E0" w:rsidRDefault="005F3F40" w:rsidP="005F3F40">
            <w:pPr>
              <w:pStyle w:val="BodyText"/>
              <w:spacing w:after="0" w:line="240" w:lineRule="auto"/>
              <w:jc w:val="center"/>
              <w:rPr>
                <w:b w:val="0"/>
                <w:color w:val="FFFFFF" w:themeColor="background1"/>
                <w:sz w:val="15"/>
                <w:szCs w:val="15"/>
              </w:rPr>
            </w:pPr>
            <w:r w:rsidRPr="005060E0">
              <w:rPr>
                <w:b w:val="0"/>
                <w:color w:val="FFFFFF" w:themeColor="background1"/>
                <w:sz w:val="15"/>
                <w:szCs w:val="15"/>
              </w:rPr>
              <w:t>Period</w:t>
            </w:r>
          </w:p>
        </w:tc>
        <w:tc>
          <w:tcPr>
            <w:tcW w:w="977" w:type="dxa"/>
            <w:vMerge w:val="restart"/>
            <w:tcBorders>
              <w:top w:val="single" w:sz="4" w:space="0" w:color="606072"/>
              <w:left w:val="single" w:sz="4" w:space="0" w:color="606072"/>
              <w:bottom w:val="single" w:sz="4" w:space="0" w:color="606072"/>
              <w:right w:val="single" w:sz="4" w:space="0" w:color="606072"/>
            </w:tcBorders>
            <w:shd w:val="clear" w:color="auto" w:fill="606072"/>
            <w:vAlign w:val="center"/>
          </w:tcPr>
          <w:p w14:paraId="131AA086" w14:textId="77777777" w:rsidR="005F3F40" w:rsidRPr="005060E0" w:rsidRDefault="005F3F40" w:rsidP="005F3F4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Standard (ppb)</w:t>
            </w:r>
          </w:p>
        </w:tc>
        <w:tc>
          <w:tcPr>
            <w:tcW w:w="2522" w:type="dxa"/>
            <w:gridSpan w:val="5"/>
            <w:tcBorders>
              <w:top w:val="single" w:sz="4" w:space="0" w:color="606072"/>
              <w:left w:val="single" w:sz="4" w:space="0" w:color="606072"/>
              <w:bottom w:val="single" w:sz="4" w:space="0" w:color="606072"/>
              <w:right w:val="single" w:sz="4" w:space="0" w:color="606072"/>
            </w:tcBorders>
            <w:shd w:val="clear" w:color="auto" w:fill="606072"/>
            <w:vAlign w:val="center"/>
          </w:tcPr>
          <w:p w14:paraId="7F8CEE99" w14:textId="77777777" w:rsidR="005F3F40" w:rsidRPr="005060E0" w:rsidRDefault="005F3F40" w:rsidP="005F3F40">
            <w:pPr>
              <w:pStyle w:val="BodyText"/>
              <w:spacing w:after="0" w:line="240" w:lineRule="auto"/>
              <w:ind w:left="-92"/>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 xml:space="preserve">   VIC: Port Phillip Region</w:t>
            </w:r>
          </w:p>
        </w:tc>
        <w:tc>
          <w:tcPr>
            <w:tcW w:w="2526" w:type="dxa"/>
            <w:gridSpan w:val="5"/>
            <w:tcBorders>
              <w:top w:val="single" w:sz="4" w:space="0" w:color="606072"/>
              <w:left w:val="single" w:sz="4" w:space="0" w:color="606072"/>
              <w:bottom w:val="single" w:sz="4" w:space="0" w:color="606072"/>
              <w:right w:val="single" w:sz="4" w:space="0" w:color="606072"/>
            </w:tcBorders>
            <w:shd w:val="clear" w:color="auto" w:fill="606072"/>
            <w:vAlign w:val="center"/>
          </w:tcPr>
          <w:p w14:paraId="5CAA4D14" w14:textId="77777777" w:rsidR="005F3F40" w:rsidRPr="005060E0" w:rsidRDefault="005F3F40" w:rsidP="005F3F40">
            <w:pPr>
              <w:pStyle w:val="BodyText"/>
              <w:spacing w:after="0" w:line="240" w:lineRule="auto"/>
              <w:ind w:left="-61"/>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 xml:space="preserve"> VIC: Latrobe Valley</w:t>
            </w:r>
          </w:p>
        </w:tc>
      </w:tr>
      <w:tr w:rsidR="00BF7BF2" w:rsidRPr="005060E0" w14:paraId="18C3D945" w14:textId="77777777" w:rsidTr="005F3F40">
        <w:tblPrEx>
          <w:tblBorders>
            <w:top w:val="single" w:sz="2" w:space="0" w:color="0076C0" w:themeColor="accent1"/>
            <w:left w:val="single" w:sz="2" w:space="0" w:color="0076C0" w:themeColor="accent1"/>
            <w:bottom w:val="single" w:sz="2" w:space="0" w:color="0076C0" w:themeColor="accent1"/>
            <w:right w:val="single" w:sz="2" w:space="0" w:color="0076C0" w:themeColor="accent1"/>
          </w:tblBorders>
          <w:tblCellMar>
            <w:left w:w="41" w:type="dxa"/>
            <w:right w:w="41" w:type="dxa"/>
          </w:tblCellMar>
        </w:tblPrEx>
        <w:trPr>
          <w:gridAfter w:val="1"/>
          <w:cnfStyle w:val="100000000000" w:firstRow="1" w:lastRow="0" w:firstColumn="0" w:lastColumn="0" w:oddVBand="0" w:evenVBand="0" w:oddHBand="0" w:evenHBand="0" w:firstRowFirstColumn="0" w:firstRowLastColumn="0" w:lastRowFirstColumn="0" w:lastRowLastColumn="0"/>
          <w:wAfter w:w="8" w:type="dxa"/>
          <w:trHeight w:hRule="exact" w:val="284"/>
          <w:tblHeader/>
          <w:jc w:val="center"/>
        </w:trPr>
        <w:tc>
          <w:tcPr>
            <w:cnfStyle w:val="001000000100" w:firstRow="0" w:lastRow="0" w:firstColumn="1" w:lastColumn="0" w:oddVBand="0" w:evenVBand="0" w:oddHBand="0" w:evenHBand="0" w:firstRowFirstColumn="1" w:firstRowLastColumn="0" w:lastRowFirstColumn="0" w:lastRowLastColumn="0"/>
            <w:tcW w:w="851" w:type="dxa"/>
            <w:vMerge/>
            <w:tcBorders>
              <w:top w:val="single" w:sz="4" w:space="0" w:color="606072"/>
              <w:left w:val="single" w:sz="4" w:space="0" w:color="606072"/>
              <w:bottom w:val="single" w:sz="4" w:space="0" w:color="606072"/>
              <w:right w:val="single" w:sz="4" w:space="0" w:color="606072"/>
            </w:tcBorders>
            <w:shd w:val="clear" w:color="auto" w:fill="606072"/>
            <w:vAlign w:val="center"/>
          </w:tcPr>
          <w:p w14:paraId="3DE7F5D2" w14:textId="77777777" w:rsidR="005F3F40" w:rsidRPr="005060E0" w:rsidRDefault="005F3F40" w:rsidP="005F3F40">
            <w:pPr>
              <w:pStyle w:val="BodyText"/>
              <w:spacing w:after="0" w:line="240" w:lineRule="auto"/>
              <w:rPr>
                <w:b w:val="0"/>
                <w:color w:val="FFFFFF" w:themeColor="background1"/>
                <w:sz w:val="15"/>
                <w:szCs w:val="15"/>
              </w:rPr>
            </w:pPr>
          </w:p>
        </w:tc>
        <w:tc>
          <w:tcPr>
            <w:tcW w:w="977" w:type="dxa"/>
            <w:vMerge/>
            <w:tcBorders>
              <w:top w:val="single" w:sz="4" w:space="0" w:color="606072"/>
              <w:left w:val="single" w:sz="4" w:space="0" w:color="606072"/>
              <w:bottom w:val="single" w:sz="4" w:space="0" w:color="606072"/>
              <w:right w:val="single" w:sz="4" w:space="0" w:color="606072"/>
            </w:tcBorders>
            <w:shd w:val="clear" w:color="auto" w:fill="606072"/>
            <w:vAlign w:val="center"/>
          </w:tcPr>
          <w:p w14:paraId="06CE4917" w14:textId="77777777" w:rsidR="005F3F40" w:rsidRPr="005060E0" w:rsidRDefault="005F3F40" w:rsidP="005F3F4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p>
        </w:tc>
        <w:tc>
          <w:tcPr>
            <w:tcW w:w="616"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32D6BBFE" w14:textId="77777777" w:rsidR="005F3F40" w:rsidRPr="005060E0" w:rsidRDefault="005F3F40" w:rsidP="005F3F4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2016</w:t>
            </w:r>
          </w:p>
        </w:tc>
        <w:tc>
          <w:tcPr>
            <w:tcW w:w="631"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72F6C16F" w14:textId="77777777" w:rsidR="005F3F40" w:rsidRPr="005060E0" w:rsidRDefault="005F3F40" w:rsidP="005F3F4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2021</w:t>
            </w:r>
          </w:p>
        </w:tc>
        <w:tc>
          <w:tcPr>
            <w:tcW w:w="631"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7F67A812" w14:textId="77777777" w:rsidR="005F3F40" w:rsidRPr="005060E0" w:rsidRDefault="005F3F40" w:rsidP="005F3F4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2031</w:t>
            </w:r>
          </w:p>
        </w:tc>
        <w:tc>
          <w:tcPr>
            <w:tcW w:w="632"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46A7B858" w14:textId="77777777" w:rsidR="005F3F40" w:rsidRPr="005060E0" w:rsidRDefault="005F3F40" w:rsidP="005F3F4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2040</w:t>
            </w:r>
          </w:p>
        </w:tc>
        <w:tc>
          <w:tcPr>
            <w:tcW w:w="633" w:type="dxa"/>
            <w:gridSpan w:val="2"/>
            <w:tcBorders>
              <w:top w:val="single" w:sz="4" w:space="0" w:color="606072"/>
              <w:left w:val="single" w:sz="4" w:space="0" w:color="606072"/>
              <w:bottom w:val="single" w:sz="4" w:space="0" w:color="606072"/>
              <w:right w:val="single" w:sz="4" w:space="0" w:color="606072"/>
            </w:tcBorders>
            <w:shd w:val="clear" w:color="auto" w:fill="606072"/>
            <w:vAlign w:val="center"/>
          </w:tcPr>
          <w:p w14:paraId="2B57E0E9" w14:textId="77777777" w:rsidR="005F3F40" w:rsidRPr="005060E0" w:rsidRDefault="005F3F40" w:rsidP="005F3F4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2016</w:t>
            </w:r>
          </w:p>
        </w:tc>
        <w:tc>
          <w:tcPr>
            <w:tcW w:w="632"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655C156C" w14:textId="77777777" w:rsidR="005F3F40" w:rsidRPr="005060E0" w:rsidRDefault="005F3F40" w:rsidP="005F3F4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2021</w:t>
            </w:r>
          </w:p>
        </w:tc>
        <w:tc>
          <w:tcPr>
            <w:tcW w:w="632"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18AEB4B7" w14:textId="77777777" w:rsidR="005F3F40" w:rsidRPr="005060E0" w:rsidRDefault="005F3F40" w:rsidP="005F3F4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2031</w:t>
            </w:r>
          </w:p>
        </w:tc>
        <w:tc>
          <w:tcPr>
            <w:tcW w:w="633" w:type="dxa"/>
            <w:tcBorders>
              <w:top w:val="single" w:sz="4" w:space="0" w:color="606072"/>
              <w:left w:val="single" w:sz="4" w:space="0" w:color="606072"/>
              <w:bottom w:val="single" w:sz="4" w:space="0" w:color="606072"/>
              <w:right w:val="single" w:sz="4" w:space="0" w:color="606072"/>
            </w:tcBorders>
            <w:shd w:val="clear" w:color="auto" w:fill="606072"/>
            <w:vAlign w:val="center"/>
          </w:tcPr>
          <w:p w14:paraId="01579A37" w14:textId="77777777" w:rsidR="005F3F40" w:rsidRPr="005060E0" w:rsidRDefault="005F3F40" w:rsidP="005F3F40">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5"/>
                <w:szCs w:val="15"/>
              </w:rPr>
            </w:pPr>
            <w:r w:rsidRPr="005060E0">
              <w:rPr>
                <w:b w:val="0"/>
                <w:color w:val="FFFFFF" w:themeColor="background1"/>
                <w:sz w:val="15"/>
                <w:szCs w:val="15"/>
              </w:rPr>
              <w:t>2040</w:t>
            </w:r>
          </w:p>
        </w:tc>
      </w:tr>
      <w:tr w:rsidR="001B3859" w:rsidRPr="005060E0" w14:paraId="7FCACF4D" w14:textId="77777777" w:rsidTr="001F63CF">
        <w:trPr>
          <w:gridAfter w:val="1"/>
          <w:cnfStyle w:val="000000100000" w:firstRow="0" w:lastRow="0" w:firstColumn="0" w:lastColumn="0" w:oddVBand="0" w:evenVBand="0" w:oddHBand="1" w:evenHBand="0" w:firstRowFirstColumn="0" w:firstRowLastColumn="0" w:lastRowFirstColumn="0" w:lastRowLastColumn="0"/>
          <w:wAfter w:w="8"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6868" w:type="dxa"/>
            <w:gridSpan w:val="11"/>
            <w:tcBorders>
              <w:top w:val="single" w:sz="4" w:space="0" w:color="606072"/>
              <w:left w:val="single" w:sz="4" w:space="0" w:color="606072"/>
              <w:bottom w:val="single" w:sz="4" w:space="0" w:color="606072"/>
              <w:right w:val="single" w:sz="4" w:space="0" w:color="606072"/>
            </w:tcBorders>
            <w:shd w:val="clear" w:color="auto" w:fill="BFBFBF" w:themeFill="background1" w:themeFillShade="BF"/>
            <w:vAlign w:val="center"/>
          </w:tcPr>
          <w:p w14:paraId="5C5D3BC5" w14:textId="0C2E8608" w:rsidR="001B3859" w:rsidRPr="005060E0" w:rsidRDefault="001B3859" w:rsidP="001B3859">
            <w:pPr>
              <w:pStyle w:val="BodyText"/>
              <w:spacing w:after="0" w:line="240" w:lineRule="auto"/>
              <w:rPr>
                <w:b w:val="0"/>
                <w:sz w:val="15"/>
                <w:szCs w:val="15"/>
              </w:rPr>
            </w:pPr>
            <w:r w:rsidRPr="005060E0">
              <w:rPr>
                <w:rFonts w:cs="Arial"/>
                <w:b w:val="0"/>
                <w:sz w:val="15"/>
                <w:szCs w:val="15"/>
              </w:rPr>
              <w:t>Total number of unique exceedance days</w:t>
            </w:r>
          </w:p>
        </w:tc>
      </w:tr>
      <w:tr w:rsidR="00BF7BF2" w:rsidRPr="005060E0" w14:paraId="29DD23A1" w14:textId="77777777" w:rsidTr="001F63CF">
        <w:trPr>
          <w:gridAfter w:val="1"/>
          <w:wAfter w:w="8"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851" w:type="dxa"/>
            <w:vMerge w:val="restart"/>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2C72E2C4" w14:textId="77777777" w:rsidR="005F3F40" w:rsidRPr="005060E0" w:rsidRDefault="005F3F40" w:rsidP="005F3F40">
            <w:pPr>
              <w:pStyle w:val="BodyText"/>
              <w:spacing w:after="0" w:line="240" w:lineRule="auto"/>
              <w:jc w:val="center"/>
              <w:rPr>
                <w:b w:val="0"/>
                <w:sz w:val="15"/>
                <w:szCs w:val="15"/>
              </w:rPr>
            </w:pPr>
            <w:r w:rsidRPr="005060E0">
              <w:rPr>
                <w:b w:val="0"/>
                <w:sz w:val="15"/>
                <w:szCs w:val="15"/>
              </w:rPr>
              <w:t>1-hour</w:t>
            </w:r>
          </w:p>
        </w:tc>
        <w:tc>
          <w:tcPr>
            <w:tcW w:w="977" w:type="dxa"/>
            <w:tcBorders>
              <w:top w:val="single" w:sz="4" w:space="0" w:color="606072"/>
              <w:left w:val="dotted" w:sz="4" w:space="0" w:color="606372" w:themeColor="text2"/>
              <w:bottom w:val="dotted" w:sz="4" w:space="0" w:color="606072"/>
              <w:right w:val="single" w:sz="4" w:space="0" w:color="606072"/>
            </w:tcBorders>
            <w:shd w:val="clear" w:color="auto" w:fill="DEDFE3" w:themeFill="text2" w:themeFillTint="33"/>
            <w:vAlign w:val="center"/>
          </w:tcPr>
          <w:p w14:paraId="4E724F1C"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70</w:t>
            </w:r>
          </w:p>
        </w:tc>
        <w:tc>
          <w:tcPr>
            <w:tcW w:w="616" w:type="dxa"/>
            <w:tcBorders>
              <w:top w:val="single" w:sz="4" w:space="0" w:color="606072"/>
              <w:left w:val="single" w:sz="4" w:space="0" w:color="606072"/>
              <w:bottom w:val="dotted" w:sz="4" w:space="0" w:color="606072"/>
              <w:right w:val="dotted" w:sz="4" w:space="0" w:color="606072"/>
            </w:tcBorders>
            <w:shd w:val="clear" w:color="auto" w:fill="auto"/>
            <w:vAlign w:val="center"/>
          </w:tcPr>
          <w:p w14:paraId="1251B576"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3</w:t>
            </w:r>
          </w:p>
        </w:tc>
        <w:tc>
          <w:tcPr>
            <w:tcW w:w="631" w:type="dxa"/>
            <w:tcBorders>
              <w:top w:val="single" w:sz="4" w:space="0" w:color="606072"/>
              <w:left w:val="dotted" w:sz="4" w:space="0" w:color="606072"/>
              <w:bottom w:val="dotted" w:sz="4" w:space="0" w:color="606072"/>
              <w:right w:val="dotted" w:sz="4" w:space="0" w:color="606072"/>
            </w:tcBorders>
            <w:shd w:val="clear" w:color="auto" w:fill="auto"/>
            <w:vAlign w:val="center"/>
          </w:tcPr>
          <w:p w14:paraId="63AB2836"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3</w:t>
            </w:r>
          </w:p>
        </w:tc>
        <w:tc>
          <w:tcPr>
            <w:tcW w:w="631" w:type="dxa"/>
            <w:tcBorders>
              <w:top w:val="single" w:sz="4" w:space="0" w:color="606072"/>
              <w:left w:val="dotted" w:sz="4" w:space="0" w:color="606072"/>
              <w:bottom w:val="dotted" w:sz="4" w:space="0" w:color="606072"/>
              <w:right w:val="dotted" w:sz="4" w:space="0" w:color="606072"/>
            </w:tcBorders>
            <w:shd w:val="clear" w:color="auto" w:fill="auto"/>
            <w:vAlign w:val="center"/>
          </w:tcPr>
          <w:p w14:paraId="3832903C" w14:textId="2A4115D9"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single" w:sz="4" w:space="0" w:color="606072"/>
              <w:left w:val="dotted" w:sz="4" w:space="0" w:color="606072"/>
              <w:bottom w:val="dotted" w:sz="4" w:space="0" w:color="606072"/>
              <w:right w:val="single" w:sz="4" w:space="0" w:color="606072"/>
            </w:tcBorders>
            <w:shd w:val="clear" w:color="auto" w:fill="auto"/>
            <w:vAlign w:val="center"/>
          </w:tcPr>
          <w:p w14:paraId="06D427DD" w14:textId="15F1D78E"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3" w:type="dxa"/>
            <w:gridSpan w:val="2"/>
            <w:tcBorders>
              <w:top w:val="single" w:sz="4" w:space="0" w:color="606072"/>
              <w:left w:val="single" w:sz="4" w:space="0" w:color="606072"/>
              <w:bottom w:val="dotted" w:sz="4" w:space="0" w:color="606072"/>
              <w:right w:val="dotted" w:sz="4" w:space="0" w:color="606072"/>
            </w:tcBorders>
            <w:shd w:val="clear" w:color="auto" w:fill="auto"/>
            <w:vAlign w:val="center"/>
          </w:tcPr>
          <w:p w14:paraId="140A0980"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3</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601B4086"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3</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10874A65"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3</w:t>
            </w:r>
          </w:p>
        </w:tc>
        <w:tc>
          <w:tcPr>
            <w:tcW w:w="633" w:type="dxa"/>
            <w:tcBorders>
              <w:top w:val="single" w:sz="4" w:space="0" w:color="606072"/>
              <w:left w:val="dotted" w:sz="4" w:space="0" w:color="606072"/>
              <w:bottom w:val="dotted" w:sz="4" w:space="0" w:color="606072"/>
              <w:right w:val="single" w:sz="4" w:space="0" w:color="606072"/>
            </w:tcBorders>
            <w:shd w:val="clear" w:color="auto" w:fill="auto"/>
            <w:vAlign w:val="center"/>
          </w:tcPr>
          <w:p w14:paraId="313DC5E1"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3</w:t>
            </w:r>
          </w:p>
        </w:tc>
      </w:tr>
      <w:tr w:rsidR="00BF7BF2" w:rsidRPr="005060E0" w14:paraId="3ADE812F" w14:textId="77777777" w:rsidTr="001F63CF">
        <w:trPr>
          <w:gridAfter w:val="1"/>
          <w:cnfStyle w:val="000000100000" w:firstRow="0" w:lastRow="0" w:firstColumn="0" w:lastColumn="0" w:oddVBand="0" w:evenVBand="0" w:oddHBand="1" w:evenHBand="0" w:firstRowFirstColumn="0" w:firstRowLastColumn="0" w:lastRowFirstColumn="0" w:lastRowLastColumn="0"/>
          <w:wAfter w:w="8"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851"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23AC97A1" w14:textId="77777777" w:rsidR="005F3F40" w:rsidRPr="005060E0" w:rsidRDefault="005F3F40" w:rsidP="005F3F40">
            <w:pPr>
              <w:pStyle w:val="BodyText"/>
              <w:spacing w:after="0" w:line="240" w:lineRule="auto"/>
              <w:jc w:val="center"/>
              <w:rPr>
                <w:b w:val="0"/>
                <w:sz w:val="15"/>
                <w:szCs w:val="15"/>
              </w:rPr>
            </w:pPr>
          </w:p>
        </w:tc>
        <w:tc>
          <w:tcPr>
            <w:tcW w:w="977" w:type="dxa"/>
            <w:tcBorders>
              <w:top w:val="dotted" w:sz="4" w:space="0" w:color="606072"/>
              <w:left w:val="dotted" w:sz="4" w:space="0" w:color="606372" w:themeColor="text2"/>
              <w:bottom w:val="dotted" w:sz="4" w:space="0" w:color="606072"/>
              <w:right w:val="single" w:sz="4" w:space="0" w:color="606072"/>
            </w:tcBorders>
            <w:shd w:val="clear" w:color="auto" w:fill="DEDFE3" w:themeFill="text2" w:themeFillTint="33"/>
            <w:vAlign w:val="center"/>
          </w:tcPr>
          <w:p w14:paraId="2F41C18C" w14:textId="77777777" w:rsidR="005F3F40" w:rsidRPr="005060E0" w:rsidRDefault="005F3F40"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85</w:t>
            </w:r>
          </w:p>
        </w:tc>
        <w:tc>
          <w:tcPr>
            <w:tcW w:w="616" w:type="dxa"/>
            <w:tcBorders>
              <w:top w:val="dotted" w:sz="4" w:space="0" w:color="606072"/>
              <w:left w:val="single" w:sz="4" w:space="0" w:color="606072"/>
              <w:bottom w:val="dotted" w:sz="4" w:space="0" w:color="606072"/>
              <w:right w:val="dotted" w:sz="4" w:space="0" w:color="606072"/>
            </w:tcBorders>
            <w:shd w:val="clear" w:color="auto" w:fill="auto"/>
            <w:vAlign w:val="center"/>
          </w:tcPr>
          <w:p w14:paraId="08AAEB55" w14:textId="32294B45"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2012DCB2" w14:textId="34ACC9CE"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0EA950B7" w14:textId="563A17A1"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dotted" w:sz="4" w:space="0" w:color="606072"/>
              <w:right w:val="single" w:sz="4" w:space="0" w:color="606072"/>
            </w:tcBorders>
            <w:shd w:val="clear" w:color="auto" w:fill="auto"/>
            <w:vAlign w:val="center"/>
          </w:tcPr>
          <w:p w14:paraId="108A2ADD" w14:textId="33F08C8D"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3" w:type="dxa"/>
            <w:gridSpan w:val="2"/>
            <w:tcBorders>
              <w:top w:val="dotted" w:sz="4" w:space="0" w:color="606072"/>
              <w:left w:val="single" w:sz="4" w:space="0" w:color="606072"/>
              <w:bottom w:val="dotted" w:sz="4" w:space="0" w:color="606072"/>
              <w:right w:val="dotted" w:sz="4" w:space="0" w:color="606072"/>
            </w:tcBorders>
            <w:shd w:val="clear" w:color="auto" w:fill="auto"/>
            <w:vAlign w:val="center"/>
          </w:tcPr>
          <w:p w14:paraId="1F9B2479" w14:textId="53A160F8"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1DD2F4AD" w14:textId="567ED834"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41014599" w14:textId="3891894C"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3" w:type="dxa"/>
            <w:tcBorders>
              <w:top w:val="dotted" w:sz="4" w:space="0" w:color="606072"/>
              <w:left w:val="dotted" w:sz="4" w:space="0" w:color="606072"/>
              <w:bottom w:val="dotted" w:sz="4" w:space="0" w:color="606072"/>
              <w:right w:val="single" w:sz="4" w:space="0" w:color="606072"/>
            </w:tcBorders>
            <w:shd w:val="clear" w:color="auto" w:fill="auto"/>
            <w:vAlign w:val="center"/>
          </w:tcPr>
          <w:p w14:paraId="68D7D3A0" w14:textId="1DC01A55"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r>
      <w:tr w:rsidR="007F77AB" w:rsidRPr="005060E0" w14:paraId="22A79B63" w14:textId="77777777" w:rsidTr="005519A4">
        <w:trPr>
          <w:gridAfter w:val="1"/>
          <w:wAfter w:w="8" w:type="dxa"/>
          <w:trHeight w:val="227"/>
          <w:jc w:val="center"/>
        </w:trPr>
        <w:tc>
          <w:tcPr>
            <w:cnfStyle w:val="001000000000" w:firstRow="0" w:lastRow="0" w:firstColumn="1" w:lastColumn="0" w:oddVBand="0" w:evenVBand="0" w:oddHBand="0" w:evenHBand="0" w:firstRowFirstColumn="0" w:firstRowLastColumn="0" w:lastRowFirstColumn="0" w:lastRowLastColumn="0"/>
            <w:tcW w:w="851" w:type="dxa"/>
            <w:vMerge/>
            <w:tcBorders>
              <w:top w:val="single" w:sz="4" w:space="0" w:color="606072"/>
              <w:left w:val="single" w:sz="4" w:space="0" w:color="606072"/>
              <w:bottom w:val="single" w:sz="4" w:space="0" w:color="606072"/>
              <w:right w:val="dotted" w:sz="4" w:space="0" w:color="606372" w:themeColor="text2"/>
            </w:tcBorders>
            <w:shd w:val="clear" w:color="auto" w:fill="DEDFE3" w:themeFill="text2" w:themeFillTint="33"/>
            <w:vAlign w:val="center"/>
          </w:tcPr>
          <w:p w14:paraId="050EBCAC" w14:textId="77777777" w:rsidR="005F3F40" w:rsidRPr="005060E0" w:rsidRDefault="005F3F40" w:rsidP="005F3F40">
            <w:pPr>
              <w:pStyle w:val="BodyText"/>
              <w:spacing w:after="0" w:line="240" w:lineRule="auto"/>
              <w:jc w:val="center"/>
              <w:rPr>
                <w:b w:val="0"/>
                <w:sz w:val="15"/>
                <w:szCs w:val="15"/>
              </w:rPr>
            </w:pPr>
          </w:p>
        </w:tc>
        <w:tc>
          <w:tcPr>
            <w:tcW w:w="977" w:type="dxa"/>
            <w:tcBorders>
              <w:top w:val="dotted" w:sz="4" w:space="0" w:color="606072"/>
              <w:left w:val="dotted" w:sz="4" w:space="0" w:color="606372" w:themeColor="text2"/>
              <w:bottom w:val="single" w:sz="4" w:space="0" w:color="606072"/>
              <w:right w:val="single" w:sz="4" w:space="0" w:color="606072"/>
            </w:tcBorders>
            <w:shd w:val="clear" w:color="auto" w:fill="D5E5FF"/>
            <w:vAlign w:val="center"/>
          </w:tcPr>
          <w:p w14:paraId="2168C8BC"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100</w:t>
            </w:r>
          </w:p>
        </w:tc>
        <w:tc>
          <w:tcPr>
            <w:tcW w:w="616" w:type="dxa"/>
            <w:tcBorders>
              <w:top w:val="dotted" w:sz="4" w:space="0" w:color="606072"/>
              <w:left w:val="single" w:sz="4" w:space="0" w:color="606072"/>
              <w:bottom w:val="single" w:sz="4" w:space="0" w:color="606072"/>
              <w:right w:val="dotted" w:sz="4" w:space="0" w:color="606072"/>
            </w:tcBorders>
            <w:shd w:val="clear" w:color="auto" w:fill="D5E5FF"/>
            <w:vAlign w:val="center"/>
          </w:tcPr>
          <w:p w14:paraId="4BE99B41" w14:textId="52DB623E"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1"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5BF5E6FA" w14:textId="5F5144DE"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1"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03AAE0E9" w14:textId="6A2ADF78"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single" w:sz="4" w:space="0" w:color="606072"/>
              <w:right w:val="single" w:sz="4" w:space="0" w:color="606072"/>
            </w:tcBorders>
            <w:shd w:val="clear" w:color="auto" w:fill="D5E5FF"/>
            <w:vAlign w:val="center"/>
          </w:tcPr>
          <w:p w14:paraId="4D830730" w14:textId="70CFB73A"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3" w:type="dxa"/>
            <w:gridSpan w:val="2"/>
            <w:tcBorders>
              <w:top w:val="dotted" w:sz="4" w:space="0" w:color="606072"/>
              <w:left w:val="single" w:sz="4" w:space="0" w:color="606072"/>
              <w:bottom w:val="single" w:sz="4" w:space="0" w:color="606072"/>
              <w:right w:val="dotted" w:sz="4" w:space="0" w:color="606072"/>
            </w:tcBorders>
            <w:shd w:val="clear" w:color="auto" w:fill="D5E5FF"/>
            <w:vAlign w:val="center"/>
          </w:tcPr>
          <w:p w14:paraId="36B78D49" w14:textId="215C0093"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3AB402FC" w14:textId="3DBAC35B"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single" w:sz="4" w:space="0" w:color="606072"/>
              <w:right w:val="dotted" w:sz="4" w:space="0" w:color="606072"/>
            </w:tcBorders>
            <w:shd w:val="clear" w:color="auto" w:fill="D5E5FF"/>
            <w:vAlign w:val="center"/>
          </w:tcPr>
          <w:p w14:paraId="26E352BE" w14:textId="38DBEFB6"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3" w:type="dxa"/>
            <w:tcBorders>
              <w:top w:val="dotted" w:sz="4" w:space="0" w:color="606072"/>
              <w:left w:val="dotted" w:sz="4" w:space="0" w:color="606072"/>
              <w:bottom w:val="single" w:sz="4" w:space="0" w:color="606072"/>
              <w:right w:val="single" w:sz="4" w:space="0" w:color="606072"/>
            </w:tcBorders>
            <w:shd w:val="clear" w:color="auto" w:fill="D5E5FF"/>
            <w:vAlign w:val="center"/>
          </w:tcPr>
          <w:p w14:paraId="79EA0AA7" w14:textId="3FF6CFE7"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1B3859" w:rsidRPr="005060E0" w14:paraId="19E04C5D" w14:textId="77777777" w:rsidTr="001F63CF">
        <w:trPr>
          <w:gridAfter w:val="1"/>
          <w:cnfStyle w:val="000000100000" w:firstRow="0" w:lastRow="0" w:firstColumn="0" w:lastColumn="0" w:oddVBand="0" w:evenVBand="0" w:oddHBand="1" w:evenHBand="0" w:firstRowFirstColumn="0" w:firstRowLastColumn="0" w:lastRowFirstColumn="0" w:lastRowLastColumn="0"/>
          <w:wAfter w:w="8"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6868" w:type="dxa"/>
            <w:gridSpan w:val="11"/>
            <w:tcBorders>
              <w:top w:val="single" w:sz="4" w:space="0" w:color="606072"/>
              <w:left w:val="single" w:sz="4" w:space="0" w:color="606072"/>
              <w:right w:val="single" w:sz="4" w:space="0" w:color="606072"/>
            </w:tcBorders>
            <w:shd w:val="clear" w:color="auto" w:fill="BFBFBF" w:themeFill="background1" w:themeFillShade="BF"/>
            <w:vAlign w:val="center"/>
          </w:tcPr>
          <w:p w14:paraId="7D50A53F" w14:textId="39C6C68D" w:rsidR="001B3859" w:rsidRPr="005060E0" w:rsidRDefault="001B3859" w:rsidP="001B3859">
            <w:pPr>
              <w:pStyle w:val="BodyText"/>
              <w:spacing w:after="0" w:line="240" w:lineRule="auto"/>
              <w:rPr>
                <w:b w:val="0"/>
                <w:sz w:val="15"/>
                <w:szCs w:val="15"/>
              </w:rPr>
            </w:pPr>
            <w:r w:rsidRPr="005060E0">
              <w:rPr>
                <w:rFonts w:cs="Arial"/>
                <w:b w:val="0"/>
                <w:sz w:val="15"/>
                <w:szCs w:val="15"/>
              </w:rPr>
              <w:t>Total number of unique exceedance days</w:t>
            </w:r>
          </w:p>
        </w:tc>
      </w:tr>
      <w:tr w:rsidR="00BF7BF2" w:rsidRPr="005060E0" w14:paraId="1C7454AF" w14:textId="77777777" w:rsidTr="001F63CF">
        <w:trPr>
          <w:gridAfter w:val="1"/>
          <w:wAfter w:w="8"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851" w:type="dxa"/>
            <w:vMerge w:val="restart"/>
            <w:tcBorders>
              <w:top w:val="single" w:sz="4" w:space="0" w:color="606072"/>
              <w:left w:val="single" w:sz="4" w:space="0" w:color="606072"/>
              <w:right w:val="dotted" w:sz="4" w:space="0" w:color="606372" w:themeColor="text2"/>
            </w:tcBorders>
            <w:shd w:val="clear" w:color="auto" w:fill="DEDFE3" w:themeFill="text2" w:themeFillTint="33"/>
            <w:vAlign w:val="center"/>
          </w:tcPr>
          <w:p w14:paraId="1300DC0A" w14:textId="19DC450F" w:rsidR="005F3F40" w:rsidRPr="005060E0" w:rsidRDefault="005F3F40" w:rsidP="005F3F40">
            <w:pPr>
              <w:pStyle w:val="BodyText"/>
              <w:spacing w:after="0" w:line="240" w:lineRule="auto"/>
              <w:jc w:val="center"/>
              <w:rPr>
                <w:b w:val="0"/>
                <w:sz w:val="15"/>
                <w:szCs w:val="15"/>
              </w:rPr>
            </w:pPr>
            <w:r w:rsidRPr="005060E0">
              <w:rPr>
                <w:b w:val="0"/>
                <w:sz w:val="15"/>
                <w:szCs w:val="15"/>
              </w:rPr>
              <w:t xml:space="preserve">Rolling </w:t>
            </w:r>
            <w:r w:rsidR="00CD2F38">
              <w:rPr>
                <w:b w:val="0"/>
                <w:sz w:val="15"/>
                <w:szCs w:val="15"/>
              </w:rPr>
              <w:br/>
            </w:r>
            <w:r w:rsidRPr="005060E0">
              <w:rPr>
                <w:b w:val="0"/>
                <w:sz w:val="15"/>
                <w:szCs w:val="15"/>
              </w:rPr>
              <w:t>4-hour</w:t>
            </w:r>
          </w:p>
        </w:tc>
        <w:tc>
          <w:tcPr>
            <w:tcW w:w="977" w:type="dxa"/>
            <w:tcBorders>
              <w:top w:val="single" w:sz="4" w:space="0" w:color="606072"/>
              <w:left w:val="dotted" w:sz="4" w:space="0" w:color="606372" w:themeColor="text2"/>
              <w:bottom w:val="dotted" w:sz="4" w:space="0" w:color="606072"/>
              <w:right w:val="single" w:sz="4" w:space="0" w:color="606072"/>
            </w:tcBorders>
            <w:shd w:val="clear" w:color="auto" w:fill="DEDFE3" w:themeFill="text2" w:themeFillTint="33"/>
            <w:vAlign w:val="center"/>
          </w:tcPr>
          <w:p w14:paraId="23063284"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60</w:t>
            </w:r>
          </w:p>
        </w:tc>
        <w:tc>
          <w:tcPr>
            <w:tcW w:w="616" w:type="dxa"/>
            <w:tcBorders>
              <w:top w:val="single" w:sz="4" w:space="0" w:color="606072"/>
              <w:left w:val="single" w:sz="4" w:space="0" w:color="606072"/>
              <w:bottom w:val="dotted" w:sz="4" w:space="0" w:color="606072"/>
              <w:right w:val="dotted" w:sz="4" w:space="0" w:color="606072"/>
            </w:tcBorders>
            <w:shd w:val="clear" w:color="auto" w:fill="auto"/>
            <w:vAlign w:val="center"/>
          </w:tcPr>
          <w:p w14:paraId="3FCCC559"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6</w:t>
            </w:r>
          </w:p>
        </w:tc>
        <w:tc>
          <w:tcPr>
            <w:tcW w:w="631" w:type="dxa"/>
            <w:tcBorders>
              <w:top w:val="single" w:sz="4" w:space="0" w:color="606072"/>
              <w:left w:val="dotted" w:sz="4" w:space="0" w:color="606072"/>
              <w:bottom w:val="dotted" w:sz="4" w:space="0" w:color="606072"/>
              <w:right w:val="dotted" w:sz="4" w:space="0" w:color="606072"/>
            </w:tcBorders>
            <w:shd w:val="clear" w:color="auto" w:fill="auto"/>
            <w:vAlign w:val="center"/>
          </w:tcPr>
          <w:p w14:paraId="2DBBC78B" w14:textId="0F8C1031" w:rsidR="005F3F40" w:rsidRPr="005060E0" w:rsidRDefault="00812125"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3</w:t>
            </w:r>
          </w:p>
        </w:tc>
        <w:tc>
          <w:tcPr>
            <w:tcW w:w="631" w:type="dxa"/>
            <w:tcBorders>
              <w:top w:val="single" w:sz="4" w:space="0" w:color="606072"/>
              <w:left w:val="dotted" w:sz="4" w:space="0" w:color="606072"/>
              <w:bottom w:val="dotted" w:sz="4" w:space="0" w:color="606072"/>
              <w:right w:val="dotted" w:sz="4" w:space="0" w:color="606072"/>
            </w:tcBorders>
            <w:shd w:val="clear" w:color="auto" w:fill="auto"/>
            <w:vAlign w:val="center"/>
          </w:tcPr>
          <w:p w14:paraId="17E2DBAB" w14:textId="16AEF1D7" w:rsidR="005F3F40" w:rsidRPr="005060E0" w:rsidRDefault="00812125"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3</w:t>
            </w:r>
          </w:p>
        </w:tc>
        <w:tc>
          <w:tcPr>
            <w:tcW w:w="632" w:type="dxa"/>
            <w:tcBorders>
              <w:top w:val="single" w:sz="4" w:space="0" w:color="606072"/>
              <w:left w:val="dotted" w:sz="4" w:space="0" w:color="606072"/>
              <w:bottom w:val="dotted" w:sz="4" w:space="0" w:color="606072"/>
              <w:right w:val="single" w:sz="4" w:space="0" w:color="606072"/>
            </w:tcBorders>
            <w:shd w:val="clear" w:color="auto" w:fill="auto"/>
            <w:vAlign w:val="center"/>
          </w:tcPr>
          <w:p w14:paraId="7511DD20" w14:textId="14E13307" w:rsidR="005F3F40" w:rsidRPr="005060E0" w:rsidRDefault="00812125"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3</w:t>
            </w:r>
          </w:p>
        </w:tc>
        <w:tc>
          <w:tcPr>
            <w:tcW w:w="633" w:type="dxa"/>
            <w:gridSpan w:val="2"/>
            <w:tcBorders>
              <w:top w:val="single" w:sz="4" w:space="0" w:color="606072"/>
              <w:left w:val="single" w:sz="4" w:space="0" w:color="606072"/>
              <w:bottom w:val="dotted" w:sz="4" w:space="0" w:color="606072"/>
              <w:right w:val="dotted" w:sz="4" w:space="0" w:color="606072"/>
            </w:tcBorders>
            <w:shd w:val="clear" w:color="auto" w:fill="auto"/>
            <w:vAlign w:val="center"/>
          </w:tcPr>
          <w:p w14:paraId="495D02B2"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3</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103D3A10"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3</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17E931A9"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3</w:t>
            </w:r>
          </w:p>
        </w:tc>
        <w:tc>
          <w:tcPr>
            <w:tcW w:w="633" w:type="dxa"/>
            <w:tcBorders>
              <w:top w:val="single" w:sz="4" w:space="0" w:color="606072"/>
              <w:left w:val="dotted" w:sz="4" w:space="0" w:color="606072"/>
              <w:bottom w:val="dotted" w:sz="4" w:space="0" w:color="606072"/>
              <w:right w:val="single" w:sz="4" w:space="0" w:color="606072"/>
            </w:tcBorders>
            <w:shd w:val="clear" w:color="auto" w:fill="auto"/>
            <w:vAlign w:val="center"/>
          </w:tcPr>
          <w:p w14:paraId="6822DC8F" w14:textId="23F88677" w:rsidR="005F3F40" w:rsidRPr="005060E0" w:rsidRDefault="00812125"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3</w:t>
            </w:r>
          </w:p>
        </w:tc>
      </w:tr>
      <w:tr w:rsidR="00BF7BF2" w:rsidRPr="005060E0" w14:paraId="2D736023" w14:textId="77777777" w:rsidTr="00812125">
        <w:trPr>
          <w:gridAfter w:val="1"/>
          <w:cnfStyle w:val="000000100000" w:firstRow="0" w:lastRow="0" w:firstColumn="0" w:lastColumn="0" w:oddVBand="0" w:evenVBand="0" w:oddHBand="1" w:evenHBand="0" w:firstRowFirstColumn="0" w:firstRowLastColumn="0" w:lastRowFirstColumn="0" w:lastRowLastColumn="0"/>
          <w:wAfter w:w="8"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851" w:type="dxa"/>
            <w:vMerge/>
            <w:tcBorders>
              <w:left w:val="single" w:sz="4" w:space="0" w:color="606072"/>
              <w:right w:val="dotted" w:sz="4" w:space="0" w:color="606372" w:themeColor="text2"/>
            </w:tcBorders>
            <w:shd w:val="clear" w:color="auto" w:fill="DEDFE3" w:themeFill="text2" w:themeFillTint="33"/>
            <w:vAlign w:val="center"/>
          </w:tcPr>
          <w:p w14:paraId="35E18548" w14:textId="77777777" w:rsidR="005F3F40" w:rsidRPr="005060E0" w:rsidRDefault="005F3F40" w:rsidP="005F3F40">
            <w:pPr>
              <w:pStyle w:val="BodyText"/>
              <w:spacing w:after="0" w:line="240" w:lineRule="auto"/>
              <w:jc w:val="center"/>
              <w:rPr>
                <w:b w:val="0"/>
                <w:sz w:val="15"/>
                <w:szCs w:val="15"/>
              </w:rPr>
            </w:pPr>
          </w:p>
        </w:tc>
        <w:tc>
          <w:tcPr>
            <w:tcW w:w="977" w:type="dxa"/>
            <w:tcBorders>
              <w:top w:val="dotted" w:sz="4" w:space="0" w:color="606072"/>
              <w:left w:val="dotted" w:sz="4" w:space="0" w:color="606372" w:themeColor="text2"/>
              <w:bottom w:val="dotted" w:sz="4" w:space="0" w:color="808080" w:themeColor="background1" w:themeShade="80"/>
              <w:right w:val="single" w:sz="4" w:space="0" w:color="606072"/>
            </w:tcBorders>
            <w:shd w:val="clear" w:color="auto" w:fill="DEDFE3" w:themeFill="text2" w:themeFillTint="33"/>
            <w:vAlign w:val="center"/>
          </w:tcPr>
          <w:p w14:paraId="27C2EE7A" w14:textId="77777777" w:rsidR="005F3F40" w:rsidRPr="005060E0" w:rsidRDefault="005F3F40"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70</w:t>
            </w:r>
          </w:p>
        </w:tc>
        <w:tc>
          <w:tcPr>
            <w:tcW w:w="616" w:type="dxa"/>
            <w:tcBorders>
              <w:top w:val="dotted" w:sz="4" w:space="0" w:color="606072"/>
              <w:left w:val="single" w:sz="4" w:space="0" w:color="606072"/>
              <w:bottom w:val="dotted" w:sz="4" w:space="0" w:color="606072"/>
              <w:right w:val="dotted" w:sz="4" w:space="0" w:color="606072"/>
            </w:tcBorders>
            <w:shd w:val="clear" w:color="auto" w:fill="auto"/>
            <w:vAlign w:val="center"/>
          </w:tcPr>
          <w:p w14:paraId="7C43978E" w14:textId="6934948F"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481A2F9A" w14:textId="66E87CB4"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2FA0FB17" w14:textId="5B52AE49"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dotted" w:sz="4" w:space="0" w:color="606072"/>
              <w:right w:val="single" w:sz="4" w:space="0" w:color="606072"/>
            </w:tcBorders>
            <w:shd w:val="clear" w:color="auto" w:fill="auto"/>
            <w:vAlign w:val="center"/>
          </w:tcPr>
          <w:p w14:paraId="4DCD7A85" w14:textId="0ECA7E8A"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3" w:type="dxa"/>
            <w:gridSpan w:val="2"/>
            <w:tcBorders>
              <w:top w:val="dotted" w:sz="4" w:space="0" w:color="606072"/>
              <w:left w:val="single" w:sz="4" w:space="0" w:color="606072"/>
              <w:bottom w:val="dotted" w:sz="4" w:space="0" w:color="606072"/>
              <w:right w:val="dotted" w:sz="4" w:space="0" w:color="606072"/>
            </w:tcBorders>
            <w:shd w:val="clear" w:color="auto" w:fill="auto"/>
            <w:vAlign w:val="center"/>
          </w:tcPr>
          <w:p w14:paraId="5EE22000" w14:textId="77777777" w:rsidR="005F3F40" w:rsidRPr="005060E0" w:rsidRDefault="005F3F40"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3</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23F2781E" w14:textId="263FA17C" w:rsidR="005F3F40" w:rsidRPr="005060E0" w:rsidRDefault="00812125"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3</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27F6E1C1" w14:textId="78BBE5BE" w:rsidR="005F3F40" w:rsidRPr="005060E0" w:rsidRDefault="00812125"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3</w:t>
            </w:r>
          </w:p>
        </w:tc>
        <w:tc>
          <w:tcPr>
            <w:tcW w:w="633" w:type="dxa"/>
            <w:tcBorders>
              <w:top w:val="dotted" w:sz="4" w:space="0" w:color="606072"/>
              <w:left w:val="dotted" w:sz="4" w:space="0" w:color="606072"/>
              <w:bottom w:val="dotted" w:sz="4" w:space="0" w:color="606072"/>
              <w:right w:val="single" w:sz="4" w:space="0" w:color="606072"/>
            </w:tcBorders>
            <w:shd w:val="clear" w:color="auto" w:fill="auto"/>
            <w:vAlign w:val="center"/>
          </w:tcPr>
          <w:p w14:paraId="453F6E32" w14:textId="34E92A38" w:rsidR="005F3F40" w:rsidRPr="005060E0" w:rsidRDefault="00812125"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3</w:t>
            </w:r>
          </w:p>
        </w:tc>
      </w:tr>
      <w:tr w:rsidR="007F77AB" w:rsidRPr="005060E0" w14:paraId="5DCD1BAE" w14:textId="77777777" w:rsidTr="005519A4">
        <w:trPr>
          <w:gridAfter w:val="1"/>
          <w:wAfter w:w="8"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851" w:type="dxa"/>
            <w:vMerge/>
            <w:tcBorders>
              <w:left w:val="single" w:sz="4" w:space="0" w:color="606072"/>
              <w:bottom w:val="single" w:sz="4" w:space="0" w:color="606072"/>
              <w:right w:val="dotted" w:sz="4" w:space="0" w:color="606372" w:themeColor="text2"/>
            </w:tcBorders>
            <w:shd w:val="clear" w:color="auto" w:fill="DEDFE3" w:themeFill="text2" w:themeFillTint="33"/>
            <w:vAlign w:val="center"/>
          </w:tcPr>
          <w:p w14:paraId="3E3BEEBD" w14:textId="77777777" w:rsidR="005F3F40" w:rsidRPr="005060E0" w:rsidRDefault="005F3F40" w:rsidP="005F3F40">
            <w:pPr>
              <w:pStyle w:val="BodyText"/>
              <w:spacing w:after="0" w:line="240" w:lineRule="auto"/>
              <w:jc w:val="center"/>
              <w:rPr>
                <w:b w:val="0"/>
                <w:sz w:val="15"/>
                <w:szCs w:val="15"/>
              </w:rPr>
            </w:pPr>
          </w:p>
        </w:tc>
        <w:tc>
          <w:tcPr>
            <w:tcW w:w="977" w:type="dxa"/>
            <w:tcBorders>
              <w:top w:val="dotted" w:sz="4" w:space="0" w:color="808080" w:themeColor="background1" w:themeShade="80"/>
              <w:left w:val="dotted" w:sz="4" w:space="0" w:color="606372" w:themeColor="text2"/>
              <w:bottom w:val="dotted" w:sz="4" w:space="0" w:color="606072"/>
              <w:right w:val="single" w:sz="4" w:space="0" w:color="606072"/>
            </w:tcBorders>
            <w:shd w:val="clear" w:color="auto" w:fill="D5E5FF"/>
            <w:vAlign w:val="center"/>
          </w:tcPr>
          <w:p w14:paraId="1C42A234"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80</w:t>
            </w:r>
          </w:p>
        </w:tc>
        <w:tc>
          <w:tcPr>
            <w:tcW w:w="616" w:type="dxa"/>
            <w:tcBorders>
              <w:top w:val="dotted" w:sz="4" w:space="0" w:color="606072"/>
              <w:left w:val="single" w:sz="4" w:space="0" w:color="606072"/>
              <w:bottom w:val="dotted" w:sz="4" w:space="0" w:color="606072"/>
              <w:right w:val="dotted" w:sz="4" w:space="0" w:color="606072"/>
            </w:tcBorders>
            <w:shd w:val="clear" w:color="auto" w:fill="D5E5FF"/>
            <w:vAlign w:val="center"/>
          </w:tcPr>
          <w:p w14:paraId="43555AB0" w14:textId="0ABB65AE"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1" w:type="dxa"/>
            <w:tcBorders>
              <w:top w:val="dotted" w:sz="4" w:space="0" w:color="606072"/>
              <w:left w:val="dotted" w:sz="4" w:space="0" w:color="606072"/>
              <w:bottom w:val="dotted" w:sz="4" w:space="0" w:color="606072"/>
              <w:right w:val="dotted" w:sz="4" w:space="0" w:color="606072"/>
            </w:tcBorders>
            <w:shd w:val="clear" w:color="auto" w:fill="D5E5FF"/>
            <w:vAlign w:val="center"/>
          </w:tcPr>
          <w:p w14:paraId="3C84FBD0" w14:textId="5D3A36C0"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1" w:type="dxa"/>
            <w:tcBorders>
              <w:top w:val="dotted" w:sz="4" w:space="0" w:color="606072"/>
              <w:left w:val="dotted" w:sz="4" w:space="0" w:color="606072"/>
              <w:bottom w:val="dotted" w:sz="4" w:space="0" w:color="606072"/>
              <w:right w:val="dotted" w:sz="4" w:space="0" w:color="606072"/>
            </w:tcBorders>
            <w:shd w:val="clear" w:color="auto" w:fill="D5E5FF"/>
            <w:vAlign w:val="center"/>
          </w:tcPr>
          <w:p w14:paraId="54BD274A" w14:textId="223A044F"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dotted" w:sz="4" w:space="0" w:color="606072"/>
              <w:right w:val="single" w:sz="4" w:space="0" w:color="606072"/>
            </w:tcBorders>
            <w:shd w:val="clear" w:color="auto" w:fill="D5E5FF"/>
            <w:vAlign w:val="center"/>
          </w:tcPr>
          <w:p w14:paraId="77991BB8" w14:textId="48AA2E21"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3" w:type="dxa"/>
            <w:gridSpan w:val="2"/>
            <w:tcBorders>
              <w:top w:val="dotted" w:sz="4" w:space="0" w:color="606072"/>
              <w:left w:val="single" w:sz="4" w:space="0" w:color="606072"/>
              <w:bottom w:val="dotted" w:sz="4" w:space="0" w:color="606072"/>
              <w:right w:val="dotted" w:sz="4" w:space="0" w:color="606072"/>
            </w:tcBorders>
            <w:shd w:val="clear" w:color="auto" w:fill="D5E5FF"/>
            <w:vAlign w:val="center"/>
          </w:tcPr>
          <w:p w14:paraId="47C959E1" w14:textId="1ADA76DA"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D5E5FF"/>
            <w:vAlign w:val="center"/>
          </w:tcPr>
          <w:p w14:paraId="1289E648" w14:textId="1F6B41F6"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dotted" w:sz="4" w:space="0" w:color="606072"/>
              <w:right w:val="dotted" w:sz="4" w:space="0" w:color="606072"/>
            </w:tcBorders>
            <w:shd w:val="clear" w:color="auto" w:fill="D5E5FF"/>
            <w:vAlign w:val="center"/>
          </w:tcPr>
          <w:p w14:paraId="4F540DF4" w14:textId="31B01E68"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3" w:type="dxa"/>
            <w:tcBorders>
              <w:top w:val="dotted" w:sz="4" w:space="0" w:color="606072"/>
              <w:left w:val="dotted" w:sz="4" w:space="0" w:color="606072"/>
              <w:bottom w:val="dotted" w:sz="4" w:space="0" w:color="606072"/>
              <w:right w:val="single" w:sz="4" w:space="0" w:color="606072"/>
            </w:tcBorders>
            <w:shd w:val="clear" w:color="auto" w:fill="D5E5FF"/>
            <w:vAlign w:val="center"/>
          </w:tcPr>
          <w:p w14:paraId="66A83383" w14:textId="18CDC186"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1B3859" w:rsidRPr="005060E0" w14:paraId="1C6555A1" w14:textId="77777777" w:rsidTr="001F63CF">
        <w:trPr>
          <w:gridAfter w:val="1"/>
          <w:cnfStyle w:val="000000100000" w:firstRow="0" w:lastRow="0" w:firstColumn="0" w:lastColumn="0" w:oddVBand="0" w:evenVBand="0" w:oddHBand="1" w:evenHBand="0" w:firstRowFirstColumn="0" w:firstRowLastColumn="0" w:lastRowFirstColumn="0" w:lastRowLastColumn="0"/>
          <w:wAfter w:w="8"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6868" w:type="dxa"/>
            <w:gridSpan w:val="11"/>
            <w:tcBorders>
              <w:top w:val="single" w:sz="4" w:space="0" w:color="606072"/>
              <w:left w:val="single" w:sz="4" w:space="0" w:color="606072"/>
              <w:right w:val="single" w:sz="4" w:space="0" w:color="606072"/>
            </w:tcBorders>
            <w:shd w:val="clear" w:color="auto" w:fill="BFBFBF" w:themeFill="background1" w:themeFillShade="BF"/>
            <w:vAlign w:val="center"/>
          </w:tcPr>
          <w:p w14:paraId="719280D5" w14:textId="2ACDE631" w:rsidR="001B3859" w:rsidRPr="005060E0" w:rsidRDefault="001B3859" w:rsidP="001B3859">
            <w:pPr>
              <w:pStyle w:val="BodyText"/>
              <w:spacing w:after="0" w:line="240" w:lineRule="auto"/>
              <w:rPr>
                <w:b w:val="0"/>
                <w:sz w:val="15"/>
                <w:szCs w:val="15"/>
              </w:rPr>
            </w:pPr>
            <w:r w:rsidRPr="005060E0">
              <w:rPr>
                <w:rFonts w:cs="Arial"/>
                <w:b w:val="0"/>
                <w:sz w:val="15"/>
                <w:szCs w:val="15"/>
              </w:rPr>
              <w:t>Total number of unique exceedance days</w:t>
            </w:r>
          </w:p>
        </w:tc>
      </w:tr>
      <w:tr w:rsidR="00BF7BF2" w:rsidRPr="005060E0" w14:paraId="72A1D9FB" w14:textId="77777777" w:rsidTr="001F63CF">
        <w:trPr>
          <w:gridAfter w:val="1"/>
          <w:wAfter w:w="8"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851" w:type="dxa"/>
            <w:vMerge w:val="restart"/>
            <w:tcBorders>
              <w:top w:val="single" w:sz="4" w:space="0" w:color="606072"/>
              <w:left w:val="single" w:sz="4" w:space="0" w:color="606072"/>
              <w:right w:val="dotted" w:sz="4" w:space="0" w:color="606372" w:themeColor="text2"/>
            </w:tcBorders>
            <w:shd w:val="clear" w:color="auto" w:fill="DEDFE3" w:themeFill="text2" w:themeFillTint="33"/>
            <w:vAlign w:val="center"/>
          </w:tcPr>
          <w:p w14:paraId="20ABBC0D" w14:textId="17119DB7" w:rsidR="005F3F40" w:rsidRPr="005060E0" w:rsidRDefault="005F3F40" w:rsidP="005F3F40">
            <w:pPr>
              <w:pStyle w:val="BodyText"/>
              <w:spacing w:after="0" w:line="240" w:lineRule="auto"/>
              <w:jc w:val="center"/>
              <w:rPr>
                <w:b w:val="0"/>
                <w:sz w:val="15"/>
                <w:szCs w:val="15"/>
              </w:rPr>
            </w:pPr>
            <w:r w:rsidRPr="005060E0">
              <w:rPr>
                <w:b w:val="0"/>
                <w:sz w:val="15"/>
                <w:szCs w:val="15"/>
              </w:rPr>
              <w:t xml:space="preserve">Rolling </w:t>
            </w:r>
            <w:r w:rsidR="00CD2F38">
              <w:rPr>
                <w:b w:val="0"/>
                <w:sz w:val="15"/>
                <w:szCs w:val="15"/>
              </w:rPr>
              <w:br/>
            </w:r>
            <w:r w:rsidRPr="005060E0">
              <w:rPr>
                <w:b w:val="0"/>
                <w:sz w:val="15"/>
                <w:szCs w:val="15"/>
              </w:rPr>
              <w:t>8-hour</w:t>
            </w:r>
          </w:p>
        </w:tc>
        <w:tc>
          <w:tcPr>
            <w:tcW w:w="977" w:type="dxa"/>
            <w:tcBorders>
              <w:top w:val="single" w:sz="4" w:space="0" w:color="606072"/>
              <w:left w:val="dotted" w:sz="4" w:space="0" w:color="606372" w:themeColor="text2"/>
              <w:bottom w:val="dotted" w:sz="4" w:space="0" w:color="606072"/>
              <w:right w:val="single" w:sz="4" w:space="0" w:color="606072"/>
            </w:tcBorders>
            <w:shd w:val="clear" w:color="auto" w:fill="DEDFE3" w:themeFill="text2" w:themeFillTint="33"/>
            <w:vAlign w:val="center"/>
          </w:tcPr>
          <w:p w14:paraId="775A1064"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47</w:t>
            </w:r>
          </w:p>
        </w:tc>
        <w:tc>
          <w:tcPr>
            <w:tcW w:w="616" w:type="dxa"/>
            <w:tcBorders>
              <w:top w:val="single" w:sz="4" w:space="0" w:color="606072"/>
              <w:left w:val="single" w:sz="4" w:space="0" w:color="606072"/>
              <w:bottom w:val="dotted" w:sz="4" w:space="0" w:color="606072"/>
              <w:right w:val="dotted" w:sz="4" w:space="0" w:color="606072"/>
            </w:tcBorders>
            <w:shd w:val="clear" w:color="auto" w:fill="auto"/>
            <w:vAlign w:val="center"/>
          </w:tcPr>
          <w:p w14:paraId="5533CC14" w14:textId="79C654A7" w:rsidR="005F3F40" w:rsidRPr="005060E0" w:rsidRDefault="00812125"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6</w:t>
            </w:r>
          </w:p>
        </w:tc>
        <w:tc>
          <w:tcPr>
            <w:tcW w:w="631" w:type="dxa"/>
            <w:tcBorders>
              <w:top w:val="single" w:sz="4" w:space="0" w:color="606072"/>
              <w:left w:val="dotted" w:sz="4" w:space="0" w:color="606072"/>
              <w:bottom w:val="dotted" w:sz="4" w:space="0" w:color="606072"/>
              <w:right w:val="dotted" w:sz="4" w:space="0" w:color="606072"/>
            </w:tcBorders>
            <w:shd w:val="clear" w:color="auto" w:fill="auto"/>
            <w:vAlign w:val="center"/>
          </w:tcPr>
          <w:p w14:paraId="3F290FEE" w14:textId="38C720A4" w:rsidR="005F3F40" w:rsidRPr="005060E0" w:rsidRDefault="001D58CF"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9</w:t>
            </w:r>
          </w:p>
        </w:tc>
        <w:tc>
          <w:tcPr>
            <w:tcW w:w="631" w:type="dxa"/>
            <w:tcBorders>
              <w:top w:val="single" w:sz="4" w:space="0" w:color="606072"/>
              <w:left w:val="dotted" w:sz="4" w:space="0" w:color="606072"/>
              <w:bottom w:val="dotted" w:sz="4" w:space="0" w:color="606072"/>
              <w:right w:val="dotted" w:sz="4" w:space="0" w:color="606072"/>
            </w:tcBorders>
            <w:shd w:val="clear" w:color="auto" w:fill="auto"/>
            <w:vAlign w:val="center"/>
          </w:tcPr>
          <w:p w14:paraId="2554F02F" w14:textId="7D41BBC6" w:rsidR="005F3F40" w:rsidRPr="005060E0" w:rsidRDefault="001D58CF"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6</w:t>
            </w:r>
          </w:p>
        </w:tc>
        <w:tc>
          <w:tcPr>
            <w:tcW w:w="632" w:type="dxa"/>
            <w:tcBorders>
              <w:top w:val="single" w:sz="4" w:space="0" w:color="606072"/>
              <w:left w:val="dotted" w:sz="4" w:space="0" w:color="606072"/>
              <w:bottom w:val="dotted" w:sz="4" w:space="0" w:color="606072"/>
              <w:right w:val="single" w:sz="4" w:space="0" w:color="606072"/>
            </w:tcBorders>
            <w:shd w:val="clear" w:color="auto" w:fill="auto"/>
            <w:vAlign w:val="center"/>
          </w:tcPr>
          <w:p w14:paraId="468F02EE" w14:textId="3177F41A" w:rsidR="005F3F40" w:rsidRPr="005060E0" w:rsidRDefault="001D58CF"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6</w:t>
            </w:r>
          </w:p>
        </w:tc>
        <w:tc>
          <w:tcPr>
            <w:tcW w:w="633" w:type="dxa"/>
            <w:gridSpan w:val="2"/>
            <w:tcBorders>
              <w:top w:val="single" w:sz="4" w:space="0" w:color="606072"/>
              <w:left w:val="single" w:sz="4" w:space="0" w:color="606072"/>
              <w:bottom w:val="dotted" w:sz="4" w:space="0" w:color="606072"/>
              <w:right w:val="dotted" w:sz="4" w:space="0" w:color="606072"/>
            </w:tcBorders>
            <w:shd w:val="clear" w:color="auto" w:fill="auto"/>
            <w:vAlign w:val="center"/>
          </w:tcPr>
          <w:p w14:paraId="777045B7"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9</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292F74D8" w14:textId="651D67B5" w:rsidR="005F3F40" w:rsidRPr="005060E0" w:rsidRDefault="00812125"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9</w:t>
            </w:r>
          </w:p>
        </w:tc>
        <w:tc>
          <w:tcPr>
            <w:tcW w:w="632" w:type="dxa"/>
            <w:tcBorders>
              <w:top w:val="single" w:sz="4" w:space="0" w:color="606072"/>
              <w:left w:val="dotted" w:sz="4" w:space="0" w:color="606072"/>
              <w:bottom w:val="dotted" w:sz="4" w:space="0" w:color="606072"/>
              <w:right w:val="dotted" w:sz="4" w:space="0" w:color="606072"/>
            </w:tcBorders>
            <w:shd w:val="clear" w:color="auto" w:fill="auto"/>
            <w:vAlign w:val="center"/>
          </w:tcPr>
          <w:p w14:paraId="1CA24395"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3</w:t>
            </w:r>
          </w:p>
        </w:tc>
        <w:tc>
          <w:tcPr>
            <w:tcW w:w="633" w:type="dxa"/>
            <w:tcBorders>
              <w:top w:val="single" w:sz="4" w:space="0" w:color="606072"/>
              <w:left w:val="dotted" w:sz="4" w:space="0" w:color="606072"/>
              <w:bottom w:val="dotted" w:sz="4" w:space="0" w:color="606072"/>
              <w:right w:val="single" w:sz="4" w:space="0" w:color="606072"/>
            </w:tcBorders>
            <w:shd w:val="clear" w:color="auto" w:fill="auto"/>
            <w:vAlign w:val="center"/>
          </w:tcPr>
          <w:p w14:paraId="18077F0D"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3</w:t>
            </w:r>
          </w:p>
        </w:tc>
      </w:tr>
      <w:tr w:rsidR="00BF7BF2" w:rsidRPr="005060E0" w14:paraId="374540BE" w14:textId="77777777" w:rsidTr="001F63CF">
        <w:trPr>
          <w:gridAfter w:val="1"/>
          <w:cnfStyle w:val="000000100000" w:firstRow="0" w:lastRow="0" w:firstColumn="0" w:lastColumn="0" w:oddVBand="0" w:evenVBand="0" w:oddHBand="1" w:evenHBand="0" w:firstRowFirstColumn="0" w:firstRowLastColumn="0" w:lastRowFirstColumn="0" w:lastRowLastColumn="0"/>
          <w:wAfter w:w="8"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851" w:type="dxa"/>
            <w:vMerge/>
            <w:tcBorders>
              <w:left w:val="single" w:sz="4" w:space="0" w:color="606072"/>
              <w:right w:val="dotted" w:sz="4" w:space="0" w:color="606372" w:themeColor="text2"/>
            </w:tcBorders>
            <w:shd w:val="clear" w:color="auto" w:fill="DEDFE3" w:themeFill="text2" w:themeFillTint="33"/>
            <w:vAlign w:val="center"/>
          </w:tcPr>
          <w:p w14:paraId="46345E3B" w14:textId="77777777" w:rsidR="005F3F40" w:rsidRPr="005060E0" w:rsidRDefault="005F3F40" w:rsidP="005F3F40">
            <w:pPr>
              <w:pStyle w:val="BodyText"/>
              <w:spacing w:after="0" w:line="240" w:lineRule="auto"/>
              <w:jc w:val="center"/>
              <w:rPr>
                <w:b w:val="0"/>
                <w:sz w:val="15"/>
                <w:szCs w:val="15"/>
              </w:rPr>
            </w:pPr>
          </w:p>
        </w:tc>
        <w:tc>
          <w:tcPr>
            <w:tcW w:w="977" w:type="dxa"/>
            <w:tcBorders>
              <w:top w:val="dotted" w:sz="4" w:space="0" w:color="606072"/>
              <w:left w:val="dotted" w:sz="4" w:space="0" w:color="606372" w:themeColor="text2"/>
              <w:bottom w:val="dotted" w:sz="4" w:space="0" w:color="606072"/>
              <w:right w:val="single" w:sz="4" w:space="0" w:color="606072"/>
            </w:tcBorders>
            <w:shd w:val="clear" w:color="auto" w:fill="DEDFE3" w:themeFill="text2" w:themeFillTint="33"/>
            <w:vAlign w:val="center"/>
          </w:tcPr>
          <w:p w14:paraId="620FD493" w14:textId="77777777" w:rsidR="005F3F40" w:rsidRPr="005060E0" w:rsidRDefault="005F3F40"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55</w:t>
            </w:r>
          </w:p>
        </w:tc>
        <w:tc>
          <w:tcPr>
            <w:tcW w:w="616" w:type="dxa"/>
            <w:tcBorders>
              <w:top w:val="dotted" w:sz="4" w:space="0" w:color="606072"/>
              <w:left w:val="single" w:sz="4" w:space="0" w:color="606072"/>
              <w:bottom w:val="dotted" w:sz="4" w:space="0" w:color="606072"/>
              <w:right w:val="dotted" w:sz="4" w:space="0" w:color="606072"/>
            </w:tcBorders>
            <w:shd w:val="clear" w:color="auto" w:fill="auto"/>
            <w:vAlign w:val="center"/>
          </w:tcPr>
          <w:p w14:paraId="145AEEC3" w14:textId="500BC601" w:rsidR="005F3F40" w:rsidRPr="005060E0" w:rsidRDefault="00812125"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3</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7F865CC4" w14:textId="235A4320" w:rsidR="005F3F40" w:rsidRPr="005060E0" w:rsidRDefault="001D58CF"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3</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60A1D8AB" w14:textId="332B0769"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dotted" w:sz="4" w:space="0" w:color="606072"/>
              <w:right w:val="single" w:sz="4" w:space="0" w:color="606072"/>
            </w:tcBorders>
            <w:shd w:val="clear" w:color="auto" w:fill="auto"/>
            <w:vAlign w:val="center"/>
          </w:tcPr>
          <w:p w14:paraId="3C01EF90" w14:textId="5D7AEBA6"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3" w:type="dxa"/>
            <w:gridSpan w:val="2"/>
            <w:tcBorders>
              <w:top w:val="dotted" w:sz="4" w:space="0" w:color="606072"/>
              <w:left w:val="single" w:sz="4" w:space="0" w:color="606072"/>
              <w:bottom w:val="dotted" w:sz="4" w:space="0" w:color="606072"/>
              <w:right w:val="dotted" w:sz="4" w:space="0" w:color="606072"/>
            </w:tcBorders>
            <w:shd w:val="clear" w:color="auto" w:fill="auto"/>
            <w:vAlign w:val="center"/>
          </w:tcPr>
          <w:p w14:paraId="3150402E" w14:textId="77777777" w:rsidR="005F3F40" w:rsidRPr="005060E0" w:rsidRDefault="005F3F40"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3</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6EBAE885" w14:textId="77777777" w:rsidR="005F3F40" w:rsidRPr="005060E0" w:rsidRDefault="005F3F40"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3</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13771EEB" w14:textId="77777777" w:rsidR="005F3F40" w:rsidRPr="005060E0" w:rsidRDefault="005F3F40"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3</w:t>
            </w:r>
          </w:p>
        </w:tc>
        <w:tc>
          <w:tcPr>
            <w:tcW w:w="633" w:type="dxa"/>
            <w:tcBorders>
              <w:top w:val="dotted" w:sz="4" w:space="0" w:color="606072"/>
              <w:left w:val="dotted" w:sz="4" w:space="0" w:color="606072"/>
              <w:bottom w:val="dotted" w:sz="4" w:space="0" w:color="606072"/>
              <w:right w:val="single" w:sz="4" w:space="0" w:color="606072"/>
            </w:tcBorders>
            <w:shd w:val="clear" w:color="auto" w:fill="auto"/>
            <w:vAlign w:val="center"/>
          </w:tcPr>
          <w:p w14:paraId="5BE9E6B9" w14:textId="77777777" w:rsidR="005F3F40" w:rsidRPr="005060E0" w:rsidRDefault="005F3F40"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3</w:t>
            </w:r>
          </w:p>
        </w:tc>
      </w:tr>
      <w:tr w:rsidR="00BF7BF2" w:rsidRPr="005060E0" w14:paraId="004EDB4B" w14:textId="77777777" w:rsidTr="001F63CF">
        <w:trPr>
          <w:gridAfter w:val="1"/>
          <w:wAfter w:w="8"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851" w:type="dxa"/>
            <w:vMerge/>
            <w:tcBorders>
              <w:left w:val="single" w:sz="4" w:space="0" w:color="606072"/>
              <w:right w:val="dotted" w:sz="4" w:space="0" w:color="606372" w:themeColor="text2"/>
            </w:tcBorders>
            <w:shd w:val="clear" w:color="auto" w:fill="DEDFE3" w:themeFill="text2" w:themeFillTint="33"/>
            <w:vAlign w:val="center"/>
          </w:tcPr>
          <w:p w14:paraId="76D18453" w14:textId="77777777" w:rsidR="005F3F40" w:rsidRPr="005060E0" w:rsidRDefault="005F3F40" w:rsidP="005F3F40">
            <w:pPr>
              <w:pStyle w:val="BodyText"/>
              <w:spacing w:after="0" w:line="240" w:lineRule="auto"/>
              <w:jc w:val="center"/>
              <w:rPr>
                <w:b w:val="0"/>
                <w:sz w:val="15"/>
                <w:szCs w:val="15"/>
              </w:rPr>
            </w:pPr>
          </w:p>
        </w:tc>
        <w:tc>
          <w:tcPr>
            <w:tcW w:w="977" w:type="dxa"/>
            <w:tcBorders>
              <w:top w:val="dotted" w:sz="4" w:space="0" w:color="606072"/>
              <w:left w:val="dotted" w:sz="4" w:space="0" w:color="606372" w:themeColor="text2"/>
              <w:bottom w:val="dotted" w:sz="4" w:space="0" w:color="606072"/>
              <w:right w:val="single" w:sz="4" w:space="0" w:color="606072"/>
            </w:tcBorders>
            <w:shd w:val="clear" w:color="auto" w:fill="DEDFE3" w:themeFill="text2" w:themeFillTint="33"/>
            <w:vAlign w:val="center"/>
          </w:tcPr>
          <w:p w14:paraId="5ECE530B"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60</w:t>
            </w:r>
          </w:p>
        </w:tc>
        <w:tc>
          <w:tcPr>
            <w:tcW w:w="616" w:type="dxa"/>
            <w:tcBorders>
              <w:top w:val="dotted" w:sz="4" w:space="0" w:color="606072"/>
              <w:left w:val="single" w:sz="4" w:space="0" w:color="606072"/>
              <w:bottom w:val="dotted" w:sz="4" w:space="0" w:color="606072"/>
              <w:right w:val="dotted" w:sz="4" w:space="0" w:color="606072"/>
            </w:tcBorders>
            <w:shd w:val="clear" w:color="auto" w:fill="auto"/>
            <w:vAlign w:val="center"/>
          </w:tcPr>
          <w:p w14:paraId="2C54C69B" w14:textId="0B9DEF88"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4B53FA94" w14:textId="5DB5F2AA" w:rsidR="005F3F40" w:rsidRPr="005060E0" w:rsidRDefault="001D58CF"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3</w:t>
            </w:r>
          </w:p>
        </w:tc>
        <w:tc>
          <w:tcPr>
            <w:tcW w:w="631" w:type="dxa"/>
            <w:tcBorders>
              <w:top w:val="dotted" w:sz="4" w:space="0" w:color="606072"/>
              <w:left w:val="dotted" w:sz="4" w:space="0" w:color="606072"/>
              <w:bottom w:val="dotted" w:sz="4" w:space="0" w:color="606072"/>
              <w:right w:val="dotted" w:sz="4" w:space="0" w:color="606072"/>
            </w:tcBorders>
            <w:shd w:val="clear" w:color="auto" w:fill="auto"/>
            <w:vAlign w:val="center"/>
          </w:tcPr>
          <w:p w14:paraId="6FC0EA89" w14:textId="67B2E560"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dotted" w:sz="4" w:space="0" w:color="606072"/>
              <w:right w:val="single" w:sz="4" w:space="0" w:color="606072"/>
            </w:tcBorders>
            <w:shd w:val="clear" w:color="auto" w:fill="auto"/>
            <w:vAlign w:val="center"/>
          </w:tcPr>
          <w:p w14:paraId="56F283C0" w14:textId="5D10A263"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3" w:type="dxa"/>
            <w:gridSpan w:val="2"/>
            <w:tcBorders>
              <w:top w:val="dotted" w:sz="4" w:space="0" w:color="606072"/>
              <w:left w:val="single" w:sz="4" w:space="0" w:color="606072"/>
              <w:bottom w:val="dotted" w:sz="4" w:space="0" w:color="606072"/>
              <w:right w:val="dotted" w:sz="4" w:space="0" w:color="606072"/>
            </w:tcBorders>
            <w:shd w:val="clear" w:color="auto" w:fill="auto"/>
            <w:vAlign w:val="center"/>
          </w:tcPr>
          <w:p w14:paraId="30B551DD"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3</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37126174" w14:textId="77777777" w:rsidR="005F3F40" w:rsidRPr="005060E0" w:rsidRDefault="005F3F40"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sidRPr="005060E0">
              <w:rPr>
                <w:sz w:val="15"/>
                <w:szCs w:val="15"/>
              </w:rPr>
              <w:t>3</w:t>
            </w:r>
          </w:p>
        </w:tc>
        <w:tc>
          <w:tcPr>
            <w:tcW w:w="632" w:type="dxa"/>
            <w:tcBorders>
              <w:top w:val="dotted" w:sz="4" w:space="0" w:color="606072"/>
              <w:left w:val="dotted" w:sz="4" w:space="0" w:color="606072"/>
              <w:bottom w:val="dotted" w:sz="4" w:space="0" w:color="606072"/>
              <w:right w:val="dotted" w:sz="4" w:space="0" w:color="606072"/>
            </w:tcBorders>
            <w:shd w:val="clear" w:color="auto" w:fill="auto"/>
            <w:vAlign w:val="center"/>
          </w:tcPr>
          <w:p w14:paraId="573174A2" w14:textId="48C92AE7"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c>
          <w:tcPr>
            <w:tcW w:w="633" w:type="dxa"/>
            <w:tcBorders>
              <w:top w:val="dotted" w:sz="4" w:space="0" w:color="606072"/>
              <w:left w:val="dotted" w:sz="4" w:space="0" w:color="606072"/>
              <w:bottom w:val="dotted" w:sz="4" w:space="0" w:color="606072"/>
              <w:right w:val="single" w:sz="4" w:space="0" w:color="606072"/>
            </w:tcBorders>
            <w:shd w:val="clear" w:color="auto" w:fill="auto"/>
            <w:vAlign w:val="center"/>
          </w:tcPr>
          <w:p w14:paraId="1F544E5C" w14:textId="080E8D41" w:rsidR="005F3F40" w:rsidRPr="005060E0" w:rsidRDefault="00E00FC4" w:rsidP="005F3F40">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BF7BF2" w:rsidRPr="005060E0" w14:paraId="41892350" w14:textId="77777777" w:rsidTr="001F63CF">
        <w:trPr>
          <w:gridAfter w:val="1"/>
          <w:cnfStyle w:val="000000100000" w:firstRow="0" w:lastRow="0" w:firstColumn="0" w:lastColumn="0" w:oddVBand="0" w:evenVBand="0" w:oddHBand="1" w:evenHBand="0" w:firstRowFirstColumn="0" w:firstRowLastColumn="0" w:lastRowFirstColumn="0" w:lastRowLastColumn="0"/>
          <w:wAfter w:w="8" w:type="dxa"/>
          <w:trHeight w:hRule="exact" w:val="227"/>
          <w:jc w:val="center"/>
        </w:trPr>
        <w:tc>
          <w:tcPr>
            <w:cnfStyle w:val="001000000000" w:firstRow="0" w:lastRow="0" w:firstColumn="1" w:lastColumn="0" w:oddVBand="0" w:evenVBand="0" w:oddHBand="0" w:evenHBand="0" w:firstRowFirstColumn="0" w:firstRowLastColumn="0" w:lastRowFirstColumn="0" w:lastRowLastColumn="0"/>
            <w:tcW w:w="851" w:type="dxa"/>
            <w:vMerge/>
            <w:tcBorders>
              <w:left w:val="single" w:sz="4" w:space="0" w:color="606072"/>
              <w:bottom w:val="single" w:sz="4" w:space="0" w:color="606072"/>
              <w:right w:val="dotted" w:sz="4" w:space="0" w:color="606372" w:themeColor="text2"/>
            </w:tcBorders>
            <w:shd w:val="clear" w:color="auto" w:fill="DEDFE3" w:themeFill="text2" w:themeFillTint="33"/>
            <w:vAlign w:val="center"/>
          </w:tcPr>
          <w:p w14:paraId="6C3F84BD" w14:textId="77777777" w:rsidR="005F3F40" w:rsidRPr="005060E0" w:rsidRDefault="005F3F40" w:rsidP="005F3F40">
            <w:pPr>
              <w:pStyle w:val="BodyText"/>
              <w:spacing w:after="0" w:line="240" w:lineRule="auto"/>
              <w:jc w:val="center"/>
              <w:rPr>
                <w:sz w:val="15"/>
                <w:szCs w:val="15"/>
              </w:rPr>
            </w:pPr>
          </w:p>
        </w:tc>
        <w:tc>
          <w:tcPr>
            <w:tcW w:w="977" w:type="dxa"/>
            <w:tcBorders>
              <w:top w:val="dotted" w:sz="4" w:space="0" w:color="606072"/>
              <w:left w:val="dotted" w:sz="4" w:space="0" w:color="606372" w:themeColor="text2"/>
              <w:bottom w:val="single" w:sz="4" w:space="0" w:color="606072"/>
              <w:right w:val="single" w:sz="4" w:space="0" w:color="606072"/>
            </w:tcBorders>
            <w:shd w:val="clear" w:color="auto" w:fill="DEDFE3" w:themeFill="text2" w:themeFillTint="33"/>
            <w:vAlign w:val="center"/>
          </w:tcPr>
          <w:p w14:paraId="5BD44537" w14:textId="77777777" w:rsidR="005F3F40" w:rsidRPr="005060E0" w:rsidRDefault="005F3F40"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sidRPr="005060E0">
              <w:rPr>
                <w:sz w:val="15"/>
                <w:szCs w:val="15"/>
              </w:rPr>
              <w:t>70</w:t>
            </w:r>
          </w:p>
        </w:tc>
        <w:tc>
          <w:tcPr>
            <w:tcW w:w="616" w:type="dxa"/>
            <w:tcBorders>
              <w:top w:val="dotted" w:sz="4" w:space="0" w:color="606072"/>
              <w:left w:val="single" w:sz="4" w:space="0" w:color="606072"/>
              <w:bottom w:val="single" w:sz="4" w:space="0" w:color="606072"/>
              <w:right w:val="dotted" w:sz="4" w:space="0" w:color="606072"/>
            </w:tcBorders>
            <w:shd w:val="clear" w:color="auto" w:fill="auto"/>
            <w:vAlign w:val="center"/>
          </w:tcPr>
          <w:p w14:paraId="79702F43" w14:textId="0C1E3F0C"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1" w:type="dxa"/>
            <w:tcBorders>
              <w:top w:val="dotted" w:sz="4" w:space="0" w:color="606072"/>
              <w:left w:val="dotted" w:sz="4" w:space="0" w:color="606072"/>
              <w:bottom w:val="single" w:sz="4" w:space="0" w:color="606072"/>
              <w:right w:val="dotted" w:sz="4" w:space="0" w:color="606072"/>
            </w:tcBorders>
            <w:shd w:val="clear" w:color="auto" w:fill="auto"/>
            <w:vAlign w:val="center"/>
          </w:tcPr>
          <w:p w14:paraId="5FD206D6" w14:textId="70A170FF"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1" w:type="dxa"/>
            <w:tcBorders>
              <w:top w:val="dotted" w:sz="4" w:space="0" w:color="606072"/>
              <w:left w:val="dotted" w:sz="4" w:space="0" w:color="606072"/>
              <w:bottom w:val="single" w:sz="4" w:space="0" w:color="606072"/>
              <w:right w:val="dotted" w:sz="4" w:space="0" w:color="606072"/>
            </w:tcBorders>
            <w:shd w:val="clear" w:color="auto" w:fill="auto"/>
            <w:vAlign w:val="center"/>
          </w:tcPr>
          <w:p w14:paraId="175D365B" w14:textId="43652D10"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single" w:sz="4" w:space="0" w:color="606072"/>
              <w:right w:val="single" w:sz="4" w:space="0" w:color="606072"/>
            </w:tcBorders>
            <w:shd w:val="clear" w:color="auto" w:fill="auto"/>
            <w:vAlign w:val="center"/>
          </w:tcPr>
          <w:p w14:paraId="6DFB0923" w14:textId="617C9E4E"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3" w:type="dxa"/>
            <w:gridSpan w:val="2"/>
            <w:tcBorders>
              <w:top w:val="dotted" w:sz="4" w:space="0" w:color="606072"/>
              <w:left w:val="single" w:sz="4" w:space="0" w:color="606072"/>
              <w:bottom w:val="single" w:sz="4" w:space="0" w:color="606072"/>
              <w:right w:val="dotted" w:sz="4" w:space="0" w:color="606072"/>
            </w:tcBorders>
            <w:shd w:val="clear" w:color="auto" w:fill="auto"/>
            <w:vAlign w:val="center"/>
          </w:tcPr>
          <w:p w14:paraId="529A79E0" w14:textId="085BD8F8"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single" w:sz="4" w:space="0" w:color="606072"/>
              <w:right w:val="dotted" w:sz="4" w:space="0" w:color="606072"/>
            </w:tcBorders>
            <w:shd w:val="clear" w:color="auto" w:fill="auto"/>
            <w:vAlign w:val="center"/>
          </w:tcPr>
          <w:p w14:paraId="0B427173" w14:textId="6707B1B6"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2" w:type="dxa"/>
            <w:tcBorders>
              <w:top w:val="dotted" w:sz="4" w:space="0" w:color="606072"/>
              <w:left w:val="dotted" w:sz="4" w:space="0" w:color="606072"/>
              <w:bottom w:val="single" w:sz="4" w:space="0" w:color="606072"/>
              <w:right w:val="dotted" w:sz="4" w:space="0" w:color="606072"/>
            </w:tcBorders>
            <w:shd w:val="clear" w:color="auto" w:fill="auto"/>
            <w:vAlign w:val="center"/>
          </w:tcPr>
          <w:p w14:paraId="0F0711E9" w14:textId="1451486A"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c>
          <w:tcPr>
            <w:tcW w:w="633" w:type="dxa"/>
            <w:tcBorders>
              <w:top w:val="dotted" w:sz="4" w:space="0" w:color="606072"/>
              <w:left w:val="dotted" w:sz="4" w:space="0" w:color="606072"/>
              <w:bottom w:val="single" w:sz="4" w:space="0" w:color="606072"/>
              <w:right w:val="single" w:sz="4" w:space="0" w:color="606072"/>
            </w:tcBorders>
            <w:shd w:val="clear" w:color="auto" w:fill="auto"/>
            <w:vAlign w:val="center"/>
          </w:tcPr>
          <w:p w14:paraId="1D46D5EA" w14:textId="6044C2DF" w:rsidR="005F3F40" w:rsidRPr="005060E0" w:rsidRDefault="00E00FC4" w:rsidP="005F3F40">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t>
            </w:r>
          </w:p>
        </w:tc>
      </w:tr>
    </w:tbl>
    <w:p w14:paraId="451C7B78" w14:textId="77777777" w:rsidR="005F3F40" w:rsidRPr="005060E0" w:rsidRDefault="005F3F40" w:rsidP="005F3F40">
      <w:pPr>
        <w:rPr>
          <w:rFonts w:cs="Arial"/>
        </w:rPr>
        <w:sectPr w:rsidR="005F3F40" w:rsidRPr="005060E0" w:rsidSect="006228DD">
          <w:headerReference w:type="default" r:id="rId40"/>
          <w:footerReference w:type="default" r:id="rId41"/>
          <w:pgSz w:w="16838" w:h="11906" w:orient="landscape" w:code="9"/>
          <w:pgMar w:top="1440" w:right="1440" w:bottom="1440" w:left="1276" w:header="709" w:footer="4" w:gutter="0"/>
          <w:cols w:space="255"/>
          <w:docGrid w:linePitch="360"/>
        </w:sectPr>
      </w:pPr>
    </w:p>
    <w:p w14:paraId="3950F9DF" w14:textId="4A0FF5B9" w:rsidR="00E90504" w:rsidRPr="005060E0" w:rsidRDefault="00E90504" w:rsidP="00E90504">
      <w:pPr>
        <w:spacing w:after="120"/>
      </w:pPr>
      <w:r w:rsidRPr="005060E0">
        <w:t>The comparison between the historical measurements and the future predictions in the BAU scenario indicated that the models were generally underestimating the numbers of exceedances for O</w:t>
      </w:r>
      <w:r w:rsidRPr="005060E0">
        <w:rPr>
          <w:vertAlign w:val="subscript"/>
        </w:rPr>
        <w:t>3</w:t>
      </w:r>
      <w:r w:rsidRPr="005060E0">
        <w:t xml:space="preserve"> in NSW, and overestimating exceedances in the Latrobe Valley. It appears that O</w:t>
      </w:r>
      <w:r w:rsidRPr="005060E0">
        <w:rPr>
          <w:vertAlign w:val="subscript"/>
        </w:rPr>
        <w:t>3</w:t>
      </w:r>
      <w:r w:rsidRPr="005060E0">
        <w:t xml:space="preserve"> exceedances in the Port Phillip Region were reasonably well predicted.</w:t>
      </w:r>
    </w:p>
    <w:p w14:paraId="2FE19125" w14:textId="24F48C93" w:rsidR="001465C8" w:rsidRPr="00E00FC4" w:rsidRDefault="001465C8" w:rsidP="001465C8">
      <w:r w:rsidRPr="005060E0">
        <w:rPr>
          <w:rFonts w:cs="Arial"/>
        </w:rPr>
        <w:t>It is worth repeating that the processes of O</w:t>
      </w:r>
      <w:r w:rsidRPr="005060E0">
        <w:rPr>
          <w:rFonts w:cs="Arial"/>
          <w:vertAlign w:val="subscript"/>
        </w:rPr>
        <w:t>3</w:t>
      </w:r>
      <w:r w:rsidRPr="005060E0">
        <w:rPr>
          <w:rFonts w:cs="Arial"/>
        </w:rPr>
        <w:t xml:space="preserve"> formation and removal are complex, and require detailed modelling. This was only possible for NSW and Victoria, and therefore for the other jurisdictions there were no projections of O</w:t>
      </w:r>
      <w:r w:rsidRPr="005060E0">
        <w:rPr>
          <w:rFonts w:cs="Arial"/>
          <w:vertAlign w:val="subscript"/>
        </w:rPr>
        <w:t>3</w:t>
      </w:r>
      <w:r w:rsidRPr="005060E0">
        <w:rPr>
          <w:rFonts w:cs="Arial"/>
        </w:rPr>
        <w:t xml:space="preserve"> concentrations and associated health outcomes (as well as monetised benefits).</w:t>
      </w:r>
      <w:r w:rsidR="007260A8" w:rsidRPr="005060E0">
        <w:rPr>
          <w:rFonts w:cs="Arial"/>
        </w:rPr>
        <w:t xml:space="preserve"> The modelling of ozone is also subject to uncertainty and, given it underestimated</w:t>
      </w:r>
      <w:r w:rsidRPr="005060E0">
        <w:rPr>
          <w:rFonts w:cs="Arial"/>
        </w:rPr>
        <w:t xml:space="preserve"> exceedances</w:t>
      </w:r>
      <w:r w:rsidR="007260A8" w:rsidRPr="005060E0">
        <w:rPr>
          <w:rFonts w:cs="Arial"/>
        </w:rPr>
        <w:t xml:space="preserve"> of standards</w:t>
      </w:r>
      <w:r w:rsidRPr="005060E0">
        <w:rPr>
          <w:rFonts w:cs="Arial"/>
        </w:rPr>
        <w:t xml:space="preserve"> i</w:t>
      </w:r>
      <w:r w:rsidR="007260A8" w:rsidRPr="005060E0">
        <w:rPr>
          <w:rFonts w:cs="Arial"/>
        </w:rPr>
        <w:t>n Sydney, on the whole</w:t>
      </w:r>
      <w:r w:rsidR="00E00FC4">
        <w:rPr>
          <w:rFonts w:cs="Arial"/>
        </w:rPr>
        <w:t>,</w:t>
      </w:r>
      <w:r w:rsidR="007260A8" w:rsidRPr="005060E0">
        <w:rPr>
          <w:rFonts w:cs="Arial"/>
        </w:rPr>
        <w:t xml:space="preserve"> greater weight should be given to the historical measurements than </w:t>
      </w:r>
      <w:r w:rsidR="00A303EE" w:rsidRPr="005060E0">
        <w:rPr>
          <w:rFonts w:cs="Arial"/>
        </w:rPr>
        <w:t xml:space="preserve">to </w:t>
      </w:r>
      <w:r w:rsidR="007260A8" w:rsidRPr="005060E0">
        <w:rPr>
          <w:rFonts w:cs="Arial"/>
        </w:rPr>
        <w:t>the future modelling when providing recommendations on possible new standards</w:t>
      </w:r>
      <w:r w:rsidRPr="005060E0">
        <w:rPr>
          <w:rFonts w:cs="Arial"/>
        </w:rPr>
        <w:t>.</w:t>
      </w:r>
    </w:p>
    <w:p w14:paraId="6D32E730" w14:textId="12D7F7B7" w:rsidR="005F3F40" w:rsidRPr="005060E0" w:rsidRDefault="005F3F40" w:rsidP="005F3F40">
      <w:pPr>
        <w:pStyle w:val="Heading3"/>
      </w:pPr>
      <w:bookmarkStart w:id="223" w:name="_Ref479183302"/>
      <w:bookmarkStart w:id="224" w:name="_Toc479858861"/>
      <w:bookmarkStart w:id="225" w:name="_Toc479858863"/>
      <w:r w:rsidRPr="005060E0">
        <w:t>Ozone and bushfires</w:t>
      </w:r>
      <w:bookmarkEnd w:id="223"/>
      <w:bookmarkEnd w:id="224"/>
    </w:p>
    <w:p w14:paraId="54DC014A" w14:textId="70B6E2A9" w:rsidR="005F3F40" w:rsidRPr="005060E0" w:rsidRDefault="005F3F40" w:rsidP="005F3F40">
      <w:pPr>
        <w:rPr>
          <w:rFonts w:eastAsia="Times New Roman"/>
        </w:rPr>
      </w:pPr>
      <w:r w:rsidRPr="005060E0">
        <w:t xml:space="preserve">Bushfire smoke is a complex mixture of particulate and gaseous pollutants. Smoke composition depends on many factors including the fuel type, moisture content, fire temperature, atmospheric conditions, the season, and age of the smoke. Bushfire smoke contains numerous chemicals, many with known adverse human health effects. Bushfires are a natural source of </w:t>
      </w:r>
      <w:r w:rsidR="005B3776" w:rsidRPr="005060E0">
        <w:t>O</w:t>
      </w:r>
      <w:r w:rsidR="005B3776" w:rsidRPr="005060E0">
        <w:rPr>
          <w:vertAlign w:val="subscript"/>
        </w:rPr>
        <w:t>3</w:t>
      </w:r>
      <w:r w:rsidRPr="005060E0">
        <w:t xml:space="preserve"> precursors (NO</w:t>
      </w:r>
      <w:r w:rsidRPr="005060E0">
        <w:rPr>
          <w:vertAlign w:val="subscript"/>
        </w:rPr>
        <w:t>x</w:t>
      </w:r>
      <w:r w:rsidRPr="005060E0">
        <w:t xml:space="preserve"> and VOCs) that can react to form </w:t>
      </w:r>
      <w:r w:rsidR="005B3776" w:rsidRPr="005060E0">
        <w:t>O</w:t>
      </w:r>
      <w:r w:rsidR="005B3776" w:rsidRPr="005060E0">
        <w:rPr>
          <w:vertAlign w:val="subscript"/>
        </w:rPr>
        <w:t>3</w:t>
      </w:r>
      <w:r w:rsidRPr="005060E0">
        <w:t xml:space="preserve"> at concentrations that exceed the current standards. Concentrations of the precursors within smoke plumes are sufficient to generate </w:t>
      </w:r>
      <w:r w:rsidR="00B27A58" w:rsidRPr="005060E0">
        <w:t>O</w:t>
      </w:r>
      <w:r w:rsidR="00B27A58" w:rsidRPr="005060E0">
        <w:rPr>
          <w:vertAlign w:val="subscript"/>
        </w:rPr>
        <w:t>3</w:t>
      </w:r>
      <w:r w:rsidR="00B27A58" w:rsidRPr="005060E0">
        <w:t xml:space="preserve"> and</w:t>
      </w:r>
      <w:r w:rsidRPr="005060E0">
        <w:t xml:space="preserve"> increase the concentration during the fire event.</w:t>
      </w:r>
    </w:p>
    <w:p w14:paraId="172A609B" w14:textId="224E7EBF" w:rsidR="005F3F40" w:rsidRPr="005060E0" w:rsidRDefault="005F3F40" w:rsidP="005F3F40">
      <w:pPr>
        <w:rPr>
          <w:rFonts w:eastAsia="Times New Roman"/>
        </w:rPr>
      </w:pPr>
      <w:r w:rsidRPr="005060E0">
        <w:t xml:space="preserve">The </w:t>
      </w:r>
      <w:r w:rsidR="005B3776" w:rsidRPr="005060E0">
        <w:t>O</w:t>
      </w:r>
      <w:r w:rsidR="005B3776" w:rsidRPr="005060E0">
        <w:rPr>
          <w:vertAlign w:val="subscript"/>
        </w:rPr>
        <w:t>3</w:t>
      </w:r>
      <w:r w:rsidRPr="005060E0">
        <w:t xml:space="preserve"> event may be further influenced by the presence of </w:t>
      </w:r>
      <w:r w:rsidRPr="005060E0">
        <w:rPr>
          <w:rFonts w:eastAsia="Times New Roman"/>
        </w:rPr>
        <w:t>emissions of precursor pollutants from industry, motor vehicles and domestic sources, in conjunction with favourable weather conditions for photochemical smog formation. The intersection of these event</w:t>
      </w:r>
      <w:r w:rsidR="00E00FC4">
        <w:rPr>
          <w:rFonts w:eastAsia="Times New Roman"/>
        </w:rPr>
        <w:t>s</w:t>
      </w:r>
      <w:r w:rsidRPr="005060E0">
        <w:rPr>
          <w:rFonts w:eastAsia="Times New Roman"/>
        </w:rPr>
        <w:t xml:space="preserve"> is more prevalent during the warmer summer months, and in early autumn and late spring when warm temperature conditions occur.</w:t>
      </w:r>
    </w:p>
    <w:p w14:paraId="4FC8E34A" w14:textId="119BB238" w:rsidR="005F3F40" w:rsidRPr="005060E0" w:rsidRDefault="005F3F40" w:rsidP="005F3F40">
      <w:pPr>
        <w:rPr>
          <w:rFonts w:eastAsia="Times New Roman"/>
        </w:rPr>
      </w:pPr>
      <w:r w:rsidRPr="005060E0">
        <w:t>Data analysis conducted by EPA</w:t>
      </w:r>
      <w:r w:rsidR="003E19FA" w:rsidRPr="005060E0">
        <w:t xml:space="preserve"> </w:t>
      </w:r>
      <w:r w:rsidRPr="005060E0">
        <w:t>V</w:t>
      </w:r>
      <w:r w:rsidR="003E19FA" w:rsidRPr="005060E0">
        <w:t>ictoria</w:t>
      </w:r>
      <w:r w:rsidRPr="005060E0">
        <w:t xml:space="preserve"> for this review shows that 35 </w:t>
      </w:r>
      <w:r w:rsidR="005B3776" w:rsidRPr="005060E0">
        <w:t>O</w:t>
      </w:r>
      <w:r w:rsidR="005B3776" w:rsidRPr="005060E0">
        <w:rPr>
          <w:vertAlign w:val="subscript"/>
        </w:rPr>
        <w:t>3</w:t>
      </w:r>
      <w:r w:rsidRPr="005060E0">
        <w:t xml:space="preserve"> events can be linked to a variety of fire events, during the period 2003</w:t>
      </w:r>
      <w:r w:rsidR="00DF4D3A" w:rsidRPr="005060E0">
        <w:t>–20</w:t>
      </w:r>
      <w:r w:rsidRPr="005060E0">
        <w:t xml:space="preserve">14. The events are summarised in </w:t>
      </w:r>
      <w:r w:rsidRPr="005060E0">
        <w:fldChar w:fldCharType="begin"/>
      </w:r>
      <w:r w:rsidRPr="005060E0">
        <w:instrText xml:space="preserve"> REF _Ref479106528 \h  \* MERGEFORMAT </w:instrText>
      </w:r>
      <w:r w:rsidRPr="005060E0">
        <w:fldChar w:fldCharType="separate"/>
      </w:r>
      <w:r w:rsidR="00F2067C" w:rsidRPr="005060E0">
        <w:t xml:space="preserve">Figure </w:t>
      </w:r>
      <w:r w:rsidR="00F2067C">
        <w:rPr>
          <w:noProof/>
        </w:rPr>
        <w:t>8</w:t>
      </w:r>
      <w:r w:rsidR="00F2067C" w:rsidRPr="005060E0">
        <w:rPr>
          <w:noProof/>
        </w:rPr>
        <w:noBreakHyphen/>
      </w:r>
      <w:r w:rsidR="00F2067C">
        <w:rPr>
          <w:noProof/>
        </w:rPr>
        <w:t>2</w:t>
      </w:r>
      <w:r w:rsidRPr="005060E0">
        <w:fldChar w:fldCharType="end"/>
      </w:r>
      <w:r w:rsidRPr="005060E0">
        <w:t xml:space="preserve">. </w:t>
      </w:r>
      <w:r w:rsidRPr="005060E0">
        <w:rPr>
          <w:rFonts w:eastAsia="Times New Roman"/>
        </w:rPr>
        <w:t>Exceedances of the O</w:t>
      </w:r>
      <w:r w:rsidRPr="005060E0">
        <w:rPr>
          <w:rFonts w:eastAsia="Times New Roman"/>
          <w:vertAlign w:val="subscript"/>
        </w:rPr>
        <w:t>3</w:t>
      </w:r>
      <w:r w:rsidRPr="005060E0">
        <w:rPr>
          <w:rFonts w:eastAsia="Times New Roman"/>
        </w:rPr>
        <w:t xml:space="preserve"> standards have occurred in all jurisdictions, including Queensland</w:t>
      </w:r>
      <w:r w:rsidR="00E00FC4">
        <w:rPr>
          <w:rFonts w:eastAsia="Times New Roman"/>
        </w:rPr>
        <w:t>;</w:t>
      </w:r>
      <w:r w:rsidRPr="005060E0">
        <w:rPr>
          <w:rFonts w:eastAsia="Times New Roman"/>
        </w:rPr>
        <w:t xml:space="preserve"> however</w:t>
      </w:r>
      <w:r w:rsidR="00E00FC4">
        <w:rPr>
          <w:rFonts w:eastAsia="Times New Roman"/>
        </w:rPr>
        <w:t>,</w:t>
      </w:r>
      <w:r w:rsidRPr="005060E0">
        <w:rPr>
          <w:rFonts w:eastAsia="Times New Roman"/>
        </w:rPr>
        <w:t xml:space="preserve"> the data was not provided and is not shown. </w:t>
      </w:r>
      <w:r w:rsidR="005B3776" w:rsidRPr="005060E0">
        <w:rPr>
          <w:rFonts w:eastAsia="Times New Roman"/>
        </w:rPr>
        <w:t>O</w:t>
      </w:r>
      <w:r w:rsidR="005B3776" w:rsidRPr="005060E0">
        <w:rPr>
          <w:rFonts w:eastAsia="Times New Roman"/>
          <w:vertAlign w:val="subscript"/>
        </w:rPr>
        <w:t>3</w:t>
      </w:r>
      <w:r w:rsidRPr="005060E0">
        <w:rPr>
          <w:rFonts w:eastAsia="Times New Roman"/>
        </w:rPr>
        <w:t xml:space="preserve"> related fire events have occurred in all but four of the years for </w:t>
      </w:r>
      <w:r w:rsidR="00E00FC4">
        <w:rPr>
          <w:rFonts w:eastAsia="Times New Roman"/>
        </w:rPr>
        <w:t>which</w:t>
      </w:r>
      <w:r w:rsidR="00E00FC4" w:rsidRPr="005060E0">
        <w:rPr>
          <w:rFonts w:eastAsia="Times New Roman"/>
        </w:rPr>
        <w:t xml:space="preserve"> </w:t>
      </w:r>
      <w:r w:rsidRPr="005060E0">
        <w:rPr>
          <w:rFonts w:eastAsia="Times New Roman"/>
        </w:rPr>
        <w:t xml:space="preserve">data </w:t>
      </w:r>
      <w:r w:rsidR="00E00FC4">
        <w:rPr>
          <w:rFonts w:eastAsia="Times New Roman"/>
        </w:rPr>
        <w:t>were</w:t>
      </w:r>
      <w:r w:rsidR="00E00FC4" w:rsidRPr="005060E0">
        <w:rPr>
          <w:rFonts w:eastAsia="Times New Roman"/>
        </w:rPr>
        <w:t xml:space="preserve"> </w:t>
      </w:r>
      <w:r w:rsidRPr="005060E0">
        <w:rPr>
          <w:rFonts w:eastAsia="Times New Roman"/>
        </w:rPr>
        <w:t>presented. It is reasonable to expect that most years going forward will present conditions suited to these events.</w:t>
      </w:r>
    </w:p>
    <w:p w14:paraId="2AD8C9A2" w14:textId="3CBE5604" w:rsidR="007260A8" w:rsidRPr="005060E0" w:rsidRDefault="007260A8" w:rsidP="007260A8">
      <w:pPr>
        <w:rPr>
          <w:rFonts w:cs="Arial"/>
        </w:rPr>
      </w:pPr>
      <w:r w:rsidRPr="005060E0">
        <w:rPr>
          <w:rFonts w:cs="Arial"/>
        </w:rPr>
        <w:t>Bushfires can have a significant impact on ozone exceedances in most jurisdictions.</w:t>
      </w:r>
      <w:r w:rsidRPr="005060E0">
        <w:t xml:space="preserve"> </w:t>
      </w:r>
      <w:r w:rsidRPr="005060E0">
        <w:rPr>
          <w:rFonts w:cs="Arial"/>
        </w:rPr>
        <w:t>In the NSW metropolitan region around 50</w:t>
      </w:r>
      <w:r w:rsidR="00C75B58">
        <w:rPr>
          <w:rFonts w:cs="Arial"/>
        </w:rPr>
        <w:t xml:space="preserve"> per cent</w:t>
      </w:r>
      <w:r w:rsidRPr="005060E0">
        <w:rPr>
          <w:rFonts w:cs="Arial"/>
        </w:rPr>
        <w:t xml:space="preserve"> of O</w:t>
      </w:r>
      <w:r w:rsidRPr="005060E0">
        <w:rPr>
          <w:rFonts w:cs="Arial"/>
          <w:vertAlign w:val="subscript"/>
        </w:rPr>
        <w:t>3</w:t>
      </w:r>
      <w:r w:rsidRPr="005060E0">
        <w:rPr>
          <w:rFonts w:cs="Arial"/>
        </w:rPr>
        <w:t xml:space="preserve"> standard breaches are due to bushfires. The United States has an exceptional events rule that permits exceedances of the O</w:t>
      </w:r>
      <w:r w:rsidRPr="005060E0">
        <w:rPr>
          <w:rFonts w:cs="Arial"/>
          <w:vertAlign w:val="subscript"/>
        </w:rPr>
        <w:t>3</w:t>
      </w:r>
      <w:r w:rsidRPr="005060E0">
        <w:rPr>
          <w:rFonts w:cs="Arial"/>
        </w:rPr>
        <w:t xml:space="preserve"> standards where it can be shown they are caused by exceptional events such as fires. Other jurisdictions use an O</w:t>
      </w:r>
      <w:r w:rsidRPr="005060E0">
        <w:rPr>
          <w:rFonts w:cs="Arial"/>
          <w:vertAlign w:val="subscript"/>
        </w:rPr>
        <w:t>3</w:t>
      </w:r>
      <w:r w:rsidRPr="005060E0">
        <w:rPr>
          <w:rFonts w:cs="Arial"/>
        </w:rPr>
        <w:t xml:space="preserve"> standard</w:t>
      </w:r>
      <w:r w:rsidR="00E00FC4" w:rsidRPr="00E00FC4">
        <w:rPr>
          <w:rFonts w:cs="Arial"/>
        </w:rPr>
        <w:t xml:space="preserve"> </w:t>
      </w:r>
      <w:r w:rsidR="00E00FC4" w:rsidRPr="005060E0">
        <w:rPr>
          <w:rFonts w:cs="Arial"/>
        </w:rPr>
        <w:t>typically</w:t>
      </w:r>
      <w:r w:rsidRPr="005060E0">
        <w:rPr>
          <w:rFonts w:cs="Arial"/>
        </w:rPr>
        <w:t xml:space="preserve"> averaged over three years and/or have an arbitrary exceedance allowance.</w:t>
      </w:r>
    </w:p>
    <w:p w14:paraId="59BC2491" w14:textId="50E7E5CD" w:rsidR="007260A8" w:rsidRPr="005060E0" w:rsidRDefault="007260A8" w:rsidP="007260A8">
      <w:r w:rsidRPr="005060E0">
        <w:t>The size, scale, duration</w:t>
      </w:r>
      <w:r w:rsidR="00E00FC4">
        <w:t>,</w:t>
      </w:r>
      <w:r w:rsidRPr="005060E0">
        <w:t xml:space="preserve"> intensity and cause of the fires are variable, with approximately half the fire events lasting more than </w:t>
      </w:r>
      <w:r w:rsidR="00E00FC4">
        <w:t>one</w:t>
      </w:r>
      <w:r w:rsidRPr="005060E0">
        <w:t xml:space="preserve"> day. The event analysis shows that fire events may be major bushfires or smaller bushfire</w:t>
      </w:r>
      <w:r w:rsidR="00E00FC4">
        <w:t>s</w:t>
      </w:r>
      <w:r w:rsidRPr="005060E0">
        <w:t xml:space="preserve">, and </w:t>
      </w:r>
      <w:r w:rsidR="00E00FC4">
        <w:t xml:space="preserve">are </w:t>
      </w:r>
      <w:r w:rsidRPr="005060E0">
        <w:t xml:space="preserve">often triggered by lightning strikes and human activities. </w:t>
      </w:r>
    </w:p>
    <w:p w14:paraId="21D3AAEA" w14:textId="6B67DB23" w:rsidR="007260A8" w:rsidRPr="005060E0" w:rsidRDefault="007260A8" w:rsidP="007260A8">
      <w:r w:rsidRPr="005060E0">
        <w:t>Not all fires will lead to O</w:t>
      </w:r>
      <w:r w:rsidRPr="005060E0">
        <w:rPr>
          <w:vertAlign w:val="subscript"/>
        </w:rPr>
        <w:t>3</w:t>
      </w:r>
      <w:r w:rsidRPr="005060E0">
        <w:t xml:space="preserve"> events or an exceedance of the standard. Suitable meteorological conditions (importantly air temperature) need to be present to drive the reactions. The mix ratio of precursor emissions will also influence the reactions, and O</w:t>
      </w:r>
      <w:r w:rsidRPr="005060E0">
        <w:rPr>
          <w:vertAlign w:val="subscript"/>
        </w:rPr>
        <w:t>3</w:t>
      </w:r>
      <w:r w:rsidRPr="005060E0">
        <w:t xml:space="preserve"> formation potential. Emissions of NO</w:t>
      </w:r>
      <w:r w:rsidRPr="005060E0">
        <w:rPr>
          <w:vertAlign w:val="subscript"/>
        </w:rPr>
        <w:t>x</w:t>
      </w:r>
      <w:r w:rsidRPr="005060E0">
        <w:t xml:space="preserve"> may reduce O</w:t>
      </w:r>
      <w:r w:rsidRPr="005060E0">
        <w:rPr>
          <w:vertAlign w:val="subscript"/>
        </w:rPr>
        <w:t>3</w:t>
      </w:r>
      <w:r w:rsidRPr="005060E0">
        <w:t xml:space="preserve"> concentrations close to the fire (i.e. source of emission). New NO</w:t>
      </w:r>
      <w:r w:rsidRPr="005060E0">
        <w:rPr>
          <w:vertAlign w:val="subscript"/>
        </w:rPr>
        <w:t>x</w:t>
      </w:r>
      <w:r w:rsidRPr="005060E0">
        <w:t xml:space="preserve"> emissions will react with O</w:t>
      </w:r>
      <w:r w:rsidRPr="005060E0">
        <w:rPr>
          <w:vertAlign w:val="subscript"/>
        </w:rPr>
        <w:t>3</w:t>
      </w:r>
      <w:r w:rsidRPr="005060E0">
        <w:t xml:space="preserve"> reducing its concentration. It is also possible, at some distance downwind from the fire (emissions source)</w:t>
      </w:r>
      <w:r w:rsidR="00E00FC4">
        <w:t>,</w:t>
      </w:r>
      <w:r w:rsidRPr="005060E0">
        <w:t xml:space="preserve"> that the NO</w:t>
      </w:r>
      <w:r w:rsidRPr="005060E0">
        <w:rPr>
          <w:vertAlign w:val="subscript"/>
        </w:rPr>
        <w:t>x</w:t>
      </w:r>
      <w:r w:rsidRPr="005060E0">
        <w:t xml:space="preserve"> emission will produce more O</w:t>
      </w:r>
      <w:r w:rsidRPr="005060E0">
        <w:rPr>
          <w:vertAlign w:val="subscript"/>
        </w:rPr>
        <w:t>3</w:t>
      </w:r>
      <w:r w:rsidRPr="005060E0">
        <w:t>.</w:t>
      </w:r>
    </w:p>
    <w:p w14:paraId="387AD5AE" w14:textId="77777777" w:rsidR="007260A8" w:rsidRPr="005060E0" w:rsidRDefault="007260A8" w:rsidP="005F3F40">
      <w:pPr>
        <w:rPr>
          <w:rFonts w:eastAsia="Times New Roman"/>
        </w:rPr>
      </w:pPr>
    </w:p>
    <w:p w14:paraId="51533B4F" w14:textId="77777777" w:rsidR="005F3F40" w:rsidRPr="00134319" w:rsidRDefault="005F3F40" w:rsidP="005F3F40">
      <w:pPr>
        <w:jc w:val="center"/>
      </w:pPr>
      <w:r w:rsidRPr="005060E0">
        <w:rPr>
          <w:noProof/>
          <w:color w:val="FF0000"/>
          <w:lang w:eastAsia="en-AU"/>
        </w:rPr>
        <w:drawing>
          <wp:inline distT="0" distB="0" distL="0" distR="0" wp14:anchorId="7F9E84DC" wp14:editId="540648AA">
            <wp:extent cx="5040000" cy="3026796"/>
            <wp:effectExtent l="19050" t="19050" r="27305" b="2159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BEBA8EAE-BF5A-486C-A8C5-ECC9F3942E4B}">
                          <a14:imgProps xmlns:a14="http://schemas.microsoft.com/office/drawing/2010/main">
                            <a14:imgLayer r:embed="rId43">
                              <a14:imgEffect>
                                <a14:sharpenSoften amount="25000"/>
                              </a14:imgEffect>
                              <a14:imgEffect>
                                <a14:brightnessContrast contrast="25000"/>
                              </a14:imgEffect>
                            </a14:imgLayer>
                          </a14:imgProps>
                        </a:ext>
                        <a:ext uri="{28A0092B-C50C-407E-A947-70E740481C1C}">
                          <a14:useLocalDpi xmlns:a14="http://schemas.microsoft.com/office/drawing/2010/main" val="0"/>
                        </a:ext>
                      </a:extLst>
                    </a:blip>
                    <a:srcRect/>
                    <a:stretch>
                      <a:fillRect/>
                    </a:stretch>
                  </pic:blipFill>
                  <pic:spPr bwMode="auto">
                    <a:xfrm>
                      <a:off x="0" y="0"/>
                      <a:ext cx="5040000" cy="3026796"/>
                    </a:xfrm>
                    <a:prstGeom prst="rect">
                      <a:avLst/>
                    </a:prstGeom>
                    <a:noFill/>
                    <a:ln>
                      <a:solidFill>
                        <a:schemeClr val="tx2"/>
                      </a:solidFill>
                    </a:ln>
                  </pic:spPr>
                </pic:pic>
              </a:graphicData>
            </a:graphic>
          </wp:inline>
        </w:drawing>
      </w:r>
    </w:p>
    <w:p w14:paraId="011732B9" w14:textId="52F416F4" w:rsidR="005F3F40" w:rsidRPr="00134319" w:rsidRDefault="005F3F40" w:rsidP="005F3F40">
      <w:pPr>
        <w:pStyle w:val="PBFigcaption"/>
      </w:pPr>
      <w:bookmarkStart w:id="226" w:name="_Ref479106528"/>
      <w:bookmarkStart w:id="227" w:name="_Toc479201705"/>
      <w:bookmarkStart w:id="228" w:name="_Toc508305327"/>
      <w:r w:rsidRPr="005060E0">
        <w:t xml:space="preserve">Figure </w:t>
      </w:r>
      <w:r w:rsidR="009F7C8E">
        <w:rPr>
          <w:noProof/>
        </w:rPr>
        <w:fldChar w:fldCharType="begin"/>
      </w:r>
      <w:r w:rsidR="009F7C8E">
        <w:rPr>
          <w:noProof/>
        </w:rPr>
        <w:instrText xml:space="preserve"> STYLEREF 1 \s </w:instrText>
      </w:r>
      <w:r w:rsidR="009F7C8E">
        <w:rPr>
          <w:noProof/>
        </w:rPr>
        <w:fldChar w:fldCharType="separate"/>
      </w:r>
      <w:r w:rsidR="00F2067C">
        <w:rPr>
          <w:noProof/>
        </w:rPr>
        <w:t>8</w:t>
      </w:r>
      <w:r w:rsidR="009F7C8E">
        <w:rPr>
          <w:noProof/>
        </w:rPr>
        <w:fldChar w:fldCharType="end"/>
      </w:r>
      <w:r w:rsidRPr="005060E0">
        <w:noBreakHyphen/>
      </w:r>
      <w:r w:rsidR="009F7C8E">
        <w:rPr>
          <w:noProof/>
        </w:rPr>
        <w:fldChar w:fldCharType="begin"/>
      </w:r>
      <w:r w:rsidR="009F7C8E">
        <w:rPr>
          <w:noProof/>
        </w:rPr>
        <w:instrText xml:space="preserve"> SEQ Figure \* ARABIC \s 1 </w:instrText>
      </w:r>
      <w:r w:rsidR="009F7C8E">
        <w:rPr>
          <w:noProof/>
        </w:rPr>
        <w:fldChar w:fldCharType="separate"/>
      </w:r>
      <w:r w:rsidR="00F2067C">
        <w:rPr>
          <w:noProof/>
        </w:rPr>
        <w:t>2</w:t>
      </w:r>
      <w:r w:rsidR="009F7C8E">
        <w:rPr>
          <w:noProof/>
        </w:rPr>
        <w:fldChar w:fldCharType="end"/>
      </w:r>
      <w:bookmarkEnd w:id="226"/>
      <w:r w:rsidRPr="005060E0">
        <w:t>: Ozone events associated with fire events (2003</w:t>
      </w:r>
      <w:r w:rsidR="00DF4D3A" w:rsidRPr="005060E0">
        <w:t>–20</w:t>
      </w:r>
      <w:r w:rsidRPr="005060E0">
        <w:t>14)</w:t>
      </w:r>
      <w:bookmarkEnd w:id="227"/>
      <w:bookmarkEnd w:id="228"/>
    </w:p>
    <w:p w14:paraId="1ABA7EC8" w14:textId="53BB3565" w:rsidR="005F3F40" w:rsidRPr="005060E0" w:rsidRDefault="005F3F40" w:rsidP="00E00FC4">
      <w:pPr>
        <w:spacing w:before="360"/>
      </w:pPr>
      <w:r w:rsidRPr="005060E0">
        <w:rPr>
          <w:rFonts w:eastAsia="Times New Roman"/>
        </w:rPr>
        <w:t xml:space="preserve">Climate variability and higher temperatures predicted in the future as a result of climate change are likely to increase the potential for </w:t>
      </w:r>
      <w:r w:rsidR="005B3776" w:rsidRPr="005060E0">
        <w:rPr>
          <w:rFonts w:eastAsia="Times New Roman"/>
        </w:rPr>
        <w:t>O</w:t>
      </w:r>
      <w:r w:rsidR="005B3776" w:rsidRPr="005060E0">
        <w:rPr>
          <w:rFonts w:eastAsia="Times New Roman"/>
          <w:vertAlign w:val="subscript"/>
        </w:rPr>
        <w:t>3</w:t>
      </w:r>
      <w:r w:rsidRPr="005060E0">
        <w:rPr>
          <w:rFonts w:eastAsia="Times New Roman"/>
        </w:rPr>
        <w:t xml:space="preserve"> formation. </w:t>
      </w:r>
      <w:r w:rsidRPr="005060E0">
        <w:t>Climate change projections for Australia suggest a likely and significant increase in the frequency of high fire risk weather. A substantial increase in the probability of extreme fire risk across Australia from grasses and forest is also predicted. This has important ramifications for air pollution and its impacts on human health in the future. As O</w:t>
      </w:r>
      <w:r w:rsidRPr="005060E0">
        <w:rPr>
          <w:vertAlign w:val="subscript"/>
        </w:rPr>
        <w:t>3</w:t>
      </w:r>
      <w:r w:rsidRPr="005060E0">
        <w:t xml:space="preserve"> formation is influenced by air temperature and vegetation, the levels of O</w:t>
      </w:r>
      <w:r w:rsidRPr="005060E0">
        <w:rPr>
          <w:vertAlign w:val="subscript"/>
        </w:rPr>
        <w:t>3</w:t>
      </w:r>
      <w:r w:rsidRPr="005060E0">
        <w:t xml:space="preserve"> and increased air temperatures due to global warming are likely to exacerbate the incidence and severity of photochemical smog events in Australia’s cities.</w:t>
      </w:r>
    </w:p>
    <w:p w14:paraId="3DC2B011" w14:textId="31EC7D99" w:rsidR="0086219F" w:rsidRPr="005060E0" w:rsidRDefault="00A72561" w:rsidP="0086219F">
      <w:pPr>
        <w:pStyle w:val="Heading2"/>
      </w:pPr>
      <w:bookmarkStart w:id="229" w:name="_Toc3278984"/>
      <w:r w:rsidRPr="005060E0">
        <w:t>Health risk assessment</w:t>
      </w:r>
      <w:bookmarkEnd w:id="225"/>
      <w:bookmarkEnd w:id="229"/>
    </w:p>
    <w:p w14:paraId="4B11E544" w14:textId="5A12EF08" w:rsidR="0086219F" w:rsidRPr="005060E0" w:rsidRDefault="0086219F" w:rsidP="0086219F">
      <w:r w:rsidRPr="005060E0">
        <w:t>To avoid potential double counting of the health effects due to different averaging periods for O</w:t>
      </w:r>
      <w:r w:rsidRPr="005060E0">
        <w:rPr>
          <w:vertAlign w:val="subscript"/>
        </w:rPr>
        <w:t>3</w:t>
      </w:r>
      <w:r w:rsidRPr="005060E0">
        <w:t>, the HRA has been undertaken for the 1-hour maximum O</w:t>
      </w:r>
      <w:r w:rsidRPr="005060E0">
        <w:rPr>
          <w:vertAlign w:val="subscript"/>
        </w:rPr>
        <w:t>3</w:t>
      </w:r>
      <w:r w:rsidRPr="005060E0">
        <w:t xml:space="preserve"> concentrations. This is the averaging period for which the most consistent health evidence in Australian studies exists.</w:t>
      </w:r>
    </w:p>
    <w:p w14:paraId="22F5B4FF" w14:textId="38E20BBA" w:rsidR="00AA4712" w:rsidRPr="005060E0" w:rsidRDefault="00AA4712" w:rsidP="00AA4712">
      <w:pPr>
        <w:pStyle w:val="Heading3"/>
      </w:pPr>
      <w:r w:rsidRPr="005060E0">
        <w:t>Health outcomes</w:t>
      </w:r>
      <w:r w:rsidR="005128BC" w:rsidRPr="005060E0">
        <w:t xml:space="preserve"> for Business-as-Usual</w:t>
      </w:r>
      <w:r w:rsidRPr="005060E0">
        <w:t xml:space="preserve"> and Abatement Package scenarios</w:t>
      </w:r>
    </w:p>
    <w:p w14:paraId="487D5822" w14:textId="19D4E0AE" w:rsidR="008F6014" w:rsidRPr="005060E0" w:rsidRDefault="008F6014" w:rsidP="008F6014">
      <w:pPr>
        <w:rPr>
          <w:lang w:eastAsia="en-AU"/>
        </w:rPr>
      </w:pPr>
      <w:r w:rsidRPr="005060E0">
        <w:t>The aggregated estimates for the number of historical and projected attributable health outcomes due to O</w:t>
      </w:r>
      <w:r w:rsidRPr="005060E0">
        <w:rPr>
          <w:vertAlign w:val="subscript"/>
        </w:rPr>
        <w:t>3</w:t>
      </w:r>
      <w:r w:rsidRPr="005060E0">
        <w:t xml:space="preserve"> in the modelled airsheds (NSW and Victoria) and other airsheds are shown in </w:t>
      </w:r>
      <w:r w:rsidRPr="005060E0">
        <w:rPr>
          <w:szCs w:val="20"/>
        </w:rPr>
        <w:fldChar w:fldCharType="begin"/>
      </w:r>
      <w:r w:rsidRPr="005060E0">
        <w:rPr>
          <w:szCs w:val="20"/>
        </w:rPr>
        <w:instrText xml:space="preserve"> REF _Ref508546260 \h  \* MERGEFORMAT </w:instrText>
      </w:r>
      <w:r w:rsidRPr="005060E0">
        <w:rPr>
          <w:szCs w:val="20"/>
        </w:rPr>
      </w:r>
      <w:r w:rsidRPr="005060E0">
        <w:rPr>
          <w:szCs w:val="20"/>
        </w:rPr>
        <w:fldChar w:fldCharType="separate"/>
      </w:r>
      <w:r w:rsidR="00F2067C" w:rsidRPr="00F2067C">
        <w:rPr>
          <w:rFonts w:cs="Arial"/>
          <w:szCs w:val="20"/>
        </w:rPr>
        <w:t xml:space="preserve">Table </w:t>
      </w:r>
      <w:r w:rsidR="00F2067C" w:rsidRPr="00F2067C">
        <w:rPr>
          <w:rFonts w:cs="Arial"/>
          <w:noProof/>
          <w:szCs w:val="20"/>
        </w:rPr>
        <w:t>8</w:t>
      </w:r>
      <w:r w:rsidR="00F2067C" w:rsidRPr="00F2067C">
        <w:rPr>
          <w:rFonts w:cs="Arial"/>
          <w:noProof/>
          <w:szCs w:val="20"/>
        </w:rPr>
        <w:noBreakHyphen/>
        <w:t>11</w:t>
      </w:r>
      <w:r w:rsidRPr="005060E0">
        <w:rPr>
          <w:szCs w:val="20"/>
        </w:rPr>
        <w:fldChar w:fldCharType="end"/>
      </w:r>
      <w:r w:rsidRPr="005060E0">
        <w:rPr>
          <w:szCs w:val="20"/>
        </w:rPr>
        <w:t>.</w:t>
      </w:r>
      <w:r w:rsidRPr="005060E0">
        <w:rPr>
          <w:lang w:eastAsia="en-AU"/>
        </w:rPr>
        <w:t xml:space="preserve"> The r</w:t>
      </w:r>
      <w:r w:rsidR="00704BAC" w:rsidRPr="005060E0">
        <w:rPr>
          <w:lang w:eastAsia="en-AU"/>
        </w:rPr>
        <w:t>esults show there is a substantial</w:t>
      </w:r>
      <w:r w:rsidRPr="005060E0">
        <w:rPr>
          <w:lang w:eastAsia="en-AU"/>
        </w:rPr>
        <w:t xml:space="preserve"> health burden associated with exposure to recent historical levels of O</w:t>
      </w:r>
      <w:r w:rsidRPr="005060E0">
        <w:rPr>
          <w:vertAlign w:val="subscript"/>
          <w:lang w:eastAsia="en-AU"/>
        </w:rPr>
        <w:t>3</w:t>
      </w:r>
      <w:r w:rsidRPr="005060E0">
        <w:rPr>
          <w:lang w:eastAsia="en-AU"/>
        </w:rPr>
        <w:t xml:space="preserve">, particularly in the </w:t>
      </w:r>
      <w:r w:rsidR="00566F94">
        <w:rPr>
          <w:lang w:eastAsia="en-AU"/>
        </w:rPr>
        <w:t>major</w:t>
      </w:r>
      <w:r w:rsidR="00566F94" w:rsidRPr="005060E0">
        <w:rPr>
          <w:lang w:eastAsia="en-AU"/>
        </w:rPr>
        <w:t xml:space="preserve"> </w:t>
      </w:r>
      <w:r w:rsidRPr="005060E0">
        <w:rPr>
          <w:lang w:eastAsia="en-AU"/>
        </w:rPr>
        <w:t>cities. In Sydney and Melbourne</w:t>
      </w:r>
      <w:r w:rsidR="00B27A58" w:rsidRPr="005060E0">
        <w:rPr>
          <w:lang w:eastAsia="en-AU"/>
        </w:rPr>
        <w:t>,</w:t>
      </w:r>
      <w:r w:rsidRPr="005060E0">
        <w:rPr>
          <w:lang w:eastAsia="en-AU"/>
        </w:rPr>
        <w:t xml:space="preserve"> the health burden is projected to increase substantially in the future under the BAU scenario. </w:t>
      </w:r>
    </w:p>
    <w:p w14:paraId="10450430" w14:textId="53862CA4" w:rsidR="008F6014" w:rsidRPr="005060E0" w:rsidRDefault="008F6014" w:rsidP="008F6014">
      <w:pPr>
        <w:rPr>
          <w:lang w:eastAsia="en-AU"/>
        </w:rPr>
      </w:pPr>
      <w:r w:rsidRPr="005060E0">
        <w:rPr>
          <w:lang w:eastAsia="en-AU"/>
        </w:rPr>
        <w:t>Overall, the Abatement Package scenario did not have a large effect on health outcomes. The abatement measures resulted in only small reductions in health outcomes in 2031 and 2040. In Melbourne in 2021, the year in which it was assumed the abatement measures would be implemented, there was a predicted increase in the attributable health effects due to O</w:t>
      </w:r>
      <w:r w:rsidRPr="005060E0">
        <w:rPr>
          <w:vertAlign w:val="subscript"/>
          <w:lang w:eastAsia="en-AU"/>
        </w:rPr>
        <w:t>3</w:t>
      </w:r>
      <w:r w:rsidRPr="005060E0">
        <w:rPr>
          <w:lang w:eastAsia="en-AU"/>
        </w:rPr>
        <w:t>. The reasons for this are unknown, but are likely to be due in part to the complex photochemistry between NO</w:t>
      </w:r>
      <w:r w:rsidRPr="005060E0">
        <w:rPr>
          <w:vertAlign w:val="subscript"/>
          <w:lang w:eastAsia="en-AU"/>
        </w:rPr>
        <w:t>2</w:t>
      </w:r>
      <w:r w:rsidRPr="005060E0">
        <w:rPr>
          <w:lang w:eastAsia="en-AU"/>
        </w:rPr>
        <w:t xml:space="preserve"> and O</w:t>
      </w:r>
      <w:r w:rsidRPr="005060E0">
        <w:rPr>
          <w:vertAlign w:val="subscript"/>
          <w:lang w:eastAsia="en-AU"/>
        </w:rPr>
        <w:t>3</w:t>
      </w:r>
      <w:r w:rsidRPr="005060E0">
        <w:rPr>
          <w:lang w:eastAsia="en-AU"/>
        </w:rPr>
        <w:t>.</w:t>
      </w:r>
    </w:p>
    <w:p w14:paraId="4EA181C8" w14:textId="3531E1B9" w:rsidR="005B28C7" w:rsidRPr="005060E0" w:rsidRDefault="0067493E" w:rsidP="005B28C7">
      <w:pPr>
        <w:jc w:val="center"/>
        <w:rPr>
          <w:lang w:eastAsia="en-AU"/>
        </w:rPr>
      </w:pPr>
      <w:bookmarkStart w:id="230" w:name="_Ref508546260"/>
      <w:r w:rsidRPr="005060E0">
        <w:rPr>
          <w:rFonts w:cs="Arial"/>
          <w:sz w:val="18"/>
          <w:szCs w:val="18"/>
        </w:rPr>
        <w:t xml:space="preserve">Table </w:t>
      </w:r>
      <w:r w:rsidRPr="005060E0">
        <w:rPr>
          <w:rFonts w:cs="Arial"/>
          <w:sz w:val="18"/>
          <w:szCs w:val="18"/>
        </w:rPr>
        <w:fldChar w:fldCharType="begin"/>
      </w:r>
      <w:r w:rsidRPr="005060E0">
        <w:rPr>
          <w:rFonts w:cs="Arial"/>
          <w:sz w:val="18"/>
          <w:szCs w:val="18"/>
        </w:rPr>
        <w:instrText xml:space="preserve"> STYLEREF 1 \s </w:instrText>
      </w:r>
      <w:r w:rsidRPr="005060E0">
        <w:rPr>
          <w:rFonts w:cs="Arial"/>
          <w:sz w:val="18"/>
          <w:szCs w:val="18"/>
        </w:rPr>
        <w:fldChar w:fldCharType="separate"/>
      </w:r>
      <w:r w:rsidR="00F2067C">
        <w:rPr>
          <w:rFonts w:cs="Arial"/>
          <w:noProof/>
          <w:sz w:val="18"/>
          <w:szCs w:val="18"/>
        </w:rPr>
        <w:t>8</w:t>
      </w:r>
      <w:r w:rsidRPr="005060E0">
        <w:rPr>
          <w:rFonts w:cs="Arial"/>
          <w:noProof/>
          <w:sz w:val="18"/>
          <w:szCs w:val="18"/>
        </w:rPr>
        <w:fldChar w:fldCharType="end"/>
      </w:r>
      <w:r w:rsidRPr="005060E0">
        <w:rPr>
          <w:rFonts w:cs="Arial"/>
          <w:sz w:val="18"/>
          <w:szCs w:val="18"/>
        </w:rPr>
        <w:noBreakHyphen/>
      </w:r>
      <w:r w:rsidRPr="005060E0">
        <w:rPr>
          <w:rFonts w:cs="Arial"/>
          <w:sz w:val="18"/>
          <w:szCs w:val="18"/>
        </w:rPr>
        <w:fldChar w:fldCharType="begin"/>
      </w:r>
      <w:r w:rsidRPr="005060E0">
        <w:rPr>
          <w:rFonts w:cs="Arial"/>
          <w:sz w:val="18"/>
          <w:szCs w:val="18"/>
        </w:rPr>
        <w:instrText xml:space="preserve"> SEQ Table \* ARABIC \s 1 </w:instrText>
      </w:r>
      <w:r w:rsidRPr="005060E0">
        <w:rPr>
          <w:rFonts w:cs="Arial"/>
          <w:sz w:val="18"/>
          <w:szCs w:val="18"/>
        </w:rPr>
        <w:fldChar w:fldCharType="separate"/>
      </w:r>
      <w:r w:rsidR="00F2067C">
        <w:rPr>
          <w:rFonts w:cs="Arial"/>
          <w:noProof/>
          <w:sz w:val="18"/>
          <w:szCs w:val="18"/>
        </w:rPr>
        <w:t>11</w:t>
      </w:r>
      <w:r w:rsidRPr="005060E0">
        <w:rPr>
          <w:rFonts w:cs="Arial"/>
          <w:noProof/>
          <w:sz w:val="18"/>
          <w:szCs w:val="18"/>
        </w:rPr>
        <w:fldChar w:fldCharType="end"/>
      </w:r>
      <w:bookmarkEnd w:id="230"/>
      <w:r w:rsidRPr="005060E0">
        <w:rPr>
          <w:rStyle w:val="PBTablecaptionChar"/>
          <w:rFonts w:eastAsiaTheme="minorHAnsi"/>
        </w:rPr>
        <w:t xml:space="preserve">: </w:t>
      </w:r>
      <w:r w:rsidR="005B28C7" w:rsidRPr="005060E0">
        <w:rPr>
          <w:rStyle w:val="PBTablecaptionChar"/>
          <w:rFonts w:eastAsiaTheme="minorHAnsi"/>
        </w:rPr>
        <w:t>Historical and projected health burden attributable to O</w:t>
      </w:r>
      <w:r w:rsidRPr="005060E0">
        <w:rPr>
          <w:rStyle w:val="PBTablecaptionChar"/>
          <w:rFonts w:eastAsiaTheme="minorHAnsi"/>
          <w:vertAlign w:val="subscript"/>
        </w:rPr>
        <w:t>3</w:t>
      </w:r>
      <w:r w:rsidRPr="005060E0">
        <w:rPr>
          <w:rStyle w:val="PBTablecaptionChar"/>
          <w:rFonts w:eastAsiaTheme="minorHAnsi"/>
        </w:rPr>
        <w:t xml:space="preserve"> in Australian airsheds</w:t>
      </w:r>
      <w:r w:rsidR="005B28C7" w:rsidRPr="005060E0">
        <w:rPr>
          <w:lang w:eastAsia="en-AU"/>
        </w:rPr>
        <w:t xml:space="preserve"> </w:t>
      </w:r>
    </w:p>
    <w:tbl>
      <w:tblPr>
        <w:tblW w:w="9340" w:type="dxa"/>
        <w:tblCellMar>
          <w:left w:w="28" w:type="dxa"/>
          <w:right w:w="28" w:type="dxa"/>
        </w:tblCellMar>
        <w:tblLook w:val="04A0" w:firstRow="1" w:lastRow="0" w:firstColumn="1" w:lastColumn="0" w:noHBand="0" w:noVBand="1"/>
      </w:tblPr>
      <w:tblGrid>
        <w:gridCol w:w="1640"/>
        <w:gridCol w:w="880"/>
        <w:gridCol w:w="1540"/>
        <w:gridCol w:w="880"/>
        <w:gridCol w:w="880"/>
        <w:gridCol w:w="880"/>
        <w:gridCol w:w="880"/>
        <w:gridCol w:w="880"/>
        <w:gridCol w:w="880"/>
      </w:tblGrid>
      <w:tr w:rsidR="005B28C7" w:rsidRPr="005060E0" w14:paraId="547B5D0B" w14:textId="77777777" w:rsidTr="00D35C2D">
        <w:trPr>
          <w:trHeight w:val="389"/>
          <w:tblHeader/>
        </w:trPr>
        <w:tc>
          <w:tcPr>
            <w:tcW w:w="1640" w:type="dxa"/>
            <w:vMerge w:val="restart"/>
            <w:tcBorders>
              <w:top w:val="single" w:sz="4" w:space="0" w:color="606072"/>
              <w:left w:val="single" w:sz="4" w:space="0" w:color="606072"/>
              <w:bottom w:val="single" w:sz="4" w:space="0" w:color="606072"/>
              <w:right w:val="single" w:sz="4" w:space="0" w:color="606072"/>
            </w:tcBorders>
            <w:shd w:val="clear" w:color="000000" w:fill="606072"/>
            <w:vAlign w:val="center"/>
            <w:hideMark/>
          </w:tcPr>
          <w:p w14:paraId="24FCB3EB" w14:textId="77777777" w:rsidR="005B28C7" w:rsidRPr="005060E0" w:rsidRDefault="005B28C7" w:rsidP="0048169B">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Airshed</w:t>
            </w:r>
          </w:p>
        </w:tc>
        <w:tc>
          <w:tcPr>
            <w:tcW w:w="5060" w:type="dxa"/>
            <w:gridSpan w:val="5"/>
            <w:tcBorders>
              <w:top w:val="nil"/>
              <w:left w:val="nil"/>
              <w:bottom w:val="single" w:sz="4" w:space="0" w:color="606072"/>
              <w:right w:val="nil"/>
            </w:tcBorders>
            <w:shd w:val="clear" w:color="000000" w:fill="606072"/>
            <w:vAlign w:val="center"/>
            <w:hideMark/>
          </w:tcPr>
          <w:p w14:paraId="0D8F052F" w14:textId="77777777" w:rsidR="005B28C7" w:rsidRPr="005060E0" w:rsidRDefault="005B28C7" w:rsidP="008F6014">
            <w:pPr>
              <w:widowControl w:val="0"/>
              <w:spacing w:after="0" w:line="240" w:lineRule="auto"/>
              <w:rPr>
                <w:rFonts w:eastAsia="Times New Roman" w:cs="Arial"/>
                <w:color w:val="FFFFFF"/>
                <w:sz w:val="16"/>
                <w:szCs w:val="16"/>
                <w:lang w:eastAsia="en-AU"/>
              </w:rPr>
            </w:pPr>
            <w:r w:rsidRPr="005060E0">
              <w:rPr>
                <w:rFonts w:eastAsia="Times New Roman" w:cs="Arial"/>
                <w:color w:val="FFFFFF"/>
                <w:sz w:val="16"/>
                <w:szCs w:val="16"/>
                <w:lang w:eastAsia="en-AU"/>
              </w:rPr>
              <w:t>Number of attributable health outcomes</w:t>
            </w:r>
          </w:p>
        </w:tc>
        <w:tc>
          <w:tcPr>
            <w:tcW w:w="2640" w:type="dxa"/>
            <w:gridSpan w:val="3"/>
            <w:tcBorders>
              <w:top w:val="nil"/>
              <w:left w:val="nil"/>
              <w:bottom w:val="single" w:sz="4" w:space="0" w:color="606072"/>
              <w:right w:val="single" w:sz="4" w:space="0" w:color="606072"/>
            </w:tcBorders>
            <w:shd w:val="clear" w:color="000000" w:fill="606072"/>
            <w:vAlign w:val="center"/>
            <w:hideMark/>
          </w:tcPr>
          <w:p w14:paraId="42C68223" w14:textId="77777777" w:rsidR="005B28C7" w:rsidRPr="005060E0" w:rsidRDefault="005B28C7" w:rsidP="008F6014">
            <w:pPr>
              <w:widowControl w:val="0"/>
              <w:spacing w:after="0" w:line="240" w:lineRule="auto"/>
              <w:rPr>
                <w:rFonts w:eastAsia="Times New Roman" w:cs="Arial"/>
                <w:color w:val="FFFFFF"/>
                <w:sz w:val="16"/>
                <w:szCs w:val="16"/>
                <w:lang w:eastAsia="en-AU"/>
              </w:rPr>
            </w:pPr>
            <w:r w:rsidRPr="005060E0">
              <w:rPr>
                <w:rFonts w:eastAsia="Times New Roman" w:cs="Arial"/>
                <w:color w:val="FFFFFF"/>
                <w:sz w:val="16"/>
                <w:szCs w:val="16"/>
                <w:lang w:eastAsia="en-AU"/>
              </w:rPr>
              <w:t>Health outcomes avoided</w:t>
            </w:r>
          </w:p>
        </w:tc>
      </w:tr>
      <w:tr w:rsidR="005B28C7" w:rsidRPr="005060E0" w14:paraId="08F99DF1" w14:textId="77777777" w:rsidTr="00D35C2D">
        <w:trPr>
          <w:trHeight w:val="408"/>
          <w:tblHeader/>
        </w:trPr>
        <w:tc>
          <w:tcPr>
            <w:tcW w:w="1640" w:type="dxa"/>
            <w:vMerge/>
            <w:tcBorders>
              <w:top w:val="single" w:sz="4" w:space="0" w:color="606072"/>
              <w:left w:val="single" w:sz="4" w:space="0" w:color="606072"/>
              <w:bottom w:val="single" w:sz="4" w:space="0" w:color="606072"/>
              <w:right w:val="single" w:sz="4" w:space="0" w:color="606072"/>
            </w:tcBorders>
            <w:vAlign w:val="center"/>
            <w:hideMark/>
          </w:tcPr>
          <w:p w14:paraId="1BAD5128" w14:textId="77777777" w:rsidR="005B28C7" w:rsidRPr="005060E0" w:rsidRDefault="005B28C7" w:rsidP="0048169B">
            <w:pPr>
              <w:widowControl w:val="0"/>
              <w:spacing w:after="0" w:line="240" w:lineRule="auto"/>
              <w:rPr>
                <w:rFonts w:eastAsia="Times New Roman" w:cs="Arial"/>
                <w:color w:val="FFFFFF"/>
                <w:sz w:val="16"/>
                <w:szCs w:val="16"/>
                <w:lang w:eastAsia="en-AU"/>
              </w:rPr>
            </w:pPr>
          </w:p>
        </w:tc>
        <w:tc>
          <w:tcPr>
            <w:tcW w:w="880" w:type="dxa"/>
            <w:tcBorders>
              <w:top w:val="nil"/>
              <w:left w:val="nil"/>
              <w:bottom w:val="single" w:sz="4" w:space="0" w:color="606072"/>
              <w:right w:val="single" w:sz="4" w:space="0" w:color="606072"/>
            </w:tcBorders>
            <w:shd w:val="clear" w:color="000000" w:fill="606072"/>
            <w:vAlign w:val="center"/>
            <w:hideMark/>
          </w:tcPr>
          <w:p w14:paraId="630F1D0F" w14:textId="5A6DE1D2" w:rsidR="005B28C7" w:rsidRPr="005060E0" w:rsidRDefault="005B28C7" w:rsidP="0048169B">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Annual average 2010</w:t>
            </w:r>
            <w:r w:rsidR="00DF4D3A" w:rsidRPr="005060E0">
              <w:rPr>
                <w:rFonts w:eastAsia="Times New Roman" w:cs="Arial"/>
                <w:color w:val="FFFFFF"/>
                <w:sz w:val="16"/>
                <w:szCs w:val="16"/>
                <w:lang w:eastAsia="en-AU"/>
              </w:rPr>
              <w:t>–20</w:t>
            </w:r>
            <w:r w:rsidRPr="005060E0">
              <w:rPr>
                <w:rFonts w:eastAsia="Times New Roman" w:cs="Arial"/>
                <w:color w:val="FFFFFF"/>
                <w:sz w:val="16"/>
                <w:szCs w:val="16"/>
                <w:lang w:eastAsia="en-AU"/>
              </w:rPr>
              <w:t>14</w:t>
            </w:r>
          </w:p>
        </w:tc>
        <w:tc>
          <w:tcPr>
            <w:tcW w:w="1540" w:type="dxa"/>
            <w:tcBorders>
              <w:top w:val="nil"/>
              <w:left w:val="nil"/>
              <w:bottom w:val="single" w:sz="4" w:space="0" w:color="606072"/>
              <w:right w:val="single" w:sz="4" w:space="0" w:color="606072"/>
            </w:tcBorders>
            <w:shd w:val="clear" w:color="000000" w:fill="606072"/>
            <w:vAlign w:val="center"/>
            <w:hideMark/>
          </w:tcPr>
          <w:p w14:paraId="55DAA4C3" w14:textId="77777777" w:rsidR="005B28C7" w:rsidRPr="005060E0" w:rsidRDefault="005B28C7" w:rsidP="0048169B">
            <w:pPr>
              <w:widowControl w:val="0"/>
              <w:spacing w:after="0" w:line="240" w:lineRule="auto"/>
              <w:jc w:val="center"/>
              <w:rPr>
                <w:rFonts w:eastAsia="Times New Roman" w:cs="Arial"/>
                <w:i/>
                <w:iCs/>
                <w:color w:val="FFFFFF"/>
                <w:sz w:val="16"/>
                <w:szCs w:val="16"/>
                <w:lang w:eastAsia="en-AU"/>
              </w:rPr>
            </w:pPr>
            <w:r w:rsidRPr="005060E0">
              <w:rPr>
                <w:rFonts w:eastAsia="Times New Roman" w:cs="Arial"/>
                <w:i/>
                <w:iCs/>
                <w:color w:val="FFFFFF"/>
                <w:sz w:val="16"/>
                <w:szCs w:val="16"/>
                <w:lang w:eastAsia="en-AU"/>
              </w:rPr>
              <w:t>Scenario</w:t>
            </w:r>
          </w:p>
        </w:tc>
        <w:tc>
          <w:tcPr>
            <w:tcW w:w="880" w:type="dxa"/>
            <w:tcBorders>
              <w:top w:val="nil"/>
              <w:left w:val="nil"/>
              <w:bottom w:val="single" w:sz="4" w:space="0" w:color="606072"/>
              <w:right w:val="single" w:sz="4" w:space="0" w:color="606072"/>
            </w:tcBorders>
            <w:shd w:val="clear" w:color="000000" w:fill="606072"/>
            <w:vAlign w:val="center"/>
            <w:hideMark/>
          </w:tcPr>
          <w:p w14:paraId="3FEF9E4A" w14:textId="77777777" w:rsidR="005B28C7" w:rsidRPr="005060E0" w:rsidRDefault="005B28C7" w:rsidP="0048169B">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2021</w:t>
            </w:r>
          </w:p>
        </w:tc>
        <w:tc>
          <w:tcPr>
            <w:tcW w:w="880" w:type="dxa"/>
            <w:tcBorders>
              <w:top w:val="nil"/>
              <w:left w:val="nil"/>
              <w:bottom w:val="single" w:sz="4" w:space="0" w:color="606072"/>
              <w:right w:val="single" w:sz="4" w:space="0" w:color="606072"/>
            </w:tcBorders>
            <w:shd w:val="clear" w:color="000000" w:fill="606072"/>
            <w:vAlign w:val="center"/>
            <w:hideMark/>
          </w:tcPr>
          <w:p w14:paraId="6698415E" w14:textId="77777777" w:rsidR="005B28C7" w:rsidRPr="005060E0" w:rsidRDefault="005B28C7" w:rsidP="0048169B">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2031</w:t>
            </w:r>
          </w:p>
        </w:tc>
        <w:tc>
          <w:tcPr>
            <w:tcW w:w="880" w:type="dxa"/>
            <w:tcBorders>
              <w:top w:val="nil"/>
              <w:left w:val="nil"/>
              <w:bottom w:val="single" w:sz="4" w:space="0" w:color="606072"/>
              <w:right w:val="single" w:sz="4" w:space="0" w:color="606072"/>
            </w:tcBorders>
            <w:shd w:val="clear" w:color="000000" w:fill="606072"/>
            <w:vAlign w:val="center"/>
            <w:hideMark/>
          </w:tcPr>
          <w:p w14:paraId="7A108DBC" w14:textId="77777777" w:rsidR="005B28C7" w:rsidRPr="005060E0" w:rsidRDefault="005B28C7" w:rsidP="0048169B">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2040</w:t>
            </w:r>
          </w:p>
        </w:tc>
        <w:tc>
          <w:tcPr>
            <w:tcW w:w="880" w:type="dxa"/>
            <w:tcBorders>
              <w:top w:val="nil"/>
              <w:left w:val="nil"/>
              <w:bottom w:val="single" w:sz="4" w:space="0" w:color="606072"/>
              <w:right w:val="single" w:sz="4" w:space="0" w:color="606072"/>
            </w:tcBorders>
            <w:shd w:val="clear" w:color="000000" w:fill="606072"/>
            <w:vAlign w:val="center"/>
            <w:hideMark/>
          </w:tcPr>
          <w:p w14:paraId="681A5649" w14:textId="77777777" w:rsidR="005B28C7" w:rsidRPr="005060E0" w:rsidRDefault="005B28C7" w:rsidP="0048169B">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2021</w:t>
            </w:r>
          </w:p>
        </w:tc>
        <w:tc>
          <w:tcPr>
            <w:tcW w:w="880" w:type="dxa"/>
            <w:tcBorders>
              <w:top w:val="nil"/>
              <w:left w:val="nil"/>
              <w:bottom w:val="single" w:sz="4" w:space="0" w:color="606072"/>
              <w:right w:val="single" w:sz="4" w:space="0" w:color="606072"/>
            </w:tcBorders>
            <w:shd w:val="clear" w:color="000000" w:fill="606072"/>
            <w:vAlign w:val="center"/>
            <w:hideMark/>
          </w:tcPr>
          <w:p w14:paraId="556D2B6D" w14:textId="77777777" w:rsidR="005B28C7" w:rsidRPr="005060E0" w:rsidRDefault="005B28C7" w:rsidP="0048169B">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2031</w:t>
            </w:r>
          </w:p>
        </w:tc>
        <w:tc>
          <w:tcPr>
            <w:tcW w:w="880" w:type="dxa"/>
            <w:tcBorders>
              <w:top w:val="nil"/>
              <w:left w:val="nil"/>
              <w:bottom w:val="single" w:sz="4" w:space="0" w:color="606072"/>
              <w:right w:val="single" w:sz="4" w:space="0" w:color="606072"/>
            </w:tcBorders>
            <w:shd w:val="clear" w:color="000000" w:fill="606072"/>
            <w:vAlign w:val="center"/>
            <w:hideMark/>
          </w:tcPr>
          <w:p w14:paraId="5827C691" w14:textId="77777777" w:rsidR="005B28C7" w:rsidRPr="005060E0" w:rsidRDefault="005B28C7" w:rsidP="0048169B">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2040</w:t>
            </w:r>
          </w:p>
        </w:tc>
      </w:tr>
      <w:tr w:rsidR="005B28C7" w:rsidRPr="005060E0" w14:paraId="343EDE80" w14:textId="77777777" w:rsidTr="0067493E">
        <w:trPr>
          <w:trHeight w:val="340"/>
        </w:trPr>
        <w:tc>
          <w:tcPr>
            <w:tcW w:w="9340" w:type="dxa"/>
            <w:gridSpan w:val="9"/>
            <w:tcBorders>
              <w:top w:val="single" w:sz="4" w:space="0" w:color="606072"/>
              <w:left w:val="single" w:sz="4" w:space="0" w:color="606072"/>
              <w:bottom w:val="single" w:sz="4" w:space="0" w:color="606072"/>
              <w:right w:val="single" w:sz="4" w:space="0" w:color="606072"/>
            </w:tcBorders>
            <w:shd w:val="clear" w:color="auto" w:fill="DEDFE3" w:themeFill="text2" w:themeFillTint="33"/>
            <w:vAlign w:val="center"/>
            <w:hideMark/>
          </w:tcPr>
          <w:p w14:paraId="6B2CE44A" w14:textId="0F180982" w:rsidR="005B28C7" w:rsidRPr="005060E0" w:rsidRDefault="005B28C7" w:rsidP="0048169B">
            <w:pPr>
              <w:widowControl w:val="0"/>
              <w:spacing w:after="0" w:line="240" w:lineRule="auto"/>
              <w:rPr>
                <w:rFonts w:eastAsia="Times New Roman" w:cs="Arial"/>
                <w:color w:val="000000"/>
                <w:sz w:val="16"/>
                <w:szCs w:val="16"/>
                <w:lang w:eastAsia="en-AU"/>
              </w:rPr>
            </w:pPr>
            <w:r w:rsidRPr="005060E0">
              <w:rPr>
                <w:rFonts w:eastAsia="Times New Roman" w:cs="Arial"/>
                <w:color w:val="000000"/>
                <w:sz w:val="16"/>
                <w:szCs w:val="16"/>
                <w:lang w:eastAsia="en-AU"/>
              </w:rPr>
              <w:t>Daily mortality, all-cause</w:t>
            </w:r>
            <w:r w:rsidR="00627461" w:rsidRPr="005060E0">
              <w:rPr>
                <w:rFonts w:eastAsia="Times New Roman" w:cs="Arial"/>
                <w:color w:val="000000"/>
                <w:sz w:val="16"/>
                <w:szCs w:val="16"/>
                <w:vertAlign w:val="superscript"/>
                <w:lang w:eastAsia="en-AU"/>
              </w:rPr>
              <w:t>(a)</w:t>
            </w:r>
          </w:p>
        </w:tc>
      </w:tr>
      <w:tr w:rsidR="0048169B" w:rsidRPr="005060E0" w14:paraId="52F05626" w14:textId="77777777" w:rsidTr="0048169B">
        <w:trPr>
          <w:trHeight w:val="252"/>
        </w:trPr>
        <w:tc>
          <w:tcPr>
            <w:tcW w:w="1640" w:type="dxa"/>
            <w:vMerge w:val="restart"/>
            <w:tcBorders>
              <w:top w:val="nil"/>
              <w:left w:val="single" w:sz="4" w:space="0" w:color="606072"/>
              <w:bottom w:val="single" w:sz="4" w:space="0" w:color="606072"/>
              <w:right w:val="single" w:sz="4" w:space="0" w:color="606072"/>
            </w:tcBorders>
            <w:shd w:val="clear" w:color="000000" w:fill="F2F2F2"/>
            <w:vAlign w:val="center"/>
          </w:tcPr>
          <w:p w14:paraId="6AEA9277" w14:textId="4C81026C" w:rsidR="0048169B" w:rsidRPr="005060E0" w:rsidRDefault="0048169B" w:rsidP="0048169B">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NSW and Victoria</w:t>
            </w:r>
          </w:p>
        </w:tc>
        <w:tc>
          <w:tcPr>
            <w:tcW w:w="880" w:type="dxa"/>
            <w:vMerge w:val="restart"/>
            <w:tcBorders>
              <w:top w:val="nil"/>
              <w:left w:val="nil"/>
              <w:bottom w:val="single" w:sz="4" w:space="0" w:color="606072"/>
              <w:right w:val="nil"/>
            </w:tcBorders>
            <w:shd w:val="clear" w:color="auto" w:fill="auto"/>
            <w:vAlign w:val="center"/>
          </w:tcPr>
          <w:p w14:paraId="4401C163" w14:textId="772212A6"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s="Arial"/>
                <w:sz w:val="16"/>
                <w:szCs w:val="16"/>
                <w:lang w:eastAsia="en-AU"/>
              </w:rPr>
              <w:t>217</w:t>
            </w:r>
          </w:p>
        </w:tc>
        <w:tc>
          <w:tcPr>
            <w:tcW w:w="1540" w:type="dxa"/>
            <w:tcBorders>
              <w:top w:val="nil"/>
              <w:left w:val="single" w:sz="4" w:space="0" w:color="606072"/>
              <w:right w:val="single" w:sz="4" w:space="0" w:color="606072"/>
            </w:tcBorders>
            <w:shd w:val="clear" w:color="000000" w:fill="F2F2F2"/>
            <w:vAlign w:val="center"/>
            <w:hideMark/>
          </w:tcPr>
          <w:p w14:paraId="1264CB02" w14:textId="77777777" w:rsidR="0048169B" w:rsidRPr="005060E0" w:rsidRDefault="0048169B" w:rsidP="0048169B">
            <w:pPr>
              <w:widowControl w:val="0"/>
              <w:spacing w:after="0" w:line="240" w:lineRule="auto"/>
              <w:jc w:val="center"/>
              <w:rPr>
                <w:rFonts w:eastAsia="Times New Roman" w:cs="Arial"/>
                <w:i/>
                <w:iCs/>
                <w:sz w:val="16"/>
                <w:szCs w:val="16"/>
                <w:lang w:eastAsia="en-AU"/>
              </w:rPr>
            </w:pPr>
            <w:r w:rsidRPr="005060E0">
              <w:rPr>
                <w:rFonts w:eastAsia="Times New Roman" w:cs="Arial"/>
                <w:i/>
                <w:iCs/>
                <w:sz w:val="16"/>
                <w:szCs w:val="16"/>
                <w:lang w:eastAsia="en-AU"/>
              </w:rPr>
              <w:t>BAU</w:t>
            </w:r>
          </w:p>
        </w:tc>
        <w:tc>
          <w:tcPr>
            <w:tcW w:w="880" w:type="dxa"/>
            <w:tcBorders>
              <w:top w:val="nil"/>
              <w:left w:val="nil"/>
              <w:right w:val="dotted" w:sz="4" w:space="0" w:color="606072"/>
            </w:tcBorders>
            <w:shd w:val="clear" w:color="auto" w:fill="auto"/>
            <w:vAlign w:val="center"/>
          </w:tcPr>
          <w:p w14:paraId="3FCCCF9D" w14:textId="279206ED"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s="Arial"/>
                <w:color w:val="000000"/>
                <w:sz w:val="16"/>
                <w:szCs w:val="16"/>
                <w:lang w:eastAsia="en-AU"/>
              </w:rPr>
              <w:t>111</w:t>
            </w:r>
          </w:p>
        </w:tc>
        <w:tc>
          <w:tcPr>
            <w:tcW w:w="880" w:type="dxa"/>
            <w:tcBorders>
              <w:top w:val="nil"/>
              <w:left w:val="dotted" w:sz="4" w:space="0" w:color="606072"/>
              <w:right w:val="dotted" w:sz="4" w:space="0" w:color="606072"/>
            </w:tcBorders>
            <w:shd w:val="clear" w:color="auto" w:fill="auto"/>
            <w:vAlign w:val="center"/>
          </w:tcPr>
          <w:p w14:paraId="2F45833E" w14:textId="282088F1"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s="Arial"/>
                <w:color w:val="000000"/>
                <w:sz w:val="16"/>
                <w:szCs w:val="16"/>
                <w:lang w:eastAsia="en-AU"/>
              </w:rPr>
              <w:t>134</w:t>
            </w:r>
          </w:p>
        </w:tc>
        <w:tc>
          <w:tcPr>
            <w:tcW w:w="880" w:type="dxa"/>
            <w:tcBorders>
              <w:top w:val="nil"/>
              <w:left w:val="dotted" w:sz="4" w:space="0" w:color="606072"/>
              <w:right w:val="single" w:sz="4" w:space="0" w:color="606072"/>
            </w:tcBorders>
            <w:shd w:val="clear" w:color="auto" w:fill="auto"/>
            <w:vAlign w:val="center"/>
          </w:tcPr>
          <w:p w14:paraId="18C8A6C3" w14:textId="03324D09"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s="Arial"/>
                <w:color w:val="000000"/>
                <w:sz w:val="16"/>
                <w:szCs w:val="16"/>
                <w:lang w:eastAsia="en-AU"/>
              </w:rPr>
              <w:t>156</w:t>
            </w:r>
          </w:p>
        </w:tc>
        <w:tc>
          <w:tcPr>
            <w:tcW w:w="880" w:type="dxa"/>
            <w:tcBorders>
              <w:top w:val="nil"/>
              <w:left w:val="nil"/>
              <w:right w:val="dotted" w:sz="4" w:space="0" w:color="606072"/>
            </w:tcBorders>
            <w:shd w:val="clear" w:color="auto" w:fill="DEDFE3" w:themeFill="text2" w:themeFillTint="33"/>
            <w:noWrap/>
            <w:vAlign w:val="center"/>
          </w:tcPr>
          <w:p w14:paraId="64B23405" w14:textId="69C2D67A" w:rsidR="0048169B" w:rsidRPr="005060E0" w:rsidRDefault="0048169B" w:rsidP="0048169B">
            <w:pPr>
              <w:widowControl w:val="0"/>
              <w:spacing w:after="0" w:line="240" w:lineRule="auto"/>
              <w:jc w:val="center"/>
              <w:rPr>
                <w:rFonts w:eastAsia="Times New Roman" w:cs="Arial"/>
                <w:sz w:val="16"/>
                <w:szCs w:val="16"/>
                <w:lang w:eastAsia="en-AU"/>
              </w:rPr>
            </w:pPr>
          </w:p>
        </w:tc>
        <w:tc>
          <w:tcPr>
            <w:tcW w:w="880" w:type="dxa"/>
            <w:tcBorders>
              <w:top w:val="nil"/>
              <w:left w:val="dotted" w:sz="4" w:space="0" w:color="606072"/>
              <w:right w:val="dotted" w:sz="4" w:space="0" w:color="606072"/>
            </w:tcBorders>
            <w:shd w:val="clear" w:color="auto" w:fill="DEDFE3" w:themeFill="text2" w:themeFillTint="33"/>
            <w:noWrap/>
            <w:vAlign w:val="center"/>
          </w:tcPr>
          <w:p w14:paraId="238291F7" w14:textId="72AAFEE1" w:rsidR="0048169B" w:rsidRPr="005060E0" w:rsidRDefault="0048169B" w:rsidP="0048169B">
            <w:pPr>
              <w:widowControl w:val="0"/>
              <w:spacing w:after="0" w:line="240" w:lineRule="auto"/>
              <w:jc w:val="center"/>
              <w:rPr>
                <w:rFonts w:eastAsia="Times New Roman" w:cs="Arial"/>
                <w:sz w:val="16"/>
                <w:szCs w:val="16"/>
                <w:lang w:eastAsia="en-AU"/>
              </w:rPr>
            </w:pPr>
          </w:p>
        </w:tc>
        <w:tc>
          <w:tcPr>
            <w:tcW w:w="880" w:type="dxa"/>
            <w:tcBorders>
              <w:top w:val="nil"/>
              <w:left w:val="dotted" w:sz="4" w:space="0" w:color="606072"/>
              <w:right w:val="single" w:sz="4" w:space="0" w:color="606072"/>
            </w:tcBorders>
            <w:shd w:val="clear" w:color="auto" w:fill="DEDFE3" w:themeFill="text2" w:themeFillTint="33"/>
            <w:noWrap/>
            <w:vAlign w:val="center"/>
          </w:tcPr>
          <w:p w14:paraId="632664A7" w14:textId="2500E18B" w:rsidR="0048169B" w:rsidRPr="005060E0" w:rsidRDefault="0048169B" w:rsidP="0048169B">
            <w:pPr>
              <w:widowControl w:val="0"/>
              <w:spacing w:after="0" w:line="240" w:lineRule="auto"/>
              <w:jc w:val="center"/>
              <w:rPr>
                <w:rFonts w:eastAsia="Times New Roman" w:cs="Arial"/>
                <w:sz w:val="16"/>
                <w:szCs w:val="16"/>
                <w:lang w:eastAsia="en-AU"/>
              </w:rPr>
            </w:pPr>
          </w:p>
        </w:tc>
      </w:tr>
      <w:tr w:rsidR="0048169B" w:rsidRPr="005060E0" w14:paraId="3A541612" w14:textId="77777777" w:rsidTr="0048169B">
        <w:trPr>
          <w:trHeight w:val="252"/>
        </w:trPr>
        <w:tc>
          <w:tcPr>
            <w:tcW w:w="1640" w:type="dxa"/>
            <w:vMerge/>
            <w:tcBorders>
              <w:top w:val="nil"/>
              <w:left w:val="single" w:sz="4" w:space="0" w:color="606072"/>
              <w:bottom w:val="single" w:sz="4" w:space="0" w:color="606072"/>
              <w:right w:val="single" w:sz="4" w:space="0" w:color="606072"/>
            </w:tcBorders>
            <w:vAlign w:val="center"/>
          </w:tcPr>
          <w:p w14:paraId="6925D6D4" w14:textId="77777777" w:rsidR="0048169B" w:rsidRPr="005060E0" w:rsidRDefault="0048169B" w:rsidP="0048169B">
            <w:pPr>
              <w:widowControl w:val="0"/>
              <w:spacing w:after="0" w:line="240" w:lineRule="auto"/>
              <w:rPr>
                <w:rFonts w:eastAsia="Times New Roman" w:cs="Arial"/>
                <w:sz w:val="16"/>
                <w:szCs w:val="16"/>
                <w:lang w:eastAsia="en-AU"/>
              </w:rPr>
            </w:pPr>
          </w:p>
        </w:tc>
        <w:tc>
          <w:tcPr>
            <w:tcW w:w="880" w:type="dxa"/>
            <w:vMerge/>
            <w:tcBorders>
              <w:top w:val="nil"/>
              <w:left w:val="nil"/>
              <w:bottom w:val="single" w:sz="4" w:space="0" w:color="606072"/>
              <w:right w:val="nil"/>
            </w:tcBorders>
            <w:vAlign w:val="center"/>
          </w:tcPr>
          <w:p w14:paraId="6BAF79D9" w14:textId="77777777" w:rsidR="0048169B" w:rsidRPr="005060E0" w:rsidRDefault="0048169B" w:rsidP="0048169B">
            <w:pPr>
              <w:widowControl w:val="0"/>
              <w:spacing w:after="0" w:line="240" w:lineRule="auto"/>
              <w:rPr>
                <w:rFonts w:eastAsia="Times New Roman" w:cs="Arial"/>
                <w:sz w:val="16"/>
                <w:szCs w:val="16"/>
                <w:lang w:eastAsia="en-AU"/>
              </w:rPr>
            </w:pPr>
          </w:p>
        </w:tc>
        <w:tc>
          <w:tcPr>
            <w:tcW w:w="1540" w:type="dxa"/>
            <w:tcBorders>
              <w:top w:val="nil"/>
              <w:left w:val="single" w:sz="4" w:space="0" w:color="606072"/>
              <w:bottom w:val="single" w:sz="4" w:space="0" w:color="606072"/>
              <w:right w:val="single" w:sz="4" w:space="0" w:color="606072"/>
            </w:tcBorders>
            <w:shd w:val="clear" w:color="000000" w:fill="F2F2F2"/>
            <w:vAlign w:val="center"/>
            <w:hideMark/>
          </w:tcPr>
          <w:p w14:paraId="45E27D2E" w14:textId="77777777" w:rsidR="0048169B" w:rsidRPr="005060E0" w:rsidRDefault="0048169B" w:rsidP="0048169B">
            <w:pPr>
              <w:widowControl w:val="0"/>
              <w:spacing w:after="0" w:line="240" w:lineRule="auto"/>
              <w:jc w:val="center"/>
              <w:rPr>
                <w:rFonts w:eastAsia="Times New Roman" w:cs="Arial"/>
                <w:i/>
                <w:iCs/>
                <w:sz w:val="16"/>
                <w:szCs w:val="16"/>
                <w:lang w:eastAsia="en-AU"/>
              </w:rPr>
            </w:pPr>
            <w:r w:rsidRPr="005060E0">
              <w:rPr>
                <w:rFonts w:eastAsia="Times New Roman" w:cs="Arial"/>
                <w:i/>
                <w:iCs/>
                <w:sz w:val="16"/>
                <w:szCs w:val="16"/>
                <w:lang w:eastAsia="en-AU"/>
              </w:rPr>
              <w:t>Abatement Package</w:t>
            </w:r>
          </w:p>
        </w:tc>
        <w:tc>
          <w:tcPr>
            <w:tcW w:w="880" w:type="dxa"/>
            <w:tcBorders>
              <w:top w:val="nil"/>
              <w:left w:val="nil"/>
              <w:bottom w:val="single" w:sz="4" w:space="0" w:color="606072"/>
              <w:right w:val="dotted" w:sz="4" w:space="0" w:color="606072"/>
            </w:tcBorders>
            <w:shd w:val="clear" w:color="auto" w:fill="auto"/>
            <w:vAlign w:val="center"/>
          </w:tcPr>
          <w:p w14:paraId="1CE93796" w14:textId="2AD9C63C"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s="Arial"/>
                <w:color w:val="000000"/>
                <w:sz w:val="16"/>
                <w:szCs w:val="16"/>
                <w:lang w:eastAsia="en-AU"/>
              </w:rPr>
              <w:t>100</w:t>
            </w:r>
          </w:p>
        </w:tc>
        <w:tc>
          <w:tcPr>
            <w:tcW w:w="880" w:type="dxa"/>
            <w:tcBorders>
              <w:top w:val="nil"/>
              <w:left w:val="dotted" w:sz="4" w:space="0" w:color="606072"/>
              <w:bottom w:val="single" w:sz="4" w:space="0" w:color="606072"/>
              <w:right w:val="dotted" w:sz="4" w:space="0" w:color="606072"/>
            </w:tcBorders>
            <w:shd w:val="clear" w:color="auto" w:fill="auto"/>
            <w:vAlign w:val="center"/>
          </w:tcPr>
          <w:p w14:paraId="3A064238" w14:textId="7F96A8EF"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s="Arial"/>
                <w:color w:val="000000"/>
                <w:sz w:val="16"/>
                <w:szCs w:val="16"/>
                <w:lang w:eastAsia="en-AU"/>
              </w:rPr>
              <w:t>122</w:t>
            </w:r>
          </w:p>
        </w:tc>
        <w:tc>
          <w:tcPr>
            <w:tcW w:w="880" w:type="dxa"/>
            <w:tcBorders>
              <w:top w:val="nil"/>
              <w:left w:val="dotted" w:sz="4" w:space="0" w:color="606072"/>
              <w:bottom w:val="single" w:sz="4" w:space="0" w:color="606072"/>
              <w:right w:val="single" w:sz="4" w:space="0" w:color="606072"/>
            </w:tcBorders>
            <w:shd w:val="clear" w:color="auto" w:fill="auto"/>
            <w:vAlign w:val="center"/>
          </w:tcPr>
          <w:p w14:paraId="1D27382F" w14:textId="51DBE16B"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s="Arial"/>
                <w:color w:val="000000"/>
                <w:sz w:val="16"/>
                <w:szCs w:val="16"/>
                <w:lang w:eastAsia="en-AU"/>
              </w:rPr>
              <w:t>144</w:t>
            </w:r>
          </w:p>
        </w:tc>
        <w:tc>
          <w:tcPr>
            <w:tcW w:w="880" w:type="dxa"/>
            <w:tcBorders>
              <w:top w:val="nil"/>
              <w:left w:val="nil"/>
              <w:bottom w:val="single" w:sz="4" w:space="0" w:color="606072"/>
              <w:right w:val="dotted" w:sz="4" w:space="0" w:color="606072"/>
            </w:tcBorders>
            <w:shd w:val="clear" w:color="auto" w:fill="auto"/>
            <w:vAlign w:val="center"/>
          </w:tcPr>
          <w:p w14:paraId="04A334C0" w14:textId="7B63A4CD"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s="Arial"/>
                <w:color w:val="000000"/>
                <w:sz w:val="16"/>
                <w:szCs w:val="16"/>
                <w:lang w:eastAsia="en-AU"/>
              </w:rPr>
              <w:t>11</w:t>
            </w:r>
          </w:p>
        </w:tc>
        <w:tc>
          <w:tcPr>
            <w:tcW w:w="880" w:type="dxa"/>
            <w:tcBorders>
              <w:top w:val="nil"/>
              <w:left w:val="dotted" w:sz="4" w:space="0" w:color="606072"/>
              <w:bottom w:val="single" w:sz="4" w:space="0" w:color="606072"/>
              <w:right w:val="dotted" w:sz="4" w:space="0" w:color="606072"/>
            </w:tcBorders>
            <w:shd w:val="clear" w:color="auto" w:fill="auto"/>
            <w:vAlign w:val="center"/>
          </w:tcPr>
          <w:p w14:paraId="042B5CC8" w14:textId="38B651FF"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s="Arial"/>
                <w:color w:val="000000"/>
                <w:sz w:val="16"/>
                <w:szCs w:val="16"/>
                <w:lang w:eastAsia="en-AU"/>
              </w:rPr>
              <w:t>12</w:t>
            </w:r>
          </w:p>
        </w:tc>
        <w:tc>
          <w:tcPr>
            <w:tcW w:w="880" w:type="dxa"/>
            <w:tcBorders>
              <w:top w:val="nil"/>
              <w:left w:val="dotted" w:sz="4" w:space="0" w:color="606072"/>
              <w:bottom w:val="single" w:sz="4" w:space="0" w:color="606072"/>
              <w:right w:val="single" w:sz="4" w:space="0" w:color="606072"/>
            </w:tcBorders>
            <w:shd w:val="clear" w:color="auto" w:fill="auto"/>
            <w:vAlign w:val="center"/>
          </w:tcPr>
          <w:p w14:paraId="0E930C85" w14:textId="4574717D"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s="Arial"/>
                <w:color w:val="000000"/>
                <w:sz w:val="16"/>
                <w:szCs w:val="16"/>
                <w:lang w:eastAsia="en-AU"/>
              </w:rPr>
              <w:t>13</w:t>
            </w:r>
          </w:p>
        </w:tc>
      </w:tr>
      <w:tr w:rsidR="0048169B" w:rsidRPr="005060E0" w14:paraId="0D42ECF3" w14:textId="77777777" w:rsidTr="0048169B">
        <w:trPr>
          <w:trHeight w:val="252"/>
        </w:trPr>
        <w:tc>
          <w:tcPr>
            <w:tcW w:w="1640" w:type="dxa"/>
            <w:vMerge w:val="restart"/>
            <w:tcBorders>
              <w:top w:val="nil"/>
              <w:left w:val="single" w:sz="4" w:space="0" w:color="606072"/>
              <w:bottom w:val="single" w:sz="4" w:space="0" w:color="606072"/>
              <w:right w:val="single" w:sz="4" w:space="0" w:color="606072"/>
            </w:tcBorders>
            <w:shd w:val="clear" w:color="000000" w:fill="F2F2F2"/>
            <w:vAlign w:val="center"/>
          </w:tcPr>
          <w:p w14:paraId="36A2202A" w14:textId="0C46C327" w:rsidR="0048169B" w:rsidRPr="005060E0" w:rsidRDefault="0048169B" w:rsidP="0048169B">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Other airsheds</w:t>
            </w:r>
          </w:p>
        </w:tc>
        <w:tc>
          <w:tcPr>
            <w:tcW w:w="880" w:type="dxa"/>
            <w:vMerge w:val="restart"/>
            <w:tcBorders>
              <w:top w:val="nil"/>
              <w:left w:val="nil"/>
              <w:bottom w:val="single" w:sz="4" w:space="0" w:color="606072"/>
              <w:right w:val="nil"/>
            </w:tcBorders>
            <w:shd w:val="clear" w:color="auto" w:fill="auto"/>
            <w:vAlign w:val="center"/>
          </w:tcPr>
          <w:p w14:paraId="04B8C540" w14:textId="7E63A5FC" w:rsidR="0048169B" w:rsidRPr="005060E0" w:rsidRDefault="0067493E" w:rsidP="0048169B">
            <w:pPr>
              <w:widowControl w:val="0"/>
              <w:spacing w:after="0" w:line="240" w:lineRule="auto"/>
              <w:jc w:val="center"/>
              <w:rPr>
                <w:rFonts w:eastAsia="Times New Roman" w:cs="Arial"/>
                <w:sz w:val="16"/>
                <w:szCs w:val="16"/>
                <w:lang w:eastAsia="en-AU"/>
              </w:rPr>
            </w:pPr>
            <w:r w:rsidRPr="005060E0">
              <w:rPr>
                <w:rFonts w:eastAsia="Times New Roman" w:cs="Arial"/>
                <w:sz w:val="16"/>
                <w:szCs w:val="16"/>
                <w:lang w:eastAsia="en-AU"/>
              </w:rPr>
              <w:t>130</w:t>
            </w:r>
          </w:p>
        </w:tc>
        <w:tc>
          <w:tcPr>
            <w:tcW w:w="1540" w:type="dxa"/>
            <w:tcBorders>
              <w:top w:val="nil"/>
              <w:left w:val="single" w:sz="4" w:space="0" w:color="606072"/>
              <w:right w:val="single" w:sz="4" w:space="0" w:color="606072"/>
            </w:tcBorders>
            <w:shd w:val="clear" w:color="000000" w:fill="F2F2F2"/>
            <w:vAlign w:val="center"/>
            <w:hideMark/>
          </w:tcPr>
          <w:p w14:paraId="3F73E17F" w14:textId="77777777" w:rsidR="0048169B" w:rsidRPr="005060E0" w:rsidRDefault="0048169B" w:rsidP="0048169B">
            <w:pPr>
              <w:widowControl w:val="0"/>
              <w:spacing w:after="0" w:line="240" w:lineRule="auto"/>
              <w:jc w:val="center"/>
              <w:rPr>
                <w:rFonts w:eastAsia="Times New Roman" w:cs="Arial"/>
                <w:i/>
                <w:iCs/>
                <w:sz w:val="16"/>
                <w:szCs w:val="16"/>
                <w:lang w:eastAsia="en-AU"/>
              </w:rPr>
            </w:pPr>
            <w:r w:rsidRPr="005060E0">
              <w:rPr>
                <w:rFonts w:eastAsia="Times New Roman" w:cs="Arial"/>
                <w:i/>
                <w:iCs/>
                <w:sz w:val="16"/>
                <w:szCs w:val="16"/>
                <w:lang w:eastAsia="en-AU"/>
              </w:rPr>
              <w:t>BAU</w:t>
            </w:r>
          </w:p>
        </w:tc>
        <w:tc>
          <w:tcPr>
            <w:tcW w:w="880" w:type="dxa"/>
            <w:tcBorders>
              <w:top w:val="nil"/>
              <w:left w:val="nil"/>
              <w:right w:val="dotted" w:sz="4" w:space="0" w:color="606072"/>
            </w:tcBorders>
            <w:shd w:val="clear" w:color="auto" w:fill="auto"/>
            <w:vAlign w:val="center"/>
          </w:tcPr>
          <w:p w14:paraId="5B9E9648" w14:textId="1B36BD49"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olor w:val="808080" w:themeColor="background1" w:themeShade="80"/>
                <w:sz w:val="16"/>
                <w:szCs w:val="16"/>
                <w:lang w:eastAsia="en-AU"/>
              </w:rPr>
              <w:t>n/a</w:t>
            </w:r>
          </w:p>
        </w:tc>
        <w:tc>
          <w:tcPr>
            <w:tcW w:w="880" w:type="dxa"/>
            <w:tcBorders>
              <w:top w:val="nil"/>
              <w:left w:val="dotted" w:sz="4" w:space="0" w:color="606072"/>
              <w:right w:val="dotted" w:sz="4" w:space="0" w:color="606072"/>
            </w:tcBorders>
            <w:shd w:val="clear" w:color="auto" w:fill="auto"/>
            <w:vAlign w:val="center"/>
          </w:tcPr>
          <w:p w14:paraId="6DF83D7E" w14:textId="1E085324"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olor w:val="808080" w:themeColor="background1" w:themeShade="80"/>
                <w:sz w:val="16"/>
                <w:szCs w:val="16"/>
                <w:lang w:eastAsia="en-AU"/>
              </w:rPr>
              <w:t>n/a</w:t>
            </w:r>
          </w:p>
        </w:tc>
        <w:tc>
          <w:tcPr>
            <w:tcW w:w="880" w:type="dxa"/>
            <w:tcBorders>
              <w:top w:val="nil"/>
              <w:left w:val="dotted" w:sz="4" w:space="0" w:color="606072"/>
              <w:right w:val="single" w:sz="4" w:space="0" w:color="606072"/>
            </w:tcBorders>
            <w:shd w:val="clear" w:color="auto" w:fill="auto"/>
            <w:vAlign w:val="center"/>
          </w:tcPr>
          <w:p w14:paraId="675BF5D8" w14:textId="406A59B4"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olor w:val="808080" w:themeColor="background1" w:themeShade="80"/>
                <w:sz w:val="16"/>
                <w:szCs w:val="16"/>
                <w:lang w:eastAsia="en-AU"/>
              </w:rPr>
              <w:t>n/a</w:t>
            </w:r>
          </w:p>
        </w:tc>
        <w:tc>
          <w:tcPr>
            <w:tcW w:w="880" w:type="dxa"/>
            <w:tcBorders>
              <w:top w:val="nil"/>
              <w:left w:val="nil"/>
              <w:right w:val="dotted" w:sz="4" w:space="0" w:color="606072"/>
            </w:tcBorders>
            <w:shd w:val="clear" w:color="000000" w:fill="F2F2F2"/>
            <w:noWrap/>
            <w:vAlign w:val="center"/>
          </w:tcPr>
          <w:p w14:paraId="4DF34F09" w14:textId="4B002F1F"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olor w:val="808080" w:themeColor="background1" w:themeShade="80"/>
                <w:sz w:val="16"/>
                <w:szCs w:val="16"/>
                <w:lang w:eastAsia="en-AU"/>
              </w:rPr>
              <w:t>n/a</w:t>
            </w:r>
          </w:p>
        </w:tc>
        <w:tc>
          <w:tcPr>
            <w:tcW w:w="880" w:type="dxa"/>
            <w:tcBorders>
              <w:top w:val="nil"/>
              <w:left w:val="dotted" w:sz="4" w:space="0" w:color="606072"/>
              <w:right w:val="dotted" w:sz="4" w:space="0" w:color="606072"/>
            </w:tcBorders>
            <w:shd w:val="clear" w:color="000000" w:fill="F2F2F2"/>
            <w:noWrap/>
            <w:vAlign w:val="center"/>
          </w:tcPr>
          <w:p w14:paraId="0A2BF7DF" w14:textId="611CA535"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olor w:val="808080" w:themeColor="background1" w:themeShade="80"/>
                <w:sz w:val="16"/>
                <w:szCs w:val="16"/>
                <w:lang w:eastAsia="en-AU"/>
              </w:rPr>
              <w:t>n/a</w:t>
            </w:r>
          </w:p>
        </w:tc>
        <w:tc>
          <w:tcPr>
            <w:tcW w:w="880" w:type="dxa"/>
            <w:tcBorders>
              <w:top w:val="nil"/>
              <w:left w:val="dotted" w:sz="4" w:space="0" w:color="606072"/>
              <w:right w:val="single" w:sz="4" w:space="0" w:color="606072"/>
            </w:tcBorders>
            <w:shd w:val="clear" w:color="000000" w:fill="F2F2F2"/>
            <w:noWrap/>
            <w:vAlign w:val="center"/>
          </w:tcPr>
          <w:p w14:paraId="53D0D331" w14:textId="22FAC024"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olor w:val="808080" w:themeColor="background1" w:themeShade="80"/>
                <w:sz w:val="16"/>
                <w:szCs w:val="16"/>
                <w:lang w:eastAsia="en-AU"/>
              </w:rPr>
              <w:t>n/a</w:t>
            </w:r>
          </w:p>
        </w:tc>
      </w:tr>
      <w:tr w:rsidR="0048169B" w:rsidRPr="005060E0" w14:paraId="1D6D0AC5" w14:textId="77777777" w:rsidTr="0048169B">
        <w:trPr>
          <w:trHeight w:val="252"/>
        </w:trPr>
        <w:tc>
          <w:tcPr>
            <w:tcW w:w="1640" w:type="dxa"/>
            <w:vMerge/>
            <w:tcBorders>
              <w:top w:val="nil"/>
              <w:left w:val="single" w:sz="4" w:space="0" w:color="606072"/>
              <w:bottom w:val="single" w:sz="4" w:space="0" w:color="606072"/>
              <w:right w:val="single" w:sz="4" w:space="0" w:color="606072"/>
            </w:tcBorders>
            <w:vAlign w:val="center"/>
          </w:tcPr>
          <w:p w14:paraId="5B88DA34" w14:textId="77777777" w:rsidR="0048169B" w:rsidRPr="005060E0" w:rsidRDefault="0048169B" w:rsidP="0048169B">
            <w:pPr>
              <w:widowControl w:val="0"/>
              <w:spacing w:after="0" w:line="240" w:lineRule="auto"/>
              <w:rPr>
                <w:rFonts w:eastAsia="Times New Roman" w:cs="Arial"/>
                <w:sz w:val="16"/>
                <w:szCs w:val="16"/>
                <w:lang w:eastAsia="en-AU"/>
              </w:rPr>
            </w:pPr>
          </w:p>
        </w:tc>
        <w:tc>
          <w:tcPr>
            <w:tcW w:w="880" w:type="dxa"/>
            <w:vMerge/>
            <w:tcBorders>
              <w:top w:val="nil"/>
              <w:left w:val="nil"/>
              <w:bottom w:val="single" w:sz="4" w:space="0" w:color="606072"/>
              <w:right w:val="nil"/>
            </w:tcBorders>
            <w:vAlign w:val="center"/>
          </w:tcPr>
          <w:p w14:paraId="2C27D203" w14:textId="77777777" w:rsidR="0048169B" w:rsidRPr="005060E0" w:rsidRDefault="0048169B" w:rsidP="0048169B">
            <w:pPr>
              <w:widowControl w:val="0"/>
              <w:spacing w:after="0" w:line="240" w:lineRule="auto"/>
              <w:rPr>
                <w:rFonts w:eastAsia="Times New Roman" w:cs="Arial"/>
                <w:sz w:val="16"/>
                <w:szCs w:val="16"/>
                <w:lang w:eastAsia="en-AU"/>
              </w:rPr>
            </w:pPr>
          </w:p>
        </w:tc>
        <w:tc>
          <w:tcPr>
            <w:tcW w:w="1540" w:type="dxa"/>
            <w:tcBorders>
              <w:top w:val="nil"/>
              <w:left w:val="single" w:sz="4" w:space="0" w:color="606072"/>
              <w:bottom w:val="single" w:sz="4" w:space="0" w:color="606072"/>
              <w:right w:val="single" w:sz="4" w:space="0" w:color="606072"/>
            </w:tcBorders>
            <w:shd w:val="clear" w:color="000000" w:fill="F2F2F2"/>
            <w:vAlign w:val="center"/>
            <w:hideMark/>
          </w:tcPr>
          <w:p w14:paraId="0EB07DC2" w14:textId="77777777" w:rsidR="0048169B" w:rsidRPr="005060E0" w:rsidRDefault="0048169B" w:rsidP="0048169B">
            <w:pPr>
              <w:widowControl w:val="0"/>
              <w:spacing w:after="0" w:line="240" w:lineRule="auto"/>
              <w:jc w:val="center"/>
              <w:rPr>
                <w:rFonts w:eastAsia="Times New Roman" w:cs="Arial"/>
                <w:i/>
                <w:iCs/>
                <w:sz w:val="16"/>
                <w:szCs w:val="16"/>
                <w:lang w:eastAsia="en-AU"/>
              </w:rPr>
            </w:pPr>
            <w:r w:rsidRPr="005060E0">
              <w:rPr>
                <w:rFonts w:eastAsia="Times New Roman" w:cs="Arial"/>
                <w:i/>
                <w:iCs/>
                <w:sz w:val="16"/>
                <w:szCs w:val="16"/>
                <w:lang w:eastAsia="en-AU"/>
              </w:rPr>
              <w:t>Abatement Package</w:t>
            </w:r>
          </w:p>
        </w:tc>
        <w:tc>
          <w:tcPr>
            <w:tcW w:w="880" w:type="dxa"/>
            <w:tcBorders>
              <w:top w:val="nil"/>
              <w:left w:val="nil"/>
              <w:bottom w:val="single" w:sz="4" w:space="0" w:color="606072"/>
              <w:right w:val="dotted" w:sz="4" w:space="0" w:color="606072"/>
            </w:tcBorders>
            <w:shd w:val="clear" w:color="auto" w:fill="auto"/>
            <w:vAlign w:val="center"/>
          </w:tcPr>
          <w:p w14:paraId="23D52597" w14:textId="08A9EF69"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olor w:val="808080" w:themeColor="background1" w:themeShade="80"/>
                <w:sz w:val="16"/>
                <w:szCs w:val="16"/>
                <w:lang w:eastAsia="en-AU"/>
              </w:rPr>
              <w:t>n/a</w:t>
            </w:r>
          </w:p>
        </w:tc>
        <w:tc>
          <w:tcPr>
            <w:tcW w:w="880" w:type="dxa"/>
            <w:tcBorders>
              <w:top w:val="nil"/>
              <w:left w:val="dotted" w:sz="4" w:space="0" w:color="606072"/>
              <w:bottom w:val="single" w:sz="4" w:space="0" w:color="606072"/>
              <w:right w:val="dotted" w:sz="4" w:space="0" w:color="606072"/>
            </w:tcBorders>
            <w:shd w:val="clear" w:color="auto" w:fill="auto"/>
            <w:vAlign w:val="center"/>
          </w:tcPr>
          <w:p w14:paraId="430FC87A" w14:textId="7A5249CF"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olor w:val="808080" w:themeColor="background1" w:themeShade="80"/>
                <w:sz w:val="16"/>
                <w:szCs w:val="16"/>
                <w:lang w:eastAsia="en-AU"/>
              </w:rPr>
              <w:t>n/a</w:t>
            </w:r>
          </w:p>
        </w:tc>
        <w:tc>
          <w:tcPr>
            <w:tcW w:w="880" w:type="dxa"/>
            <w:tcBorders>
              <w:top w:val="nil"/>
              <w:left w:val="dotted" w:sz="4" w:space="0" w:color="606072"/>
              <w:bottom w:val="single" w:sz="4" w:space="0" w:color="606072"/>
              <w:right w:val="single" w:sz="4" w:space="0" w:color="606072"/>
            </w:tcBorders>
            <w:shd w:val="clear" w:color="auto" w:fill="auto"/>
            <w:vAlign w:val="center"/>
          </w:tcPr>
          <w:p w14:paraId="4F8ADA1E" w14:textId="41E69305"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olor w:val="808080" w:themeColor="background1" w:themeShade="80"/>
                <w:sz w:val="16"/>
                <w:szCs w:val="16"/>
                <w:lang w:eastAsia="en-AU"/>
              </w:rPr>
              <w:t>n/a</w:t>
            </w:r>
          </w:p>
        </w:tc>
        <w:tc>
          <w:tcPr>
            <w:tcW w:w="880" w:type="dxa"/>
            <w:tcBorders>
              <w:top w:val="nil"/>
              <w:left w:val="nil"/>
              <w:bottom w:val="single" w:sz="4" w:space="0" w:color="606072"/>
              <w:right w:val="dotted" w:sz="4" w:space="0" w:color="606072"/>
            </w:tcBorders>
            <w:shd w:val="clear" w:color="auto" w:fill="auto"/>
            <w:vAlign w:val="center"/>
          </w:tcPr>
          <w:p w14:paraId="1CDE9D06" w14:textId="45A2F45E"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olor w:val="808080" w:themeColor="background1" w:themeShade="80"/>
                <w:sz w:val="16"/>
                <w:szCs w:val="16"/>
                <w:lang w:eastAsia="en-AU"/>
              </w:rPr>
              <w:t>n/a</w:t>
            </w:r>
          </w:p>
        </w:tc>
        <w:tc>
          <w:tcPr>
            <w:tcW w:w="880" w:type="dxa"/>
            <w:tcBorders>
              <w:top w:val="nil"/>
              <w:left w:val="dotted" w:sz="4" w:space="0" w:color="606072"/>
              <w:bottom w:val="single" w:sz="4" w:space="0" w:color="606072"/>
              <w:right w:val="dotted" w:sz="4" w:space="0" w:color="606072"/>
            </w:tcBorders>
            <w:shd w:val="clear" w:color="auto" w:fill="auto"/>
            <w:vAlign w:val="center"/>
          </w:tcPr>
          <w:p w14:paraId="233AA6C7" w14:textId="178593EA"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olor w:val="808080" w:themeColor="background1" w:themeShade="80"/>
                <w:sz w:val="16"/>
                <w:szCs w:val="16"/>
                <w:lang w:eastAsia="en-AU"/>
              </w:rPr>
              <w:t>n/a</w:t>
            </w:r>
          </w:p>
        </w:tc>
        <w:tc>
          <w:tcPr>
            <w:tcW w:w="880" w:type="dxa"/>
            <w:tcBorders>
              <w:top w:val="nil"/>
              <w:left w:val="dotted" w:sz="4" w:space="0" w:color="606072"/>
              <w:bottom w:val="single" w:sz="4" w:space="0" w:color="606072"/>
              <w:right w:val="single" w:sz="4" w:space="0" w:color="606072"/>
            </w:tcBorders>
            <w:shd w:val="clear" w:color="auto" w:fill="auto"/>
            <w:vAlign w:val="center"/>
          </w:tcPr>
          <w:p w14:paraId="1C1CF198" w14:textId="7A8842B5"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olor w:val="808080" w:themeColor="background1" w:themeShade="80"/>
                <w:sz w:val="16"/>
                <w:szCs w:val="16"/>
                <w:lang w:eastAsia="en-AU"/>
              </w:rPr>
              <w:t>n/a</w:t>
            </w:r>
          </w:p>
        </w:tc>
      </w:tr>
      <w:tr w:rsidR="0048169B" w:rsidRPr="005060E0" w14:paraId="5032F726" w14:textId="77777777" w:rsidTr="0067493E">
        <w:trPr>
          <w:trHeight w:val="340"/>
        </w:trPr>
        <w:tc>
          <w:tcPr>
            <w:tcW w:w="9340" w:type="dxa"/>
            <w:gridSpan w:val="9"/>
            <w:tcBorders>
              <w:top w:val="single" w:sz="4" w:space="0" w:color="606072"/>
              <w:left w:val="single" w:sz="4" w:space="0" w:color="606072"/>
              <w:bottom w:val="single" w:sz="4" w:space="0" w:color="606072"/>
              <w:right w:val="single" w:sz="4" w:space="0" w:color="606072"/>
            </w:tcBorders>
            <w:shd w:val="clear" w:color="auto" w:fill="DEDFE3" w:themeFill="text2" w:themeFillTint="33"/>
            <w:vAlign w:val="center"/>
            <w:hideMark/>
          </w:tcPr>
          <w:p w14:paraId="7B42E408" w14:textId="77777777" w:rsidR="0048169B" w:rsidRPr="005060E0" w:rsidRDefault="0048169B" w:rsidP="0067493E">
            <w:pPr>
              <w:widowControl w:val="0"/>
              <w:spacing w:after="0" w:line="240" w:lineRule="auto"/>
              <w:rPr>
                <w:rFonts w:eastAsia="Times New Roman" w:cs="Arial"/>
                <w:color w:val="000000"/>
                <w:sz w:val="16"/>
                <w:szCs w:val="16"/>
                <w:lang w:eastAsia="en-AU"/>
              </w:rPr>
            </w:pPr>
            <w:r w:rsidRPr="005060E0">
              <w:rPr>
                <w:rFonts w:eastAsia="Times New Roman" w:cs="Arial"/>
                <w:color w:val="000000"/>
                <w:sz w:val="16"/>
                <w:szCs w:val="16"/>
                <w:lang w:eastAsia="en-AU"/>
              </w:rPr>
              <w:t>Emergency department visits, asthma (&lt;15 years)</w:t>
            </w:r>
          </w:p>
        </w:tc>
      </w:tr>
      <w:tr w:rsidR="0048169B" w:rsidRPr="005060E0" w14:paraId="17EF53F7" w14:textId="77777777" w:rsidTr="0048169B">
        <w:trPr>
          <w:trHeight w:val="252"/>
        </w:trPr>
        <w:tc>
          <w:tcPr>
            <w:tcW w:w="1640" w:type="dxa"/>
            <w:vMerge w:val="restart"/>
            <w:tcBorders>
              <w:top w:val="single" w:sz="4" w:space="0" w:color="606072"/>
              <w:left w:val="single" w:sz="4" w:space="0" w:color="606072"/>
              <w:bottom w:val="single" w:sz="4" w:space="0" w:color="606072"/>
              <w:right w:val="single" w:sz="4" w:space="0" w:color="606072"/>
            </w:tcBorders>
            <w:shd w:val="clear" w:color="000000" w:fill="F2F2F2"/>
            <w:vAlign w:val="center"/>
          </w:tcPr>
          <w:p w14:paraId="4E404A8A" w14:textId="55F46768" w:rsidR="0048169B" w:rsidRPr="005060E0" w:rsidRDefault="0048169B" w:rsidP="0048169B">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NSW and Victoria</w:t>
            </w:r>
          </w:p>
        </w:tc>
        <w:tc>
          <w:tcPr>
            <w:tcW w:w="880" w:type="dxa"/>
            <w:vMerge w:val="restart"/>
            <w:tcBorders>
              <w:top w:val="single" w:sz="4" w:space="0" w:color="606072"/>
              <w:left w:val="nil"/>
              <w:bottom w:val="single" w:sz="4" w:space="0" w:color="606072"/>
              <w:right w:val="nil"/>
            </w:tcBorders>
            <w:shd w:val="clear" w:color="auto" w:fill="auto"/>
            <w:vAlign w:val="center"/>
          </w:tcPr>
          <w:p w14:paraId="137872E4" w14:textId="061E88CC"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s="Arial"/>
                <w:sz w:val="16"/>
                <w:szCs w:val="16"/>
                <w:lang w:eastAsia="en-AU"/>
              </w:rPr>
              <w:t>263</w:t>
            </w:r>
          </w:p>
        </w:tc>
        <w:tc>
          <w:tcPr>
            <w:tcW w:w="1540" w:type="dxa"/>
            <w:tcBorders>
              <w:top w:val="single" w:sz="4" w:space="0" w:color="606072"/>
              <w:left w:val="single" w:sz="4" w:space="0" w:color="606072"/>
              <w:right w:val="single" w:sz="4" w:space="0" w:color="606072"/>
            </w:tcBorders>
            <w:shd w:val="clear" w:color="000000" w:fill="F2F2F2"/>
            <w:vAlign w:val="center"/>
            <w:hideMark/>
          </w:tcPr>
          <w:p w14:paraId="0EDC57BE" w14:textId="77777777" w:rsidR="0048169B" w:rsidRPr="005060E0" w:rsidRDefault="0048169B" w:rsidP="0048169B">
            <w:pPr>
              <w:widowControl w:val="0"/>
              <w:spacing w:after="0" w:line="240" w:lineRule="auto"/>
              <w:jc w:val="center"/>
              <w:rPr>
                <w:rFonts w:eastAsia="Times New Roman" w:cs="Arial"/>
                <w:i/>
                <w:iCs/>
                <w:sz w:val="16"/>
                <w:szCs w:val="16"/>
                <w:lang w:eastAsia="en-AU"/>
              </w:rPr>
            </w:pPr>
            <w:r w:rsidRPr="005060E0">
              <w:rPr>
                <w:rFonts w:eastAsia="Times New Roman" w:cs="Arial"/>
                <w:i/>
                <w:iCs/>
                <w:sz w:val="16"/>
                <w:szCs w:val="16"/>
                <w:lang w:eastAsia="en-AU"/>
              </w:rPr>
              <w:t>BAU</w:t>
            </w:r>
          </w:p>
        </w:tc>
        <w:tc>
          <w:tcPr>
            <w:tcW w:w="880" w:type="dxa"/>
            <w:tcBorders>
              <w:top w:val="single" w:sz="4" w:space="0" w:color="606072"/>
              <w:left w:val="nil"/>
              <w:right w:val="dotted" w:sz="4" w:space="0" w:color="606072"/>
            </w:tcBorders>
            <w:shd w:val="clear" w:color="auto" w:fill="auto"/>
            <w:vAlign w:val="center"/>
          </w:tcPr>
          <w:p w14:paraId="361ECF5E" w14:textId="779A05F0"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s="Arial"/>
                <w:color w:val="000000"/>
                <w:sz w:val="16"/>
                <w:szCs w:val="16"/>
                <w:lang w:eastAsia="en-AU"/>
              </w:rPr>
              <w:t>265</w:t>
            </w:r>
          </w:p>
        </w:tc>
        <w:tc>
          <w:tcPr>
            <w:tcW w:w="880" w:type="dxa"/>
            <w:tcBorders>
              <w:top w:val="single" w:sz="4" w:space="0" w:color="606072"/>
              <w:left w:val="dotted" w:sz="4" w:space="0" w:color="606072"/>
              <w:right w:val="dotted" w:sz="4" w:space="0" w:color="606072"/>
            </w:tcBorders>
            <w:shd w:val="clear" w:color="auto" w:fill="auto"/>
            <w:vAlign w:val="center"/>
          </w:tcPr>
          <w:p w14:paraId="57061D97" w14:textId="6AE2BA27"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s="Arial"/>
                <w:color w:val="000000"/>
                <w:sz w:val="16"/>
                <w:szCs w:val="16"/>
                <w:lang w:eastAsia="en-AU"/>
              </w:rPr>
              <w:t>323</w:t>
            </w:r>
          </w:p>
        </w:tc>
        <w:tc>
          <w:tcPr>
            <w:tcW w:w="880" w:type="dxa"/>
            <w:tcBorders>
              <w:top w:val="single" w:sz="4" w:space="0" w:color="606072"/>
              <w:left w:val="dotted" w:sz="4" w:space="0" w:color="606072"/>
              <w:right w:val="single" w:sz="4" w:space="0" w:color="606072"/>
            </w:tcBorders>
            <w:shd w:val="clear" w:color="auto" w:fill="auto"/>
            <w:vAlign w:val="center"/>
          </w:tcPr>
          <w:p w14:paraId="20AA1EE5" w14:textId="170C6594"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s="Arial"/>
                <w:color w:val="000000"/>
                <w:sz w:val="16"/>
                <w:szCs w:val="16"/>
                <w:lang w:eastAsia="en-AU"/>
              </w:rPr>
              <w:t>358</w:t>
            </w:r>
          </w:p>
        </w:tc>
        <w:tc>
          <w:tcPr>
            <w:tcW w:w="880" w:type="dxa"/>
            <w:tcBorders>
              <w:top w:val="single" w:sz="4" w:space="0" w:color="606072"/>
              <w:left w:val="nil"/>
              <w:right w:val="dotted" w:sz="4" w:space="0" w:color="606072"/>
            </w:tcBorders>
            <w:shd w:val="clear" w:color="auto" w:fill="DEDFE3" w:themeFill="text2" w:themeFillTint="33"/>
            <w:noWrap/>
            <w:vAlign w:val="center"/>
          </w:tcPr>
          <w:p w14:paraId="39700664" w14:textId="2DD9693D" w:rsidR="0048169B" w:rsidRPr="005060E0" w:rsidRDefault="0048169B" w:rsidP="0048169B">
            <w:pPr>
              <w:widowControl w:val="0"/>
              <w:spacing w:after="0" w:line="240" w:lineRule="auto"/>
              <w:jc w:val="center"/>
              <w:rPr>
                <w:rFonts w:eastAsia="Times New Roman" w:cs="Arial"/>
                <w:sz w:val="16"/>
                <w:szCs w:val="16"/>
                <w:lang w:eastAsia="en-AU"/>
              </w:rPr>
            </w:pPr>
          </w:p>
        </w:tc>
        <w:tc>
          <w:tcPr>
            <w:tcW w:w="880" w:type="dxa"/>
            <w:tcBorders>
              <w:top w:val="single" w:sz="4" w:space="0" w:color="606072"/>
              <w:left w:val="dotted" w:sz="4" w:space="0" w:color="606072"/>
              <w:right w:val="dotted" w:sz="4" w:space="0" w:color="606072"/>
            </w:tcBorders>
            <w:shd w:val="clear" w:color="auto" w:fill="DEDFE3" w:themeFill="text2" w:themeFillTint="33"/>
            <w:noWrap/>
            <w:vAlign w:val="center"/>
          </w:tcPr>
          <w:p w14:paraId="19B203F2" w14:textId="08A7178A" w:rsidR="0048169B" w:rsidRPr="005060E0" w:rsidRDefault="0048169B" w:rsidP="0048169B">
            <w:pPr>
              <w:widowControl w:val="0"/>
              <w:spacing w:after="0" w:line="240" w:lineRule="auto"/>
              <w:jc w:val="center"/>
              <w:rPr>
                <w:rFonts w:eastAsia="Times New Roman" w:cs="Arial"/>
                <w:sz w:val="16"/>
                <w:szCs w:val="16"/>
                <w:lang w:eastAsia="en-AU"/>
              </w:rPr>
            </w:pPr>
          </w:p>
        </w:tc>
        <w:tc>
          <w:tcPr>
            <w:tcW w:w="880" w:type="dxa"/>
            <w:tcBorders>
              <w:top w:val="single" w:sz="4" w:space="0" w:color="606072"/>
              <w:left w:val="dotted" w:sz="4" w:space="0" w:color="606072"/>
              <w:right w:val="single" w:sz="4" w:space="0" w:color="606072"/>
            </w:tcBorders>
            <w:shd w:val="clear" w:color="auto" w:fill="DEDFE3" w:themeFill="text2" w:themeFillTint="33"/>
            <w:noWrap/>
            <w:vAlign w:val="center"/>
          </w:tcPr>
          <w:p w14:paraId="5D4E17AE" w14:textId="0D3EBC76" w:rsidR="0048169B" w:rsidRPr="005060E0" w:rsidRDefault="0048169B" w:rsidP="0048169B">
            <w:pPr>
              <w:widowControl w:val="0"/>
              <w:spacing w:after="0" w:line="240" w:lineRule="auto"/>
              <w:jc w:val="center"/>
              <w:rPr>
                <w:rFonts w:eastAsia="Times New Roman" w:cs="Arial"/>
                <w:sz w:val="16"/>
                <w:szCs w:val="16"/>
                <w:lang w:eastAsia="en-AU"/>
              </w:rPr>
            </w:pPr>
          </w:p>
        </w:tc>
      </w:tr>
      <w:tr w:rsidR="0048169B" w:rsidRPr="005060E0" w14:paraId="3AC87725" w14:textId="77777777" w:rsidTr="0048169B">
        <w:trPr>
          <w:trHeight w:val="252"/>
        </w:trPr>
        <w:tc>
          <w:tcPr>
            <w:tcW w:w="1640" w:type="dxa"/>
            <w:vMerge/>
            <w:tcBorders>
              <w:top w:val="single" w:sz="4" w:space="0" w:color="606072"/>
              <w:left w:val="single" w:sz="4" w:space="0" w:color="606072"/>
              <w:bottom w:val="single" w:sz="4" w:space="0" w:color="606072"/>
              <w:right w:val="single" w:sz="4" w:space="0" w:color="606072"/>
            </w:tcBorders>
            <w:vAlign w:val="center"/>
          </w:tcPr>
          <w:p w14:paraId="5374F7D5" w14:textId="77777777" w:rsidR="0048169B" w:rsidRPr="005060E0" w:rsidRDefault="0048169B" w:rsidP="0048169B">
            <w:pPr>
              <w:widowControl w:val="0"/>
              <w:spacing w:after="0" w:line="240" w:lineRule="auto"/>
              <w:rPr>
                <w:rFonts w:eastAsia="Times New Roman" w:cs="Arial"/>
                <w:sz w:val="16"/>
                <w:szCs w:val="16"/>
                <w:lang w:eastAsia="en-AU"/>
              </w:rPr>
            </w:pPr>
          </w:p>
        </w:tc>
        <w:tc>
          <w:tcPr>
            <w:tcW w:w="880" w:type="dxa"/>
            <w:vMerge/>
            <w:tcBorders>
              <w:top w:val="single" w:sz="4" w:space="0" w:color="606072"/>
              <w:left w:val="nil"/>
              <w:bottom w:val="single" w:sz="4" w:space="0" w:color="606072"/>
              <w:right w:val="nil"/>
            </w:tcBorders>
            <w:vAlign w:val="center"/>
          </w:tcPr>
          <w:p w14:paraId="49547CB2" w14:textId="77777777" w:rsidR="0048169B" w:rsidRPr="005060E0" w:rsidRDefault="0048169B" w:rsidP="0048169B">
            <w:pPr>
              <w:widowControl w:val="0"/>
              <w:spacing w:after="0" w:line="240" w:lineRule="auto"/>
              <w:rPr>
                <w:rFonts w:eastAsia="Times New Roman" w:cs="Arial"/>
                <w:sz w:val="16"/>
                <w:szCs w:val="16"/>
                <w:lang w:eastAsia="en-AU"/>
              </w:rPr>
            </w:pPr>
          </w:p>
        </w:tc>
        <w:tc>
          <w:tcPr>
            <w:tcW w:w="1540" w:type="dxa"/>
            <w:tcBorders>
              <w:top w:val="nil"/>
              <w:left w:val="single" w:sz="4" w:space="0" w:color="606072"/>
              <w:bottom w:val="single" w:sz="4" w:space="0" w:color="606072"/>
              <w:right w:val="single" w:sz="4" w:space="0" w:color="606072"/>
            </w:tcBorders>
            <w:shd w:val="clear" w:color="000000" w:fill="F2F2F2"/>
            <w:vAlign w:val="center"/>
            <w:hideMark/>
          </w:tcPr>
          <w:p w14:paraId="49409C18" w14:textId="77777777" w:rsidR="0048169B" w:rsidRPr="005060E0" w:rsidRDefault="0048169B" w:rsidP="0048169B">
            <w:pPr>
              <w:widowControl w:val="0"/>
              <w:spacing w:after="0" w:line="240" w:lineRule="auto"/>
              <w:jc w:val="center"/>
              <w:rPr>
                <w:rFonts w:eastAsia="Times New Roman" w:cs="Arial"/>
                <w:i/>
                <w:iCs/>
                <w:sz w:val="16"/>
                <w:szCs w:val="16"/>
                <w:lang w:eastAsia="en-AU"/>
              </w:rPr>
            </w:pPr>
            <w:r w:rsidRPr="005060E0">
              <w:rPr>
                <w:rFonts w:eastAsia="Times New Roman" w:cs="Arial"/>
                <w:i/>
                <w:iCs/>
                <w:sz w:val="16"/>
                <w:szCs w:val="16"/>
                <w:lang w:eastAsia="en-AU"/>
              </w:rPr>
              <w:t>Abatement Package</w:t>
            </w:r>
          </w:p>
        </w:tc>
        <w:tc>
          <w:tcPr>
            <w:tcW w:w="880" w:type="dxa"/>
            <w:tcBorders>
              <w:top w:val="nil"/>
              <w:left w:val="nil"/>
              <w:bottom w:val="single" w:sz="4" w:space="0" w:color="606072"/>
              <w:right w:val="dotted" w:sz="4" w:space="0" w:color="606072"/>
            </w:tcBorders>
            <w:shd w:val="clear" w:color="auto" w:fill="auto"/>
            <w:vAlign w:val="center"/>
          </w:tcPr>
          <w:p w14:paraId="4EB11FFB" w14:textId="2EB9D7D8"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s="Arial"/>
                <w:color w:val="000000"/>
                <w:sz w:val="16"/>
                <w:szCs w:val="16"/>
                <w:lang w:eastAsia="en-AU"/>
              </w:rPr>
              <w:t>288</w:t>
            </w:r>
          </w:p>
        </w:tc>
        <w:tc>
          <w:tcPr>
            <w:tcW w:w="880" w:type="dxa"/>
            <w:tcBorders>
              <w:top w:val="nil"/>
              <w:left w:val="dotted" w:sz="4" w:space="0" w:color="606072"/>
              <w:bottom w:val="single" w:sz="4" w:space="0" w:color="606072"/>
              <w:right w:val="dotted" w:sz="4" w:space="0" w:color="606072"/>
            </w:tcBorders>
            <w:shd w:val="clear" w:color="auto" w:fill="auto"/>
            <w:vAlign w:val="center"/>
          </w:tcPr>
          <w:p w14:paraId="7C24C329" w14:textId="2A9A5050"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s="Arial"/>
                <w:color w:val="000000"/>
                <w:sz w:val="16"/>
                <w:szCs w:val="16"/>
                <w:lang w:eastAsia="en-AU"/>
              </w:rPr>
              <w:t>321</w:t>
            </w:r>
          </w:p>
        </w:tc>
        <w:tc>
          <w:tcPr>
            <w:tcW w:w="880" w:type="dxa"/>
            <w:tcBorders>
              <w:top w:val="nil"/>
              <w:left w:val="dotted" w:sz="4" w:space="0" w:color="606072"/>
              <w:bottom w:val="single" w:sz="4" w:space="0" w:color="606072"/>
              <w:right w:val="single" w:sz="4" w:space="0" w:color="606072"/>
            </w:tcBorders>
            <w:shd w:val="clear" w:color="auto" w:fill="auto"/>
            <w:vAlign w:val="center"/>
          </w:tcPr>
          <w:p w14:paraId="295FFA13" w14:textId="7D07D48A"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s="Arial"/>
                <w:color w:val="000000"/>
                <w:sz w:val="16"/>
                <w:szCs w:val="16"/>
                <w:lang w:eastAsia="en-AU"/>
              </w:rPr>
              <w:t>353</w:t>
            </w:r>
          </w:p>
        </w:tc>
        <w:tc>
          <w:tcPr>
            <w:tcW w:w="880" w:type="dxa"/>
            <w:tcBorders>
              <w:top w:val="nil"/>
              <w:left w:val="nil"/>
              <w:bottom w:val="single" w:sz="4" w:space="0" w:color="606072"/>
              <w:right w:val="dotted" w:sz="4" w:space="0" w:color="606072"/>
            </w:tcBorders>
            <w:shd w:val="clear" w:color="auto" w:fill="auto"/>
            <w:vAlign w:val="center"/>
          </w:tcPr>
          <w:p w14:paraId="6209803E" w14:textId="6D06CC5A" w:rsidR="0048169B" w:rsidRPr="005060E0" w:rsidRDefault="009347DB" w:rsidP="0048169B">
            <w:pPr>
              <w:widowControl w:val="0"/>
              <w:spacing w:after="0" w:line="240" w:lineRule="auto"/>
              <w:jc w:val="center"/>
              <w:rPr>
                <w:rFonts w:eastAsia="Times New Roman" w:cs="Arial"/>
                <w:sz w:val="16"/>
                <w:szCs w:val="16"/>
                <w:lang w:eastAsia="en-AU"/>
              </w:rPr>
            </w:pPr>
            <w:r>
              <w:rPr>
                <w:rFonts w:eastAsia="Times New Roman" w:cs="Arial"/>
                <w:color w:val="000000"/>
                <w:sz w:val="16"/>
                <w:szCs w:val="16"/>
                <w:lang w:eastAsia="en-AU"/>
              </w:rPr>
              <w:t>–</w:t>
            </w:r>
            <w:r w:rsidR="0048169B" w:rsidRPr="005060E0">
              <w:rPr>
                <w:rFonts w:eastAsia="Times New Roman" w:cs="Arial"/>
                <w:color w:val="000000"/>
                <w:sz w:val="16"/>
                <w:szCs w:val="16"/>
                <w:lang w:eastAsia="en-AU"/>
              </w:rPr>
              <w:t>23</w:t>
            </w:r>
          </w:p>
        </w:tc>
        <w:tc>
          <w:tcPr>
            <w:tcW w:w="880" w:type="dxa"/>
            <w:tcBorders>
              <w:top w:val="nil"/>
              <w:left w:val="dotted" w:sz="4" w:space="0" w:color="606072"/>
              <w:bottom w:val="single" w:sz="4" w:space="0" w:color="606072"/>
              <w:right w:val="dotted" w:sz="4" w:space="0" w:color="606072"/>
            </w:tcBorders>
            <w:shd w:val="clear" w:color="auto" w:fill="auto"/>
            <w:vAlign w:val="center"/>
          </w:tcPr>
          <w:p w14:paraId="2189C675" w14:textId="16770C1C"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s="Arial"/>
                <w:color w:val="000000"/>
                <w:sz w:val="16"/>
                <w:szCs w:val="16"/>
                <w:lang w:eastAsia="en-AU"/>
              </w:rPr>
              <w:t>3</w:t>
            </w:r>
          </w:p>
        </w:tc>
        <w:tc>
          <w:tcPr>
            <w:tcW w:w="880" w:type="dxa"/>
            <w:tcBorders>
              <w:top w:val="nil"/>
              <w:left w:val="dotted" w:sz="4" w:space="0" w:color="606072"/>
              <w:bottom w:val="single" w:sz="4" w:space="0" w:color="606072"/>
              <w:right w:val="single" w:sz="4" w:space="0" w:color="606072"/>
            </w:tcBorders>
            <w:shd w:val="clear" w:color="auto" w:fill="auto"/>
            <w:vAlign w:val="center"/>
          </w:tcPr>
          <w:p w14:paraId="3D8F3A9D" w14:textId="7018544D"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s="Arial"/>
                <w:color w:val="000000"/>
                <w:sz w:val="16"/>
                <w:szCs w:val="16"/>
                <w:lang w:eastAsia="en-AU"/>
              </w:rPr>
              <w:t>5</w:t>
            </w:r>
          </w:p>
        </w:tc>
      </w:tr>
      <w:tr w:rsidR="0048169B" w:rsidRPr="005060E0" w14:paraId="18EB07CB" w14:textId="77777777" w:rsidTr="0048169B">
        <w:trPr>
          <w:trHeight w:val="252"/>
        </w:trPr>
        <w:tc>
          <w:tcPr>
            <w:tcW w:w="1640" w:type="dxa"/>
            <w:vMerge w:val="restart"/>
            <w:tcBorders>
              <w:top w:val="nil"/>
              <w:left w:val="single" w:sz="4" w:space="0" w:color="606072"/>
              <w:bottom w:val="single" w:sz="4" w:space="0" w:color="606072"/>
              <w:right w:val="single" w:sz="4" w:space="0" w:color="606072"/>
            </w:tcBorders>
            <w:shd w:val="clear" w:color="000000" w:fill="F2F2F2"/>
            <w:vAlign w:val="center"/>
          </w:tcPr>
          <w:p w14:paraId="22179D33" w14:textId="1C2FD527" w:rsidR="0048169B" w:rsidRPr="005060E0" w:rsidRDefault="0048169B" w:rsidP="0048169B">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Other airsheds</w:t>
            </w:r>
          </w:p>
        </w:tc>
        <w:tc>
          <w:tcPr>
            <w:tcW w:w="880" w:type="dxa"/>
            <w:vMerge w:val="restart"/>
            <w:tcBorders>
              <w:top w:val="nil"/>
              <w:left w:val="nil"/>
              <w:bottom w:val="single" w:sz="4" w:space="0" w:color="606072"/>
              <w:right w:val="nil"/>
            </w:tcBorders>
            <w:shd w:val="clear" w:color="auto" w:fill="auto"/>
            <w:vAlign w:val="center"/>
          </w:tcPr>
          <w:p w14:paraId="7EF66891" w14:textId="7AE8D709" w:rsidR="0048169B" w:rsidRPr="005060E0" w:rsidRDefault="0067493E" w:rsidP="0048169B">
            <w:pPr>
              <w:widowControl w:val="0"/>
              <w:spacing w:after="0" w:line="240" w:lineRule="auto"/>
              <w:jc w:val="center"/>
              <w:rPr>
                <w:rFonts w:eastAsia="Times New Roman" w:cs="Arial"/>
                <w:sz w:val="16"/>
                <w:szCs w:val="16"/>
                <w:lang w:eastAsia="en-AU"/>
              </w:rPr>
            </w:pPr>
            <w:r w:rsidRPr="005060E0">
              <w:rPr>
                <w:rFonts w:eastAsia="Times New Roman" w:cs="Arial"/>
                <w:sz w:val="16"/>
                <w:szCs w:val="16"/>
                <w:lang w:eastAsia="en-AU"/>
              </w:rPr>
              <w:t>164</w:t>
            </w:r>
          </w:p>
        </w:tc>
        <w:tc>
          <w:tcPr>
            <w:tcW w:w="1540" w:type="dxa"/>
            <w:tcBorders>
              <w:top w:val="nil"/>
              <w:left w:val="single" w:sz="4" w:space="0" w:color="606072"/>
              <w:right w:val="single" w:sz="4" w:space="0" w:color="606072"/>
            </w:tcBorders>
            <w:shd w:val="clear" w:color="000000" w:fill="F2F2F2"/>
            <w:vAlign w:val="center"/>
            <w:hideMark/>
          </w:tcPr>
          <w:p w14:paraId="4E1687F9" w14:textId="77777777" w:rsidR="0048169B" w:rsidRPr="005060E0" w:rsidRDefault="0048169B" w:rsidP="0048169B">
            <w:pPr>
              <w:widowControl w:val="0"/>
              <w:spacing w:after="0" w:line="240" w:lineRule="auto"/>
              <w:jc w:val="center"/>
              <w:rPr>
                <w:rFonts w:eastAsia="Times New Roman" w:cs="Arial"/>
                <w:i/>
                <w:iCs/>
                <w:sz w:val="16"/>
                <w:szCs w:val="16"/>
                <w:lang w:eastAsia="en-AU"/>
              </w:rPr>
            </w:pPr>
            <w:r w:rsidRPr="005060E0">
              <w:rPr>
                <w:rFonts w:eastAsia="Times New Roman" w:cs="Arial"/>
                <w:i/>
                <w:iCs/>
                <w:sz w:val="16"/>
                <w:szCs w:val="16"/>
                <w:lang w:eastAsia="en-AU"/>
              </w:rPr>
              <w:t>BAU</w:t>
            </w:r>
          </w:p>
        </w:tc>
        <w:tc>
          <w:tcPr>
            <w:tcW w:w="880" w:type="dxa"/>
            <w:tcBorders>
              <w:top w:val="nil"/>
              <w:left w:val="nil"/>
              <w:right w:val="dotted" w:sz="4" w:space="0" w:color="606072"/>
            </w:tcBorders>
            <w:shd w:val="clear" w:color="auto" w:fill="auto"/>
            <w:vAlign w:val="center"/>
          </w:tcPr>
          <w:p w14:paraId="516B3AB1" w14:textId="2CD226F9"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olor w:val="808080" w:themeColor="background1" w:themeShade="80"/>
                <w:sz w:val="16"/>
                <w:szCs w:val="16"/>
                <w:lang w:eastAsia="en-AU"/>
              </w:rPr>
              <w:t>n/a</w:t>
            </w:r>
          </w:p>
        </w:tc>
        <w:tc>
          <w:tcPr>
            <w:tcW w:w="880" w:type="dxa"/>
            <w:tcBorders>
              <w:top w:val="nil"/>
              <w:left w:val="dotted" w:sz="4" w:space="0" w:color="606072"/>
              <w:right w:val="dotted" w:sz="4" w:space="0" w:color="606072"/>
            </w:tcBorders>
            <w:shd w:val="clear" w:color="auto" w:fill="auto"/>
            <w:vAlign w:val="center"/>
          </w:tcPr>
          <w:p w14:paraId="19B76CF9" w14:textId="152DF201"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olor w:val="808080" w:themeColor="background1" w:themeShade="80"/>
                <w:sz w:val="16"/>
                <w:szCs w:val="16"/>
                <w:lang w:eastAsia="en-AU"/>
              </w:rPr>
              <w:t>n/a</w:t>
            </w:r>
          </w:p>
        </w:tc>
        <w:tc>
          <w:tcPr>
            <w:tcW w:w="880" w:type="dxa"/>
            <w:tcBorders>
              <w:top w:val="nil"/>
              <w:left w:val="dotted" w:sz="4" w:space="0" w:color="606072"/>
              <w:right w:val="single" w:sz="4" w:space="0" w:color="606072"/>
            </w:tcBorders>
            <w:shd w:val="clear" w:color="auto" w:fill="auto"/>
            <w:vAlign w:val="center"/>
          </w:tcPr>
          <w:p w14:paraId="2CDC49AD" w14:textId="1EA9D826"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olor w:val="808080" w:themeColor="background1" w:themeShade="80"/>
                <w:sz w:val="16"/>
                <w:szCs w:val="16"/>
                <w:lang w:eastAsia="en-AU"/>
              </w:rPr>
              <w:t>n/a</w:t>
            </w:r>
          </w:p>
        </w:tc>
        <w:tc>
          <w:tcPr>
            <w:tcW w:w="880" w:type="dxa"/>
            <w:tcBorders>
              <w:top w:val="nil"/>
              <w:left w:val="nil"/>
              <w:right w:val="dotted" w:sz="4" w:space="0" w:color="606072"/>
            </w:tcBorders>
            <w:shd w:val="clear" w:color="000000" w:fill="F2F2F2"/>
            <w:noWrap/>
            <w:vAlign w:val="center"/>
          </w:tcPr>
          <w:p w14:paraId="1A0334B0" w14:textId="74D5DDBA"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olor w:val="808080" w:themeColor="background1" w:themeShade="80"/>
                <w:sz w:val="16"/>
                <w:szCs w:val="16"/>
                <w:lang w:eastAsia="en-AU"/>
              </w:rPr>
              <w:t>n/a</w:t>
            </w:r>
          </w:p>
        </w:tc>
        <w:tc>
          <w:tcPr>
            <w:tcW w:w="880" w:type="dxa"/>
            <w:tcBorders>
              <w:top w:val="nil"/>
              <w:left w:val="dotted" w:sz="4" w:space="0" w:color="606072"/>
              <w:right w:val="dotted" w:sz="4" w:space="0" w:color="606072"/>
            </w:tcBorders>
            <w:shd w:val="clear" w:color="000000" w:fill="F2F2F2"/>
            <w:noWrap/>
            <w:vAlign w:val="center"/>
          </w:tcPr>
          <w:p w14:paraId="0808F851" w14:textId="4BA8240D"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olor w:val="808080" w:themeColor="background1" w:themeShade="80"/>
                <w:sz w:val="16"/>
                <w:szCs w:val="16"/>
                <w:lang w:eastAsia="en-AU"/>
              </w:rPr>
              <w:t>n/a</w:t>
            </w:r>
          </w:p>
        </w:tc>
        <w:tc>
          <w:tcPr>
            <w:tcW w:w="880" w:type="dxa"/>
            <w:tcBorders>
              <w:top w:val="nil"/>
              <w:left w:val="dotted" w:sz="4" w:space="0" w:color="606072"/>
              <w:right w:val="single" w:sz="4" w:space="0" w:color="606072"/>
            </w:tcBorders>
            <w:shd w:val="clear" w:color="000000" w:fill="F2F2F2"/>
            <w:noWrap/>
            <w:vAlign w:val="center"/>
          </w:tcPr>
          <w:p w14:paraId="5B2AEDA0" w14:textId="0C7BEDC1"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olor w:val="808080" w:themeColor="background1" w:themeShade="80"/>
                <w:sz w:val="16"/>
                <w:szCs w:val="16"/>
                <w:lang w:eastAsia="en-AU"/>
              </w:rPr>
              <w:t>n/a</w:t>
            </w:r>
          </w:p>
        </w:tc>
      </w:tr>
      <w:tr w:rsidR="0048169B" w:rsidRPr="005060E0" w14:paraId="2CAFB98C" w14:textId="77777777" w:rsidTr="0048169B">
        <w:trPr>
          <w:trHeight w:val="252"/>
        </w:trPr>
        <w:tc>
          <w:tcPr>
            <w:tcW w:w="1640" w:type="dxa"/>
            <w:vMerge/>
            <w:tcBorders>
              <w:top w:val="nil"/>
              <w:left w:val="single" w:sz="4" w:space="0" w:color="606072"/>
              <w:bottom w:val="single" w:sz="4" w:space="0" w:color="606072"/>
              <w:right w:val="single" w:sz="4" w:space="0" w:color="606072"/>
            </w:tcBorders>
            <w:vAlign w:val="center"/>
          </w:tcPr>
          <w:p w14:paraId="0B96A31B" w14:textId="77777777" w:rsidR="0048169B" w:rsidRPr="005060E0" w:rsidRDefault="0048169B" w:rsidP="0048169B">
            <w:pPr>
              <w:widowControl w:val="0"/>
              <w:spacing w:after="0" w:line="240" w:lineRule="auto"/>
              <w:rPr>
                <w:rFonts w:eastAsia="Times New Roman" w:cs="Arial"/>
                <w:sz w:val="16"/>
                <w:szCs w:val="16"/>
                <w:lang w:eastAsia="en-AU"/>
              </w:rPr>
            </w:pPr>
          </w:p>
        </w:tc>
        <w:tc>
          <w:tcPr>
            <w:tcW w:w="880" w:type="dxa"/>
            <w:vMerge/>
            <w:tcBorders>
              <w:top w:val="nil"/>
              <w:left w:val="nil"/>
              <w:bottom w:val="single" w:sz="4" w:space="0" w:color="606072"/>
              <w:right w:val="nil"/>
            </w:tcBorders>
            <w:vAlign w:val="center"/>
          </w:tcPr>
          <w:p w14:paraId="2CFC0AAB" w14:textId="77777777" w:rsidR="0048169B" w:rsidRPr="005060E0" w:rsidRDefault="0048169B" w:rsidP="0048169B">
            <w:pPr>
              <w:widowControl w:val="0"/>
              <w:spacing w:after="0" w:line="240" w:lineRule="auto"/>
              <w:rPr>
                <w:rFonts w:eastAsia="Times New Roman" w:cs="Arial"/>
                <w:sz w:val="16"/>
                <w:szCs w:val="16"/>
                <w:lang w:eastAsia="en-AU"/>
              </w:rPr>
            </w:pPr>
          </w:p>
        </w:tc>
        <w:tc>
          <w:tcPr>
            <w:tcW w:w="1540" w:type="dxa"/>
            <w:tcBorders>
              <w:top w:val="nil"/>
              <w:left w:val="single" w:sz="4" w:space="0" w:color="606072"/>
              <w:bottom w:val="single" w:sz="4" w:space="0" w:color="606072"/>
              <w:right w:val="single" w:sz="4" w:space="0" w:color="606072"/>
            </w:tcBorders>
            <w:shd w:val="clear" w:color="000000" w:fill="F2F2F2"/>
            <w:vAlign w:val="center"/>
            <w:hideMark/>
          </w:tcPr>
          <w:p w14:paraId="5C31FD03" w14:textId="77777777" w:rsidR="0048169B" w:rsidRPr="005060E0" w:rsidRDefault="0048169B" w:rsidP="0048169B">
            <w:pPr>
              <w:widowControl w:val="0"/>
              <w:spacing w:after="0" w:line="240" w:lineRule="auto"/>
              <w:jc w:val="center"/>
              <w:rPr>
                <w:rFonts w:eastAsia="Times New Roman" w:cs="Arial"/>
                <w:i/>
                <w:iCs/>
                <w:sz w:val="16"/>
                <w:szCs w:val="16"/>
                <w:lang w:eastAsia="en-AU"/>
              </w:rPr>
            </w:pPr>
            <w:r w:rsidRPr="005060E0">
              <w:rPr>
                <w:rFonts w:eastAsia="Times New Roman" w:cs="Arial"/>
                <w:i/>
                <w:iCs/>
                <w:sz w:val="16"/>
                <w:szCs w:val="16"/>
                <w:lang w:eastAsia="en-AU"/>
              </w:rPr>
              <w:t>Abatement Package</w:t>
            </w:r>
          </w:p>
        </w:tc>
        <w:tc>
          <w:tcPr>
            <w:tcW w:w="880" w:type="dxa"/>
            <w:tcBorders>
              <w:top w:val="nil"/>
              <w:left w:val="nil"/>
              <w:bottom w:val="single" w:sz="4" w:space="0" w:color="606072"/>
              <w:right w:val="dotted" w:sz="4" w:space="0" w:color="606072"/>
            </w:tcBorders>
            <w:shd w:val="clear" w:color="auto" w:fill="auto"/>
            <w:vAlign w:val="center"/>
          </w:tcPr>
          <w:p w14:paraId="04C45374" w14:textId="095CAF3A"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olor w:val="808080" w:themeColor="background1" w:themeShade="80"/>
                <w:sz w:val="16"/>
                <w:szCs w:val="16"/>
                <w:lang w:eastAsia="en-AU"/>
              </w:rPr>
              <w:t>n/a</w:t>
            </w:r>
          </w:p>
        </w:tc>
        <w:tc>
          <w:tcPr>
            <w:tcW w:w="880" w:type="dxa"/>
            <w:tcBorders>
              <w:top w:val="nil"/>
              <w:left w:val="dotted" w:sz="4" w:space="0" w:color="606072"/>
              <w:bottom w:val="single" w:sz="4" w:space="0" w:color="606072"/>
              <w:right w:val="dotted" w:sz="4" w:space="0" w:color="606072"/>
            </w:tcBorders>
            <w:shd w:val="clear" w:color="auto" w:fill="auto"/>
            <w:vAlign w:val="center"/>
          </w:tcPr>
          <w:p w14:paraId="7AC24A2D" w14:textId="43BAFAB1"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olor w:val="808080" w:themeColor="background1" w:themeShade="80"/>
                <w:sz w:val="16"/>
                <w:szCs w:val="16"/>
                <w:lang w:eastAsia="en-AU"/>
              </w:rPr>
              <w:t>n/a</w:t>
            </w:r>
          </w:p>
        </w:tc>
        <w:tc>
          <w:tcPr>
            <w:tcW w:w="880" w:type="dxa"/>
            <w:tcBorders>
              <w:top w:val="nil"/>
              <w:left w:val="dotted" w:sz="4" w:space="0" w:color="606072"/>
              <w:bottom w:val="single" w:sz="4" w:space="0" w:color="606072"/>
              <w:right w:val="single" w:sz="4" w:space="0" w:color="606072"/>
            </w:tcBorders>
            <w:shd w:val="clear" w:color="auto" w:fill="auto"/>
            <w:vAlign w:val="center"/>
          </w:tcPr>
          <w:p w14:paraId="0AA493AA" w14:textId="77304219"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olor w:val="808080" w:themeColor="background1" w:themeShade="80"/>
                <w:sz w:val="16"/>
                <w:szCs w:val="16"/>
                <w:lang w:eastAsia="en-AU"/>
              </w:rPr>
              <w:t>n/a</w:t>
            </w:r>
          </w:p>
        </w:tc>
        <w:tc>
          <w:tcPr>
            <w:tcW w:w="880" w:type="dxa"/>
            <w:tcBorders>
              <w:top w:val="nil"/>
              <w:left w:val="nil"/>
              <w:bottom w:val="single" w:sz="4" w:space="0" w:color="606072"/>
              <w:right w:val="dotted" w:sz="4" w:space="0" w:color="606072"/>
            </w:tcBorders>
            <w:shd w:val="clear" w:color="auto" w:fill="auto"/>
            <w:vAlign w:val="center"/>
          </w:tcPr>
          <w:p w14:paraId="66C1A936" w14:textId="1164A535"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olor w:val="808080" w:themeColor="background1" w:themeShade="80"/>
                <w:sz w:val="16"/>
                <w:szCs w:val="16"/>
                <w:lang w:eastAsia="en-AU"/>
              </w:rPr>
              <w:t>n/a</w:t>
            </w:r>
          </w:p>
        </w:tc>
        <w:tc>
          <w:tcPr>
            <w:tcW w:w="880" w:type="dxa"/>
            <w:tcBorders>
              <w:top w:val="nil"/>
              <w:left w:val="dotted" w:sz="4" w:space="0" w:color="606072"/>
              <w:bottom w:val="single" w:sz="4" w:space="0" w:color="606072"/>
              <w:right w:val="dotted" w:sz="4" w:space="0" w:color="606072"/>
            </w:tcBorders>
            <w:shd w:val="clear" w:color="auto" w:fill="auto"/>
            <w:vAlign w:val="center"/>
          </w:tcPr>
          <w:p w14:paraId="2E856F42" w14:textId="5D2299ED"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olor w:val="808080" w:themeColor="background1" w:themeShade="80"/>
                <w:sz w:val="16"/>
                <w:szCs w:val="16"/>
                <w:lang w:eastAsia="en-AU"/>
              </w:rPr>
              <w:t>n/a</w:t>
            </w:r>
          </w:p>
        </w:tc>
        <w:tc>
          <w:tcPr>
            <w:tcW w:w="880" w:type="dxa"/>
            <w:tcBorders>
              <w:top w:val="nil"/>
              <w:left w:val="dotted" w:sz="4" w:space="0" w:color="606072"/>
              <w:bottom w:val="single" w:sz="4" w:space="0" w:color="606072"/>
              <w:right w:val="single" w:sz="4" w:space="0" w:color="606072"/>
            </w:tcBorders>
            <w:shd w:val="clear" w:color="auto" w:fill="auto"/>
            <w:vAlign w:val="center"/>
          </w:tcPr>
          <w:p w14:paraId="500A0D5E" w14:textId="1377F15E" w:rsidR="0048169B" w:rsidRPr="005060E0" w:rsidRDefault="0048169B" w:rsidP="0048169B">
            <w:pPr>
              <w:widowControl w:val="0"/>
              <w:spacing w:after="0" w:line="240" w:lineRule="auto"/>
              <w:jc w:val="center"/>
              <w:rPr>
                <w:rFonts w:eastAsia="Times New Roman" w:cs="Arial"/>
                <w:sz w:val="16"/>
                <w:szCs w:val="16"/>
                <w:lang w:eastAsia="en-AU"/>
              </w:rPr>
            </w:pPr>
            <w:r w:rsidRPr="005060E0">
              <w:rPr>
                <w:rFonts w:eastAsia="Times New Roman"/>
                <w:color w:val="808080" w:themeColor="background1" w:themeShade="80"/>
                <w:sz w:val="16"/>
                <w:szCs w:val="16"/>
                <w:lang w:eastAsia="en-AU"/>
              </w:rPr>
              <w:t>n/a</w:t>
            </w:r>
          </w:p>
        </w:tc>
      </w:tr>
    </w:tbl>
    <w:p w14:paraId="2814C027" w14:textId="5D6B7A59" w:rsidR="00627461" w:rsidRPr="005060E0" w:rsidRDefault="00627461" w:rsidP="00B81325">
      <w:pPr>
        <w:pStyle w:val="ListParagraph"/>
        <w:numPr>
          <w:ilvl w:val="0"/>
          <w:numId w:val="65"/>
        </w:numPr>
        <w:rPr>
          <w:rStyle w:val="PBTablecaptionChar"/>
          <w:rFonts w:eastAsiaTheme="minorHAnsi"/>
          <w:bCs w:val="0"/>
        </w:rPr>
      </w:pPr>
      <w:r w:rsidRPr="005060E0">
        <w:rPr>
          <w:sz w:val="16"/>
          <w:szCs w:val="16"/>
        </w:rPr>
        <w:t xml:space="preserve">‘All-cause mortality’ refers to acute mortality events that are estimated to shorten life by </w:t>
      </w:r>
      <w:r w:rsidR="006E1664">
        <w:rPr>
          <w:sz w:val="16"/>
          <w:szCs w:val="16"/>
        </w:rPr>
        <w:t>six</w:t>
      </w:r>
      <w:r w:rsidRPr="005060E0">
        <w:rPr>
          <w:sz w:val="16"/>
          <w:szCs w:val="16"/>
        </w:rPr>
        <w:t xml:space="preserve"> months.</w:t>
      </w:r>
    </w:p>
    <w:p w14:paraId="6775A1DE" w14:textId="2CB82116" w:rsidR="00AA4712" w:rsidRPr="005060E0" w:rsidRDefault="005128BC" w:rsidP="00AA4712">
      <w:pPr>
        <w:pStyle w:val="Heading3"/>
      </w:pPr>
      <w:r w:rsidRPr="005060E0">
        <w:t>Health outcomes for</w:t>
      </w:r>
      <w:r w:rsidR="00AA4712" w:rsidRPr="005060E0">
        <w:t xml:space="preserve"> compliance with standards</w:t>
      </w:r>
    </w:p>
    <w:p w14:paraId="3E1AE227" w14:textId="42BC9A11" w:rsidR="00293CCD" w:rsidRPr="005060E0" w:rsidRDefault="00293CCD" w:rsidP="00293CCD">
      <w:pPr>
        <w:rPr>
          <w:lang w:eastAsia="en-AU"/>
        </w:rPr>
      </w:pPr>
      <w:r w:rsidRPr="005060E0">
        <w:rPr>
          <w:lang w:eastAsia="en-AU"/>
        </w:rPr>
        <w:t>The numbers of health outcomes associated with meeting the O</w:t>
      </w:r>
      <w:r w:rsidRPr="005060E0">
        <w:rPr>
          <w:vertAlign w:val="subscript"/>
          <w:lang w:eastAsia="en-AU"/>
        </w:rPr>
        <w:t>3</w:t>
      </w:r>
      <w:r w:rsidRPr="005060E0">
        <w:rPr>
          <w:lang w:eastAsia="en-AU"/>
        </w:rPr>
        <w:t xml:space="preserve"> standards are given in Appendix B (Annexure C, Section C.2).</w:t>
      </w:r>
    </w:p>
    <w:p w14:paraId="0F2EEED2" w14:textId="75A9C310" w:rsidR="00D91F99" w:rsidRPr="005060E0" w:rsidRDefault="0086219F" w:rsidP="00EB11D5">
      <w:r w:rsidRPr="005060E0">
        <w:rPr>
          <w:lang w:eastAsia="en-AU"/>
        </w:rPr>
        <w:t>Th</w:t>
      </w:r>
      <w:r w:rsidR="008F6014" w:rsidRPr="005060E0">
        <w:rPr>
          <w:lang w:eastAsia="en-AU"/>
        </w:rPr>
        <w:t>e numbers of health outcomes</w:t>
      </w:r>
      <w:r w:rsidRPr="005060E0">
        <w:rPr>
          <w:lang w:eastAsia="en-AU"/>
        </w:rPr>
        <w:t xml:space="preserve"> avoided in the Australian</w:t>
      </w:r>
      <w:r w:rsidR="008F6014" w:rsidRPr="005060E0">
        <w:rPr>
          <w:lang w:eastAsia="en-AU"/>
        </w:rPr>
        <w:t xml:space="preserve"> airsheds by compliance with the proposed 1-hour</w:t>
      </w:r>
      <w:r w:rsidR="008E74DE" w:rsidRPr="005060E0">
        <w:rPr>
          <w:rStyle w:val="FootnoteReference"/>
          <w:lang w:eastAsia="en-AU"/>
        </w:rPr>
        <w:footnoteReference w:id="30"/>
      </w:r>
      <w:r w:rsidR="008F6014" w:rsidRPr="005060E0">
        <w:rPr>
          <w:lang w:eastAsia="en-AU"/>
        </w:rPr>
        <w:t xml:space="preserve"> standards for O</w:t>
      </w:r>
      <w:r w:rsidR="008F6014" w:rsidRPr="005060E0">
        <w:rPr>
          <w:vertAlign w:val="subscript"/>
          <w:lang w:eastAsia="en-AU"/>
        </w:rPr>
        <w:t>3</w:t>
      </w:r>
      <w:r w:rsidR="008F6014" w:rsidRPr="005060E0">
        <w:rPr>
          <w:lang w:eastAsia="en-AU"/>
        </w:rPr>
        <w:t xml:space="preserve"> of 70, 85 and 100 ppb</w:t>
      </w:r>
      <w:r w:rsidRPr="005060E0">
        <w:rPr>
          <w:lang w:eastAsia="en-AU"/>
        </w:rPr>
        <w:t xml:space="preserve"> are presented in </w:t>
      </w:r>
      <w:r w:rsidRPr="005060E0">
        <w:rPr>
          <w:lang w:eastAsia="en-AU"/>
        </w:rPr>
        <w:fldChar w:fldCharType="begin"/>
      </w:r>
      <w:r w:rsidRPr="005060E0">
        <w:rPr>
          <w:lang w:eastAsia="en-AU"/>
        </w:rPr>
        <w:instrText xml:space="preserve"> REF _Ref508547210 \h </w:instrText>
      </w:r>
      <w:r w:rsidRPr="005060E0">
        <w:rPr>
          <w:lang w:eastAsia="en-AU"/>
        </w:rPr>
      </w:r>
      <w:r w:rsidRPr="005060E0">
        <w:rPr>
          <w:lang w:eastAsia="en-AU"/>
        </w:rPr>
        <w:fldChar w:fldCharType="separate"/>
      </w:r>
      <w:r w:rsidR="00F2067C" w:rsidRPr="005060E0">
        <w:rPr>
          <w:rFonts w:cs="Arial"/>
        </w:rPr>
        <w:t xml:space="preserve">Table </w:t>
      </w:r>
      <w:r w:rsidR="00F2067C">
        <w:rPr>
          <w:rFonts w:cs="Arial"/>
          <w:noProof/>
        </w:rPr>
        <w:t>8</w:t>
      </w:r>
      <w:r w:rsidR="00F2067C" w:rsidRPr="005060E0">
        <w:rPr>
          <w:rFonts w:cs="Arial"/>
        </w:rPr>
        <w:noBreakHyphen/>
      </w:r>
      <w:r w:rsidR="00F2067C">
        <w:rPr>
          <w:rFonts w:cs="Arial"/>
          <w:noProof/>
        </w:rPr>
        <w:t>12</w:t>
      </w:r>
      <w:r w:rsidRPr="005060E0">
        <w:rPr>
          <w:lang w:eastAsia="en-AU"/>
        </w:rPr>
        <w:fldChar w:fldCharType="end"/>
      </w:r>
      <w:r w:rsidRPr="005060E0">
        <w:rPr>
          <w:lang w:eastAsia="en-AU"/>
        </w:rPr>
        <w:t xml:space="preserve">, </w:t>
      </w:r>
      <w:r w:rsidRPr="005060E0">
        <w:rPr>
          <w:lang w:eastAsia="en-AU"/>
        </w:rPr>
        <w:fldChar w:fldCharType="begin"/>
      </w:r>
      <w:r w:rsidRPr="005060E0">
        <w:rPr>
          <w:lang w:eastAsia="en-AU"/>
        </w:rPr>
        <w:instrText xml:space="preserve"> REF _Ref508547212 \h </w:instrText>
      </w:r>
      <w:r w:rsidRPr="005060E0">
        <w:rPr>
          <w:lang w:eastAsia="en-AU"/>
        </w:rPr>
      </w:r>
      <w:r w:rsidRPr="005060E0">
        <w:rPr>
          <w:lang w:eastAsia="en-AU"/>
        </w:rPr>
        <w:fldChar w:fldCharType="separate"/>
      </w:r>
      <w:r w:rsidR="00F2067C" w:rsidRPr="005060E0">
        <w:rPr>
          <w:rFonts w:cs="Arial"/>
        </w:rPr>
        <w:t xml:space="preserve">Table </w:t>
      </w:r>
      <w:r w:rsidR="00F2067C">
        <w:rPr>
          <w:rFonts w:cs="Arial"/>
          <w:noProof/>
        </w:rPr>
        <w:t>8</w:t>
      </w:r>
      <w:r w:rsidR="00F2067C" w:rsidRPr="005060E0">
        <w:rPr>
          <w:rFonts w:cs="Arial"/>
        </w:rPr>
        <w:noBreakHyphen/>
      </w:r>
      <w:r w:rsidR="00F2067C">
        <w:rPr>
          <w:rFonts w:cs="Arial"/>
          <w:noProof/>
        </w:rPr>
        <w:t>13</w:t>
      </w:r>
      <w:r w:rsidRPr="005060E0">
        <w:rPr>
          <w:lang w:eastAsia="en-AU"/>
        </w:rPr>
        <w:fldChar w:fldCharType="end"/>
      </w:r>
      <w:r w:rsidRPr="005060E0">
        <w:rPr>
          <w:lang w:eastAsia="en-AU"/>
        </w:rPr>
        <w:t xml:space="preserve">, and </w:t>
      </w:r>
      <w:r w:rsidRPr="005060E0">
        <w:rPr>
          <w:lang w:eastAsia="en-AU"/>
        </w:rPr>
        <w:fldChar w:fldCharType="begin"/>
      </w:r>
      <w:r w:rsidRPr="005060E0">
        <w:rPr>
          <w:lang w:eastAsia="en-AU"/>
        </w:rPr>
        <w:instrText xml:space="preserve"> REF _Ref508547214 \h </w:instrText>
      </w:r>
      <w:r w:rsidRPr="005060E0">
        <w:rPr>
          <w:lang w:eastAsia="en-AU"/>
        </w:rPr>
      </w:r>
      <w:r w:rsidRPr="005060E0">
        <w:rPr>
          <w:lang w:eastAsia="en-AU"/>
        </w:rPr>
        <w:fldChar w:fldCharType="separate"/>
      </w:r>
      <w:r w:rsidR="00F2067C" w:rsidRPr="005060E0">
        <w:rPr>
          <w:rFonts w:cs="Arial"/>
        </w:rPr>
        <w:t xml:space="preserve">Table </w:t>
      </w:r>
      <w:r w:rsidR="00F2067C">
        <w:rPr>
          <w:rFonts w:cs="Arial"/>
          <w:noProof/>
        </w:rPr>
        <w:t>8</w:t>
      </w:r>
      <w:r w:rsidR="00F2067C" w:rsidRPr="005060E0">
        <w:rPr>
          <w:rFonts w:cs="Arial"/>
        </w:rPr>
        <w:noBreakHyphen/>
      </w:r>
      <w:r w:rsidR="00F2067C">
        <w:rPr>
          <w:rFonts w:cs="Arial"/>
          <w:noProof/>
        </w:rPr>
        <w:t>14</w:t>
      </w:r>
      <w:r w:rsidRPr="005060E0">
        <w:rPr>
          <w:lang w:eastAsia="en-AU"/>
        </w:rPr>
        <w:fldChar w:fldCharType="end"/>
      </w:r>
      <w:r w:rsidRPr="005060E0">
        <w:rPr>
          <w:lang w:eastAsia="en-AU"/>
        </w:rPr>
        <w:t xml:space="preserve"> respectively.</w:t>
      </w:r>
      <w:r w:rsidR="00EB11D5" w:rsidRPr="005060E0">
        <w:t xml:space="preserve"> The results show that</w:t>
      </w:r>
      <w:r w:rsidR="001B5371" w:rsidRPr="005060E0">
        <w:t xml:space="preserve">, based on the historical monitoring data, </w:t>
      </w:r>
      <w:r w:rsidR="00EB11D5" w:rsidRPr="005060E0">
        <w:t xml:space="preserve">there would be health benefits if the proposed </w:t>
      </w:r>
      <w:r w:rsidR="00A303EE" w:rsidRPr="005060E0">
        <w:t>1-hour O</w:t>
      </w:r>
      <w:r w:rsidR="00A303EE" w:rsidRPr="005060E0">
        <w:rPr>
          <w:vertAlign w:val="subscript"/>
        </w:rPr>
        <w:t>3</w:t>
      </w:r>
      <w:r w:rsidR="00A303EE" w:rsidRPr="005060E0">
        <w:t xml:space="preserve"> </w:t>
      </w:r>
      <w:r w:rsidR="00EB11D5" w:rsidRPr="005060E0">
        <w:t>standards of 85 p</w:t>
      </w:r>
      <w:r w:rsidR="00A303EE" w:rsidRPr="005060E0">
        <w:t>pb or 70 ppb could be achieved.</w:t>
      </w:r>
      <w:r w:rsidR="00EB11D5" w:rsidRPr="005060E0">
        <w:t xml:space="preserve"> The largest benefit would be in Sydney.</w:t>
      </w:r>
      <w:r w:rsidR="00A303EE" w:rsidRPr="005060E0">
        <w:t xml:space="preserve"> Conversely, the modelling suggests that health outcomes would increase in NSW </w:t>
      </w:r>
      <w:r w:rsidR="00EF72CA">
        <w:t xml:space="preserve">overall </w:t>
      </w:r>
      <w:r w:rsidR="00A303EE" w:rsidRPr="005060E0">
        <w:t xml:space="preserve">for compliance with the 70 ppb and 85 ppb standards (i.e. the health outcomes avoided are negative). However, as observed earlier, </w:t>
      </w:r>
      <w:r w:rsidR="00A303EE" w:rsidRPr="005060E0">
        <w:rPr>
          <w:rFonts w:cs="Arial"/>
        </w:rPr>
        <w:t>greater weight should be given to the historical measurements than to the (more uncertain) future modelling when providing recommendations on possible new standards.</w:t>
      </w:r>
      <w:r w:rsidR="00A303EE" w:rsidRPr="005060E0">
        <w:t xml:space="preserve"> It is also worth noting that future patterns in ozone are complicated by growth in population and activity, and how these are distributed in time and space</w:t>
      </w:r>
      <w:r w:rsidR="00D91F99" w:rsidRPr="005060E0">
        <w:t>.</w:t>
      </w:r>
    </w:p>
    <w:p w14:paraId="5010449F" w14:textId="25842BEC" w:rsidR="005B28C7" w:rsidRPr="005060E0" w:rsidRDefault="005B28C7" w:rsidP="00EF72CA">
      <w:pPr>
        <w:pStyle w:val="PBTablecaption"/>
        <w:spacing w:before="360"/>
        <w:ind w:right="0"/>
      </w:pPr>
      <w:bookmarkStart w:id="231" w:name="_Toc465899772"/>
      <w:bookmarkStart w:id="232" w:name="_Ref508547210"/>
      <w:bookmarkEnd w:id="231"/>
      <w:r w:rsidRPr="005060E0">
        <w:rPr>
          <w:rFonts w:cs="Arial"/>
        </w:rPr>
        <w:t xml:space="preserve">Table </w:t>
      </w:r>
      <w:r w:rsidRPr="005060E0">
        <w:rPr>
          <w:rFonts w:cs="Arial"/>
        </w:rPr>
        <w:fldChar w:fldCharType="begin"/>
      </w:r>
      <w:r w:rsidRPr="005060E0">
        <w:rPr>
          <w:rFonts w:cs="Arial"/>
        </w:rPr>
        <w:instrText xml:space="preserve"> STYLEREF 1 \s </w:instrText>
      </w:r>
      <w:r w:rsidRPr="005060E0">
        <w:rPr>
          <w:rFonts w:cs="Arial"/>
        </w:rPr>
        <w:fldChar w:fldCharType="separate"/>
      </w:r>
      <w:r w:rsidR="00F2067C">
        <w:rPr>
          <w:rFonts w:cs="Arial"/>
          <w:noProof/>
        </w:rPr>
        <w:t>8</w:t>
      </w:r>
      <w:r w:rsidRPr="005060E0">
        <w:rPr>
          <w:rFonts w:cs="Arial"/>
          <w:noProof/>
        </w:rPr>
        <w:fldChar w:fldCharType="end"/>
      </w:r>
      <w:r w:rsidRPr="005060E0">
        <w:rPr>
          <w:rFonts w:cs="Arial"/>
        </w:rPr>
        <w:noBreakHyphen/>
      </w:r>
      <w:r w:rsidRPr="005060E0">
        <w:rPr>
          <w:rFonts w:cs="Arial"/>
        </w:rPr>
        <w:fldChar w:fldCharType="begin"/>
      </w:r>
      <w:r w:rsidRPr="005060E0">
        <w:rPr>
          <w:rFonts w:cs="Arial"/>
        </w:rPr>
        <w:instrText xml:space="preserve"> SEQ Table \* ARABIC \s 1 </w:instrText>
      </w:r>
      <w:r w:rsidRPr="005060E0">
        <w:rPr>
          <w:rFonts w:cs="Arial"/>
        </w:rPr>
        <w:fldChar w:fldCharType="separate"/>
      </w:r>
      <w:r w:rsidR="00F2067C">
        <w:rPr>
          <w:rFonts w:cs="Arial"/>
          <w:noProof/>
        </w:rPr>
        <w:t>12</w:t>
      </w:r>
      <w:r w:rsidRPr="005060E0">
        <w:rPr>
          <w:rFonts w:cs="Arial"/>
          <w:noProof/>
        </w:rPr>
        <w:fldChar w:fldCharType="end"/>
      </w:r>
      <w:bookmarkEnd w:id="232"/>
      <w:r w:rsidRPr="005060E0">
        <w:t>: Health outco</w:t>
      </w:r>
      <w:r w:rsidR="0067493E" w:rsidRPr="005060E0">
        <w:t xml:space="preserve">mes avoided if proposed 1-hour </w:t>
      </w:r>
      <w:r w:rsidRPr="005060E0">
        <w:t>O</w:t>
      </w:r>
      <w:r w:rsidR="0067493E" w:rsidRPr="005060E0">
        <w:rPr>
          <w:vertAlign w:val="subscript"/>
        </w:rPr>
        <w:t>3</w:t>
      </w:r>
      <w:r w:rsidR="0099075F" w:rsidRPr="005060E0">
        <w:t xml:space="preserve"> standard of 7</w:t>
      </w:r>
      <w:r w:rsidRPr="005060E0">
        <w:t>0 ppb is met in Australian airsheds</w:t>
      </w:r>
    </w:p>
    <w:tbl>
      <w:tblPr>
        <w:tblW w:w="5000" w:type="pct"/>
        <w:tblLook w:val="04A0" w:firstRow="1" w:lastRow="0" w:firstColumn="1" w:lastColumn="0" w:noHBand="0" w:noVBand="1"/>
      </w:tblPr>
      <w:tblGrid>
        <w:gridCol w:w="1670"/>
        <w:gridCol w:w="281"/>
        <w:gridCol w:w="1918"/>
        <w:gridCol w:w="1920"/>
        <w:gridCol w:w="1920"/>
        <w:gridCol w:w="1920"/>
      </w:tblGrid>
      <w:tr w:rsidR="00D44F1A" w:rsidRPr="005060E0" w14:paraId="7DE17EFF" w14:textId="77777777" w:rsidTr="00D35C2D">
        <w:trPr>
          <w:trHeight w:hRule="exact" w:val="170"/>
          <w:tblHeader/>
        </w:trPr>
        <w:tc>
          <w:tcPr>
            <w:tcW w:w="867" w:type="pct"/>
            <w:vMerge w:val="restart"/>
            <w:tcBorders>
              <w:top w:val="nil"/>
              <w:left w:val="single" w:sz="4" w:space="0" w:color="606072"/>
              <w:right w:val="single" w:sz="4" w:space="0" w:color="606072"/>
            </w:tcBorders>
            <w:shd w:val="clear" w:color="000000" w:fill="606072"/>
            <w:vAlign w:val="center"/>
            <w:hideMark/>
          </w:tcPr>
          <w:p w14:paraId="1B2571A3" w14:textId="77777777" w:rsidR="00D44F1A" w:rsidRPr="005060E0" w:rsidRDefault="00D44F1A" w:rsidP="0086219F">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Airshed</w:t>
            </w:r>
          </w:p>
        </w:tc>
        <w:tc>
          <w:tcPr>
            <w:tcW w:w="146" w:type="pct"/>
            <w:tcBorders>
              <w:top w:val="nil"/>
              <w:left w:val="nil"/>
              <w:bottom w:val="single" w:sz="4" w:space="0" w:color="606072"/>
              <w:right w:val="nil"/>
            </w:tcBorders>
            <w:shd w:val="clear" w:color="000000" w:fill="606072"/>
            <w:vAlign w:val="center"/>
            <w:hideMark/>
          </w:tcPr>
          <w:p w14:paraId="068546F2" w14:textId="77777777" w:rsidR="00D44F1A" w:rsidRPr="005060E0" w:rsidRDefault="00D44F1A" w:rsidP="0086219F">
            <w:pPr>
              <w:widowControl w:val="0"/>
              <w:spacing w:after="0" w:line="240" w:lineRule="auto"/>
              <w:jc w:val="center"/>
              <w:rPr>
                <w:rFonts w:eastAsia="Times New Roman" w:cs="Arial"/>
                <w:color w:val="FFFFFF"/>
                <w:sz w:val="16"/>
                <w:szCs w:val="16"/>
                <w:lang w:eastAsia="en-AU"/>
              </w:rPr>
            </w:pPr>
          </w:p>
        </w:tc>
        <w:tc>
          <w:tcPr>
            <w:tcW w:w="3987" w:type="pct"/>
            <w:gridSpan w:val="4"/>
            <w:vMerge w:val="restart"/>
            <w:tcBorders>
              <w:top w:val="nil"/>
              <w:left w:val="single" w:sz="4" w:space="0" w:color="606072"/>
              <w:right w:val="single" w:sz="4" w:space="0" w:color="606072"/>
            </w:tcBorders>
            <w:shd w:val="clear" w:color="000000" w:fill="606072"/>
            <w:vAlign w:val="center"/>
            <w:hideMark/>
          </w:tcPr>
          <w:p w14:paraId="41FF6564" w14:textId="7ED5DB03" w:rsidR="00D44F1A" w:rsidRPr="005060E0" w:rsidRDefault="00D44F1A" w:rsidP="00D44F1A">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Health outcomes avoided</w:t>
            </w:r>
          </w:p>
        </w:tc>
      </w:tr>
      <w:tr w:rsidR="00D44F1A" w:rsidRPr="005060E0" w14:paraId="50CE48FB" w14:textId="77777777" w:rsidTr="00D35C2D">
        <w:trPr>
          <w:trHeight w:hRule="exact" w:val="227"/>
          <w:tblHeader/>
        </w:trPr>
        <w:tc>
          <w:tcPr>
            <w:tcW w:w="867" w:type="pct"/>
            <w:vMerge/>
            <w:tcBorders>
              <w:left w:val="single" w:sz="4" w:space="0" w:color="606072"/>
              <w:right w:val="single" w:sz="4" w:space="0" w:color="606072"/>
            </w:tcBorders>
            <w:shd w:val="clear" w:color="000000" w:fill="606072"/>
            <w:vAlign w:val="center"/>
            <w:hideMark/>
          </w:tcPr>
          <w:p w14:paraId="4ED1FC64" w14:textId="77777777" w:rsidR="00D44F1A" w:rsidRPr="005060E0" w:rsidRDefault="00D44F1A" w:rsidP="0086219F">
            <w:pPr>
              <w:widowControl w:val="0"/>
              <w:spacing w:after="0" w:line="240" w:lineRule="auto"/>
              <w:jc w:val="center"/>
              <w:rPr>
                <w:rFonts w:eastAsia="Times New Roman" w:cs="Arial"/>
                <w:color w:val="FFFFFF"/>
                <w:sz w:val="16"/>
                <w:szCs w:val="16"/>
                <w:lang w:eastAsia="en-AU"/>
              </w:rPr>
            </w:pPr>
          </w:p>
        </w:tc>
        <w:tc>
          <w:tcPr>
            <w:tcW w:w="146" w:type="pct"/>
            <w:tcBorders>
              <w:top w:val="nil"/>
              <w:left w:val="nil"/>
              <w:bottom w:val="nil"/>
              <w:right w:val="nil"/>
            </w:tcBorders>
            <w:shd w:val="clear" w:color="000000" w:fill="606072"/>
            <w:vAlign w:val="center"/>
            <w:hideMark/>
          </w:tcPr>
          <w:p w14:paraId="68CC56A0" w14:textId="77777777" w:rsidR="00D44F1A" w:rsidRPr="005060E0" w:rsidRDefault="00D44F1A" w:rsidP="0086219F">
            <w:pPr>
              <w:widowControl w:val="0"/>
              <w:spacing w:after="0" w:line="240" w:lineRule="auto"/>
              <w:jc w:val="center"/>
              <w:rPr>
                <w:rFonts w:eastAsia="Times New Roman" w:cs="Arial"/>
                <w:color w:val="FFFFFF"/>
                <w:sz w:val="16"/>
                <w:szCs w:val="16"/>
                <w:lang w:eastAsia="en-AU"/>
              </w:rPr>
            </w:pPr>
          </w:p>
        </w:tc>
        <w:tc>
          <w:tcPr>
            <w:tcW w:w="3987" w:type="pct"/>
            <w:gridSpan w:val="4"/>
            <w:vMerge/>
            <w:tcBorders>
              <w:left w:val="single" w:sz="4" w:space="0" w:color="606072"/>
              <w:bottom w:val="nil"/>
              <w:right w:val="single" w:sz="4" w:space="0" w:color="606072"/>
            </w:tcBorders>
            <w:shd w:val="clear" w:color="000000" w:fill="606072"/>
            <w:vAlign w:val="center"/>
            <w:hideMark/>
          </w:tcPr>
          <w:p w14:paraId="00657F38" w14:textId="77777777" w:rsidR="00D44F1A" w:rsidRPr="005060E0" w:rsidRDefault="00D44F1A" w:rsidP="0086219F">
            <w:pPr>
              <w:widowControl w:val="0"/>
              <w:spacing w:after="0" w:line="240" w:lineRule="auto"/>
              <w:jc w:val="center"/>
              <w:rPr>
                <w:rFonts w:eastAsia="Times New Roman" w:cs="Arial"/>
                <w:color w:val="FFFFFF"/>
                <w:sz w:val="16"/>
                <w:szCs w:val="16"/>
                <w:lang w:eastAsia="en-AU"/>
              </w:rPr>
            </w:pPr>
          </w:p>
        </w:tc>
      </w:tr>
      <w:tr w:rsidR="005B28C7" w:rsidRPr="005060E0" w14:paraId="75278F4E" w14:textId="77777777" w:rsidTr="00D35C2D">
        <w:trPr>
          <w:trHeight w:val="340"/>
          <w:tblHeader/>
        </w:trPr>
        <w:tc>
          <w:tcPr>
            <w:tcW w:w="867" w:type="pct"/>
            <w:vMerge/>
            <w:tcBorders>
              <w:left w:val="single" w:sz="4" w:space="0" w:color="606072"/>
              <w:bottom w:val="single" w:sz="4" w:space="0" w:color="606372" w:themeColor="text2"/>
              <w:right w:val="single" w:sz="4" w:space="0" w:color="606072"/>
            </w:tcBorders>
            <w:vAlign w:val="center"/>
            <w:hideMark/>
          </w:tcPr>
          <w:p w14:paraId="14D2A386" w14:textId="77777777" w:rsidR="005B28C7" w:rsidRPr="005060E0" w:rsidRDefault="005B28C7" w:rsidP="0086219F">
            <w:pPr>
              <w:widowControl w:val="0"/>
              <w:spacing w:after="0" w:line="240" w:lineRule="auto"/>
              <w:jc w:val="center"/>
              <w:rPr>
                <w:rFonts w:eastAsia="Times New Roman" w:cs="Arial"/>
                <w:color w:val="FFFFFF"/>
                <w:sz w:val="16"/>
                <w:szCs w:val="16"/>
                <w:lang w:eastAsia="en-AU"/>
              </w:rPr>
            </w:pPr>
          </w:p>
        </w:tc>
        <w:tc>
          <w:tcPr>
            <w:tcW w:w="146" w:type="pct"/>
            <w:tcBorders>
              <w:top w:val="nil"/>
              <w:left w:val="nil"/>
              <w:bottom w:val="single" w:sz="4" w:space="0" w:color="606372" w:themeColor="text2"/>
              <w:right w:val="single" w:sz="4" w:space="0" w:color="606072"/>
            </w:tcBorders>
            <w:shd w:val="clear" w:color="000000" w:fill="606072"/>
            <w:vAlign w:val="center"/>
            <w:hideMark/>
          </w:tcPr>
          <w:p w14:paraId="6FD8017A" w14:textId="77777777" w:rsidR="005B28C7" w:rsidRPr="005060E0" w:rsidRDefault="005B28C7" w:rsidP="0086219F">
            <w:pPr>
              <w:widowControl w:val="0"/>
              <w:spacing w:after="0" w:line="240" w:lineRule="auto"/>
              <w:jc w:val="center"/>
              <w:rPr>
                <w:rFonts w:eastAsia="Times New Roman" w:cs="Arial"/>
                <w:color w:val="FFFFFF"/>
                <w:sz w:val="16"/>
                <w:szCs w:val="16"/>
                <w:lang w:eastAsia="en-AU"/>
              </w:rPr>
            </w:pPr>
          </w:p>
        </w:tc>
        <w:tc>
          <w:tcPr>
            <w:tcW w:w="996" w:type="pct"/>
            <w:tcBorders>
              <w:top w:val="nil"/>
              <w:left w:val="nil"/>
              <w:bottom w:val="single" w:sz="4" w:space="0" w:color="606372" w:themeColor="text2"/>
              <w:right w:val="single" w:sz="4" w:space="0" w:color="606072"/>
            </w:tcBorders>
            <w:shd w:val="clear" w:color="000000" w:fill="606072"/>
            <w:vAlign w:val="center"/>
            <w:hideMark/>
          </w:tcPr>
          <w:p w14:paraId="4CBD8F32" w14:textId="77777777" w:rsidR="005B28C7" w:rsidRPr="005060E0" w:rsidRDefault="005B28C7" w:rsidP="0086219F">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Average</w:t>
            </w:r>
          </w:p>
          <w:p w14:paraId="1F2B3DF8" w14:textId="0D808DBD" w:rsidR="005B28C7" w:rsidRPr="005060E0" w:rsidRDefault="005B28C7" w:rsidP="0086219F">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2010</w:t>
            </w:r>
            <w:r w:rsidR="00DF4D3A" w:rsidRPr="005060E0">
              <w:rPr>
                <w:rFonts w:eastAsia="Times New Roman" w:cs="Arial"/>
                <w:color w:val="FFFFFF"/>
                <w:sz w:val="16"/>
                <w:szCs w:val="16"/>
                <w:lang w:eastAsia="en-AU"/>
              </w:rPr>
              <w:t>–20</w:t>
            </w:r>
            <w:r w:rsidRPr="005060E0">
              <w:rPr>
                <w:rFonts w:eastAsia="Times New Roman" w:cs="Arial"/>
                <w:color w:val="FFFFFF"/>
                <w:sz w:val="16"/>
                <w:szCs w:val="16"/>
                <w:lang w:eastAsia="en-AU"/>
              </w:rPr>
              <w:t>14</w:t>
            </w:r>
          </w:p>
        </w:tc>
        <w:tc>
          <w:tcPr>
            <w:tcW w:w="997" w:type="pct"/>
            <w:tcBorders>
              <w:top w:val="single" w:sz="4" w:space="0" w:color="606072"/>
              <w:left w:val="nil"/>
              <w:bottom w:val="single" w:sz="4" w:space="0" w:color="606372" w:themeColor="text2"/>
              <w:right w:val="single" w:sz="4" w:space="0" w:color="606072"/>
            </w:tcBorders>
            <w:shd w:val="clear" w:color="000000" w:fill="606072"/>
            <w:vAlign w:val="center"/>
            <w:hideMark/>
          </w:tcPr>
          <w:p w14:paraId="58F50D89" w14:textId="77777777" w:rsidR="005B28C7" w:rsidRPr="005060E0" w:rsidRDefault="005B28C7" w:rsidP="0086219F">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2021</w:t>
            </w:r>
          </w:p>
        </w:tc>
        <w:tc>
          <w:tcPr>
            <w:tcW w:w="997" w:type="pct"/>
            <w:tcBorders>
              <w:top w:val="single" w:sz="4" w:space="0" w:color="606072"/>
              <w:left w:val="nil"/>
              <w:bottom w:val="single" w:sz="4" w:space="0" w:color="606372" w:themeColor="text2"/>
              <w:right w:val="single" w:sz="4" w:space="0" w:color="606072"/>
            </w:tcBorders>
            <w:shd w:val="clear" w:color="000000" w:fill="606072"/>
            <w:vAlign w:val="center"/>
            <w:hideMark/>
          </w:tcPr>
          <w:p w14:paraId="4C1534AF" w14:textId="77777777" w:rsidR="005B28C7" w:rsidRPr="005060E0" w:rsidRDefault="005B28C7" w:rsidP="0086219F">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2031</w:t>
            </w:r>
          </w:p>
        </w:tc>
        <w:tc>
          <w:tcPr>
            <w:tcW w:w="997" w:type="pct"/>
            <w:tcBorders>
              <w:top w:val="single" w:sz="4" w:space="0" w:color="606072"/>
              <w:left w:val="nil"/>
              <w:bottom w:val="single" w:sz="4" w:space="0" w:color="606372" w:themeColor="text2"/>
              <w:right w:val="single" w:sz="4" w:space="0" w:color="606072"/>
            </w:tcBorders>
            <w:shd w:val="clear" w:color="000000" w:fill="606072"/>
            <w:vAlign w:val="center"/>
            <w:hideMark/>
          </w:tcPr>
          <w:p w14:paraId="6492F756" w14:textId="77777777" w:rsidR="005B28C7" w:rsidRPr="005060E0" w:rsidRDefault="005B28C7" w:rsidP="0086219F">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2040</w:t>
            </w:r>
          </w:p>
        </w:tc>
      </w:tr>
      <w:tr w:rsidR="005B28C7" w:rsidRPr="005060E0" w14:paraId="6BF45A05" w14:textId="77777777" w:rsidTr="00AD078E">
        <w:trPr>
          <w:trHeight w:hRule="exact" w:val="340"/>
        </w:trPr>
        <w:tc>
          <w:tcPr>
            <w:tcW w:w="5000" w:type="pct"/>
            <w:gridSpan w:val="6"/>
            <w:tcBorders>
              <w:top w:val="single" w:sz="4" w:space="0" w:color="606372" w:themeColor="text2"/>
              <w:left w:val="single" w:sz="4" w:space="0" w:color="606372" w:themeColor="text2"/>
              <w:bottom w:val="dotted" w:sz="4" w:space="0" w:color="606072"/>
              <w:right w:val="single" w:sz="4" w:space="0" w:color="606372" w:themeColor="text2"/>
            </w:tcBorders>
            <w:shd w:val="clear" w:color="auto" w:fill="DEDFE3" w:themeFill="text2" w:themeFillTint="33"/>
            <w:tcMar>
              <w:left w:w="57" w:type="dxa"/>
              <w:right w:w="28" w:type="dxa"/>
            </w:tcMar>
            <w:vAlign w:val="center"/>
          </w:tcPr>
          <w:p w14:paraId="1435B884" w14:textId="5786E972" w:rsidR="005B28C7" w:rsidRPr="005060E0" w:rsidRDefault="005B28C7" w:rsidP="0086219F">
            <w:pPr>
              <w:widowControl w:val="0"/>
              <w:spacing w:after="0" w:line="240" w:lineRule="auto"/>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GB"/>
              </w:rPr>
              <w:t>Daily mortality, all-cause</w:t>
            </w:r>
            <w:r w:rsidR="00627461" w:rsidRPr="005060E0">
              <w:rPr>
                <w:rFonts w:eastAsia="Times New Roman" w:cs="Arial"/>
                <w:color w:val="000000"/>
                <w:sz w:val="16"/>
                <w:szCs w:val="16"/>
                <w:vertAlign w:val="superscript"/>
                <w:lang w:eastAsia="en-GB"/>
              </w:rPr>
              <w:t>(a)</w:t>
            </w:r>
          </w:p>
        </w:tc>
      </w:tr>
      <w:tr w:rsidR="0099075F" w:rsidRPr="005060E0" w14:paraId="4DE9EE7A" w14:textId="77777777" w:rsidTr="0099075F">
        <w:trPr>
          <w:trHeight w:hRule="exact" w:val="283"/>
        </w:trPr>
        <w:tc>
          <w:tcPr>
            <w:tcW w:w="867" w:type="pct"/>
            <w:tcBorders>
              <w:top w:val="single" w:sz="4" w:space="0" w:color="606072"/>
              <w:left w:val="single" w:sz="4" w:space="0" w:color="606372" w:themeColor="text2"/>
              <w:bottom w:val="dotted" w:sz="4" w:space="0" w:color="606072"/>
              <w:right w:val="single" w:sz="4" w:space="0" w:color="606072"/>
            </w:tcBorders>
            <w:shd w:val="clear" w:color="auto" w:fill="F2F2F2" w:themeFill="background1" w:themeFillShade="F2"/>
            <w:tcMar>
              <w:left w:w="57" w:type="dxa"/>
              <w:right w:w="28" w:type="dxa"/>
            </w:tcMar>
            <w:vAlign w:val="center"/>
          </w:tcPr>
          <w:p w14:paraId="182E6941" w14:textId="77777777" w:rsidR="0099075F" w:rsidRPr="005060E0" w:rsidRDefault="0099075F" w:rsidP="0099075F">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NSW and Victoria</w:t>
            </w:r>
          </w:p>
        </w:tc>
        <w:tc>
          <w:tcPr>
            <w:tcW w:w="146" w:type="pct"/>
            <w:tcBorders>
              <w:top w:val="single" w:sz="4" w:space="0" w:color="606072"/>
              <w:left w:val="nil"/>
              <w:bottom w:val="dotted" w:sz="4" w:space="0" w:color="606072"/>
              <w:right w:val="nil"/>
            </w:tcBorders>
            <w:shd w:val="clear" w:color="000000" w:fill="FFFFFF"/>
            <w:vAlign w:val="center"/>
          </w:tcPr>
          <w:p w14:paraId="4788AAC5" w14:textId="77777777" w:rsidR="0099075F" w:rsidRPr="005060E0" w:rsidRDefault="0099075F" w:rsidP="0099075F">
            <w:pPr>
              <w:widowControl w:val="0"/>
              <w:spacing w:after="0" w:line="240" w:lineRule="auto"/>
              <w:rPr>
                <w:rFonts w:eastAsia="Times New Roman" w:cs="Arial"/>
                <w:sz w:val="16"/>
                <w:szCs w:val="16"/>
                <w:lang w:eastAsia="en-AU"/>
              </w:rPr>
            </w:pPr>
          </w:p>
        </w:tc>
        <w:tc>
          <w:tcPr>
            <w:tcW w:w="996" w:type="pct"/>
            <w:tcBorders>
              <w:top w:val="single" w:sz="4" w:space="0" w:color="606072"/>
              <w:left w:val="nil"/>
              <w:bottom w:val="dotted" w:sz="4" w:space="0" w:color="606072"/>
              <w:right w:val="nil"/>
            </w:tcBorders>
            <w:shd w:val="clear" w:color="000000" w:fill="FFFFFF"/>
            <w:vAlign w:val="center"/>
          </w:tcPr>
          <w:p w14:paraId="610C1E55" w14:textId="25AA9663" w:rsidR="0099075F" w:rsidRPr="005060E0" w:rsidRDefault="0099075F" w:rsidP="0099075F">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AU"/>
              </w:rPr>
              <w:t>132</w:t>
            </w:r>
          </w:p>
        </w:tc>
        <w:tc>
          <w:tcPr>
            <w:tcW w:w="997" w:type="pct"/>
            <w:tcBorders>
              <w:top w:val="single" w:sz="4" w:space="0" w:color="606072"/>
              <w:left w:val="nil"/>
              <w:bottom w:val="dotted" w:sz="4" w:space="0" w:color="606072"/>
              <w:right w:val="nil"/>
            </w:tcBorders>
            <w:shd w:val="clear" w:color="000000" w:fill="FFFFFF"/>
            <w:vAlign w:val="center"/>
          </w:tcPr>
          <w:p w14:paraId="28F489C2" w14:textId="6B87295A" w:rsidR="0099075F" w:rsidRPr="005060E0" w:rsidRDefault="00EF72CA" w:rsidP="0099075F">
            <w:pPr>
              <w:widowControl w:val="0"/>
              <w:spacing w:after="0" w:line="240" w:lineRule="auto"/>
              <w:jc w:val="center"/>
              <w:rPr>
                <w:rFonts w:eastAsia="Times New Roman" w:cs="Arial"/>
                <w:color w:val="808080" w:themeColor="background1" w:themeShade="80"/>
                <w:sz w:val="16"/>
                <w:szCs w:val="16"/>
                <w:lang w:eastAsia="en-AU"/>
              </w:rPr>
            </w:pPr>
            <w:r>
              <w:rPr>
                <w:rFonts w:eastAsia="Times New Roman" w:cs="Arial"/>
                <w:color w:val="000000"/>
                <w:sz w:val="16"/>
                <w:szCs w:val="16"/>
                <w:lang w:eastAsia="en-AU"/>
              </w:rPr>
              <w:t>–</w:t>
            </w:r>
            <w:r w:rsidR="0099075F" w:rsidRPr="005060E0">
              <w:rPr>
                <w:rFonts w:eastAsia="Times New Roman" w:cs="Arial"/>
                <w:color w:val="000000"/>
                <w:sz w:val="16"/>
                <w:szCs w:val="16"/>
                <w:lang w:eastAsia="en-AU"/>
              </w:rPr>
              <w:t>195</w:t>
            </w:r>
          </w:p>
        </w:tc>
        <w:tc>
          <w:tcPr>
            <w:tcW w:w="997" w:type="pct"/>
            <w:tcBorders>
              <w:top w:val="single" w:sz="4" w:space="0" w:color="606072"/>
              <w:left w:val="nil"/>
              <w:bottom w:val="dotted" w:sz="4" w:space="0" w:color="606072"/>
              <w:right w:val="nil"/>
            </w:tcBorders>
            <w:shd w:val="clear" w:color="000000" w:fill="FFFFFF"/>
            <w:vAlign w:val="center"/>
          </w:tcPr>
          <w:p w14:paraId="48559A03" w14:textId="2C3C2D1A" w:rsidR="0099075F" w:rsidRPr="005060E0" w:rsidRDefault="00EF72CA" w:rsidP="0099075F">
            <w:pPr>
              <w:widowControl w:val="0"/>
              <w:spacing w:after="0" w:line="240" w:lineRule="auto"/>
              <w:jc w:val="center"/>
              <w:rPr>
                <w:rFonts w:eastAsia="Times New Roman" w:cs="Arial"/>
                <w:color w:val="808080" w:themeColor="background1" w:themeShade="80"/>
                <w:sz w:val="16"/>
                <w:szCs w:val="16"/>
                <w:lang w:eastAsia="en-AU"/>
              </w:rPr>
            </w:pPr>
            <w:r>
              <w:rPr>
                <w:rFonts w:eastAsia="Times New Roman" w:cs="Arial"/>
                <w:color w:val="000000"/>
                <w:sz w:val="16"/>
                <w:szCs w:val="16"/>
                <w:lang w:eastAsia="en-AU"/>
              </w:rPr>
              <w:t>–</w:t>
            </w:r>
            <w:r w:rsidR="0099075F" w:rsidRPr="005060E0">
              <w:rPr>
                <w:rFonts w:eastAsia="Times New Roman" w:cs="Arial"/>
                <w:color w:val="000000"/>
                <w:sz w:val="16"/>
                <w:szCs w:val="16"/>
                <w:lang w:eastAsia="en-AU"/>
              </w:rPr>
              <w:t>47</w:t>
            </w:r>
          </w:p>
        </w:tc>
        <w:tc>
          <w:tcPr>
            <w:tcW w:w="997" w:type="pct"/>
            <w:tcBorders>
              <w:top w:val="single" w:sz="4" w:space="0" w:color="606072"/>
              <w:left w:val="nil"/>
              <w:bottom w:val="dotted" w:sz="4" w:space="0" w:color="606072"/>
              <w:right w:val="single" w:sz="4" w:space="0" w:color="606372" w:themeColor="text2"/>
            </w:tcBorders>
            <w:shd w:val="clear" w:color="000000" w:fill="FFFFFF"/>
            <w:vAlign w:val="center"/>
          </w:tcPr>
          <w:p w14:paraId="17024A52" w14:textId="24874228" w:rsidR="0099075F" w:rsidRPr="005060E0" w:rsidRDefault="00EF72CA" w:rsidP="0099075F">
            <w:pPr>
              <w:widowControl w:val="0"/>
              <w:spacing w:after="0" w:line="240" w:lineRule="auto"/>
              <w:jc w:val="center"/>
              <w:rPr>
                <w:rFonts w:eastAsia="Times New Roman" w:cs="Arial"/>
                <w:color w:val="808080" w:themeColor="background1" w:themeShade="80"/>
                <w:sz w:val="16"/>
                <w:szCs w:val="16"/>
                <w:lang w:eastAsia="en-AU"/>
              </w:rPr>
            </w:pPr>
            <w:r>
              <w:rPr>
                <w:rFonts w:eastAsia="Times New Roman" w:cs="Arial"/>
                <w:color w:val="000000"/>
                <w:sz w:val="16"/>
                <w:szCs w:val="16"/>
                <w:lang w:eastAsia="en-AU"/>
              </w:rPr>
              <w:t>–</w:t>
            </w:r>
            <w:r w:rsidR="0099075F" w:rsidRPr="005060E0">
              <w:rPr>
                <w:rFonts w:eastAsia="Times New Roman" w:cs="Arial"/>
                <w:color w:val="000000"/>
                <w:sz w:val="16"/>
                <w:szCs w:val="16"/>
                <w:lang w:eastAsia="en-AU"/>
              </w:rPr>
              <w:t>41</w:t>
            </w:r>
          </w:p>
        </w:tc>
      </w:tr>
      <w:tr w:rsidR="0099075F" w:rsidRPr="005060E0" w14:paraId="7573A4DF" w14:textId="77777777" w:rsidTr="0099075F">
        <w:trPr>
          <w:trHeight w:hRule="exact" w:val="283"/>
        </w:trPr>
        <w:tc>
          <w:tcPr>
            <w:tcW w:w="867" w:type="pct"/>
            <w:tcBorders>
              <w:top w:val="dotted" w:sz="4" w:space="0" w:color="606072"/>
              <w:left w:val="single" w:sz="4" w:space="0" w:color="606372" w:themeColor="text2"/>
              <w:bottom w:val="single" w:sz="4" w:space="0" w:color="606372" w:themeColor="text2"/>
              <w:right w:val="single" w:sz="4" w:space="0" w:color="606072"/>
            </w:tcBorders>
            <w:shd w:val="clear" w:color="auto" w:fill="F2F2F2" w:themeFill="background1" w:themeFillShade="F2"/>
            <w:tcMar>
              <w:left w:w="57" w:type="dxa"/>
              <w:right w:w="28" w:type="dxa"/>
            </w:tcMar>
            <w:vAlign w:val="center"/>
          </w:tcPr>
          <w:p w14:paraId="226E8B20" w14:textId="77777777" w:rsidR="0099075F" w:rsidRPr="005060E0" w:rsidRDefault="0099075F" w:rsidP="0099075F">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Other airsheds</w:t>
            </w:r>
          </w:p>
        </w:tc>
        <w:tc>
          <w:tcPr>
            <w:tcW w:w="146" w:type="pct"/>
            <w:tcBorders>
              <w:top w:val="dotted" w:sz="4" w:space="0" w:color="606072"/>
              <w:left w:val="nil"/>
              <w:bottom w:val="single" w:sz="4" w:space="0" w:color="606372" w:themeColor="text2"/>
              <w:right w:val="nil"/>
            </w:tcBorders>
            <w:shd w:val="clear" w:color="000000" w:fill="FFFFFF"/>
            <w:vAlign w:val="center"/>
          </w:tcPr>
          <w:p w14:paraId="05DC0513" w14:textId="77777777" w:rsidR="0099075F" w:rsidRPr="005060E0" w:rsidRDefault="0099075F" w:rsidP="0099075F">
            <w:pPr>
              <w:widowControl w:val="0"/>
              <w:spacing w:after="0" w:line="240" w:lineRule="auto"/>
              <w:rPr>
                <w:rFonts w:eastAsia="Times New Roman" w:cs="Arial"/>
                <w:sz w:val="16"/>
                <w:szCs w:val="16"/>
                <w:lang w:eastAsia="en-AU"/>
              </w:rPr>
            </w:pPr>
          </w:p>
        </w:tc>
        <w:tc>
          <w:tcPr>
            <w:tcW w:w="996" w:type="pct"/>
            <w:tcBorders>
              <w:top w:val="dotted" w:sz="4" w:space="0" w:color="606072"/>
              <w:left w:val="nil"/>
              <w:bottom w:val="single" w:sz="4" w:space="0" w:color="606372" w:themeColor="text2"/>
              <w:right w:val="nil"/>
            </w:tcBorders>
            <w:shd w:val="clear" w:color="000000" w:fill="FFFFFF"/>
            <w:vAlign w:val="center"/>
          </w:tcPr>
          <w:p w14:paraId="64BB5117" w14:textId="003BEE60" w:rsidR="0099075F" w:rsidRPr="005060E0" w:rsidRDefault="00EF72CA" w:rsidP="0099075F">
            <w:pPr>
              <w:widowControl w:val="0"/>
              <w:spacing w:after="0" w:line="240" w:lineRule="auto"/>
              <w:jc w:val="center"/>
              <w:rPr>
                <w:rFonts w:eastAsia="Times New Roman" w:cs="Arial"/>
                <w:color w:val="808080" w:themeColor="background1" w:themeShade="80"/>
                <w:sz w:val="16"/>
                <w:szCs w:val="16"/>
                <w:lang w:eastAsia="en-AU"/>
              </w:rPr>
            </w:pPr>
            <w:r>
              <w:rPr>
                <w:rFonts w:eastAsia="Times New Roman" w:cs="Arial"/>
                <w:color w:val="000000"/>
                <w:sz w:val="16"/>
                <w:szCs w:val="16"/>
                <w:lang w:eastAsia="en-AU"/>
              </w:rPr>
              <w:t>–</w:t>
            </w:r>
            <w:r w:rsidR="001B5371" w:rsidRPr="005060E0">
              <w:rPr>
                <w:rFonts w:eastAsia="Times New Roman" w:cs="Arial"/>
                <w:color w:val="000000"/>
                <w:sz w:val="16"/>
                <w:szCs w:val="16"/>
                <w:vertAlign w:val="superscript"/>
                <w:lang w:eastAsia="en-AU"/>
              </w:rPr>
              <w:t>(b)</w:t>
            </w:r>
          </w:p>
        </w:tc>
        <w:tc>
          <w:tcPr>
            <w:tcW w:w="997" w:type="pct"/>
            <w:tcBorders>
              <w:top w:val="dotted" w:sz="4" w:space="0" w:color="606072"/>
              <w:left w:val="nil"/>
              <w:bottom w:val="single" w:sz="4" w:space="0" w:color="606372" w:themeColor="text2"/>
              <w:right w:val="nil"/>
            </w:tcBorders>
            <w:shd w:val="clear" w:color="000000" w:fill="FFFFFF"/>
            <w:vAlign w:val="center"/>
          </w:tcPr>
          <w:p w14:paraId="0122B920" w14:textId="78F92A5E" w:rsidR="0099075F" w:rsidRPr="005060E0" w:rsidRDefault="00EF72CA" w:rsidP="0099075F">
            <w:pPr>
              <w:widowControl w:val="0"/>
              <w:spacing w:after="0" w:line="240" w:lineRule="auto"/>
              <w:jc w:val="center"/>
              <w:rPr>
                <w:rFonts w:eastAsia="Times New Roman" w:cs="Arial"/>
                <w:color w:val="808080" w:themeColor="background1" w:themeShade="80"/>
                <w:sz w:val="16"/>
                <w:szCs w:val="16"/>
                <w:lang w:eastAsia="en-AU"/>
              </w:rPr>
            </w:pPr>
            <w:r>
              <w:rPr>
                <w:rFonts w:eastAsia="Times New Roman" w:cs="Arial"/>
                <w:color w:val="000000"/>
                <w:sz w:val="16"/>
                <w:szCs w:val="16"/>
                <w:lang w:eastAsia="en-AU"/>
              </w:rPr>
              <w:t>–</w:t>
            </w:r>
            <w:r w:rsidR="001B5371" w:rsidRPr="005060E0">
              <w:rPr>
                <w:rFonts w:eastAsia="Times New Roman" w:cs="Arial"/>
                <w:color w:val="000000"/>
                <w:sz w:val="16"/>
                <w:szCs w:val="16"/>
                <w:vertAlign w:val="superscript"/>
                <w:lang w:eastAsia="en-AU"/>
              </w:rPr>
              <w:t>(b)</w:t>
            </w:r>
          </w:p>
        </w:tc>
        <w:tc>
          <w:tcPr>
            <w:tcW w:w="997" w:type="pct"/>
            <w:tcBorders>
              <w:top w:val="dotted" w:sz="4" w:space="0" w:color="606072"/>
              <w:left w:val="nil"/>
              <w:bottom w:val="single" w:sz="4" w:space="0" w:color="606372" w:themeColor="text2"/>
              <w:right w:val="nil"/>
            </w:tcBorders>
            <w:shd w:val="clear" w:color="000000" w:fill="FFFFFF"/>
            <w:vAlign w:val="center"/>
          </w:tcPr>
          <w:p w14:paraId="2C24A4F7" w14:textId="3B2F7894" w:rsidR="0099075F" w:rsidRPr="005060E0" w:rsidRDefault="00EF72CA" w:rsidP="0099075F">
            <w:pPr>
              <w:widowControl w:val="0"/>
              <w:spacing w:after="0" w:line="240" w:lineRule="auto"/>
              <w:jc w:val="center"/>
              <w:rPr>
                <w:rFonts w:eastAsia="Times New Roman" w:cs="Arial"/>
                <w:color w:val="808080" w:themeColor="background1" w:themeShade="80"/>
                <w:sz w:val="16"/>
                <w:szCs w:val="16"/>
                <w:lang w:eastAsia="en-AU"/>
              </w:rPr>
            </w:pPr>
            <w:r>
              <w:rPr>
                <w:rFonts w:eastAsia="Times New Roman" w:cs="Arial"/>
                <w:color w:val="000000"/>
                <w:sz w:val="16"/>
                <w:szCs w:val="16"/>
                <w:lang w:eastAsia="en-AU"/>
              </w:rPr>
              <w:t>–</w:t>
            </w:r>
            <w:r w:rsidR="001B5371" w:rsidRPr="005060E0">
              <w:rPr>
                <w:rFonts w:eastAsia="Times New Roman" w:cs="Arial"/>
                <w:color w:val="000000"/>
                <w:sz w:val="16"/>
                <w:szCs w:val="16"/>
                <w:vertAlign w:val="superscript"/>
                <w:lang w:eastAsia="en-AU"/>
              </w:rPr>
              <w:t>(b)</w:t>
            </w:r>
          </w:p>
        </w:tc>
        <w:tc>
          <w:tcPr>
            <w:tcW w:w="997" w:type="pct"/>
            <w:tcBorders>
              <w:top w:val="dotted" w:sz="4" w:space="0" w:color="606072"/>
              <w:left w:val="nil"/>
              <w:bottom w:val="single" w:sz="4" w:space="0" w:color="606372" w:themeColor="text2"/>
              <w:right w:val="single" w:sz="4" w:space="0" w:color="606372" w:themeColor="text2"/>
            </w:tcBorders>
            <w:shd w:val="clear" w:color="000000" w:fill="FFFFFF"/>
            <w:vAlign w:val="center"/>
          </w:tcPr>
          <w:p w14:paraId="14D9753F" w14:textId="363AA9AE" w:rsidR="0099075F" w:rsidRPr="005060E0" w:rsidRDefault="00EF72CA" w:rsidP="0099075F">
            <w:pPr>
              <w:widowControl w:val="0"/>
              <w:spacing w:after="0" w:line="240" w:lineRule="auto"/>
              <w:jc w:val="center"/>
              <w:rPr>
                <w:rFonts w:eastAsia="Times New Roman" w:cs="Arial"/>
                <w:color w:val="808080" w:themeColor="background1" w:themeShade="80"/>
                <w:sz w:val="16"/>
                <w:szCs w:val="16"/>
                <w:lang w:eastAsia="en-AU"/>
              </w:rPr>
            </w:pPr>
            <w:r>
              <w:rPr>
                <w:rFonts w:eastAsia="Times New Roman" w:cs="Arial"/>
                <w:color w:val="000000"/>
                <w:sz w:val="16"/>
                <w:szCs w:val="16"/>
                <w:lang w:eastAsia="en-AU"/>
              </w:rPr>
              <w:t>–</w:t>
            </w:r>
            <w:r w:rsidR="001B5371" w:rsidRPr="005060E0">
              <w:rPr>
                <w:rFonts w:eastAsia="Times New Roman" w:cs="Arial"/>
                <w:color w:val="000000"/>
                <w:sz w:val="16"/>
                <w:szCs w:val="16"/>
                <w:vertAlign w:val="superscript"/>
                <w:lang w:eastAsia="en-AU"/>
              </w:rPr>
              <w:t>(b)</w:t>
            </w:r>
          </w:p>
        </w:tc>
      </w:tr>
      <w:tr w:rsidR="0099075F" w:rsidRPr="005060E0" w14:paraId="31D92AD7" w14:textId="77777777" w:rsidTr="00AD078E">
        <w:trPr>
          <w:trHeight w:val="340"/>
        </w:trPr>
        <w:tc>
          <w:tcPr>
            <w:tcW w:w="5000" w:type="pct"/>
            <w:gridSpan w:val="6"/>
            <w:tcBorders>
              <w:top w:val="single" w:sz="4" w:space="0" w:color="606372" w:themeColor="text2"/>
              <w:left w:val="single" w:sz="4" w:space="0" w:color="606372" w:themeColor="text2"/>
              <w:bottom w:val="single" w:sz="4" w:space="0" w:color="606372" w:themeColor="text2"/>
              <w:right w:val="single" w:sz="4" w:space="0" w:color="606372" w:themeColor="text2"/>
            </w:tcBorders>
            <w:shd w:val="clear" w:color="auto" w:fill="DEDFE3" w:themeFill="text2" w:themeFillTint="33"/>
            <w:noWrap/>
            <w:tcMar>
              <w:left w:w="57" w:type="dxa"/>
              <w:right w:w="28" w:type="dxa"/>
            </w:tcMar>
            <w:vAlign w:val="center"/>
            <w:hideMark/>
          </w:tcPr>
          <w:p w14:paraId="49E358F9" w14:textId="77777777" w:rsidR="0099075F" w:rsidRPr="005060E0" w:rsidRDefault="0099075F" w:rsidP="0099075F">
            <w:pPr>
              <w:widowControl w:val="0"/>
              <w:spacing w:after="0" w:line="240" w:lineRule="auto"/>
              <w:rPr>
                <w:rFonts w:eastAsia="Times New Roman" w:cs="Arial"/>
                <w:color w:val="000000"/>
                <w:sz w:val="16"/>
                <w:szCs w:val="16"/>
                <w:lang w:eastAsia="en-AU"/>
              </w:rPr>
            </w:pPr>
            <w:r w:rsidRPr="005060E0">
              <w:rPr>
                <w:rFonts w:eastAsia="Times New Roman" w:cs="Arial"/>
                <w:color w:val="000000"/>
                <w:sz w:val="16"/>
                <w:szCs w:val="16"/>
                <w:lang w:eastAsia="en-GB"/>
              </w:rPr>
              <w:t>Emergency department visits, asthma (&lt;15 years)</w:t>
            </w:r>
          </w:p>
        </w:tc>
      </w:tr>
      <w:tr w:rsidR="0099075F" w:rsidRPr="005060E0" w14:paraId="3B3D9A72" w14:textId="77777777" w:rsidTr="0099075F">
        <w:trPr>
          <w:trHeight w:hRule="exact" w:val="283"/>
        </w:trPr>
        <w:tc>
          <w:tcPr>
            <w:tcW w:w="867" w:type="pct"/>
            <w:tcBorders>
              <w:top w:val="single" w:sz="4" w:space="0" w:color="606372" w:themeColor="text2"/>
              <w:left w:val="single" w:sz="4" w:space="0" w:color="606372" w:themeColor="text2"/>
              <w:bottom w:val="dotted" w:sz="4" w:space="0" w:color="606072"/>
              <w:right w:val="single" w:sz="4" w:space="0" w:color="606072"/>
            </w:tcBorders>
            <w:shd w:val="clear" w:color="000000" w:fill="F2F2F2"/>
            <w:tcMar>
              <w:left w:w="57" w:type="dxa"/>
              <w:right w:w="28" w:type="dxa"/>
            </w:tcMar>
            <w:vAlign w:val="center"/>
          </w:tcPr>
          <w:p w14:paraId="734D4089" w14:textId="77777777" w:rsidR="0099075F" w:rsidRPr="005060E0" w:rsidRDefault="0099075F" w:rsidP="0099075F">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NSW and Victoria</w:t>
            </w:r>
          </w:p>
        </w:tc>
        <w:tc>
          <w:tcPr>
            <w:tcW w:w="146" w:type="pct"/>
            <w:tcBorders>
              <w:top w:val="single" w:sz="4" w:space="0" w:color="606372" w:themeColor="text2"/>
              <w:left w:val="nil"/>
              <w:bottom w:val="dotted" w:sz="4" w:space="0" w:color="606072"/>
              <w:right w:val="nil"/>
            </w:tcBorders>
            <w:shd w:val="clear" w:color="000000" w:fill="FFFFFF"/>
            <w:vAlign w:val="center"/>
            <w:hideMark/>
          </w:tcPr>
          <w:p w14:paraId="75B1BE14" w14:textId="77777777" w:rsidR="0099075F" w:rsidRPr="005060E0" w:rsidRDefault="0099075F" w:rsidP="0099075F">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 </w:t>
            </w:r>
          </w:p>
        </w:tc>
        <w:tc>
          <w:tcPr>
            <w:tcW w:w="996" w:type="pct"/>
            <w:tcBorders>
              <w:top w:val="single" w:sz="4" w:space="0" w:color="606372" w:themeColor="text2"/>
              <w:left w:val="nil"/>
              <w:bottom w:val="dotted" w:sz="4" w:space="0" w:color="606072"/>
              <w:right w:val="nil"/>
            </w:tcBorders>
            <w:shd w:val="clear" w:color="000000" w:fill="FFFFFF"/>
            <w:vAlign w:val="center"/>
          </w:tcPr>
          <w:p w14:paraId="3ED5FE46" w14:textId="080CEC46" w:rsidR="0099075F" w:rsidRPr="005060E0" w:rsidRDefault="0099075F" w:rsidP="0099075F">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AU"/>
              </w:rPr>
              <w:t>55</w:t>
            </w:r>
          </w:p>
        </w:tc>
        <w:tc>
          <w:tcPr>
            <w:tcW w:w="997" w:type="pct"/>
            <w:tcBorders>
              <w:top w:val="single" w:sz="4" w:space="0" w:color="606372" w:themeColor="text2"/>
              <w:left w:val="nil"/>
              <w:bottom w:val="dotted" w:sz="4" w:space="0" w:color="606072"/>
              <w:right w:val="nil"/>
            </w:tcBorders>
            <w:shd w:val="clear" w:color="000000" w:fill="FFFFFF"/>
            <w:vAlign w:val="center"/>
          </w:tcPr>
          <w:p w14:paraId="3288AAC2" w14:textId="72D0E9E8" w:rsidR="0099075F" w:rsidRPr="005060E0" w:rsidRDefault="0099075F" w:rsidP="0099075F">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AU"/>
              </w:rPr>
              <w:t>21</w:t>
            </w:r>
          </w:p>
        </w:tc>
        <w:tc>
          <w:tcPr>
            <w:tcW w:w="997" w:type="pct"/>
            <w:tcBorders>
              <w:top w:val="single" w:sz="4" w:space="0" w:color="606372" w:themeColor="text2"/>
              <w:left w:val="nil"/>
              <w:bottom w:val="dotted" w:sz="4" w:space="0" w:color="606072"/>
              <w:right w:val="nil"/>
            </w:tcBorders>
            <w:shd w:val="clear" w:color="000000" w:fill="FFFFFF"/>
            <w:vAlign w:val="center"/>
          </w:tcPr>
          <w:p w14:paraId="400B9A76" w14:textId="53AA5720" w:rsidR="0099075F" w:rsidRPr="005060E0" w:rsidRDefault="0099075F" w:rsidP="0099075F">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AU"/>
              </w:rPr>
              <w:t>26</w:t>
            </w:r>
          </w:p>
        </w:tc>
        <w:tc>
          <w:tcPr>
            <w:tcW w:w="997" w:type="pct"/>
            <w:tcBorders>
              <w:top w:val="single" w:sz="4" w:space="0" w:color="606372" w:themeColor="text2"/>
              <w:left w:val="nil"/>
              <w:bottom w:val="dotted" w:sz="4" w:space="0" w:color="606072"/>
              <w:right w:val="single" w:sz="4" w:space="0" w:color="606372" w:themeColor="text2"/>
            </w:tcBorders>
            <w:shd w:val="clear" w:color="000000" w:fill="FFFFFF"/>
            <w:vAlign w:val="center"/>
          </w:tcPr>
          <w:p w14:paraId="18316D5F" w14:textId="48DD4B8E" w:rsidR="0099075F" w:rsidRPr="005060E0" w:rsidRDefault="0099075F" w:rsidP="0099075F">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AU"/>
              </w:rPr>
              <w:t>35</w:t>
            </w:r>
          </w:p>
        </w:tc>
      </w:tr>
      <w:tr w:rsidR="0086219F" w:rsidRPr="005060E0" w14:paraId="0806E03F" w14:textId="77777777" w:rsidTr="0099075F">
        <w:trPr>
          <w:trHeight w:hRule="exact" w:val="283"/>
        </w:trPr>
        <w:tc>
          <w:tcPr>
            <w:tcW w:w="867" w:type="pct"/>
            <w:tcBorders>
              <w:top w:val="dotted" w:sz="4" w:space="0" w:color="606072"/>
              <w:left w:val="single" w:sz="4" w:space="0" w:color="606372" w:themeColor="text2"/>
              <w:bottom w:val="single" w:sz="4" w:space="0" w:color="606372" w:themeColor="text2"/>
              <w:right w:val="single" w:sz="4" w:space="0" w:color="606072"/>
            </w:tcBorders>
            <w:shd w:val="clear" w:color="000000" w:fill="F2F2F2"/>
            <w:tcMar>
              <w:left w:w="57" w:type="dxa"/>
              <w:right w:w="28" w:type="dxa"/>
            </w:tcMar>
            <w:vAlign w:val="center"/>
          </w:tcPr>
          <w:p w14:paraId="455AE573" w14:textId="77777777" w:rsidR="0086219F" w:rsidRPr="005060E0" w:rsidRDefault="0086219F" w:rsidP="0086219F">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Other airsheds</w:t>
            </w:r>
          </w:p>
        </w:tc>
        <w:tc>
          <w:tcPr>
            <w:tcW w:w="146" w:type="pct"/>
            <w:tcBorders>
              <w:top w:val="dotted" w:sz="4" w:space="0" w:color="606072"/>
              <w:left w:val="nil"/>
              <w:bottom w:val="single" w:sz="4" w:space="0" w:color="606372" w:themeColor="text2"/>
              <w:right w:val="nil"/>
            </w:tcBorders>
            <w:shd w:val="clear" w:color="000000" w:fill="FFFFFF"/>
            <w:vAlign w:val="center"/>
            <w:hideMark/>
          </w:tcPr>
          <w:p w14:paraId="4B21450B" w14:textId="77777777" w:rsidR="0086219F" w:rsidRPr="005060E0" w:rsidRDefault="0086219F" w:rsidP="0086219F">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 </w:t>
            </w:r>
          </w:p>
        </w:tc>
        <w:tc>
          <w:tcPr>
            <w:tcW w:w="996" w:type="pct"/>
            <w:tcBorders>
              <w:top w:val="dotted" w:sz="4" w:space="0" w:color="606072"/>
              <w:left w:val="nil"/>
              <w:bottom w:val="single" w:sz="4" w:space="0" w:color="606372" w:themeColor="text2"/>
              <w:right w:val="nil"/>
            </w:tcBorders>
            <w:shd w:val="clear" w:color="000000" w:fill="FFFFFF"/>
            <w:vAlign w:val="center"/>
          </w:tcPr>
          <w:p w14:paraId="56628FC9" w14:textId="6CA853C2" w:rsidR="0086219F" w:rsidRPr="005060E0" w:rsidRDefault="0086219F" w:rsidP="0086219F">
            <w:pPr>
              <w:widowControl w:val="0"/>
              <w:spacing w:after="0" w:line="240" w:lineRule="auto"/>
              <w:jc w:val="center"/>
              <w:rPr>
                <w:rFonts w:eastAsia="Times New Roman" w:cs="Arial"/>
                <w:sz w:val="16"/>
                <w:szCs w:val="16"/>
                <w:lang w:eastAsia="en-AU"/>
              </w:rPr>
            </w:pPr>
            <w:r w:rsidRPr="005060E0">
              <w:rPr>
                <w:rFonts w:eastAsia="Times New Roman" w:cs="Arial"/>
                <w:color w:val="000000"/>
                <w:sz w:val="16"/>
                <w:szCs w:val="16"/>
                <w:lang w:eastAsia="en-AU"/>
              </w:rPr>
              <w:t>8</w:t>
            </w:r>
          </w:p>
        </w:tc>
        <w:tc>
          <w:tcPr>
            <w:tcW w:w="997" w:type="pct"/>
            <w:tcBorders>
              <w:top w:val="dotted" w:sz="4" w:space="0" w:color="606072"/>
              <w:left w:val="nil"/>
              <w:bottom w:val="single" w:sz="4" w:space="0" w:color="606372" w:themeColor="text2"/>
              <w:right w:val="nil"/>
            </w:tcBorders>
            <w:shd w:val="clear" w:color="000000" w:fill="FFFFFF"/>
            <w:vAlign w:val="center"/>
          </w:tcPr>
          <w:p w14:paraId="1E32F53A" w14:textId="36D049F1" w:rsidR="0086219F" w:rsidRPr="005060E0" w:rsidRDefault="00EF72CA" w:rsidP="0086219F">
            <w:pPr>
              <w:widowControl w:val="0"/>
              <w:spacing w:after="0" w:line="240" w:lineRule="auto"/>
              <w:jc w:val="center"/>
              <w:rPr>
                <w:rFonts w:eastAsia="Times New Roman" w:cs="Arial"/>
                <w:sz w:val="16"/>
                <w:szCs w:val="16"/>
                <w:lang w:eastAsia="en-AU"/>
              </w:rPr>
            </w:pPr>
            <w:r>
              <w:rPr>
                <w:rFonts w:eastAsia="Times New Roman" w:cs="Arial"/>
                <w:color w:val="000000"/>
                <w:sz w:val="16"/>
                <w:szCs w:val="16"/>
                <w:lang w:eastAsia="en-AU"/>
              </w:rPr>
              <w:t>–</w:t>
            </w:r>
            <w:r w:rsidR="001B5371" w:rsidRPr="005060E0">
              <w:rPr>
                <w:rFonts w:eastAsia="Times New Roman" w:cs="Arial"/>
                <w:color w:val="000000"/>
                <w:sz w:val="16"/>
                <w:szCs w:val="16"/>
                <w:vertAlign w:val="superscript"/>
                <w:lang w:eastAsia="en-AU"/>
              </w:rPr>
              <w:t>(b)</w:t>
            </w:r>
          </w:p>
        </w:tc>
        <w:tc>
          <w:tcPr>
            <w:tcW w:w="997" w:type="pct"/>
            <w:tcBorders>
              <w:top w:val="dotted" w:sz="4" w:space="0" w:color="606072"/>
              <w:left w:val="nil"/>
              <w:bottom w:val="single" w:sz="4" w:space="0" w:color="606372" w:themeColor="text2"/>
              <w:right w:val="nil"/>
            </w:tcBorders>
            <w:shd w:val="clear" w:color="000000" w:fill="FFFFFF"/>
            <w:vAlign w:val="center"/>
          </w:tcPr>
          <w:p w14:paraId="23F6786E" w14:textId="063D42AB" w:rsidR="0086219F" w:rsidRPr="005060E0" w:rsidRDefault="00EF72CA" w:rsidP="0086219F">
            <w:pPr>
              <w:widowControl w:val="0"/>
              <w:spacing w:after="0" w:line="240" w:lineRule="auto"/>
              <w:jc w:val="center"/>
              <w:rPr>
                <w:rFonts w:eastAsia="Times New Roman" w:cs="Arial"/>
                <w:sz w:val="16"/>
                <w:szCs w:val="16"/>
                <w:lang w:eastAsia="en-AU"/>
              </w:rPr>
            </w:pPr>
            <w:r>
              <w:rPr>
                <w:rFonts w:eastAsia="Times New Roman" w:cs="Arial"/>
                <w:color w:val="000000"/>
                <w:sz w:val="16"/>
                <w:szCs w:val="16"/>
                <w:lang w:eastAsia="en-AU"/>
              </w:rPr>
              <w:t>–</w:t>
            </w:r>
            <w:r w:rsidR="001B5371" w:rsidRPr="005060E0">
              <w:rPr>
                <w:rFonts w:eastAsia="Times New Roman" w:cs="Arial"/>
                <w:color w:val="000000"/>
                <w:sz w:val="16"/>
                <w:szCs w:val="16"/>
                <w:vertAlign w:val="superscript"/>
                <w:lang w:eastAsia="en-AU"/>
              </w:rPr>
              <w:t>(b)</w:t>
            </w:r>
          </w:p>
        </w:tc>
        <w:tc>
          <w:tcPr>
            <w:tcW w:w="997" w:type="pct"/>
            <w:tcBorders>
              <w:top w:val="dotted" w:sz="4" w:space="0" w:color="606072"/>
              <w:left w:val="nil"/>
              <w:bottom w:val="single" w:sz="4" w:space="0" w:color="606372" w:themeColor="text2"/>
              <w:right w:val="single" w:sz="4" w:space="0" w:color="606372" w:themeColor="text2"/>
            </w:tcBorders>
            <w:shd w:val="clear" w:color="000000" w:fill="FFFFFF"/>
            <w:vAlign w:val="center"/>
          </w:tcPr>
          <w:p w14:paraId="4176DCF1" w14:textId="0748ABD8" w:rsidR="0086219F" w:rsidRPr="005060E0" w:rsidRDefault="00EF72CA" w:rsidP="0086219F">
            <w:pPr>
              <w:widowControl w:val="0"/>
              <w:spacing w:after="0" w:line="240" w:lineRule="auto"/>
              <w:jc w:val="center"/>
              <w:rPr>
                <w:rFonts w:eastAsia="Times New Roman" w:cs="Arial"/>
                <w:color w:val="808080" w:themeColor="background1" w:themeShade="80"/>
                <w:sz w:val="16"/>
                <w:szCs w:val="16"/>
                <w:lang w:eastAsia="en-AU"/>
              </w:rPr>
            </w:pPr>
            <w:r>
              <w:rPr>
                <w:rFonts w:eastAsia="Times New Roman" w:cs="Arial"/>
                <w:color w:val="000000"/>
                <w:sz w:val="16"/>
                <w:szCs w:val="16"/>
                <w:lang w:eastAsia="en-AU"/>
              </w:rPr>
              <w:t>–</w:t>
            </w:r>
            <w:r w:rsidR="001B5371" w:rsidRPr="005060E0">
              <w:rPr>
                <w:rFonts w:eastAsia="Times New Roman" w:cs="Arial"/>
                <w:color w:val="000000"/>
                <w:sz w:val="16"/>
                <w:szCs w:val="16"/>
                <w:vertAlign w:val="superscript"/>
                <w:lang w:eastAsia="en-AU"/>
              </w:rPr>
              <w:t>(b)</w:t>
            </w:r>
          </w:p>
        </w:tc>
      </w:tr>
    </w:tbl>
    <w:p w14:paraId="532080F3" w14:textId="7F41A250" w:rsidR="00627461" w:rsidRPr="005060E0" w:rsidRDefault="00627461" w:rsidP="00B81325">
      <w:pPr>
        <w:pStyle w:val="ListParagraph"/>
        <w:numPr>
          <w:ilvl w:val="0"/>
          <w:numId w:val="66"/>
        </w:numPr>
        <w:spacing w:before="60" w:after="0" w:line="240" w:lineRule="auto"/>
        <w:ind w:left="402" w:hanging="357"/>
        <w:contextualSpacing w:val="0"/>
        <w:rPr>
          <w:rFonts w:cs="Times New Roman"/>
          <w:sz w:val="18"/>
          <w:szCs w:val="18"/>
        </w:rPr>
      </w:pPr>
      <w:r w:rsidRPr="005060E0">
        <w:rPr>
          <w:sz w:val="16"/>
          <w:szCs w:val="16"/>
        </w:rPr>
        <w:t xml:space="preserve">‘All-cause mortality’ refers to acute mortality events that are estimated to shorten life by </w:t>
      </w:r>
      <w:r w:rsidR="006E1664">
        <w:rPr>
          <w:sz w:val="16"/>
          <w:szCs w:val="16"/>
        </w:rPr>
        <w:t>six</w:t>
      </w:r>
      <w:r w:rsidRPr="005060E0">
        <w:rPr>
          <w:sz w:val="16"/>
          <w:szCs w:val="16"/>
        </w:rPr>
        <w:t xml:space="preserve"> months.</w:t>
      </w:r>
    </w:p>
    <w:p w14:paraId="07232985" w14:textId="77777777" w:rsidR="001B5371" w:rsidRPr="005060E0" w:rsidRDefault="001B5371" w:rsidP="00B81325">
      <w:pPr>
        <w:pStyle w:val="ListParagraph"/>
        <w:numPr>
          <w:ilvl w:val="0"/>
          <w:numId w:val="66"/>
        </w:numPr>
        <w:spacing w:before="40" w:after="0" w:line="240" w:lineRule="auto"/>
        <w:ind w:left="402" w:hanging="357"/>
        <w:contextualSpacing w:val="0"/>
        <w:rPr>
          <w:rFonts w:cs="Times New Roman"/>
          <w:sz w:val="18"/>
          <w:szCs w:val="18"/>
        </w:rPr>
      </w:pPr>
      <w:r w:rsidRPr="005060E0">
        <w:rPr>
          <w:sz w:val="16"/>
          <w:szCs w:val="16"/>
        </w:rPr>
        <w:t>For these conditions, either the standard was already met in the airshed, or data were not available.</w:t>
      </w:r>
    </w:p>
    <w:p w14:paraId="1E4752BC" w14:textId="44B96468" w:rsidR="0099075F" w:rsidRPr="005060E0" w:rsidRDefault="0099075F" w:rsidP="00D44F1A">
      <w:pPr>
        <w:pStyle w:val="PBTablecaption"/>
        <w:tabs>
          <w:tab w:val="left" w:pos="8364"/>
        </w:tabs>
        <w:ind w:right="141"/>
      </w:pPr>
      <w:bookmarkStart w:id="233" w:name="_Ref508547212"/>
      <w:r w:rsidRPr="005060E0">
        <w:rPr>
          <w:rFonts w:cs="Arial"/>
        </w:rPr>
        <w:t xml:space="preserve">Table </w:t>
      </w:r>
      <w:r w:rsidRPr="005060E0">
        <w:rPr>
          <w:rFonts w:cs="Arial"/>
        </w:rPr>
        <w:fldChar w:fldCharType="begin"/>
      </w:r>
      <w:r w:rsidRPr="005060E0">
        <w:rPr>
          <w:rFonts w:cs="Arial"/>
        </w:rPr>
        <w:instrText xml:space="preserve"> STYLEREF 1 \s </w:instrText>
      </w:r>
      <w:r w:rsidRPr="005060E0">
        <w:rPr>
          <w:rFonts w:cs="Arial"/>
        </w:rPr>
        <w:fldChar w:fldCharType="separate"/>
      </w:r>
      <w:r w:rsidR="00F2067C">
        <w:rPr>
          <w:rFonts w:cs="Arial"/>
          <w:noProof/>
        </w:rPr>
        <w:t>8</w:t>
      </w:r>
      <w:r w:rsidRPr="005060E0">
        <w:rPr>
          <w:rFonts w:cs="Arial"/>
          <w:noProof/>
        </w:rPr>
        <w:fldChar w:fldCharType="end"/>
      </w:r>
      <w:r w:rsidRPr="005060E0">
        <w:rPr>
          <w:rFonts w:cs="Arial"/>
        </w:rPr>
        <w:noBreakHyphen/>
      </w:r>
      <w:r w:rsidRPr="005060E0">
        <w:rPr>
          <w:rFonts w:cs="Arial"/>
        </w:rPr>
        <w:fldChar w:fldCharType="begin"/>
      </w:r>
      <w:r w:rsidRPr="005060E0">
        <w:rPr>
          <w:rFonts w:cs="Arial"/>
        </w:rPr>
        <w:instrText xml:space="preserve"> SEQ Table \* ARABIC \s 1 </w:instrText>
      </w:r>
      <w:r w:rsidRPr="005060E0">
        <w:rPr>
          <w:rFonts w:cs="Arial"/>
        </w:rPr>
        <w:fldChar w:fldCharType="separate"/>
      </w:r>
      <w:r w:rsidR="00F2067C">
        <w:rPr>
          <w:rFonts w:cs="Arial"/>
          <w:noProof/>
        </w:rPr>
        <w:t>13</w:t>
      </w:r>
      <w:r w:rsidRPr="005060E0">
        <w:rPr>
          <w:rFonts w:cs="Arial"/>
          <w:noProof/>
        </w:rPr>
        <w:fldChar w:fldCharType="end"/>
      </w:r>
      <w:bookmarkEnd w:id="233"/>
      <w:r w:rsidRPr="005060E0">
        <w:t>: Health outcomes avoided if proposed 1-hour O</w:t>
      </w:r>
      <w:r w:rsidRPr="005060E0">
        <w:rPr>
          <w:vertAlign w:val="subscript"/>
        </w:rPr>
        <w:t>3</w:t>
      </w:r>
      <w:r w:rsidRPr="005060E0">
        <w:t xml:space="preserve"> standard of 85 ppb is met in Australian airsheds</w:t>
      </w:r>
    </w:p>
    <w:tbl>
      <w:tblPr>
        <w:tblW w:w="5000" w:type="pct"/>
        <w:tblLook w:val="04A0" w:firstRow="1" w:lastRow="0" w:firstColumn="1" w:lastColumn="0" w:noHBand="0" w:noVBand="1"/>
      </w:tblPr>
      <w:tblGrid>
        <w:gridCol w:w="1670"/>
        <w:gridCol w:w="281"/>
        <w:gridCol w:w="1918"/>
        <w:gridCol w:w="1920"/>
        <w:gridCol w:w="1920"/>
        <w:gridCol w:w="1920"/>
      </w:tblGrid>
      <w:tr w:rsidR="00D44F1A" w:rsidRPr="005060E0" w14:paraId="6BD44FEE" w14:textId="77777777" w:rsidTr="00D35C2D">
        <w:trPr>
          <w:trHeight w:hRule="exact" w:val="170"/>
          <w:tblHeader/>
        </w:trPr>
        <w:tc>
          <w:tcPr>
            <w:tcW w:w="867" w:type="pct"/>
            <w:vMerge w:val="restart"/>
            <w:tcBorders>
              <w:top w:val="nil"/>
              <w:left w:val="single" w:sz="4" w:space="0" w:color="606072"/>
              <w:right w:val="single" w:sz="4" w:space="0" w:color="606072"/>
            </w:tcBorders>
            <w:shd w:val="clear" w:color="000000" w:fill="606072"/>
            <w:vAlign w:val="center"/>
            <w:hideMark/>
          </w:tcPr>
          <w:p w14:paraId="313DB0F8" w14:textId="77777777" w:rsidR="00D44F1A" w:rsidRPr="005060E0" w:rsidRDefault="00D44F1A" w:rsidP="0086219F">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Airshed</w:t>
            </w:r>
          </w:p>
        </w:tc>
        <w:tc>
          <w:tcPr>
            <w:tcW w:w="146" w:type="pct"/>
            <w:tcBorders>
              <w:top w:val="nil"/>
              <w:left w:val="nil"/>
              <w:bottom w:val="single" w:sz="4" w:space="0" w:color="606072"/>
              <w:right w:val="nil"/>
            </w:tcBorders>
            <w:shd w:val="clear" w:color="000000" w:fill="606072"/>
            <w:vAlign w:val="center"/>
            <w:hideMark/>
          </w:tcPr>
          <w:p w14:paraId="26BAD630" w14:textId="77777777" w:rsidR="00D44F1A" w:rsidRPr="005060E0" w:rsidRDefault="00D44F1A" w:rsidP="0086219F">
            <w:pPr>
              <w:widowControl w:val="0"/>
              <w:spacing w:after="0" w:line="240" w:lineRule="auto"/>
              <w:jc w:val="center"/>
              <w:rPr>
                <w:rFonts w:eastAsia="Times New Roman" w:cs="Arial"/>
                <w:color w:val="FFFFFF"/>
                <w:sz w:val="16"/>
                <w:szCs w:val="16"/>
                <w:lang w:eastAsia="en-AU"/>
              </w:rPr>
            </w:pPr>
          </w:p>
        </w:tc>
        <w:tc>
          <w:tcPr>
            <w:tcW w:w="3987" w:type="pct"/>
            <w:gridSpan w:val="4"/>
            <w:vMerge w:val="restart"/>
            <w:tcBorders>
              <w:top w:val="nil"/>
              <w:left w:val="single" w:sz="4" w:space="0" w:color="606072"/>
              <w:right w:val="single" w:sz="4" w:space="0" w:color="606072"/>
            </w:tcBorders>
            <w:shd w:val="clear" w:color="000000" w:fill="606072"/>
            <w:vAlign w:val="center"/>
            <w:hideMark/>
          </w:tcPr>
          <w:p w14:paraId="68B7BCD6" w14:textId="7482DDF0" w:rsidR="00D44F1A" w:rsidRPr="005060E0" w:rsidRDefault="00D44F1A" w:rsidP="00D44F1A">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Health outcomes avoided</w:t>
            </w:r>
          </w:p>
        </w:tc>
      </w:tr>
      <w:tr w:rsidR="00D44F1A" w:rsidRPr="005060E0" w14:paraId="05174F5E" w14:textId="77777777" w:rsidTr="00D35C2D">
        <w:trPr>
          <w:trHeight w:hRule="exact" w:val="227"/>
          <w:tblHeader/>
        </w:trPr>
        <w:tc>
          <w:tcPr>
            <w:tcW w:w="867" w:type="pct"/>
            <w:vMerge/>
            <w:tcBorders>
              <w:left w:val="single" w:sz="4" w:space="0" w:color="606072"/>
              <w:right w:val="single" w:sz="4" w:space="0" w:color="606072"/>
            </w:tcBorders>
            <w:shd w:val="clear" w:color="000000" w:fill="606072"/>
            <w:vAlign w:val="center"/>
            <w:hideMark/>
          </w:tcPr>
          <w:p w14:paraId="4B0B56C5" w14:textId="77777777" w:rsidR="00D44F1A" w:rsidRPr="005060E0" w:rsidRDefault="00D44F1A" w:rsidP="0086219F">
            <w:pPr>
              <w:widowControl w:val="0"/>
              <w:spacing w:after="0" w:line="240" w:lineRule="auto"/>
              <w:jc w:val="center"/>
              <w:rPr>
                <w:rFonts w:eastAsia="Times New Roman" w:cs="Arial"/>
                <w:color w:val="FFFFFF"/>
                <w:sz w:val="16"/>
                <w:szCs w:val="16"/>
                <w:lang w:eastAsia="en-AU"/>
              </w:rPr>
            </w:pPr>
          </w:p>
        </w:tc>
        <w:tc>
          <w:tcPr>
            <w:tcW w:w="146" w:type="pct"/>
            <w:tcBorders>
              <w:top w:val="nil"/>
              <w:left w:val="nil"/>
              <w:bottom w:val="nil"/>
              <w:right w:val="nil"/>
            </w:tcBorders>
            <w:shd w:val="clear" w:color="000000" w:fill="606072"/>
            <w:vAlign w:val="center"/>
            <w:hideMark/>
          </w:tcPr>
          <w:p w14:paraId="0D0CA068" w14:textId="77777777" w:rsidR="00D44F1A" w:rsidRPr="005060E0" w:rsidRDefault="00D44F1A" w:rsidP="0086219F">
            <w:pPr>
              <w:widowControl w:val="0"/>
              <w:spacing w:after="0" w:line="240" w:lineRule="auto"/>
              <w:jc w:val="center"/>
              <w:rPr>
                <w:rFonts w:eastAsia="Times New Roman" w:cs="Arial"/>
                <w:color w:val="FFFFFF"/>
                <w:sz w:val="16"/>
                <w:szCs w:val="16"/>
                <w:lang w:eastAsia="en-AU"/>
              </w:rPr>
            </w:pPr>
          </w:p>
        </w:tc>
        <w:tc>
          <w:tcPr>
            <w:tcW w:w="3987" w:type="pct"/>
            <w:gridSpan w:val="4"/>
            <w:vMerge/>
            <w:tcBorders>
              <w:left w:val="single" w:sz="4" w:space="0" w:color="606072"/>
              <w:bottom w:val="nil"/>
              <w:right w:val="single" w:sz="4" w:space="0" w:color="606072"/>
            </w:tcBorders>
            <w:shd w:val="clear" w:color="000000" w:fill="606072"/>
            <w:vAlign w:val="center"/>
            <w:hideMark/>
          </w:tcPr>
          <w:p w14:paraId="130A16BF" w14:textId="77777777" w:rsidR="00D44F1A" w:rsidRPr="005060E0" w:rsidRDefault="00D44F1A" w:rsidP="0086219F">
            <w:pPr>
              <w:widowControl w:val="0"/>
              <w:spacing w:after="0" w:line="240" w:lineRule="auto"/>
              <w:jc w:val="center"/>
              <w:rPr>
                <w:rFonts w:eastAsia="Times New Roman" w:cs="Arial"/>
                <w:color w:val="FFFFFF"/>
                <w:sz w:val="16"/>
                <w:szCs w:val="16"/>
                <w:lang w:eastAsia="en-AU"/>
              </w:rPr>
            </w:pPr>
          </w:p>
        </w:tc>
      </w:tr>
      <w:tr w:rsidR="0099075F" w:rsidRPr="005060E0" w14:paraId="46822375" w14:textId="77777777" w:rsidTr="00D35C2D">
        <w:trPr>
          <w:trHeight w:val="340"/>
          <w:tblHeader/>
        </w:trPr>
        <w:tc>
          <w:tcPr>
            <w:tcW w:w="867" w:type="pct"/>
            <w:vMerge/>
            <w:tcBorders>
              <w:left w:val="single" w:sz="4" w:space="0" w:color="606072"/>
              <w:bottom w:val="single" w:sz="4" w:space="0" w:color="606372" w:themeColor="text2"/>
              <w:right w:val="single" w:sz="4" w:space="0" w:color="606072"/>
            </w:tcBorders>
            <w:vAlign w:val="center"/>
            <w:hideMark/>
          </w:tcPr>
          <w:p w14:paraId="6A4C828B" w14:textId="77777777" w:rsidR="0099075F" w:rsidRPr="005060E0" w:rsidRDefault="0099075F" w:rsidP="0086219F">
            <w:pPr>
              <w:widowControl w:val="0"/>
              <w:spacing w:after="0" w:line="240" w:lineRule="auto"/>
              <w:jc w:val="center"/>
              <w:rPr>
                <w:rFonts w:eastAsia="Times New Roman" w:cs="Arial"/>
                <w:color w:val="FFFFFF"/>
                <w:sz w:val="16"/>
                <w:szCs w:val="16"/>
                <w:lang w:eastAsia="en-AU"/>
              </w:rPr>
            </w:pPr>
          </w:p>
        </w:tc>
        <w:tc>
          <w:tcPr>
            <w:tcW w:w="146" w:type="pct"/>
            <w:tcBorders>
              <w:top w:val="nil"/>
              <w:left w:val="nil"/>
              <w:bottom w:val="single" w:sz="4" w:space="0" w:color="606372" w:themeColor="text2"/>
              <w:right w:val="single" w:sz="4" w:space="0" w:color="606072"/>
            </w:tcBorders>
            <w:shd w:val="clear" w:color="000000" w:fill="606072"/>
            <w:vAlign w:val="center"/>
            <w:hideMark/>
          </w:tcPr>
          <w:p w14:paraId="1438ED95" w14:textId="77777777" w:rsidR="0099075F" w:rsidRPr="005060E0" w:rsidRDefault="0099075F" w:rsidP="0086219F">
            <w:pPr>
              <w:widowControl w:val="0"/>
              <w:spacing w:after="0" w:line="240" w:lineRule="auto"/>
              <w:jc w:val="center"/>
              <w:rPr>
                <w:rFonts w:eastAsia="Times New Roman" w:cs="Arial"/>
                <w:color w:val="FFFFFF"/>
                <w:sz w:val="16"/>
                <w:szCs w:val="16"/>
                <w:lang w:eastAsia="en-AU"/>
              </w:rPr>
            </w:pPr>
          </w:p>
        </w:tc>
        <w:tc>
          <w:tcPr>
            <w:tcW w:w="996" w:type="pct"/>
            <w:tcBorders>
              <w:top w:val="nil"/>
              <w:left w:val="nil"/>
              <w:bottom w:val="single" w:sz="4" w:space="0" w:color="606372" w:themeColor="text2"/>
              <w:right w:val="single" w:sz="4" w:space="0" w:color="606072"/>
            </w:tcBorders>
            <w:shd w:val="clear" w:color="000000" w:fill="606072"/>
            <w:vAlign w:val="center"/>
            <w:hideMark/>
          </w:tcPr>
          <w:p w14:paraId="66FF33DC" w14:textId="77777777" w:rsidR="0099075F" w:rsidRPr="005060E0" w:rsidRDefault="0099075F" w:rsidP="0086219F">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Average</w:t>
            </w:r>
          </w:p>
          <w:p w14:paraId="67756ABE" w14:textId="4834ED3C" w:rsidR="0099075F" w:rsidRPr="005060E0" w:rsidRDefault="0099075F" w:rsidP="0086219F">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2010</w:t>
            </w:r>
            <w:r w:rsidR="00DF4D3A" w:rsidRPr="005060E0">
              <w:rPr>
                <w:rFonts w:eastAsia="Times New Roman" w:cs="Arial"/>
                <w:color w:val="FFFFFF"/>
                <w:sz w:val="16"/>
                <w:szCs w:val="16"/>
                <w:lang w:eastAsia="en-AU"/>
              </w:rPr>
              <w:t>–20</w:t>
            </w:r>
            <w:r w:rsidRPr="005060E0">
              <w:rPr>
                <w:rFonts w:eastAsia="Times New Roman" w:cs="Arial"/>
                <w:color w:val="FFFFFF"/>
                <w:sz w:val="16"/>
                <w:szCs w:val="16"/>
                <w:lang w:eastAsia="en-AU"/>
              </w:rPr>
              <w:t>14</w:t>
            </w:r>
          </w:p>
        </w:tc>
        <w:tc>
          <w:tcPr>
            <w:tcW w:w="997" w:type="pct"/>
            <w:tcBorders>
              <w:top w:val="single" w:sz="4" w:space="0" w:color="606072"/>
              <w:left w:val="nil"/>
              <w:bottom w:val="single" w:sz="4" w:space="0" w:color="606372" w:themeColor="text2"/>
              <w:right w:val="single" w:sz="4" w:space="0" w:color="606072"/>
            </w:tcBorders>
            <w:shd w:val="clear" w:color="000000" w:fill="606072"/>
            <w:vAlign w:val="center"/>
            <w:hideMark/>
          </w:tcPr>
          <w:p w14:paraId="1E8CE37A" w14:textId="77777777" w:rsidR="0099075F" w:rsidRPr="005060E0" w:rsidRDefault="0099075F" w:rsidP="0086219F">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2021</w:t>
            </w:r>
          </w:p>
        </w:tc>
        <w:tc>
          <w:tcPr>
            <w:tcW w:w="997" w:type="pct"/>
            <w:tcBorders>
              <w:top w:val="single" w:sz="4" w:space="0" w:color="606072"/>
              <w:left w:val="nil"/>
              <w:bottom w:val="single" w:sz="4" w:space="0" w:color="606372" w:themeColor="text2"/>
              <w:right w:val="single" w:sz="4" w:space="0" w:color="606072"/>
            </w:tcBorders>
            <w:shd w:val="clear" w:color="000000" w:fill="606072"/>
            <w:vAlign w:val="center"/>
            <w:hideMark/>
          </w:tcPr>
          <w:p w14:paraId="1DFF7ABE" w14:textId="77777777" w:rsidR="0099075F" w:rsidRPr="005060E0" w:rsidRDefault="0099075F" w:rsidP="0086219F">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2031</w:t>
            </w:r>
          </w:p>
        </w:tc>
        <w:tc>
          <w:tcPr>
            <w:tcW w:w="997" w:type="pct"/>
            <w:tcBorders>
              <w:top w:val="single" w:sz="4" w:space="0" w:color="606072"/>
              <w:left w:val="nil"/>
              <w:bottom w:val="single" w:sz="4" w:space="0" w:color="606372" w:themeColor="text2"/>
              <w:right w:val="single" w:sz="4" w:space="0" w:color="606072"/>
            </w:tcBorders>
            <w:shd w:val="clear" w:color="000000" w:fill="606072"/>
            <w:vAlign w:val="center"/>
            <w:hideMark/>
          </w:tcPr>
          <w:p w14:paraId="6D148012" w14:textId="77777777" w:rsidR="0099075F" w:rsidRPr="005060E0" w:rsidRDefault="0099075F" w:rsidP="0086219F">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2040</w:t>
            </w:r>
          </w:p>
        </w:tc>
      </w:tr>
      <w:tr w:rsidR="0099075F" w:rsidRPr="005060E0" w14:paraId="032D283C" w14:textId="77777777" w:rsidTr="0086219F">
        <w:trPr>
          <w:trHeight w:hRule="exact" w:val="340"/>
        </w:trPr>
        <w:tc>
          <w:tcPr>
            <w:tcW w:w="5000" w:type="pct"/>
            <w:gridSpan w:val="6"/>
            <w:tcBorders>
              <w:top w:val="single" w:sz="4" w:space="0" w:color="606372" w:themeColor="text2"/>
              <w:left w:val="single" w:sz="4" w:space="0" w:color="606372" w:themeColor="text2"/>
              <w:bottom w:val="dotted" w:sz="4" w:space="0" w:color="606072"/>
              <w:right w:val="single" w:sz="4" w:space="0" w:color="606372" w:themeColor="text2"/>
            </w:tcBorders>
            <w:shd w:val="clear" w:color="auto" w:fill="DEDFE3" w:themeFill="text2" w:themeFillTint="33"/>
            <w:tcMar>
              <w:left w:w="57" w:type="dxa"/>
              <w:right w:w="28" w:type="dxa"/>
            </w:tcMar>
            <w:vAlign w:val="center"/>
          </w:tcPr>
          <w:p w14:paraId="09970F28" w14:textId="185A1CA3" w:rsidR="0099075F" w:rsidRPr="005060E0" w:rsidRDefault="0099075F" w:rsidP="0086219F">
            <w:pPr>
              <w:widowControl w:val="0"/>
              <w:spacing w:after="0" w:line="240" w:lineRule="auto"/>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GB"/>
              </w:rPr>
              <w:t>Daily mortality, all-cause</w:t>
            </w:r>
            <w:r w:rsidR="00627461" w:rsidRPr="005060E0">
              <w:rPr>
                <w:rFonts w:eastAsia="Times New Roman" w:cs="Arial"/>
                <w:color w:val="000000"/>
                <w:sz w:val="16"/>
                <w:szCs w:val="16"/>
                <w:vertAlign w:val="superscript"/>
                <w:lang w:eastAsia="en-GB"/>
              </w:rPr>
              <w:t>(a)</w:t>
            </w:r>
          </w:p>
        </w:tc>
      </w:tr>
      <w:tr w:rsidR="0099075F" w:rsidRPr="005060E0" w14:paraId="7334FDE9" w14:textId="77777777" w:rsidTr="0099075F">
        <w:trPr>
          <w:trHeight w:hRule="exact" w:val="283"/>
        </w:trPr>
        <w:tc>
          <w:tcPr>
            <w:tcW w:w="867" w:type="pct"/>
            <w:tcBorders>
              <w:top w:val="single" w:sz="4" w:space="0" w:color="606072"/>
              <w:left w:val="single" w:sz="4" w:space="0" w:color="606372" w:themeColor="text2"/>
              <w:bottom w:val="dotted" w:sz="4" w:space="0" w:color="606072"/>
              <w:right w:val="single" w:sz="4" w:space="0" w:color="606072"/>
            </w:tcBorders>
            <w:shd w:val="clear" w:color="auto" w:fill="F2F2F2" w:themeFill="background1" w:themeFillShade="F2"/>
            <w:tcMar>
              <w:left w:w="57" w:type="dxa"/>
              <w:right w:w="28" w:type="dxa"/>
            </w:tcMar>
            <w:vAlign w:val="center"/>
          </w:tcPr>
          <w:p w14:paraId="766D29D6" w14:textId="77777777" w:rsidR="0099075F" w:rsidRPr="005060E0" w:rsidRDefault="0099075F" w:rsidP="0099075F">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NSW and Victoria</w:t>
            </w:r>
          </w:p>
        </w:tc>
        <w:tc>
          <w:tcPr>
            <w:tcW w:w="146" w:type="pct"/>
            <w:tcBorders>
              <w:top w:val="single" w:sz="4" w:space="0" w:color="606072"/>
              <w:left w:val="nil"/>
              <w:bottom w:val="dotted" w:sz="4" w:space="0" w:color="606072"/>
              <w:right w:val="nil"/>
            </w:tcBorders>
            <w:shd w:val="clear" w:color="000000" w:fill="FFFFFF"/>
            <w:vAlign w:val="center"/>
          </w:tcPr>
          <w:p w14:paraId="54EADEBE" w14:textId="77777777" w:rsidR="0099075F" w:rsidRPr="005060E0" w:rsidRDefault="0099075F" w:rsidP="0099075F">
            <w:pPr>
              <w:widowControl w:val="0"/>
              <w:spacing w:after="0" w:line="240" w:lineRule="auto"/>
              <w:rPr>
                <w:rFonts w:eastAsia="Times New Roman" w:cs="Arial"/>
                <w:sz w:val="16"/>
                <w:szCs w:val="16"/>
                <w:lang w:eastAsia="en-AU"/>
              </w:rPr>
            </w:pPr>
          </w:p>
        </w:tc>
        <w:tc>
          <w:tcPr>
            <w:tcW w:w="996" w:type="pct"/>
            <w:tcBorders>
              <w:top w:val="single" w:sz="4" w:space="0" w:color="606072"/>
              <w:left w:val="nil"/>
              <w:bottom w:val="dotted" w:sz="4" w:space="0" w:color="606072"/>
              <w:right w:val="nil"/>
            </w:tcBorders>
            <w:shd w:val="clear" w:color="000000" w:fill="FFFFFF"/>
            <w:vAlign w:val="center"/>
          </w:tcPr>
          <w:p w14:paraId="5170146F" w14:textId="67953A28" w:rsidR="0099075F" w:rsidRPr="005060E0" w:rsidRDefault="0099075F" w:rsidP="0099075F">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AU"/>
              </w:rPr>
              <w:t>52</w:t>
            </w:r>
          </w:p>
        </w:tc>
        <w:tc>
          <w:tcPr>
            <w:tcW w:w="997" w:type="pct"/>
            <w:tcBorders>
              <w:top w:val="single" w:sz="4" w:space="0" w:color="606072"/>
              <w:left w:val="nil"/>
              <w:bottom w:val="dotted" w:sz="4" w:space="0" w:color="606072"/>
              <w:right w:val="nil"/>
            </w:tcBorders>
            <w:shd w:val="clear" w:color="000000" w:fill="FFFFFF"/>
            <w:vAlign w:val="center"/>
          </w:tcPr>
          <w:p w14:paraId="53CCD85D" w14:textId="1C8C1ACC" w:rsidR="0099075F" w:rsidRPr="005060E0" w:rsidRDefault="00EF72CA" w:rsidP="0099075F">
            <w:pPr>
              <w:widowControl w:val="0"/>
              <w:spacing w:after="0" w:line="240" w:lineRule="auto"/>
              <w:jc w:val="center"/>
              <w:rPr>
                <w:rFonts w:eastAsia="Times New Roman" w:cs="Arial"/>
                <w:color w:val="808080" w:themeColor="background1" w:themeShade="80"/>
                <w:sz w:val="16"/>
                <w:szCs w:val="16"/>
                <w:lang w:eastAsia="en-AU"/>
              </w:rPr>
            </w:pPr>
            <w:r>
              <w:rPr>
                <w:rFonts w:eastAsia="Times New Roman" w:cs="Arial"/>
                <w:color w:val="000000"/>
                <w:sz w:val="16"/>
                <w:szCs w:val="16"/>
                <w:lang w:eastAsia="en-AU"/>
              </w:rPr>
              <w:t>–</w:t>
            </w:r>
            <w:r w:rsidR="0099075F" w:rsidRPr="005060E0">
              <w:rPr>
                <w:rFonts w:eastAsia="Times New Roman" w:cs="Arial"/>
                <w:color w:val="000000"/>
                <w:sz w:val="16"/>
                <w:szCs w:val="16"/>
                <w:lang w:eastAsia="en-AU"/>
              </w:rPr>
              <w:t>71</w:t>
            </w:r>
          </w:p>
        </w:tc>
        <w:tc>
          <w:tcPr>
            <w:tcW w:w="997" w:type="pct"/>
            <w:tcBorders>
              <w:top w:val="single" w:sz="4" w:space="0" w:color="606072"/>
              <w:left w:val="nil"/>
              <w:bottom w:val="dotted" w:sz="4" w:space="0" w:color="606072"/>
              <w:right w:val="nil"/>
            </w:tcBorders>
            <w:shd w:val="clear" w:color="000000" w:fill="FFFFFF"/>
            <w:vAlign w:val="center"/>
          </w:tcPr>
          <w:p w14:paraId="74955328" w14:textId="28C6DF13" w:rsidR="0099075F" w:rsidRPr="005060E0" w:rsidRDefault="00EF72CA" w:rsidP="0099075F">
            <w:pPr>
              <w:widowControl w:val="0"/>
              <w:spacing w:after="0" w:line="240" w:lineRule="auto"/>
              <w:jc w:val="center"/>
              <w:rPr>
                <w:rFonts w:eastAsia="Times New Roman" w:cs="Arial"/>
                <w:color w:val="808080" w:themeColor="background1" w:themeShade="80"/>
                <w:sz w:val="16"/>
                <w:szCs w:val="16"/>
                <w:lang w:eastAsia="en-AU"/>
              </w:rPr>
            </w:pPr>
            <w:r>
              <w:rPr>
                <w:rFonts w:eastAsia="Times New Roman" w:cs="Arial"/>
                <w:color w:val="000000"/>
                <w:sz w:val="16"/>
                <w:szCs w:val="16"/>
                <w:lang w:eastAsia="en-AU"/>
              </w:rPr>
              <w:t>–</w:t>
            </w:r>
            <w:r w:rsidR="0099075F" w:rsidRPr="005060E0">
              <w:rPr>
                <w:rFonts w:eastAsia="Times New Roman" w:cs="Arial"/>
                <w:color w:val="000000"/>
                <w:sz w:val="16"/>
                <w:szCs w:val="16"/>
                <w:lang w:eastAsia="en-AU"/>
              </w:rPr>
              <w:t>82</w:t>
            </w:r>
          </w:p>
        </w:tc>
        <w:tc>
          <w:tcPr>
            <w:tcW w:w="997" w:type="pct"/>
            <w:tcBorders>
              <w:top w:val="single" w:sz="4" w:space="0" w:color="606072"/>
              <w:left w:val="nil"/>
              <w:bottom w:val="dotted" w:sz="4" w:space="0" w:color="606072"/>
              <w:right w:val="single" w:sz="4" w:space="0" w:color="606372" w:themeColor="text2"/>
            </w:tcBorders>
            <w:shd w:val="clear" w:color="000000" w:fill="FFFFFF"/>
            <w:vAlign w:val="center"/>
          </w:tcPr>
          <w:p w14:paraId="1FA40A89" w14:textId="7A452062" w:rsidR="0099075F" w:rsidRPr="005060E0" w:rsidRDefault="00EF72CA" w:rsidP="0099075F">
            <w:pPr>
              <w:widowControl w:val="0"/>
              <w:spacing w:after="0" w:line="240" w:lineRule="auto"/>
              <w:jc w:val="center"/>
              <w:rPr>
                <w:rFonts w:eastAsia="Times New Roman" w:cs="Arial"/>
                <w:color w:val="808080" w:themeColor="background1" w:themeShade="80"/>
                <w:sz w:val="16"/>
                <w:szCs w:val="16"/>
                <w:lang w:eastAsia="en-AU"/>
              </w:rPr>
            </w:pPr>
            <w:r>
              <w:rPr>
                <w:rFonts w:eastAsia="Times New Roman" w:cs="Arial"/>
                <w:color w:val="000000"/>
                <w:sz w:val="16"/>
                <w:szCs w:val="16"/>
                <w:lang w:eastAsia="en-AU"/>
              </w:rPr>
              <w:t>–</w:t>
            </w:r>
            <w:r w:rsidR="0099075F" w:rsidRPr="005060E0">
              <w:rPr>
                <w:rFonts w:eastAsia="Times New Roman" w:cs="Arial"/>
                <w:color w:val="000000"/>
                <w:sz w:val="16"/>
                <w:szCs w:val="16"/>
                <w:lang w:eastAsia="en-AU"/>
              </w:rPr>
              <w:t>87</w:t>
            </w:r>
          </w:p>
        </w:tc>
      </w:tr>
      <w:tr w:rsidR="0086219F" w:rsidRPr="005060E0" w14:paraId="42246D44" w14:textId="77777777" w:rsidTr="0099075F">
        <w:trPr>
          <w:trHeight w:hRule="exact" w:val="283"/>
        </w:trPr>
        <w:tc>
          <w:tcPr>
            <w:tcW w:w="867" w:type="pct"/>
            <w:tcBorders>
              <w:top w:val="dotted" w:sz="4" w:space="0" w:color="606072"/>
              <w:left w:val="single" w:sz="4" w:space="0" w:color="606372" w:themeColor="text2"/>
              <w:bottom w:val="single" w:sz="4" w:space="0" w:color="606372" w:themeColor="text2"/>
              <w:right w:val="single" w:sz="4" w:space="0" w:color="606072"/>
            </w:tcBorders>
            <w:shd w:val="clear" w:color="auto" w:fill="F2F2F2" w:themeFill="background1" w:themeFillShade="F2"/>
            <w:tcMar>
              <w:left w:w="57" w:type="dxa"/>
              <w:right w:w="28" w:type="dxa"/>
            </w:tcMar>
            <w:vAlign w:val="center"/>
          </w:tcPr>
          <w:p w14:paraId="52FDD32C" w14:textId="77777777" w:rsidR="0086219F" w:rsidRPr="005060E0" w:rsidRDefault="0086219F" w:rsidP="0086219F">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Other airsheds</w:t>
            </w:r>
          </w:p>
        </w:tc>
        <w:tc>
          <w:tcPr>
            <w:tcW w:w="146" w:type="pct"/>
            <w:tcBorders>
              <w:top w:val="dotted" w:sz="4" w:space="0" w:color="606072"/>
              <w:left w:val="nil"/>
              <w:bottom w:val="single" w:sz="4" w:space="0" w:color="606372" w:themeColor="text2"/>
              <w:right w:val="nil"/>
            </w:tcBorders>
            <w:shd w:val="clear" w:color="000000" w:fill="FFFFFF"/>
            <w:vAlign w:val="center"/>
          </w:tcPr>
          <w:p w14:paraId="6E9B1ED1" w14:textId="77777777" w:rsidR="0086219F" w:rsidRPr="005060E0" w:rsidRDefault="0086219F" w:rsidP="0086219F">
            <w:pPr>
              <w:widowControl w:val="0"/>
              <w:spacing w:after="0" w:line="240" w:lineRule="auto"/>
              <w:rPr>
                <w:rFonts w:eastAsia="Times New Roman" w:cs="Arial"/>
                <w:sz w:val="16"/>
                <w:szCs w:val="16"/>
                <w:lang w:eastAsia="en-AU"/>
              </w:rPr>
            </w:pPr>
          </w:p>
        </w:tc>
        <w:tc>
          <w:tcPr>
            <w:tcW w:w="996" w:type="pct"/>
            <w:tcBorders>
              <w:top w:val="dotted" w:sz="4" w:space="0" w:color="606072"/>
              <w:left w:val="nil"/>
              <w:bottom w:val="single" w:sz="4" w:space="0" w:color="606372" w:themeColor="text2"/>
              <w:right w:val="nil"/>
            </w:tcBorders>
            <w:shd w:val="clear" w:color="000000" w:fill="FFFFFF"/>
            <w:vAlign w:val="center"/>
          </w:tcPr>
          <w:p w14:paraId="4FFA1DFA" w14:textId="7A22D7AE" w:rsidR="0086219F" w:rsidRPr="005060E0" w:rsidRDefault="00EF72CA" w:rsidP="0086219F">
            <w:pPr>
              <w:widowControl w:val="0"/>
              <w:spacing w:after="0" w:line="240" w:lineRule="auto"/>
              <w:jc w:val="center"/>
              <w:rPr>
                <w:rFonts w:eastAsia="Times New Roman" w:cs="Arial"/>
                <w:color w:val="808080" w:themeColor="background1" w:themeShade="80"/>
                <w:sz w:val="16"/>
                <w:szCs w:val="16"/>
                <w:lang w:eastAsia="en-AU"/>
              </w:rPr>
            </w:pPr>
            <w:r>
              <w:rPr>
                <w:rFonts w:eastAsia="Times New Roman" w:cs="Arial"/>
                <w:color w:val="000000"/>
                <w:sz w:val="16"/>
                <w:szCs w:val="16"/>
                <w:lang w:eastAsia="en-AU"/>
              </w:rPr>
              <w:t>–</w:t>
            </w:r>
            <w:r w:rsidR="001B5371" w:rsidRPr="005060E0">
              <w:rPr>
                <w:rFonts w:eastAsia="Times New Roman" w:cs="Arial"/>
                <w:color w:val="000000"/>
                <w:sz w:val="16"/>
                <w:szCs w:val="16"/>
                <w:vertAlign w:val="superscript"/>
                <w:lang w:eastAsia="en-AU"/>
              </w:rPr>
              <w:t>(b)</w:t>
            </w:r>
          </w:p>
        </w:tc>
        <w:tc>
          <w:tcPr>
            <w:tcW w:w="997" w:type="pct"/>
            <w:tcBorders>
              <w:top w:val="dotted" w:sz="4" w:space="0" w:color="606072"/>
              <w:left w:val="nil"/>
              <w:bottom w:val="single" w:sz="4" w:space="0" w:color="606372" w:themeColor="text2"/>
              <w:right w:val="nil"/>
            </w:tcBorders>
            <w:shd w:val="clear" w:color="000000" w:fill="FFFFFF"/>
            <w:vAlign w:val="center"/>
          </w:tcPr>
          <w:p w14:paraId="495CE8F2" w14:textId="4DDCF751" w:rsidR="0086219F" w:rsidRPr="005060E0" w:rsidRDefault="00EF72CA" w:rsidP="0086219F">
            <w:pPr>
              <w:widowControl w:val="0"/>
              <w:spacing w:after="0" w:line="240" w:lineRule="auto"/>
              <w:jc w:val="center"/>
              <w:rPr>
                <w:rFonts w:eastAsia="Times New Roman" w:cs="Arial"/>
                <w:color w:val="808080" w:themeColor="background1" w:themeShade="80"/>
                <w:sz w:val="16"/>
                <w:szCs w:val="16"/>
                <w:lang w:eastAsia="en-AU"/>
              </w:rPr>
            </w:pPr>
            <w:r>
              <w:rPr>
                <w:rFonts w:eastAsia="Times New Roman" w:cs="Arial"/>
                <w:color w:val="000000"/>
                <w:sz w:val="16"/>
                <w:szCs w:val="16"/>
                <w:lang w:eastAsia="en-AU"/>
              </w:rPr>
              <w:t>–</w:t>
            </w:r>
            <w:r w:rsidR="001B5371" w:rsidRPr="005060E0">
              <w:rPr>
                <w:rFonts w:eastAsia="Times New Roman" w:cs="Arial"/>
                <w:color w:val="000000"/>
                <w:sz w:val="16"/>
                <w:szCs w:val="16"/>
                <w:vertAlign w:val="superscript"/>
                <w:lang w:eastAsia="en-AU"/>
              </w:rPr>
              <w:t>(b)</w:t>
            </w:r>
          </w:p>
        </w:tc>
        <w:tc>
          <w:tcPr>
            <w:tcW w:w="997" w:type="pct"/>
            <w:tcBorders>
              <w:top w:val="dotted" w:sz="4" w:space="0" w:color="606072"/>
              <w:left w:val="nil"/>
              <w:bottom w:val="single" w:sz="4" w:space="0" w:color="606372" w:themeColor="text2"/>
              <w:right w:val="nil"/>
            </w:tcBorders>
            <w:shd w:val="clear" w:color="000000" w:fill="FFFFFF"/>
            <w:vAlign w:val="center"/>
          </w:tcPr>
          <w:p w14:paraId="0C615FB0" w14:textId="39CAD542" w:rsidR="0086219F" w:rsidRPr="005060E0" w:rsidRDefault="00EF72CA" w:rsidP="0086219F">
            <w:pPr>
              <w:widowControl w:val="0"/>
              <w:spacing w:after="0" w:line="240" w:lineRule="auto"/>
              <w:jc w:val="center"/>
              <w:rPr>
                <w:rFonts w:eastAsia="Times New Roman" w:cs="Arial"/>
                <w:color w:val="808080" w:themeColor="background1" w:themeShade="80"/>
                <w:sz w:val="16"/>
                <w:szCs w:val="16"/>
                <w:lang w:eastAsia="en-AU"/>
              </w:rPr>
            </w:pPr>
            <w:r>
              <w:rPr>
                <w:rFonts w:eastAsia="Times New Roman" w:cs="Arial"/>
                <w:color w:val="000000"/>
                <w:sz w:val="16"/>
                <w:szCs w:val="16"/>
                <w:lang w:eastAsia="en-AU"/>
              </w:rPr>
              <w:t>–</w:t>
            </w:r>
            <w:r w:rsidR="001B5371" w:rsidRPr="005060E0">
              <w:rPr>
                <w:rFonts w:eastAsia="Times New Roman" w:cs="Arial"/>
                <w:color w:val="000000"/>
                <w:sz w:val="16"/>
                <w:szCs w:val="16"/>
                <w:vertAlign w:val="superscript"/>
                <w:lang w:eastAsia="en-AU"/>
              </w:rPr>
              <w:t>(b)</w:t>
            </w:r>
          </w:p>
        </w:tc>
        <w:tc>
          <w:tcPr>
            <w:tcW w:w="997" w:type="pct"/>
            <w:tcBorders>
              <w:top w:val="dotted" w:sz="4" w:space="0" w:color="606072"/>
              <w:left w:val="nil"/>
              <w:bottom w:val="single" w:sz="4" w:space="0" w:color="606372" w:themeColor="text2"/>
              <w:right w:val="single" w:sz="4" w:space="0" w:color="606372" w:themeColor="text2"/>
            </w:tcBorders>
            <w:shd w:val="clear" w:color="000000" w:fill="FFFFFF"/>
            <w:vAlign w:val="center"/>
          </w:tcPr>
          <w:p w14:paraId="0EA09944" w14:textId="5DE7DF1F" w:rsidR="0086219F" w:rsidRPr="005060E0" w:rsidRDefault="00EF72CA" w:rsidP="0086219F">
            <w:pPr>
              <w:widowControl w:val="0"/>
              <w:spacing w:after="0" w:line="240" w:lineRule="auto"/>
              <w:jc w:val="center"/>
              <w:rPr>
                <w:rFonts w:eastAsia="Times New Roman" w:cs="Arial"/>
                <w:color w:val="808080" w:themeColor="background1" w:themeShade="80"/>
                <w:sz w:val="16"/>
                <w:szCs w:val="16"/>
                <w:lang w:eastAsia="en-AU"/>
              </w:rPr>
            </w:pPr>
            <w:r>
              <w:rPr>
                <w:rFonts w:eastAsia="Times New Roman" w:cs="Arial"/>
                <w:color w:val="000000"/>
                <w:sz w:val="16"/>
                <w:szCs w:val="16"/>
                <w:lang w:eastAsia="en-AU"/>
              </w:rPr>
              <w:t>–</w:t>
            </w:r>
            <w:r w:rsidR="001B5371" w:rsidRPr="005060E0">
              <w:rPr>
                <w:rFonts w:eastAsia="Times New Roman" w:cs="Arial"/>
                <w:color w:val="000000"/>
                <w:sz w:val="16"/>
                <w:szCs w:val="16"/>
                <w:vertAlign w:val="superscript"/>
                <w:lang w:eastAsia="en-AU"/>
              </w:rPr>
              <w:t>(b)</w:t>
            </w:r>
          </w:p>
        </w:tc>
      </w:tr>
      <w:tr w:rsidR="0086219F" w:rsidRPr="005060E0" w14:paraId="0384E361" w14:textId="77777777" w:rsidTr="0086219F">
        <w:trPr>
          <w:trHeight w:val="340"/>
        </w:trPr>
        <w:tc>
          <w:tcPr>
            <w:tcW w:w="5000" w:type="pct"/>
            <w:gridSpan w:val="6"/>
            <w:tcBorders>
              <w:top w:val="single" w:sz="4" w:space="0" w:color="606372" w:themeColor="text2"/>
              <w:left w:val="single" w:sz="4" w:space="0" w:color="606372" w:themeColor="text2"/>
              <w:bottom w:val="single" w:sz="4" w:space="0" w:color="606372" w:themeColor="text2"/>
              <w:right w:val="single" w:sz="4" w:space="0" w:color="606372" w:themeColor="text2"/>
            </w:tcBorders>
            <w:shd w:val="clear" w:color="auto" w:fill="DEDFE3" w:themeFill="text2" w:themeFillTint="33"/>
            <w:noWrap/>
            <w:tcMar>
              <w:left w:w="57" w:type="dxa"/>
              <w:right w:w="28" w:type="dxa"/>
            </w:tcMar>
            <w:vAlign w:val="center"/>
            <w:hideMark/>
          </w:tcPr>
          <w:p w14:paraId="0A809FF3" w14:textId="77777777" w:rsidR="0086219F" w:rsidRPr="005060E0" w:rsidRDefault="0086219F" w:rsidP="0086219F">
            <w:pPr>
              <w:widowControl w:val="0"/>
              <w:spacing w:after="0" w:line="240" w:lineRule="auto"/>
              <w:rPr>
                <w:rFonts w:eastAsia="Times New Roman" w:cs="Arial"/>
                <w:color w:val="000000"/>
                <w:sz w:val="16"/>
                <w:szCs w:val="16"/>
                <w:lang w:eastAsia="en-AU"/>
              </w:rPr>
            </w:pPr>
            <w:r w:rsidRPr="005060E0">
              <w:rPr>
                <w:rFonts w:eastAsia="Times New Roman" w:cs="Arial"/>
                <w:color w:val="000000"/>
                <w:sz w:val="16"/>
                <w:szCs w:val="16"/>
                <w:lang w:eastAsia="en-GB"/>
              </w:rPr>
              <w:t>Emergency department visits, asthma (&lt;15 years)</w:t>
            </w:r>
          </w:p>
        </w:tc>
      </w:tr>
      <w:tr w:rsidR="0086219F" w:rsidRPr="005060E0" w14:paraId="0E668434" w14:textId="77777777" w:rsidTr="0099075F">
        <w:trPr>
          <w:trHeight w:hRule="exact" w:val="283"/>
        </w:trPr>
        <w:tc>
          <w:tcPr>
            <w:tcW w:w="867" w:type="pct"/>
            <w:tcBorders>
              <w:top w:val="single" w:sz="4" w:space="0" w:color="606372" w:themeColor="text2"/>
              <w:left w:val="single" w:sz="4" w:space="0" w:color="606372" w:themeColor="text2"/>
              <w:bottom w:val="dotted" w:sz="4" w:space="0" w:color="606072"/>
              <w:right w:val="single" w:sz="4" w:space="0" w:color="606072"/>
            </w:tcBorders>
            <w:shd w:val="clear" w:color="000000" w:fill="F2F2F2"/>
            <w:tcMar>
              <w:left w:w="57" w:type="dxa"/>
              <w:right w:w="28" w:type="dxa"/>
            </w:tcMar>
            <w:vAlign w:val="center"/>
          </w:tcPr>
          <w:p w14:paraId="1C13B943" w14:textId="77777777" w:rsidR="0086219F" w:rsidRPr="005060E0" w:rsidRDefault="0086219F" w:rsidP="0086219F">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NSW and Victoria</w:t>
            </w:r>
          </w:p>
        </w:tc>
        <w:tc>
          <w:tcPr>
            <w:tcW w:w="146" w:type="pct"/>
            <w:tcBorders>
              <w:top w:val="single" w:sz="4" w:space="0" w:color="606372" w:themeColor="text2"/>
              <w:left w:val="nil"/>
              <w:bottom w:val="dotted" w:sz="4" w:space="0" w:color="606072"/>
              <w:right w:val="nil"/>
            </w:tcBorders>
            <w:shd w:val="clear" w:color="000000" w:fill="FFFFFF"/>
            <w:vAlign w:val="center"/>
            <w:hideMark/>
          </w:tcPr>
          <w:p w14:paraId="3BB6FB95" w14:textId="77777777" w:rsidR="0086219F" w:rsidRPr="005060E0" w:rsidRDefault="0086219F" w:rsidP="0086219F">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 </w:t>
            </w:r>
          </w:p>
        </w:tc>
        <w:tc>
          <w:tcPr>
            <w:tcW w:w="996" w:type="pct"/>
            <w:tcBorders>
              <w:top w:val="single" w:sz="4" w:space="0" w:color="606372" w:themeColor="text2"/>
              <w:left w:val="nil"/>
              <w:bottom w:val="dotted" w:sz="4" w:space="0" w:color="606072"/>
              <w:right w:val="nil"/>
            </w:tcBorders>
            <w:shd w:val="clear" w:color="000000" w:fill="FFFFFF"/>
            <w:vAlign w:val="center"/>
          </w:tcPr>
          <w:p w14:paraId="75DE5E77" w14:textId="369690C8" w:rsidR="0086219F" w:rsidRPr="005060E0" w:rsidRDefault="0086219F" w:rsidP="0086219F">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AU"/>
              </w:rPr>
              <w:t>19</w:t>
            </w:r>
          </w:p>
        </w:tc>
        <w:tc>
          <w:tcPr>
            <w:tcW w:w="997" w:type="pct"/>
            <w:tcBorders>
              <w:top w:val="single" w:sz="4" w:space="0" w:color="606372" w:themeColor="text2"/>
              <w:left w:val="nil"/>
              <w:bottom w:val="dotted" w:sz="4" w:space="0" w:color="606072"/>
              <w:right w:val="nil"/>
            </w:tcBorders>
            <w:shd w:val="clear" w:color="000000" w:fill="FFFFFF"/>
            <w:vAlign w:val="center"/>
          </w:tcPr>
          <w:p w14:paraId="6EDAE52D" w14:textId="493D06C6" w:rsidR="0086219F" w:rsidRPr="005060E0" w:rsidRDefault="0086219F" w:rsidP="0086219F">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AU"/>
              </w:rPr>
              <w:t>7</w:t>
            </w:r>
          </w:p>
        </w:tc>
        <w:tc>
          <w:tcPr>
            <w:tcW w:w="997" w:type="pct"/>
            <w:tcBorders>
              <w:top w:val="single" w:sz="4" w:space="0" w:color="606372" w:themeColor="text2"/>
              <w:left w:val="nil"/>
              <w:bottom w:val="dotted" w:sz="4" w:space="0" w:color="606072"/>
              <w:right w:val="nil"/>
            </w:tcBorders>
            <w:shd w:val="clear" w:color="000000" w:fill="FFFFFF"/>
            <w:vAlign w:val="center"/>
          </w:tcPr>
          <w:p w14:paraId="5E96E98E" w14:textId="4539A3A9" w:rsidR="0086219F" w:rsidRPr="005060E0" w:rsidRDefault="0086219F" w:rsidP="0086219F">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AU"/>
              </w:rPr>
              <w:t>8</w:t>
            </w:r>
          </w:p>
        </w:tc>
        <w:tc>
          <w:tcPr>
            <w:tcW w:w="997" w:type="pct"/>
            <w:tcBorders>
              <w:top w:val="single" w:sz="4" w:space="0" w:color="606372" w:themeColor="text2"/>
              <w:left w:val="nil"/>
              <w:bottom w:val="dotted" w:sz="4" w:space="0" w:color="606072"/>
              <w:right w:val="single" w:sz="4" w:space="0" w:color="606372" w:themeColor="text2"/>
            </w:tcBorders>
            <w:shd w:val="clear" w:color="000000" w:fill="FFFFFF"/>
            <w:vAlign w:val="center"/>
          </w:tcPr>
          <w:p w14:paraId="5E8AD050" w14:textId="4F485A0B" w:rsidR="0086219F" w:rsidRPr="005060E0" w:rsidRDefault="0086219F" w:rsidP="0086219F">
            <w:pPr>
              <w:widowControl w:val="0"/>
              <w:spacing w:after="0" w:line="240" w:lineRule="auto"/>
              <w:jc w:val="center"/>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AU"/>
              </w:rPr>
              <w:t>11</w:t>
            </w:r>
          </w:p>
        </w:tc>
      </w:tr>
      <w:tr w:rsidR="0086219F" w:rsidRPr="005060E0" w14:paraId="3CD5547E" w14:textId="77777777" w:rsidTr="0099075F">
        <w:trPr>
          <w:trHeight w:hRule="exact" w:val="283"/>
        </w:trPr>
        <w:tc>
          <w:tcPr>
            <w:tcW w:w="867" w:type="pct"/>
            <w:tcBorders>
              <w:top w:val="dotted" w:sz="4" w:space="0" w:color="606072"/>
              <w:left w:val="single" w:sz="4" w:space="0" w:color="606372" w:themeColor="text2"/>
              <w:bottom w:val="single" w:sz="4" w:space="0" w:color="606372" w:themeColor="text2"/>
              <w:right w:val="single" w:sz="4" w:space="0" w:color="606072"/>
            </w:tcBorders>
            <w:shd w:val="clear" w:color="000000" w:fill="F2F2F2"/>
            <w:tcMar>
              <w:left w:w="57" w:type="dxa"/>
              <w:right w:w="28" w:type="dxa"/>
            </w:tcMar>
            <w:vAlign w:val="center"/>
          </w:tcPr>
          <w:p w14:paraId="0DEA6B07" w14:textId="77777777" w:rsidR="0086219F" w:rsidRPr="005060E0" w:rsidRDefault="0086219F" w:rsidP="0086219F">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Other airsheds</w:t>
            </w:r>
          </w:p>
        </w:tc>
        <w:tc>
          <w:tcPr>
            <w:tcW w:w="146" w:type="pct"/>
            <w:tcBorders>
              <w:top w:val="dotted" w:sz="4" w:space="0" w:color="606072"/>
              <w:left w:val="nil"/>
              <w:bottom w:val="single" w:sz="4" w:space="0" w:color="606372" w:themeColor="text2"/>
              <w:right w:val="nil"/>
            </w:tcBorders>
            <w:shd w:val="clear" w:color="000000" w:fill="FFFFFF"/>
            <w:vAlign w:val="center"/>
            <w:hideMark/>
          </w:tcPr>
          <w:p w14:paraId="75189E7E" w14:textId="77777777" w:rsidR="0086219F" w:rsidRPr="005060E0" w:rsidRDefault="0086219F" w:rsidP="0086219F">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 </w:t>
            </w:r>
          </w:p>
        </w:tc>
        <w:tc>
          <w:tcPr>
            <w:tcW w:w="996" w:type="pct"/>
            <w:tcBorders>
              <w:top w:val="dotted" w:sz="4" w:space="0" w:color="606072"/>
              <w:left w:val="nil"/>
              <w:bottom w:val="single" w:sz="4" w:space="0" w:color="606372" w:themeColor="text2"/>
              <w:right w:val="nil"/>
            </w:tcBorders>
            <w:shd w:val="clear" w:color="000000" w:fill="FFFFFF"/>
            <w:vAlign w:val="center"/>
          </w:tcPr>
          <w:p w14:paraId="4C853565" w14:textId="569D7E1B" w:rsidR="0086219F" w:rsidRPr="005060E0" w:rsidRDefault="00EF72CA" w:rsidP="0086219F">
            <w:pPr>
              <w:widowControl w:val="0"/>
              <w:spacing w:after="0" w:line="240" w:lineRule="auto"/>
              <w:jc w:val="center"/>
              <w:rPr>
                <w:rFonts w:eastAsia="Times New Roman" w:cs="Arial"/>
                <w:sz w:val="16"/>
                <w:szCs w:val="16"/>
                <w:lang w:eastAsia="en-AU"/>
              </w:rPr>
            </w:pPr>
            <w:r>
              <w:rPr>
                <w:rFonts w:eastAsia="Times New Roman" w:cs="Arial"/>
                <w:color w:val="000000"/>
                <w:sz w:val="16"/>
                <w:szCs w:val="16"/>
                <w:lang w:eastAsia="en-AU"/>
              </w:rPr>
              <w:t>–</w:t>
            </w:r>
            <w:r w:rsidR="001B5371" w:rsidRPr="005060E0">
              <w:rPr>
                <w:rFonts w:eastAsia="Times New Roman" w:cs="Arial"/>
                <w:color w:val="000000"/>
                <w:sz w:val="16"/>
                <w:szCs w:val="16"/>
                <w:vertAlign w:val="superscript"/>
                <w:lang w:eastAsia="en-AU"/>
              </w:rPr>
              <w:t>(b)</w:t>
            </w:r>
          </w:p>
        </w:tc>
        <w:tc>
          <w:tcPr>
            <w:tcW w:w="997" w:type="pct"/>
            <w:tcBorders>
              <w:top w:val="dotted" w:sz="4" w:space="0" w:color="606072"/>
              <w:left w:val="nil"/>
              <w:bottom w:val="single" w:sz="4" w:space="0" w:color="606372" w:themeColor="text2"/>
              <w:right w:val="nil"/>
            </w:tcBorders>
            <w:shd w:val="clear" w:color="000000" w:fill="FFFFFF"/>
            <w:vAlign w:val="center"/>
          </w:tcPr>
          <w:p w14:paraId="2D5E33A4" w14:textId="3D1723EA" w:rsidR="0086219F" w:rsidRPr="005060E0" w:rsidRDefault="00EF72CA" w:rsidP="0086219F">
            <w:pPr>
              <w:widowControl w:val="0"/>
              <w:spacing w:after="0" w:line="240" w:lineRule="auto"/>
              <w:jc w:val="center"/>
              <w:rPr>
                <w:rFonts w:eastAsia="Times New Roman" w:cs="Arial"/>
                <w:sz w:val="16"/>
                <w:szCs w:val="16"/>
                <w:lang w:eastAsia="en-AU"/>
              </w:rPr>
            </w:pPr>
            <w:r>
              <w:rPr>
                <w:rFonts w:eastAsia="Times New Roman" w:cs="Arial"/>
                <w:color w:val="000000"/>
                <w:sz w:val="16"/>
                <w:szCs w:val="16"/>
                <w:lang w:eastAsia="en-AU"/>
              </w:rPr>
              <w:t>–</w:t>
            </w:r>
            <w:r w:rsidR="001B5371" w:rsidRPr="005060E0">
              <w:rPr>
                <w:rFonts w:eastAsia="Times New Roman" w:cs="Arial"/>
                <w:color w:val="000000"/>
                <w:sz w:val="16"/>
                <w:szCs w:val="16"/>
                <w:vertAlign w:val="superscript"/>
                <w:lang w:eastAsia="en-AU"/>
              </w:rPr>
              <w:t>(b)</w:t>
            </w:r>
          </w:p>
        </w:tc>
        <w:tc>
          <w:tcPr>
            <w:tcW w:w="997" w:type="pct"/>
            <w:tcBorders>
              <w:top w:val="dotted" w:sz="4" w:space="0" w:color="606072"/>
              <w:left w:val="nil"/>
              <w:bottom w:val="single" w:sz="4" w:space="0" w:color="606372" w:themeColor="text2"/>
              <w:right w:val="nil"/>
            </w:tcBorders>
            <w:shd w:val="clear" w:color="000000" w:fill="FFFFFF"/>
            <w:vAlign w:val="center"/>
          </w:tcPr>
          <w:p w14:paraId="11EFED27" w14:textId="4221CA31" w:rsidR="0086219F" w:rsidRPr="005060E0" w:rsidRDefault="00EF72CA" w:rsidP="0086219F">
            <w:pPr>
              <w:widowControl w:val="0"/>
              <w:spacing w:after="0" w:line="240" w:lineRule="auto"/>
              <w:jc w:val="center"/>
              <w:rPr>
                <w:rFonts w:eastAsia="Times New Roman" w:cs="Arial"/>
                <w:sz w:val="16"/>
                <w:szCs w:val="16"/>
                <w:lang w:eastAsia="en-AU"/>
              </w:rPr>
            </w:pPr>
            <w:r>
              <w:rPr>
                <w:rFonts w:eastAsia="Times New Roman" w:cs="Arial"/>
                <w:color w:val="000000"/>
                <w:sz w:val="16"/>
                <w:szCs w:val="16"/>
                <w:lang w:eastAsia="en-AU"/>
              </w:rPr>
              <w:t>–</w:t>
            </w:r>
            <w:r w:rsidR="001B5371" w:rsidRPr="005060E0">
              <w:rPr>
                <w:rFonts w:eastAsia="Times New Roman" w:cs="Arial"/>
                <w:color w:val="000000"/>
                <w:sz w:val="16"/>
                <w:szCs w:val="16"/>
                <w:vertAlign w:val="superscript"/>
                <w:lang w:eastAsia="en-AU"/>
              </w:rPr>
              <w:t>(b)</w:t>
            </w:r>
          </w:p>
        </w:tc>
        <w:tc>
          <w:tcPr>
            <w:tcW w:w="997" w:type="pct"/>
            <w:tcBorders>
              <w:top w:val="dotted" w:sz="4" w:space="0" w:color="606072"/>
              <w:left w:val="nil"/>
              <w:bottom w:val="single" w:sz="4" w:space="0" w:color="606372" w:themeColor="text2"/>
              <w:right w:val="single" w:sz="4" w:space="0" w:color="606372" w:themeColor="text2"/>
            </w:tcBorders>
            <w:shd w:val="clear" w:color="000000" w:fill="FFFFFF"/>
            <w:vAlign w:val="center"/>
          </w:tcPr>
          <w:p w14:paraId="3C69AB17" w14:textId="06E07B71" w:rsidR="0086219F" w:rsidRPr="005060E0" w:rsidRDefault="00EF72CA" w:rsidP="0086219F">
            <w:pPr>
              <w:widowControl w:val="0"/>
              <w:spacing w:after="0" w:line="240" w:lineRule="auto"/>
              <w:jc w:val="center"/>
              <w:rPr>
                <w:rFonts w:eastAsia="Times New Roman" w:cs="Arial"/>
                <w:color w:val="808080" w:themeColor="background1" w:themeShade="80"/>
                <w:sz w:val="16"/>
                <w:szCs w:val="16"/>
                <w:lang w:eastAsia="en-AU"/>
              </w:rPr>
            </w:pPr>
            <w:r>
              <w:rPr>
                <w:rFonts w:eastAsia="Times New Roman" w:cs="Arial"/>
                <w:color w:val="000000"/>
                <w:sz w:val="16"/>
                <w:szCs w:val="16"/>
                <w:lang w:eastAsia="en-AU"/>
              </w:rPr>
              <w:t>–</w:t>
            </w:r>
            <w:r w:rsidR="001B5371" w:rsidRPr="005060E0">
              <w:rPr>
                <w:rFonts w:eastAsia="Times New Roman" w:cs="Arial"/>
                <w:color w:val="000000"/>
                <w:sz w:val="16"/>
                <w:szCs w:val="16"/>
                <w:vertAlign w:val="superscript"/>
                <w:lang w:eastAsia="en-AU"/>
              </w:rPr>
              <w:t>(b)</w:t>
            </w:r>
          </w:p>
        </w:tc>
      </w:tr>
    </w:tbl>
    <w:p w14:paraId="701769F2" w14:textId="13FCCC2E" w:rsidR="001B5371" w:rsidRPr="005060E0" w:rsidRDefault="001B5371" w:rsidP="00B81325">
      <w:pPr>
        <w:pStyle w:val="ListParagraph"/>
        <w:numPr>
          <w:ilvl w:val="0"/>
          <w:numId w:val="67"/>
        </w:numPr>
        <w:spacing w:before="60" w:after="0" w:line="240" w:lineRule="auto"/>
        <w:contextualSpacing w:val="0"/>
        <w:rPr>
          <w:rFonts w:cs="Times New Roman"/>
          <w:sz w:val="18"/>
          <w:szCs w:val="18"/>
        </w:rPr>
      </w:pPr>
      <w:r w:rsidRPr="005060E0">
        <w:rPr>
          <w:sz w:val="16"/>
          <w:szCs w:val="16"/>
        </w:rPr>
        <w:t xml:space="preserve">‘All-cause mortality’ refers to acute mortality events that are estimated to shorten life by </w:t>
      </w:r>
      <w:r w:rsidR="006E1664">
        <w:rPr>
          <w:sz w:val="16"/>
          <w:szCs w:val="16"/>
        </w:rPr>
        <w:t>six</w:t>
      </w:r>
      <w:r w:rsidRPr="005060E0">
        <w:rPr>
          <w:sz w:val="16"/>
          <w:szCs w:val="16"/>
        </w:rPr>
        <w:t xml:space="preserve"> months.</w:t>
      </w:r>
    </w:p>
    <w:p w14:paraId="4D484CF1" w14:textId="77777777" w:rsidR="001B5371" w:rsidRPr="005060E0" w:rsidRDefault="001B5371" w:rsidP="00B81325">
      <w:pPr>
        <w:pStyle w:val="ListParagraph"/>
        <w:numPr>
          <w:ilvl w:val="0"/>
          <w:numId w:val="67"/>
        </w:numPr>
        <w:spacing w:before="40" w:after="0" w:line="240" w:lineRule="auto"/>
        <w:ind w:left="402" w:hanging="357"/>
        <w:contextualSpacing w:val="0"/>
        <w:rPr>
          <w:rFonts w:cs="Times New Roman"/>
          <w:sz w:val="18"/>
          <w:szCs w:val="18"/>
        </w:rPr>
      </w:pPr>
      <w:r w:rsidRPr="005060E0">
        <w:rPr>
          <w:sz w:val="16"/>
          <w:szCs w:val="16"/>
        </w:rPr>
        <w:t>For these conditions, either the standard was already met in the airshed, or data were not available.</w:t>
      </w:r>
    </w:p>
    <w:p w14:paraId="67CBB80E" w14:textId="65B29874" w:rsidR="0099075F" w:rsidRPr="005060E0" w:rsidRDefault="0099075F" w:rsidP="006674FE">
      <w:pPr>
        <w:pStyle w:val="PBTablecaption"/>
        <w:spacing w:before="360"/>
        <w:ind w:right="0"/>
      </w:pPr>
      <w:bookmarkStart w:id="234" w:name="_Ref508547214"/>
      <w:r w:rsidRPr="005060E0">
        <w:rPr>
          <w:rFonts w:cs="Arial"/>
        </w:rPr>
        <w:t xml:space="preserve">Table </w:t>
      </w:r>
      <w:r w:rsidRPr="005060E0">
        <w:rPr>
          <w:rFonts w:cs="Arial"/>
        </w:rPr>
        <w:fldChar w:fldCharType="begin"/>
      </w:r>
      <w:r w:rsidRPr="005060E0">
        <w:rPr>
          <w:rFonts w:cs="Arial"/>
        </w:rPr>
        <w:instrText xml:space="preserve"> STYLEREF 1 \s </w:instrText>
      </w:r>
      <w:r w:rsidRPr="005060E0">
        <w:rPr>
          <w:rFonts w:cs="Arial"/>
        </w:rPr>
        <w:fldChar w:fldCharType="separate"/>
      </w:r>
      <w:r w:rsidR="00F2067C">
        <w:rPr>
          <w:rFonts w:cs="Arial"/>
          <w:noProof/>
        </w:rPr>
        <w:t>8</w:t>
      </w:r>
      <w:r w:rsidRPr="005060E0">
        <w:rPr>
          <w:rFonts w:cs="Arial"/>
          <w:noProof/>
        </w:rPr>
        <w:fldChar w:fldCharType="end"/>
      </w:r>
      <w:r w:rsidRPr="005060E0">
        <w:rPr>
          <w:rFonts w:cs="Arial"/>
        </w:rPr>
        <w:noBreakHyphen/>
      </w:r>
      <w:r w:rsidRPr="005060E0">
        <w:rPr>
          <w:rFonts w:cs="Arial"/>
        </w:rPr>
        <w:fldChar w:fldCharType="begin"/>
      </w:r>
      <w:r w:rsidRPr="005060E0">
        <w:rPr>
          <w:rFonts w:cs="Arial"/>
        </w:rPr>
        <w:instrText xml:space="preserve"> SEQ Table \* ARABIC \s 1 </w:instrText>
      </w:r>
      <w:r w:rsidRPr="005060E0">
        <w:rPr>
          <w:rFonts w:cs="Arial"/>
        </w:rPr>
        <w:fldChar w:fldCharType="separate"/>
      </w:r>
      <w:r w:rsidR="00F2067C">
        <w:rPr>
          <w:rFonts w:cs="Arial"/>
          <w:noProof/>
        </w:rPr>
        <w:t>14</w:t>
      </w:r>
      <w:r w:rsidRPr="005060E0">
        <w:rPr>
          <w:rFonts w:cs="Arial"/>
          <w:noProof/>
        </w:rPr>
        <w:fldChar w:fldCharType="end"/>
      </w:r>
      <w:bookmarkEnd w:id="234"/>
      <w:r w:rsidRPr="005060E0">
        <w:t>: Health</w:t>
      </w:r>
      <w:r w:rsidR="003E19FA" w:rsidRPr="005060E0">
        <w:t xml:space="preserve"> outcomes avoided if existing</w:t>
      </w:r>
      <w:r w:rsidRPr="005060E0">
        <w:t xml:space="preserve"> 1-hour O</w:t>
      </w:r>
      <w:r w:rsidRPr="005060E0">
        <w:rPr>
          <w:vertAlign w:val="subscript"/>
        </w:rPr>
        <w:t>3</w:t>
      </w:r>
      <w:r w:rsidRPr="005060E0">
        <w:t xml:space="preserve"> standard of 100 ppb is met in Australian airsheds</w:t>
      </w:r>
    </w:p>
    <w:tbl>
      <w:tblPr>
        <w:tblW w:w="5000" w:type="pct"/>
        <w:tblLook w:val="04A0" w:firstRow="1" w:lastRow="0" w:firstColumn="1" w:lastColumn="0" w:noHBand="0" w:noVBand="1"/>
      </w:tblPr>
      <w:tblGrid>
        <w:gridCol w:w="1670"/>
        <w:gridCol w:w="281"/>
        <w:gridCol w:w="1918"/>
        <w:gridCol w:w="1920"/>
        <w:gridCol w:w="1920"/>
        <w:gridCol w:w="1920"/>
      </w:tblGrid>
      <w:tr w:rsidR="00D44F1A" w:rsidRPr="005060E0" w14:paraId="6462A5AD" w14:textId="77777777" w:rsidTr="00D35C2D">
        <w:trPr>
          <w:trHeight w:hRule="exact" w:val="170"/>
          <w:tblHeader/>
        </w:trPr>
        <w:tc>
          <w:tcPr>
            <w:tcW w:w="867" w:type="pct"/>
            <w:vMerge w:val="restart"/>
            <w:tcBorders>
              <w:top w:val="nil"/>
              <w:left w:val="single" w:sz="4" w:space="0" w:color="606072"/>
              <w:right w:val="single" w:sz="4" w:space="0" w:color="606072"/>
            </w:tcBorders>
            <w:shd w:val="clear" w:color="000000" w:fill="606072"/>
            <w:vAlign w:val="center"/>
            <w:hideMark/>
          </w:tcPr>
          <w:p w14:paraId="0D60ECB9" w14:textId="77777777" w:rsidR="00D44F1A" w:rsidRPr="005060E0" w:rsidRDefault="00D44F1A" w:rsidP="0086219F">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Airshed</w:t>
            </w:r>
          </w:p>
        </w:tc>
        <w:tc>
          <w:tcPr>
            <w:tcW w:w="146" w:type="pct"/>
            <w:tcBorders>
              <w:top w:val="nil"/>
              <w:left w:val="nil"/>
              <w:bottom w:val="single" w:sz="4" w:space="0" w:color="606072"/>
              <w:right w:val="nil"/>
            </w:tcBorders>
            <w:shd w:val="clear" w:color="000000" w:fill="606072"/>
            <w:vAlign w:val="center"/>
            <w:hideMark/>
          </w:tcPr>
          <w:p w14:paraId="5A661D71" w14:textId="77777777" w:rsidR="00D44F1A" w:rsidRPr="005060E0" w:rsidRDefault="00D44F1A" w:rsidP="0086219F">
            <w:pPr>
              <w:widowControl w:val="0"/>
              <w:spacing w:after="0" w:line="240" w:lineRule="auto"/>
              <w:jc w:val="center"/>
              <w:rPr>
                <w:rFonts w:eastAsia="Times New Roman" w:cs="Arial"/>
                <w:color w:val="FFFFFF"/>
                <w:sz w:val="16"/>
                <w:szCs w:val="16"/>
                <w:lang w:eastAsia="en-AU"/>
              </w:rPr>
            </w:pPr>
          </w:p>
        </w:tc>
        <w:tc>
          <w:tcPr>
            <w:tcW w:w="3987" w:type="pct"/>
            <w:gridSpan w:val="4"/>
            <w:vMerge w:val="restart"/>
            <w:tcBorders>
              <w:top w:val="nil"/>
              <w:left w:val="single" w:sz="4" w:space="0" w:color="606072"/>
              <w:right w:val="single" w:sz="4" w:space="0" w:color="606072"/>
            </w:tcBorders>
            <w:shd w:val="clear" w:color="000000" w:fill="606072"/>
            <w:vAlign w:val="center"/>
            <w:hideMark/>
          </w:tcPr>
          <w:p w14:paraId="1A8466A6" w14:textId="35187682" w:rsidR="00D44F1A" w:rsidRPr="005060E0" w:rsidRDefault="00D44F1A" w:rsidP="00D44F1A">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Health outcomes avoided</w:t>
            </w:r>
          </w:p>
        </w:tc>
      </w:tr>
      <w:tr w:rsidR="00D44F1A" w:rsidRPr="005060E0" w14:paraId="0A065CF6" w14:textId="77777777" w:rsidTr="00D35C2D">
        <w:trPr>
          <w:trHeight w:hRule="exact" w:val="227"/>
          <w:tblHeader/>
        </w:trPr>
        <w:tc>
          <w:tcPr>
            <w:tcW w:w="867" w:type="pct"/>
            <w:vMerge/>
            <w:tcBorders>
              <w:left w:val="single" w:sz="4" w:space="0" w:color="606072"/>
              <w:right w:val="single" w:sz="4" w:space="0" w:color="606072"/>
            </w:tcBorders>
            <w:shd w:val="clear" w:color="000000" w:fill="606072"/>
            <w:vAlign w:val="center"/>
            <w:hideMark/>
          </w:tcPr>
          <w:p w14:paraId="377AC09B" w14:textId="77777777" w:rsidR="00D44F1A" w:rsidRPr="005060E0" w:rsidRDefault="00D44F1A" w:rsidP="0086219F">
            <w:pPr>
              <w:widowControl w:val="0"/>
              <w:spacing w:after="0" w:line="240" w:lineRule="auto"/>
              <w:jc w:val="center"/>
              <w:rPr>
                <w:rFonts w:eastAsia="Times New Roman" w:cs="Arial"/>
                <w:color w:val="FFFFFF"/>
                <w:sz w:val="16"/>
                <w:szCs w:val="16"/>
                <w:lang w:eastAsia="en-AU"/>
              </w:rPr>
            </w:pPr>
          </w:p>
        </w:tc>
        <w:tc>
          <w:tcPr>
            <w:tcW w:w="146" w:type="pct"/>
            <w:tcBorders>
              <w:top w:val="nil"/>
              <w:left w:val="nil"/>
              <w:bottom w:val="nil"/>
              <w:right w:val="nil"/>
            </w:tcBorders>
            <w:shd w:val="clear" w:color="000000" w:fill="606072"/>
            <w:vAlign w:val="center"/>
            <w:hideMark/>
          </w:tcPr>
          <w:p w14:paraId="7B3BBD37" w14:textId="77777777" w:rsidR="00D44F1A" w:rsidRPr="005060E0" w:rsidRDefault="00D44F1A" w:rsidP="0086219F">
            <w:pPr>
              <w:widowControl w:val="0"/>
              <w:spacing w:after="0" w:line="240" w:lineRule="auto"/>
              <w:jc w:val="center"/>
              <w:rPr>
                <w:rFonts w:eastAsia="Times New Roman" w:cs="Arial"/>
                <w:color w:val="FFFFFF"/>
                <w:sz w:val="16"/>
                <w:szCs w:val="16"/>
                <w:lang w:eastAsia="en-AU"/>
              </w:rPr>
            </w:pPr>
          </w:p>
        </w:tc>
        <w:tc>
          <w:tcPr>
            <w:tcW w:w="3987" w:type="pct"/>
            <w:gridSpan w:val="4"/>
            <w:vMerge/>
            <w:tcBorders>
              <w:left w:val="single" w:sz="4" w:space="0" w:color="606072"/>
              <w:bottom w:val="nil"/>
              <w:right w:val="single" w:sz="4" w:space="0" w:color="606072"/>
            </w:tcBorders>
            <w:shd w:val="clear" w:color="000000" w:fill="606072"/>
            <w:vAlign w:val="center"/>
            <w:hideMark/>
          </w:tcPr>
          <w:p w14:paraId="2E30324C" w14:textId="77777777" w:rsidR="00D44F1A" w:rsidRPr="005060E0" w:rsidRDefault="00D44F1A" w:rsidP="0086219F">
            <w:pPr>
              <w:widowControl w:val="0"/>
              <w:spacing w:after="0" w:line="240" w:lineRule="auto"/>
              <w:jc w:val="center"/>
              <w:rPr>
                <w:rFonts w:eastAsia="Times New Roman" w:cs="Arial"/>
                <w:color w:val="FFFFFF"/>
                <w:sz w:val="16"/>
                <w:szCs w:val="16"/>
                <w:lang w:eastAsia="en-AU"/>
              </w:rPr>
            </w:pPr>
          </w:p>
        </w:tc>
      </w:tr>
      <w:tr w:rsidR="0099075F" w:rsidRPr="005060E0" w14:paraId="3488300E" w14:textId="77777777" w:rsidTr="00D35C2D">
        <w:trPr>
          <w:trHeight w:val="340"/>
          <w:tblHeader/>
        </w:trPr>
        <w:tc>
          <w:tcPr>
            <w:tcW w:w="867" w:type="pct"/>
            <w:vMerge/>
            <w:tcBorders>
              <w:left w:val="single" w:sz="4" w:space="0" w:color="606072"/>
              <w:bottom w:val="single" w:sz="4" w:space="0" w:color="606372" w:themeColor="text2"/>
              <w:right w:val="single" w:sz="4" w:space="0" w:color="606072"/>
            </w:tcBorders>
            <w:vAlign w:val="center"/>
            <w:hideMark/>
          </w:tcPr>
          <w:p w14:paraId="31290A8E" w14:textId="77777777" w:rsidR="0099075F" w:rsidRPr="005060E0" w:rsidRDefault="0099075F" w:rsidP="0086219F">
            <w:pPr>
              <w:widowControl w:val="0"/>
              <w:spacing w:after="0" w:line="240" w:lineRule="auto"/>
              <w:jc w:val="center"/>
              <w:rPr>
                <w:rFonts w:eastAsia="Times New Roman" w:cs="Arial"/>
                <w:color w:val="FFFFFF"/>
                <w:sz w:val="16"/>
                <w:szCs w:val="16"/>
                <w:lang w:eastAsia="en-AU"/>
              </w:rPr>
            </w:pPr>
          </w:p>
        </w:tc>
        <w:tc>
          <w:tcPr>
            <w:tcW w:w="146" w:type="pct"/>
            <w:tcBorders>
              <w:top w:val="nil"/>
              <w:left w:val="nil"/>
              <w:bottom w:val="single" w:sz="4" w:space="0" w:color="606372" w:themeColor="text2"/>
              <w:right w:val="single" w:sz="4" w:space="0" w:color="606072"/>
            </w:tcBorders>
            <w:shd w:val="clear" w:color="000000" w:fill="606072"/>
            <w:vAlign w:val="center"/>
            <w:hideMark/>
          </w:tcPr>
          <w:p w14:paraId="0E86C47A" w14:textId="77777777" w:rsidR="0099075F" w:rsidRPr="005060E0" w:rsidRDefault="0099075F" w:rsidP="0086219F">
            <w:pPr>
              <w:widowControl w:val="0"/>
              <w:spacing w:after="0" w:line="240" w:lineRule="auto"/>
              <w:jc w:val="center"/>
              <w:rPr>
                <w:rFonts w:eastAsia="Times New Roman" w:cs="Arial"/>
                <w:color w:val="FFFFFF"/>
                <w:sz w:val="16"/>
                <w:szCs w:val="16"/>
                <w:lang w:eastAsia="en-AU"/>
              </w:rPr>
            </w:pPr>
          </w:p>
        </w:tc>
        <w:tc>
          <w:tcPr>
            <w:tcW w:w="996" w:type="pct"/>
            <w:tcBorders>
              <w:top w:val="nil"/>
              <w:left w:val="nil"/>
              <w:bottom w:val="single" w:sz="4" w:space="0" w:color="606372" w:themeColor="text2"/>
              <w:right w:val="single" w:sz="4" w:space="0" w:color="606072"/>
            </w:tcBorders>
            <w:shd w:val="clear" w:color="000000" w:fill="606072"/>
            <w:vAlign w:val="center"/>
            <w:hideMark/>
          </w:tcPr>
          <w:p w14:paraId="632C3C75" w14:textId="77777777" w:rsidR="0099075F" w:rsidRPr="005060E0" w:rsidRDefault="0099075F" w:rsidP="0086219F">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Average</w:t>
            </w:r>
          </w:p>
          <w:p w14:paraId="331840ED" w14:textId="493D3B19" w:rsidR="0099075F" w:rsidRPr="005060E0" w:rsidRDefault="0099075F" w:rsidP="0086219F">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2010</w:t>
            </w:r>
            <w:r w:rsidR="00DF4D3A" w:rsidRPr="005060E0">
              <w:rPr>
                <w:rFonts w:eastAsia="Times New Roman" w:cs="Arial"/>
                <w:color w:val="FFFFFF"/>
                <w:sz w:val="16"/>
                <w:szCs w:val="16"/>
                <w:lang w:eastAsia="en-AU"/>
              </w:rPr>
              <w:t>–20</w:t>
            </w:r>
            <w:r w:rsidRPr="005060E0">
              <w:rPr>
                <w:rFonts w:eastAsia="Times New Roman" w:cs="Arial"/>
                <w:color w:val="FFFFFF"/>
                <w:sz w:val="16"/>
                <w:szCs w:val="16"/>
                <w:lang w:eastAsia="en-AU"/>
              </w:rPr>
              <w:t>14</w:t>
            </w:r>
          </w:p>
        </w:tc>
        <w:tc>
          <w:tcPr>
            <w:tcW w:w="997" w:type="pct"/>
            <w:tcBorders>
              <w:top w:val="single" w:sz="4" w:space="0" w:color="606072"/>
              <w:left w:val="nil"/>
              <w:bottom w:val="single" w:sz="4" w:space="0" w:color="606372" w:themeColor="text2"/>
              <w:right w:val="single" w:sz="4" w:space="0" w:color="606072"/>
            </w:tcBorders>
            <w:shd w:val="clear" w:color="000000" w:fill="606072"/>
            <w:vAlign w:val="center"/>
            <w:hideMark/>
          </w:tcPr>
          <w:p w14:paraId="447F9791" w14:textId="77777777" w:rsidR="0099075F" w:rsidRPr="005060E0" w:rsidRDefault="0099075F" w:rsidP="0086219F">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2021</w:t>
            </w:r>
          </w:p>
        </w:tc>
        <w:tc>
          <w:tcPr>
            <w:tcW w:w="997" w:type="pct"/>
            <w:tcBorders>
              <w:top w:val="single" w:sz="4" w:space="0" w:color="606072"/>
              <w:left w:val="nil"/>
              <w:bottom w:val="single" w:sz="4" w:space="0" w:color="606372" w:themeColor="text2"/>
              <w:right w:val="single" w:sz="4" w:space="0" w:color="606072"/>
            </w:tcBorders>
            <w:shd w:val="clear" w:color="000000" w:fill="606072"/>
            <w:vAlign w:val="center"/>
            <w:hideMark/>
          </w:tcPr>
          <w:p w14:paraId="6DE67CD9" w14:textId="77777777" w:rsidR="0099075F" w:rsidRPr="005060E0" w:rsidRDefault="0099075F" w:rsidP="0086219F">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2031</w:t>
            </w:r>
          </w:p>
        </w:tc>
        <w:tc>
          <w:tcPr>
            <w:tcW w:w="997" w:type="pct"/>
            <w:tcBorders>
              <w:top w:val="single" w:sz="4" w:space="0" w:color="606072"/>
              <w:left w:val="nil"/>
              <w:bottom w:val="single" w:sz="4" w:space="0" w:color="606372" w:themeColor="text2"/>
              <w:right w:val="single" w:sz="4" w:space="0" w:color="606072"/>
            </w:tcBorders>
            <w:shd w:val="clear" w:color="000000" w:fill="606072"/>
            <w:vAlign w:val="center"/>
            <w:hideMark/>
          </w:tcPr>
          <w:p w14:paraId="3E50959B" w14:textId="77777777" w:rsidR="0099075F" w:rsidRPr="005060E0" w:rsidRDefault="0099075F" w:rsidP="0086219F">
            <w:pPr>
              <w:widowControl w:val="0"/>
              <w:spacing w:after="0" w:line="240" w:lineRule="auto"/>
              <w:jc w:val="center"/>
              <w:rPr>
                <w:rFonts w:eastAsia="Times New Roman" w:cs="Arial"/>
                <w:color w:val="FFFFFF"/>
                <w:sz w:val="16"/>
                <w:szCs w:val="16"/>
                <w:lang w:eastAsia="en-AU"/>
              </w:rPr>
            </w:pPr>
            <w:r w:rsidRPr="005060E0">
              <w:rPr>
                <w:rFonts w:eastAsia="Times New Roman" w:cs="Arial"/>
                <w:color w:val="FFFFFF"/>
                <w:sz w:val="16"/>
                <w:szCs w:val="16"/>
                <w:lang w:eastAsia="en-AU"/>
              </w:rPr>
              <w:t>2040</w:t>
            </w:r>
          </w:p>
        </w:tc>
      </w:tr>
      <w:tr w:rsidR="0099075F" w:rsidRPr="005060E0" w14:paraId="3EA93525" w14:textId="77777777" w:rsidTr="0086219F">
        <w:trPr>
          <w:trHeight w:hRule="exact" w:val="340"/>
        </w:trPr>
        <w:tc>
          <w:tcPr>
            <w:tcW w:w="5000" w:type="pct"/>
            <w:gridSpan w:val="6"/>
            <w:tcBorders>
              <w:top w:val="single" w:sz="4" w:space="0" w:color="606372" w:themeColor="text2"/>
              <w:left w:val="single" w:sz="4" w:space="0" w:color="606372" w:themeColor="text2"/>
              <w:bottom w:val="dotted" w:sz="4" w:space="0" w:color="606072"/>
              <w:right w:val="single" w:sz="4" w:space="0" w:color="606372" w:themeColor="text2"/>
            </w:tcBorders>
            <w:shd w:val="clear" w:color="auto" w:fill="DEDFE3" w:themeFill="text2" w:themeFillTint="33"/>
            <w:tcMar>
              <w:left w:w="57" w:type="dxa"/>
              <w:right w:w="28" w:type="dxa"/>
            </w:tcMar>
            <w:vAlign w:val="center"/>
          </w:tcPr>
          <w:p w14:paraId="67A84D45" w14:textId="6CCBA285" w:rsidR="0099075F" w:rsidRPr="005060E0" w:rsidRDefault="0099075F" w:rsidP="0086219F">
            <w:pPr>
              <w:widowControl w:val="0"/>
              <w:spacing w:after="0" w:line="240" w:lineRule="auto"/>
              <w:rPr>
                <w:rFonts w:eastAsia="Times New Roman" w:cs="Arial"/>
                <w:color w:val="808080" w:themeColor="background1" w:themeShade="80"/>
                <w:sz w:val="16"/>
                <w:szCs w:val="16"/>
                <w:lang w:eastAsia="en-AU"/>
              </w:rPr>
            </w:pPr>
            <w:r w:rsidRPr="005060E0">
              <w:rPr>
                <w:rFonts w:eastAsia="Times New Roman" w:cs="Arial"/>
                <w:color w:val="000000"/>
                <w:sz w:val="16"/>
                <w:szCs w:val="16"/>
                <w:lang w:eastAsia="en-GB"/>
              </w:rPr>
              <w:t>Daily mortality, all-cause</w:t>
            </w:r>
            <w:r w:rsidR="00627461" w:rsidRPr="005060E0">
              <w:rPr>
                <w:rFonts w:eastAsia="Times New Roman" w:cs="Arial"/>
                <w:color w:val="000000"/>
                <w:sz w:val="16"/>
                <w:szCs w:val="16"/>
                <w:vertAlign w:val="superscript"/>
                <w:lang w:eastAsia="en-GB"/>
              </w:rPr>
              <w:t>(a)</w:t>
            </w:r>
          </w:p>
        </w:tc>
      </w:tr>
      <w:tr w:rsidR="0099075F" w:rsidRPr="005060E0" w14:paraId="4F8F5F45" w14:textId="77777777" w:rsidTr="0099075F">
        <w:trPr>
          <w:trHeight w:hRule="exact" w:val="283"/>
        </w:trPr>
        <w:tc>
          <w:tcPr>
            <w:tcW w:w="867" w:type="pct"/>
            <w:tcBorders>
              <w:top w:val="single" w:sz="4" w:space="0" w:color="606072"/>
              <w:left w:val="single" w:sz="4" w:space="0" w:color="606372" w:themeColor="text2"/>
              <w:bottom w:val="dotted" w:sz="4" w:space="0" w:color="606072"/>
              <w:right w:val="single" w:sz="4" w:space="0" w:color="606072"/>
            </w:tcBorders>
            <w:shd w:val="clear" w:color="auto" w:fill="F2F2F2" w:themeFill="background1" w:themeFillShade="F2"/>
            <w:tcMar>
              <w:left w:w="57" w:type="dxa"/>
              <w:right w:w="28" w:type="dxa"/>
            </w:tcMar>
            <w:vAlign w:val="center"/>
          </w:tcPr>
          <w:p w14:paraId="7C68A78D" w14:textId="77777777" w:rsidR="0099075F" w:rsidRPr="005060E0" w:rsidRDefault="0099075F" w:rsidP="0099075F">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NSW and Victoria</w:t>
            </w:r>
          </w:p>
        </w:tc>
        <w:tc>
          <w:tcPr>
            <w:tcW w:w="146" w:type="pct"/>
            <w:tcBorders>
              <w:top w:val="single" w:sz="4" w:space="0" w:color="606072"/>
              <w:left w:val="nil"/>
              <w:bottom w:val="dotted" w:sz="4" w:space="0" w:color="606072"/>
              <w:right w:val="nil"/>
            </w:tcBorders>
            <w:shd w:val="clear" w:color="000000" w:fill="FFFFFF"/>
            <w:vAlign w:val="center"/>
          </w:tcPr>
          <w:p w14:paraId="55F0C7A1" w14:textId="77777777" w:rsidR="0099075F" w:rsidRPr="005060E0" w:rsidRDefault="0099075F" w:rsidP="0099075F">
            <w:pPr>
              <w:widowControl w:val="0"/>
              <w:spacing w:after="0" w:line="240" w:lineRule="auto"/>
              <w:rPr>
                <w:rFonts w:eastAsia="Times New Roman" w:cs="Arial"/>
                <w:sz w:val="16"/>
                <w:szCs w:val="16"/>
                <w:lang w:eastAsia="en-AU"/>
              </w:rPr>
            </w:pPr>
          </w:p>
        </w:tc>
        <w:tc>
          <w:tcPr>
            <w:tcW w:w="996" w:type="pct"/>
            <w:tcBorders>
              <w:top w:val="single" w:sz="4" w:space="0" w:color="606072"/>
              <w:left w:val="nil"/>
              <w:bottom w:val="dotted" w:sz="4" w:space="0" w:color="606072"/>
              <w:right w:val="nil"/>
            </w:tcBorders>
            <w:shd w:val="clear" w:color="000000" w:fill="FFFFFF"/>
            <w:vAlign w:val="center"/>
          </w:tcPr>
          <w:p w14:paraId="11274BA0" w14:textId="3247C17B" w:rsidR="0099075F" w:rsidRPr="005060E0" w:rsidRDefault="0099075F" w:rsidP="0099075F">
            <w:pPr>
              <w:widowControl w:val="0"/>
              <w:spacing w:after="0" w:line="240" w:lineRule="auto"/>
              <w:jc w:val="center"/>
              <w:rPr>
                <w:rFonts w:eastAsia="Times New Roman" w:cs="Arial"/>
                <w:sz w:val="16"/>
                <w:szCs w:val="16"/>
                <w:lang w:eastAsia="en-AU"/>
              </w:rPr>
            </w:pPr>
            <w:r w:rsidRPr="005060E0">
              <w:rPr>
                <w:rFonts w:eastAsia="Times New Roman" w:cs="Arial"/>
                <w:sz w:val="16"/>
                <w:szCs w:val="16"/>
                <w:lang w:eastAsia="en-AU"/>
              </w:rPr>
              <w:t>18</w:t>
            </w:r>
          </w:p>
        </w:tc>
        <w:tc>
          <w:tcPr>
            <w:tcW w:w="997" w:type="pct"/>
            <w:tcBorders>
              <w:top w:val="single" w:sz="4" w:space="0" w:color="606072"/>
              <w:left w:val="nil"/>
              <w:bottom w:val="dotted" w:sz="4" w:space="0" w:color="606072"/>
              <w:right w:val="nil"/>
            </w:tcBorders>
            <w:shd w:val="clear" w:color="000000" w:fill="FFFFFF"/>
            <w:vAlign w:val="center"/>
          </w:tcPr>
          <w:p w14:paraId="2B8CEE53" w14:textId="4122F82A" w:rsidR="0099075F" w:rsidRPr="005060E0" w:rsidRDefault="00EF72CA" w:rsidP="0099075F">
            <w:pPr>
              <w:widowControl w:val="0"/>
              <w:spacing w:after="0" w:line="240" w:lineRule="auto"/>
              <w:jc w:val="center"/>
              <w:rPr>
                <w:rFonts w:eastAsia="Times New Roman" w:cs="Arial"/>
                <w:sz w:val="16"/>
                <w:szCs w:val="16"/>
                <w:lang w:eastAsia="en-AU"/>
              </w:rPr>
            </w:pPr>
            <w:r>
              <w:rPr>
                <w:rFonts w:eastAsia="Times New Roman" w:cs="Arial"/>
                <w:color w:val="000000"/>
                <w:sz w:val="16"/>
                <w:szCs w:val="16"/>
                <w:lang w:eastAsia="en-AU"/>
              </w:rPr>
              <w:t>–</w:t>
            </w:r>
            <w:r w:rsidR="001B5371" w:rsidRPr="005060E0">
              <w:rPr>
                <w:rFonts w:eastAsia="Times New Roman" w:cs="Arial"/>
                <w:color w:val="000000"/>
                <w:sz w:val="16"/>
                <w:szCs w:val="16"/>
                <w:vertAlign w:val="superscript"/>
                <w:lang w:eastAsia="en-AU"/>
              </w:rPr>
              <w:t>(b)</w:t>
            </w:r>
          </w:p>
        </w:tc>
        <w:tc>
          <w:tcPr>
            <w:tcW w:w="997" w:type="pct"/>
            <w:tcBorders>
              <w:top w:val="single" w:sz="4" w:space="0" w:color="606072"/>
              <w:left w:val="nil"/>
              <w:bottom w:val="dotted" w:sz="4" w:space="0" w:color="606072"/>
              <w:right w:val="nil"/>
            </w:tcBorders>
            <w:shd w:val="clear" w:color="000000" w:fill="FFFFFF"/>
            <w:vAlign w:val="center"/>
          </w:tcPr>
          <w:p w14:paraId="589FBEA4" w14:textId="445ACD69" w:rsidR="0099075F" w:rsidRPr="005060E0" w:rsidRDefault="00EF72CA" w:rsidP="0099075F">
            <w:pPr>
              <w:widowControl w:val="0"/>
              <w:spacing w:after="0" w:line="240" w:lineRule="auto"/>
              <w:jc w:val="center"/>
              <w:rPr>
                <w:rFonts w:eastAsia="Times New Roman" w:cs="Arial"/>
                <w:sz w:val="16"/>
                <w:szCs w:val="16"/>
                <w:lang w:eastAsia="en-AU"/>
              </w:rPr>
            </w:pPr>
            <w:r>
              <w:rPr>
                <w:rFonts w:eastAsia="Times New Roman" w:cs="Arial"/>
                <w:color w:val="000000"/>
                <w:sz w:val="16"/>
                <w:szCs w:val="16"/>
                <w:lang w:eastAsia="en-AU"/>
              </w:rPr>
              <w:t>–</w:t>
            </w:r>
            <w:r w:rsidR="001B5371" w:rsidRPr="005060E0">
              <w:rPr>
                <w:rFonts w:eastAsia="Times New Roman" w:cs="Arial"/>
                <w:color w:val="000000"/>
                <w:sz w:val="16"/>
                <w:szCs w:val="16"/>
                <w:vertAlign w:val="superscript"/>
                <w:lang w:eastAsia="en-AU"/>
              </w:rPr>
              <w:t>(b)</w:t>
            </w:r>
          </w:p>
        </w:tc>
        <w:tc>
          <w:tcPr>
            <w:tcW w:w="997" w:type="pct"/>
            <w:tcBorders>
              <w:top w:val="single" w:sz="4" w:space="0" w:color="606072"/>
              <w:left w:val="nil"/>
              <w:bottom w:val="dotted" w:sz="4" w:space="0" w:color="606072"/>
              <w:right w:val="single" w:sz="4" w:space="0" w:color="606372" w:themeColor="text2"/>
            </w:tcBorders>
            <w:shd w:val="clear" w:color="000000" w:fill="FFFFFF"/>
            <w:vAlign w:val="center"/>
          </w:tcPr>
          <w:p w14:paraId="03618747" w14:textId="5C2E1602" w:rsidR="0099075F" w:rsidRPr="005060E0" w:rsidRDefault="00EF72CA" w:rsidP="0099075F">
            <w:pPr>
              <w:widowControl w:val="0"/>
              <w:spacing w:after="0" w:line="240" w:lineRule="auto"/>
              <w:jc w:val="center"/>
              <w:rPr>
                <w:rFonts w:eastAsia="Times New Roman" w:cs="Arial"/>
                <w:sz w:val="16"/>
                <w:szCs w:val="16"/>
                <w:lang w:eastAsia="en-AU"/>
              </w:rPr>
            </w:pPr>
            <w:r>
              <w:rPr>
                <w:rFonts w:eastAsia="Times New Roman" w:cs="Arial"/>
                <w:color w:val="000000"/>
                <w:sz w:val="16"/>
                <w:szCs w:val="16"/>
                <w:lang w:eastAsia="en-AU"/>
              </w:rPr>
              <w:t>–</w:t>
            </w:r>
            <w:r w:rsidR="001B5371" w:rsidRPr="005060E0">
              <w:rPr>
                <w:rFonts w:eastAsia="Times New Roman" w:cs="Arial"/>
                <w:color w:val="000000"/>
                <w:sz w:val="16"/>
                <w:szCs w:val="16"/>
                <w:vertAlign w:val="superscript"/>
                <w:lang w:eastAsia="en-AU"/>
              </w:rPr>
              <w:t>(b)</w:t>
            </w:r>
          </w:p>
        </w:tc>
      </w:tr>
      <w:tr w:rsidR="0086219F" w:rsidRPr="005060E0" w14:paraId="15138325" w14:textId="77777777" w:rsidTr="0099075F">
        <w:trPr>
          <w:trHeight w:hRule="exact" w:val="283"/>
        </w:trPr>
        <w:tc>
          <w:tcPr>
            <w:tcW w:w="867" w:type="pct"/>
            <w:tcBorders>
              <w:top w:val="dotted" w:sz="4" w:space="0" w:color="606072"/>
              <w:left w:val="single" w:sz="4" w:space="0" w:color="606372" w:themeColor="text2"/>
              <w:bottom w:val="single" w:sz="4" w:space="0" w:color="606372" w:themeColor="text2"/>
              <w:right w:val="single" w:sz="4" w:space="0" w:color="606072"/>
            </w:tcBorders>
            <w:shd w:val="clear" w:color="auto" w:fill="F2F2F2" w:themeFill="background1" w:themeFillShade="F2"/>
            <w:tcMar>
              <w:left w:w="57" w:type="dxa"/>
              <w:right w:w="28" w:type="dxa"/>
            </w:tcMar>
            <w:vAlign w:val="center"/>
          </w:tcPr>
          <w:p w14:paraId="4A46C7E9" w14:textId="77777777" w:rsidR="0086219F" w:rsidRPr="005060E0" w:rsidRDefault="0086219F" w:rsidP="0086219F">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Other airsheds</w:t>
            </w:r>
          </w:p>
        </w:tc>
        <w:tc>
          <w:tcPr>
            <w:tcW w:w="146" w:type="pct"/>
            <w:tcBorders>
              <w:top w:val="dotted" w:sz="4" w:space="0" w:color="606072"/>
              <w:left w:val="nil"/>
              <w:bottom w:val="single" w:sz="4" w:space="0" w:color="606372" w:themeColor="text2"/>
              <w:right w:val="nil"/>
            </w:tcBorders>
            <w:shd w:val="clear" w:color="000000" w:fill="FFFFFF"/>
            <w:vAlign w:val="center"/>
          </w:tcPr>
          <w:p w14:paraId="18701A6D" w14:textId="77777777" w:rsidR="0086219F" w:rsidRPr="005060E0" w:rsidRDefault="0086219F" w:rsidP="0086219F">
            <w:pPr>
              <w:widowControl w:val="0"/>
              <w:spacing w:after="0" w:line="240" w:lineRule="auto"/>
              <w:rPr>
                <w:rFonts w:eastAsia="Times New Roman" w:cs="Arial"/>
                <w:sz w:val="16"/>
                <w:szCs w:val="16"/>
                <w:lang w:eastAsia="en-AU"/>
              </w:rPr>
            </w:pPr>
          </w:p>
        </w:tc>
        <w:tc>
          <w:tcPr>
            <w:tcW w:w="996" w:type="pct"/>
            <w:tcBorders>
              <w:top w:val="dotted" w:sz="4" w:space="0" w:color="606072"/>
              <w:left w:val="nil"/>
              <w:bottom w:val="single" w:sz="4" w:space="0" w:color="606372" w:themeColor="text2"/>
              <w:right w:val="nil"/>
            </w:tcBorders>
            <w:shd w:val="clear" w:color="000000" w:fill="FFFFFF"/>
            <w:vAlign w:val="center"/>
          </w:tcPr>
          <w:p w14:paraId="1FB286D7" w14:textId="351CC7C7" w:rsidR="0086219F" w:rsidRPr="005060E0" w:rsidRDefault="00EF72CA" w:rsidP="0086219F">
            <w:pPr>
              <w:widowControl w:val="0"/>
              <w:spacing w:after="0" w:line="240" w:lineRule="auto"/>
              <w:jc w:val="center"/>
              <w:rPr>
                <w:rFonts w:eastAsia="Times New Roman" w:cs="Arial"/>
                <w:sz w:val="16"/>
                <w:szCs w:val="16"/>
                <w:lang w:eastAsia="en-AU"/>
              </w:rPr>
            </w:pPr>
            <w:r>
              <w:rPr>
                <w:rFonts w:eastAsia="Times New Roman" w:cs="Arial"/>
                <w:color w:val="000000"/>
                <w:sz w:val="16"/>
                <w:szCs w:val="16"/>
                <w:lang w:eastAsia="en-AU"/>
              </w:rPr>
              <w:t>–</w:t>
            </w:r>
            <w:r w:rsidR="001B5371" w:rsidRPr="005060E0">
              <w:rPr>
                <w:rFonts w:eastAsia="Times New Roman" w:cs="Arial"/>
                <w:color w:val="000000"/>
                <w:sz w:val="16"/>
                <w:szCs w:val="16"/>
                <w:vertAlign w:val="superscript"/>
                <w:lang w:eastAsia="en-AU"/>
              </w:rPr>
              <w:t>(b)</w:t>
            </w:r>
          </w:p>
        </w:tc>
        <w:tc>
          <w:tcPr>
            <w:tcW w:w="997" w:type="pct"/>
            <w:tcBorders>
              <w:top w:val="dotted" w:sz="4" w:space="0" w:color="606072"/>
              <w:left w:val="nil"/>
              <w:bottom w:val="single" w:sz="4" w:space="0" w:color="606372" w:themeColor="text2"/>
              <w:right w:val="nil"/>
            </w:tcBorders>
            <w:shd w:val="clear" w:color="000000" w:fill="FFFFFF"/>
            <w:vAlign w:val="center"/>
          </w:tcPr>
          <w:p w14:paraId="1EEBA546" w14:textId="3830C0F5" w:rsidR="0086219F" w:rsidRPr="005060E0" w:rsidRDefault="00EF72CA" w:rsidP="0086219F">
            <w:pPr>
              <w:widowControl w:val="0"/>
              <w:spacing w:after="0" w:line="240" w:lineRule="auto"/>
              <w:jc w:val="center"/>
              <w:rPr>
                <w:rFonts w:eastAsia="Times New Roman" w:cs="Arial"/>
                <w:sz w:val="16"/>
                <w:szCs w:val="16"/>
                <w:lang w:eastAsia="en-AU"/>
              </w:rPr>
            </w:pPr>
            <w:r>
              <w:rPr>
                <w:rFonts w:eastAsia="Times New Roman" w:cs="Arial"/>
                <w:color w:val="000000"/>
                <w:sz w:val="16"/>
                <w:szCs w:val="16"/>
                <w:lang w:eastAsia="en-AU"/>
              </w:rPr>
              <w:t>–</w:t>
            </w:r>
            <w:r w:rsidR="001B5371" w:rsidRPr="005060E0">
              <w:rPr>
                <w:rFonts w:eastAsia="Times New Roman" w:cs="Arial"/>
                <w:color w:val="000000"/>
                <w:sz w:val="16"/>
                <w:szCs w:val="16"/>
                <w:vertAlign w:val="superscript"/>
                <w:lang w:eastAsia="en-AU"/>
              </w:rPr>
              <w:t>(b)</w:t>
            </w:r>
          </w:p>
        </w:tc>
        <w:tc>
          <w:tcPr>
            <w:tcW w:w="997" w:type="pct"/>
            <w:tcBorders>
              <w:top w:val="dotted" w:sz="4" w:space="0" w:color="606072"/>
              <w:left w:val="nil"/>
              <w:bottom w:val="single" w:sz="4" w:space="0" w:color="606372" w:themeColor="text2"/>
              <w:right w:val="nil"/>
            </w:tcBorders>
            <w:shd w:val="clear" w:color="000000" w:fill="FFFFFF"/>
            <w:vAlign w:val="center"/>
          </w:tcPr>
          <w:p w14:paraId="513026A0" w14:textId="34AEF378" w:rsidR="0086219F" w:rsidRPr="005060E0" w:rsidRDefault="00EF72CA" w:rsidP="0086219F">
            <w:pPr>
              <w:widowControl w:val="0"/>
              <w:spacing w:after="0" w:line="240" w:lineRule="auto"/>
              <w:jc w:val="center"/>
              <w:rPr>
                <w:rFonts w:eastAsia="Times New Roman" w:cs="Arial"/>
                <w:sz w:val="16"/>
                <w:szCs w:val="16"/>
                <w:lang w:eastAsia="en-AU"/>
              </w:rPr>
            </w:pPr>
            <w:r>
              <w:rPr>
                <w:rFonts w:eastAsia="Times New Roman" w:cs="Arial"/>
                <w:color w:val="000000"/>
                <w:sz w:val="16"/>
                <w:szCs w:val="16"/>
                <w:lang w:eastAsia="en-AU"/>
              </w:rPr>
              <w:t>–</w:t>
            </w:r>
            <w:r w:rsidR="001B5371" w:rsidRPr="005060E0">
              <w:rPr>
                <w:rFonts w:eastAsia="Times New Roman" w:cs="Arial"/>
                <w:color w:val="000000"/>
                <w:sz w:val="16"/>
                <w:szCs w:val="16"/>
                <w:vertAlign w:val="superscript"/>
                <w:lang w:eastAsia="en-AU"/>
              </w:rPr>
              <w:t>(b)</w:t>
            </w:r>
          </w:p>
        </w:tc>
        <w:tc>
          <w:tcPr>
            <w:tcW w:w="997" w:type="pct"/>
            <w:tcBorders>
              <w:top w:val="dotted" w:sz="4" w:space="0" w:color="606072"/>
              <w:left w:val="nil"/>
              <w:bottom w:val="single" w:sz="4" w:space="0" w:color="606372" w:themeColor="text2"/>
              <w:right w:val="single" w:sz="4" w:space="0" w:color="606372" w:themeColor="text2"/>
            </w:tcBorders>
            <w:shd w:val="clear" w:color="000000" w:fill="FFFFFF"/>
            <w:vAlign w:val="center"/>
          </w:tcPr>
          <w:p w14:paraId="3F46AACE" w14:textId="599943B0" w:rsidR="0086219F" w:rsidRPr="005060E0" w:rsidRDefault="00EF72CA" w:rsidP="0086219F">
            <w:pPr>
              <w:widowControl w:val="0"/>
              <w:spacing w:after="0" w:line="240" w:lineRule="auto"/>
              <w:jc w:val="center"/>
              <w:rPr>
                <w:rFonts w:eastAsia="Times New Roman" w:cs="Arial"/>
                <w:sz w:val="16"/>
                <w:szCs w:val="16"/>
                <w:lang w:eastAsia="en-AU"/>
              </w:rPr>
            </w:pPr>
            <w:r>
              <w:rPr>
                <w:rFonts w:eastAsia="Times New Roman" w:cs="Arial"/>
                <w:color w:val="000000"/>
                <w:sz w:val="16"/>
                <w:szCs w:val="16"/>
                <w:lang w:eastAsia="en-AU"/>
              </w:rPr>
              <w:t>–</w:t>
            </w:r>
            <w:r w:rsidR="001B5371" w:rsidRPr="005060E0">
              <w:rPr>
                <w:rFonts w:eastAsia="Times New Roman" w:cs="Arial"/>
                <w:color w:val="000000"/>
                <w:sz w:val="16"/>
                <w:szCs w:val="16"/>
                <w:vertAlign w:val="superscript"/>
                <w:lang w:eastAsia="en-AU"/>
              </w:rPr>
              <w:t>(b)</w:t>
            </w:r>
          </w:p>
        </w:tc>
      </w:tr>
      <w:tr w:rsidR="0086219F" w:rsidRPr="005060E0" w14:paraId="58D95559" w14:textId="77777777" w:rsidTr="0086219F">
        <w:trPr>
          <w:trHeight w:val="340"/>
        </w:trPr>
        <w:tc>
          <w:tcPr>
            <w:tcW w:w="5000" w:type="pct"/>
            <w:gridSpan w:val="6"/>
            <w:tcBorders>
              <w:top w:val="single" w:sz="4" w:space="0" w:color="606372" w:themeColor="text2"/>
              <w:left w:val="single" w:sz="4" w:space="0" w:color="606372" w:themeColor="text2"/>
              <w:bottom w:val="single" w:sz="4" w:space="0" w:color="606372" w:themeColor="text2"/>
              <w:right w:val="single" w:sz="4" w:space="0" w:color="606372" w:themeColor="text2"/>
            </w:tcBorders>
            <w:shd w:val="clear" w:color="auto" w:fill="DEDFE3" w:themeFill="text2" w:themeFillTint="33"/>
            <w:noWrap/>
            <w:tcMar>
              <w:left w:w="57" w:type="dxa"/>
              <w:right w:w="28" w:type="dxa"/>
            </w:tcMar>
            <w:vAlign w:val="center"/>
            <w:hideMark/>
          </w:tcPr>
          <w:p w14:paraId="289AE1E8" w14:textId="77777777" w:rsidR="0086219F" w:rsidRPr="005060E0" w:rsidRDefault="0086219F" w:rsidP="0086219F">
            <w:pPr>
              <w:widowControl w:val="0"/>
              <w:spacing w:after="0" w:line="240" w:lineRule="auto"/>
              <w:rPr>
                <w:rFonts w:eastAsia="Times New Roman" w:cs="Arial"/>
                <w:sz w:val="16"/>
                <w:szCs w:val="16"/>
                <w:lang w:eastAsia="en-AU"/>
              </w:rPr>
            </w:pPr>
            <w:r w:rsidRPr="005060E0">
              <w:rPr>
                <w:rFonts w:eastAsia="Times New Roman" w:cs="Arial"/>
                <w:sz w:val="16"/>
                <w:szCs w:val="16"/>
                <w:lang w:eastAsia="en-GB"/>
              </w:rPr>
              <w:t>Emergency department visits, asthma (&lt;15 years)</w:t>
            </w:r>
          </w:p>
        </w:tc>
      </w:tr>
      <w:tr w:rsidR="001B5371" w:rsidRPr="005060E0" w14:paraId="1B41CED6" w14:textId="77777777" w:rsidTr="0099075F">
        <w:trPr>
          <w:trHeight w:hRule="exact" w:val="283"/>
        </w:trPr>
        <w:tc>
          <w:tcPr>
            <w:tcW w:w="867" w:type="pct"/>
            <w:tcBorders>
              <w:top w:val="single" w:sz="4" w:space="0" w:color="606372" w:themeColor="text2"/>
              <w:left w:val="single" w:sz="4" w:space="0" w:color="606372" w:themeColor="text2"/>
              <w:bottom w:val="dotted" w:sz="4" w:space="0" w:color="606072"/>
              <w:right w:val="single" w:sz="4" w:space="0" w:color="606072"/>
            </w:tcBorders>
            <w:shd w:val="clear" w:color="000000" w:fill="F2F2F2"/>
            <w:tcMar>
              <w:left w:w="57" w:type="dxa"/>
              <w:right w:w="28" w:type="dxa"/>
            </w:tcMar>
            <w:vAlign w:val="center"/>
          </w:tcPr>
          <w:p w14:paraId="24AC2FE5" w14:textId="77777777" w:rsidR="001B5371" w:rsidRPr="005060E0" w:rsidRDefault="001B5371" w:rsidP="001B5371">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NSW and Victoria</w:t>
            </w:r>
          </w:p>
        </w:tc>
        <w:tc>
          <w:tcPr>
            <w:tcW w:w="146" w:type="pct"/>
            <w:tcBorders>
              <w:top w:val="single" w:sz="4" w:space="0" w:color="606372" w:themeColor="text2"/>
              <w:left w:val="nil"/>
              <w:bottom w:val="dotted" w:sz="4" w:space="0" w:color="606072"/>
              <w:right w:val="nil"/>
            </w:tcBorders>
            <w:shd w:val="clear" w:color="000000" w:fill="FFFFFF"/>
            <w:vAlign w:val="center"/>
            <w:hideMark/>
          </w:tcPr>
          <w:p w14:paraId="7CB621A1" w14:textId="77777777" w:rsidR="001B5371" w:rsidRPr="005060E0" w:rsidRDefault="001B5371" w:rsidP="001B5371">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 </w:t>
            </w:r>
          </w:p>
        </w:tc>
        <w:tc>
          <w:tcPr>
            <w:tcW w:w="996" w:type="pct"/>
            <w:tcBorders>
              <w:top w:val="single" w:sz="4" w:space="0" w:color="606372" w:themeColor="text2"/>
              <w:left w:val="nil"/>
              <w:bottom w:val="dotted" w:sz="4" w:space="0" w:color="606072"/>
              <w:right w:val="nil"/>
            </w:tcBorders>
            <w:shd w:val="clear" w:color="000000" w:fill="FFFFFF"/>
            <w:vAlign w:val="center"/>
          </w:tcPr>
          <w:p w14:paraId="72351B97" w14:textId="09D2A03E" w:rsidR="001B5371" w:rsidRPr="005060E0" w:rsidRDefault="001B5371" w:rsidP="001B5371">
            <w:pPr>
              <w:widowControl w:val="0"/>
              <w:spacing w:after="0" w:line="240" w:lineRule="auto"/>
              <w:jc w:val="center"/>
              <w:rPr>
                <w:rFonts w:eastAsia="Times New Roman" w:cs="Arial"/>
                <w:sz w:val="16"/>
                <w:szCs w:val="16"/>
                <w:lang w:eastAsia="en-AU"/>
              </w:rPr>
            </w:pPr>
            <w:r w:rsidRPr="005060E0">
              <w:rPr>
                <w:rFonts w:eastAsia="Times New Roman" w:cs="Arial"/>
                <w:sz w:val="16"/>
                <w:szCs w:val="16"/>
                <w:lang w:eastAsia="en-AU"/>
              </w:rPr>
              <w:t>17</w:t>
            </w:r>
          </w:p>
        </w:tc>
        <w:tc>
          <w:tcPr>
            <w:tcW w:w="997" w:type="pct"/>
            <w:tcBorders>
              <w:top w:val="single" w:sz="4" w:space="0" w:color="606372" w:themeColor="text2"/>
              <w:left w:val="nil"/>
              <w:bottom w:val="dotted" w:sz="4" w:space="0" w:color="606072"/>
              <w:right w:val="nil"/>
            </w:tcBorders>
            <w:shd w:val="clear" w:color="000000" w:fill="FFFFFF"/>
            <w:vAlign w:val="center"/>
          </w:tcPr>
          <w:p w14:paraId="7A7064AA" w14:textId="4B5609CE" w:rsidR="001B5371" w:rsidRPr="005060E0" w:rsidRDefault="00EF72CA" w:rsidP="001B5371">
            <w:pPr>
              <w:widowControl w:val="0"/>
              <w:spacing w:after="0" w:line="240" w:lineRule="auto"/>
              <w:jc w:val="center"/>
              <w:rPr>
                <w:rFonts w:eastAsia="Times New Roman" w:cs="Arial"/>
                <w:sz w:val="16"/>
                <w:szCs w:val="16"/>
                <w:lang w:eastAsia="en-AU"/>
              </w:rPr>
            </w:pPr>
            <w:r>
              <w:rPr>
                <w:rFonts w:eastAsia="Times New Roman" w:cs="Arial"/>
                <w:color w:val="000000"/>
                <w:sz w:val="16"/>
                <w:szCs w:val="16"/>
                <w:lang w:eastAsia="en-AU"/>
              </w:rPr>
              <w:t>–</w:t>
            </w:r>
            <w:r w:rsidR="001B5371" w:rsidRPr="005060E0">
              <w:rPr>
                <w:rFonts w:eastAsia="Times New Roman" w:cs="Arial"/>
                <w:color w:val="000000"/>
                <w:sz w:val="16"/>
                <w:szCs w:val="16"/>
                <w:vertAlign w:val="superscript"/>
                <w:lang w:eastAsia="en-AU"/>
              </w:rPr>
              <w:t>(b)</w:t>
            </w:r>
          </w:p>
        </w:tc>
        <w:tc>
          <w:tcPr>
            <w:tcW w:w="997" w:type="pct"/>
            <w:tcBorders>
              <w:top w:val="single" w:sz="4" w:space="0" w:color="606372" w:themeColor="text2"/>
              <w:left w:val="nil"/>
              <w:bottom w:val="dotted" w:sz="4" w:space="0" w:color="606072"/>
              <w:right w:val="nil"/>
            </w:tcBorders>
            <w:shd w:val="clear" w:color="000000" w:fill="FFFFFF"/>
            <w:vAlign w:val="center"/>
          </w:tcPr>
          <w:p w14:paraId="44D2D4DB" w14:textId="595CA996" w:rsidR="001B5371" w:rsidRPr="005060E0" w:rsidRDefault="00EF72CA" w:rsidP="001B5371">
            <w:pPr>
              <w:widowControl w:val="0"/>
              <w:spacing w:after="0" w:line="240" w:lineRule="auto"/>
              <w:jc w:val="center"/>
              <w:rPr>
                <w:rFonts w:eastAsia="Times New Roman" w:cs="Arial"/>
                <w:sz w:val="16"/>
                <w:szCs w:val="16"/>
                <w:lang w:eastAsia="en-AU"/>
              </w:rPr>
            </w:pPr>
            <w:r>
              <w:rPr>
                <w:rFonts w:eastAsia="Times New Roman" w:cs="Arial"/>
                <w:color w:val="000000"/>
                <w:sz w:val="16"/>
                <w:szCs w:val="16"/>
                <w:lang w:eastAsia="en-AU"/>
              </w:rPr>
              <w:t>–</w:t>
            </w:r>
            <w:r w:rsidR="001B5371" w:rsidRPr="005060E0">
              <w:rPr>
                <w:rFonts w:eastAsia="Times New Roman" w:cs="Arial"/>
                <w:color w:val="000000"/>
                <w:sz w:val="16"/>
                <w:szCs w:val="16"/>
                <w:vertAlign w:val="superscript"/>
                <w:lang w:eastAsia="en-AU"/>
              </w:rPr>
              <w:t>(b)</w:t>
            </w:r>
          </w:p>
        </w:tc>
        <w:tc>
          <w:tcPr>
            <w:tcW w:w="997" w:type="pct"/>
            <w:tcBorders>
              <w:top w:val="single" w:sz="4" w:space="0" w:color="606372" w:themeColor="text2"/>
              <w:left w:val="nil"/>
              <w:bottom w:val="dotted" w:sz="4" w:space="0" w:color="606072"/>
              <w:right w:val="single" w:sz="4" w:space="0" w:color="606372" w:themeColor="text2"/>
            </w:tcBorders>
            <w:shd w:val="clear" w:color="000000" w:fill="FFFFFF"/>
            <w:vAlign w:val="center"/>
          </w:tcPr>
          <w:p w14:paraId="673C9C37" w14:textId="62FD54BC" w:rsidR="001B5371" w:rsidRPr="005060E0" w:rsidRDefault="00EF72CA" w:rsidP="001B5371">
            <w:pPr>
              <w:widowControl w:val="0"/>
              <w:spacing w:after="0" w:line="240" w:lineRule="auto"/>
              <w:jc w:val="center"/>
              <w:rPr>
                <w:rFonts w:eastAsia="Times New Roman" w:cs="Arial"/>
                <w:sz w:val="16"/>
                <w:szCs w:val="16"/>
                <w:lang w:eastAsia="en-AU"/>
              </w:rPr>
            </w:pPr>
            <w:r>
              <w:rPr>
                <w:rFonts w:eastAsia="Times New Roman" w:cs="Arial"/>
                <w:color w:val="000000"/>
                <w:sz w:val="16"/>
                <w:szCs w:val="16"/>
                <w:lang w:eastAsia="en-AU"/>
              </w:rPr>
              <w:t>–</w:t>
            </w:r>
            <w:r w:rsidR="001B5371" w:rsidRPr="005060E0">
              <w:rPr>
                <w:rFonts w:eastAsia="Times New Roman" w:cs="Arial"/>
                <w:color w:val="000000"/>
                <w:sz w:val="16"/>
                <w:szCs w:val="16"/>
                <w:vertAlign w:val="superscript"/>
                <w:lang w:eastAsia="en-AU"/>
              </w:rPr>
              <w:t>(b)</w:t>
            </w:r>
          </w:p>
        </w:tc>
      </w:tr>
      <w:tr w:rsidR="001B5371" w:rsidRPr="005060E0" w14:paraId="06C35755" w14:textId="77777777" w:rsidTr="0099075F">
        <w:trPr>
          <w:trHeight w:hRule="exact" w:val="283"/>
        </w:trPr>
        <w:tc>
          <w:tcPr>
            <w:tcW w:w="867" w:type="pct"/>
            <w:tcBorders>
              <w:top w:val="dotted" w:sz="4" w:space="0" w:color="606072"/>
              <w:left w:val="single" w:sz="4" w:space="0" w:color="606372" w:themeColor="text2"/>
              <w:bottom w:val="single" w:sz="4" w:space="0" w:color="606372" w:themeColor="text2"/>
              <w:right w:val="single" w:sz="4" w:space="0" w:color="606072"/>
            </w:tcBorders>
            <w:shd w:val="clear" w:color="000000" w:fill="F2F2F2"/>
            <w:tcMar>
              <w:left w:w="57" w:type="dxa"/>
              <w:right w:w="28" w:type="dxa"/>
            </w:tcMar>
            <w:vAlign w:val="center"/>
          </w:tcPr>
          <w:p w14:paraId="46A8ADF3" w14:textId="77777777" w:rsidR="001B5371" w:rsidRPr="005060E0" w:rsidRDefault="001B5371" w:rsidP="001B5371">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Other airsheds</w:t>
            </w:r>
          </w:p>
        </w:tc>
        <w:tc>
          <w:tcPr>
            <w:tcW w:w="146" w:type="pct"/>
            <w:tcBorders>
              <w:top w:val="dotted" w:sz="4" w:space="0" w:color="606072"/>
              <w:left w:val="nil"/>
              <w:bottom w:val="single" w:sz="4" w:space="0" w:color="606372" w:themeColor="text2"/>
              <w:right w:val="nil"/>
            </w:tcBorders>
            <w:shd w:val="clear" w:color="000000" w:fill="FFFFFF"/>
            <w:vAlign w:val="center"/>
            <w:hideMark/>
          </w:tcPr>
          <w:p w14:paraId="502624AF" w14:textId="77777777" w:rsidR="001B5371" w:rsidRPr="005060E0" w:rsidRDefault="001B5371" w:rsidP="001B5371">
            <w:pPr>
              <w:widowControl w:val="0"/>
              <w:spacing w:after="0" w:line="240" w:lineRule="auto"/>
              <w:rPr>
                <w:rFonts w:eastAsia="Times New Roman" w:cs="Arial"/>
                <w:sz w:val="16"/>
                <w:szCs w:val="16"/>
                <w:lang w:eastAsia="en-AU"/>
              </w:rPr>
            </w:pPr>
            <w:r w:rsidRPr="005060E0">
              <w:rPr>
                <w:rFonts w:eastAsia="Times New Roman" w:cs="Arial"/>
                <w:sz w:val="16"/>
                <w:szCs w:val="16"/>
                <w:lang w:eastAsia="en-AU"/>
              </w:rPr>
              <w:t> </w:t>
            </w:r>
          </w:p>
        </w:tc>
        <w:tc>
          <w:tcPr>
            <w:tcW w:w="996" w:type="pct"/>
            <w:tcBorders>
              <w:top w:val="dotted" w:sz="4" w:space="0" w:color="606072"/>
              <w:left w:val="nil"/>
              <w:bottom w:val="single" w:sz="4" w:space="0" w:color="606372" w:themeColor="text2"/>
              <w:right w:val="nil"/>
            </w:tcBorders>
            <w:shd w:val="clear" w:color="000000" w:fill="FFFFFF"/>
            <w:vAlign w:val="center"/>
          </w:tcPr>
          <w:p w14:paraId="625A2C82" w14:textId="550B54CE" w:rsidR="001B5371" w:rsidRPr="005060E0" w:rsidRDefault="001B5371" w:rsidP="001B5371">
            <w:pPr>
              <w:widowControl w:val="0"/>
              <w:spacing w:after="0" w:line="240" w:lineRule="auto"/>
              <w:jc w:val="center"/>
              <w:rPr>
                <w:rFonts w:eastAsia="Times New Roman" w:cs="Arial"/>
                <w:sz w:val="16"/>
                <w:szCs w:val="16"/>
                <w:lang w:eastAsia="en-AU"/>
              </w:rPr>
            </w:pPr>
            <w:r w:rsidRPr="005060E0">
              <w:rPr>
                <w:rFonts w:eastAsia="Times New Roman" w:cs="Arial"/>
                <w:color w:val="000000"/>
                <w:sz w:val="16"/>
                <w:szCs w:val="16"/>
                <w:lang w:eastAsia="en-AU"/>
              </w:rPr>
              <w:t>7</w:t>
            </w:r>
          </w:p>
        </w:tc>
        <w:tc>
          <w:tcPr>
            <w:tcW w:w="997" w:type="pct"/>
            <w:tcBorders>
              <w:top w:val="dotted" w:sz="4" w:space="0" w:color="606072"/>
              <w:left w:val="nil"/>
              <w:bottom w:val="single" w:sz="4" w:space="0" w:color="606372" w:themeColor="text2"/>
              <w:right w:val="nil"/>
            </w:tcBorders>
            <w:shd w:val="clear" w:color="000000" w:fill="FFFFFF"/>
            <w:vAlign w:val="center"/>
          </w:tcPr>
          <w:p w14:paraId="386A5663" w14:textId="7C5DABA9" w:rsidR="001B5371" w:rsidRPr="005060E0" w:rsidRDefault="00EF72CA" w:rsidP="001B5371">
            <w:pPr>
              <w:widowControl w:val="0"/>
              <w:spacing w:after="0" w:line="240" w:lineRule="auto"/>
              <w:jc w:val="center"/>
              <w:rPr>
                <w:rFonts w:eastAsia="Times New Roman" w:cs="Arial"/>
                <w:sz w:val="16"/>
                <w:szCs w:val="16"/>
                <w:lang w:eastAsia="en-AU"/>
              </w:rPr>
            </w:pPr>
            <w:r>
              <w:rPr>
                <w:rFonts w:eastAsia="Times New Roman" w:cs="Arial"/>
                <w:color w:val="000000"/>
                <w:sz w:val="16"/>
                <w:szCs w:val="16"/>
                <w:lang w:eastAsia="en-AU"/>
              </w:rPr>
              <w:t>–</w:t>
            </w:r>
            <w:r w:rsidR="001B5371" w:rsidRPr="005060E0">
              <w:rPr>
                <w:rFonts w:eastAsia="Times New Roman" w:cs="Arial"/>
                <w:color w:val="000000"/>
                <w:sz w:val="16"/>
                <w:szCs w:val="16"/>
                <w:vertAlign w:val="superscript"/>
                <w:lang w:eastAsia="en-AU"/>
              </w:rPr>
              <w:t>(b)</w:t>
            </w:r>
          </w:p>
        </w:tc>
        <w:tc>
          <w:tcPr>
            <w:tcW w:w="997" w:type="pct"/>
            <w:tcBorders>
              <w:top w:val="dotted" w:sz="4" w:space="0" w:color="606072"/>
              <w:left w:val="nil"/>
              <w:bottom w:val="single" w:sz="4" w:space="0" w:color="606372" w:themeColor="text2"/>
              <w:right w:val="nil"/>
            </w:tcBorders>
            <w:shd w:val="clear" w:color="000000" w:fill="FFFFFF"/>
            <w:vAlign w:val="center"/>
          </w:tcPr>
          <w:p w14:paraId="6280E1AA" w14:textId="06BC90E8" w:rsidR="001B5371" w:rsidRPr="005060E0" w:rsidRDefault="00EF72CA" w:rsidP="001B5371">
            <w:pPr>
              <w:widowControl w:val="0"/>
              <w:spacing w:after="0" w:line="240" w:lineRule="auto"/>
              <w:jc w:val="center"/>
              <w:rPr>
                <w:rFonts w:eastAsia="Times New Roman" w:cs="Arial"/>
                <w:sz w:val="16"/>
                <w:szCs w:val="16"/>
                <w:lang w:eastAsia="en-AU"/>
              </w:rPr>
            </w:pPr>
            <w:r>
              <w:rPr>
                <w:rFonts w:eastAsia="Times New Roman" w:cs="Arial"/>
                <w:color w:val="000000"/>
                <w:sz w:val="16"/>
                <w:szCs w:val="16"/>
                <w:lang w:eastAsia="en-AU"/>
              </w:rPr>
              <w:t>–</w:t>
            </w:r>
            <w:r w:rsidR="001B5371" w:rsidRPr="005060E0">
              <w:rPr>
                <w:rFonts w:eastAsia="Times New Roman" w:cs="Arial"/>
                <w:color w:val="000000"/>
                <w:sz w:val="16"/>
                <w:szCs w:val="16"/>
                <w:vertAlign w:val="superscript"/>
                <w:lang w:eastAsia="en-AU"/>
              </w:rPr>
              <w:t>(b)</w:t>
            </w:r>
          </w:p>
        </w:tc>
        <w:tc>
          <w:tcPr>
            <w:tcW w:w="997" w:type="pct"/>
            <w:tcBorders>
              <w:top w:val="dotted" w:sz="4" w:space="0" w:color="606072"/>
              <w:left w:val="nil"/>
              <w:bottom w:val="single" w:sz="4" w:space="0" w:color="606372" w:themeColor="text2"/>
              <w:right w:val="single" w:sz="4" w:space="0" w:color="606372" w:themeColor="text2"/>
            </w:tcBorders>
            <w:shd w:val="clear" w:color="000000" w:fill="FFFFFF"/>
            <w:vAlign w:val="center"/>
          </w:tcPr>
          <w:p w14:paraId="055E1E76" w14:textId="77AB8C6E" w:rsidR="001B5371" w:rsidRPr="005060E0" w:rsidRDefault="00EF72CA" w:rsidP="001B5371">
            <w:pPr>
              <w:widowControl w:val="0"/>
              <w:spacing w:after="0" w:line="240" w:lineRule="auto"/>
              <w:jc w:val="center"/>
              <w:rPr>
                <w:rFonts w:eastAsia="Times New Roman" w:cs="Arial"/>
                <w:color w:val="808080" w:themeColor="background1" w:themeShade="80"/>
                <w:sz w:val="16"/>
                <w:szCs w:val="16"/>
                <w:lang w:eastAsia="en-AU"/>
              </w:rPr>
            </w:pPr>
            <w:r>
              <w:rPr>
                <w:rFonts w:eastAsia="Times New Roman" w:cs="Arial"/>
                <w:color w:val="000000"/>
                <w:sz w:val="16"/>
                <w:szCs w:val="16"/>
                <w:lang w:eastAsia="en-AU"/>
              </w:rPr>
              <w:t>–</w:t>
            </w:r>
            <w:r w:rsidR="001B5371" w:rsidRPr="005060E0">
              <w:rPr>
                <w:rFonts w:eastAsia="Times New Roman" w:cs="Arial"/>
                <w:color w:val="000000"/>
                <w:sz w:val="16"/>
                <w:szCs w:val="16"/>
                <w:vertAlign w:val="superscript"/>
                <w:lang w:eastAsia="en-AU"/>
              </w:rPr>
              <w:t>(b)</w:t>
            </w:r>
          </w:p>
        </w:tc>
      </w:tr>
    </w:tbl>
    <w:p w14:paraId="44CB1E84" w14:textId="6431B097" w:rsidR="001B5371" w:rsidRPr="005060E0" w:rsidRDefault="001B5371" w:rsidP="00B81325">
      <w:pPr>
        <w:pStyle w:val="ListParagraph"/>
        <w:numPr>
          <w:ilvl w:val="0"/>
          <w:numId w:val="68"/>
        </w:numPr>
        <w:spacing w:before="60" w:after="0" w:line="240" w:lineRule="auto"/>
        <w:contextualSpacing w:val="0"/>
        <w:rPr>
          <w:rFonts w:cs="Times New Roman"/>
          <w:sz w:val="18"/>
          <w:szCs w:val="18"/>
        </w:rPr>
      </w:pPr>
      <w:r w:rsidRPr="005060E0">
        <w:rPr>
          <w:sz w:val="16"/>
          <w:szCs w:val="16"/>
        </w:rPr>
        <w:t xml:space="preserve">‘All-cause mortality’ refers to acute mortality events that are estimated to shorten life by </w:t>
      </w:r>
      <w:r w:rsidR="006E1664">
        <w:rPr>
          <w:sz w:val="16"/>
          <w:szCs w:val="16"/>
        </w:rPr>
        <w:t>six</w:t>
      </w:r>
      <w:r w:rsidRPr="005060E0">
        <w:rPr>
          <w:sz w:val="16"/>
          <w:szCs w:val="16"/>
        </w:rPr>
        <w:t xml:space="preserve"> months.</w:t>
      </w:r>
    </w:p>
    <w:p w14:paraId="3F5E95E1" w14:textId="77777777" w:rsidR="001B5371" w:rsidRPr="005060E0" w:rsidRDefault="001B5371" w:rsidP="00B81325">
      <w:pPr>
        <w:pStyle w:val="ListParagraph"/>
        <w:numPr>
          <w:ilvl w:val="0"/>
          <w:numId w:val="68"/>
        </w:numPr>
        <w:spacing w:before="40" w:after="0" w:line="240" w:lineRule="auto"/>
        <w:ind w:left="402" w:hanging="357"/>
        <w:contextualSpacing w:val="0"/>
        <w:rPr>
          <w:rFonts w:cs="Times New Roman"/>
          <w:sz w:val="18"/>
          <w:szCs w:val="18"/>
        </w:rPr>
      </w:pPr>
      <w:r w:rsidRPr="005060E0">
        <w:rPr>
          <w:sz w:val="16"/>
          <w:szCs w:val="16"/>
        </w:rPr>
        <w:t>For these conditions, either the standard was already met in the airshed, or data were not available.</w:t>
      </w:r>
    </w:p>
    <w:p w14:paraId="52EFF6CF" w14:textId="61506D51" w:rsidR="00032E2F" w:rsidRPr="005060E0" w:rsidRDefault="00032E2F" w:rsidP="006B061B">
      <w:pPr>
        <w:pStyle w:val="Heading2"/>
        <w:spacing w:before="320" w:after="200"/>
      </w:pPr>
      <w:bookmarkStart w:id="235" w:name="_Toc3278985"/>
      <w:r w:rsidRPr="005060E0">
        <w:t>Cost</w:t>
      </w:r>
      <w:r w:rsidR="00875B93" w:rsidRPr="005060E0">
        <w:t>–</w:t>
      </w:r>
      <w:r w:rsidRPr="005060E0">
        <w:t>benefit analysi</w:t>
      </w:r>
      <w:r w:rsidR="00F55AD6" w:rsidRPr="005060E0">
        <w:t>s</w:t>
      </w:r>
      <w:bookmarkEnd w:id="235"/>
    </w:p>
    <w:p w14:paraId="259C6FD7" w14:textId="1420F763" w:rsidR="00A2582D" w:rsidRPr="005060E0" w:rsidRDefault="00A2582D" w:rsidP="006B061B">
      <w:pPr>
        <w:spacing w:after="160" w:line="276" w:lineRule="atLeast"/>
        <w:rPr>
          <w:szCs w:val="20"/>
        </w:rPr>
      </w:pPr>
      <w:r w:rsidRPr="005060E0">
        <w:rPr>
          <w:szCs w:val="20"/>
        </w:rPr>
        <w:t>The full CBA</w:t>
      </w:r>
      <w:r w:rsidR="00533FC5" w:rsidRPr="005060E0">
        <w:rPr>
          <w:szCs w:val="20"/>
        </w:rPr>
        <w:t xml:space="preserve"> can be found in</w:t>
      </w:r>
      <w:r w:rsidR="005E4128" w:rsidRPr="005060E0">
        <w:rPr>
          <w:szCs w:val="20"/>
        </w:rPr>
        <w:t xml:space="preserve"> Appendix C, and the findings for O</w:t>
      </w:r>
      <w:r w:rsidR="005E4128" w:rsidRPr="005060E0">
        <w:rPr>
          <w:szCs w:val="20"/>
          <w:vertAlign w:val="subscript"/>
        </w:rPr>
        <w:t>3</w:t>
      </w:r>
      <w:r w:rsidR="005E4128" w:rsidRPr="005060E0">
        <w:rPr>
          <w:szCs w:val="20"/>
        </w:rPr>
        <w:t xml:space="preserve"> are presented in Chapter </w:t>
      </w:r>
      <w:r w:rsidR="005E4128" w:rsidRPr="005060E0">
        <w:rPr>
          <w:szCs w:val="20"/>
        </w:rPr>
        <w:fldChar w:fldCharType="begin"/>
      </w:r>
      <w:r w:rsidR="005E4128" w:rsidRPr="005060E0">
        <w:rPr>
          <w:szCs w:val="20"/>
        </w:rPr>
        <w:instrText xml:space="preserve"> REF _Ref508614107 \n \h  \* MERGEFORMAT </w:instrText>
      </w:r>
      <w:r w:rsidR="005E4128" w:rsidRPr="005060E0">
        <w:rPr>
          <w:szCs w:val="20"/>
        </w:rPr>
      </w:r>
      <w:r w:rsidR="005E4128" w:rsidRPr="005060E0">
        <w:rPr>
          <w:szCs w:val="20"/>
        </w:rPr>
        <w:fldChar w:fldCharType="separate"/>
      </w:r>
      <w:r w:rsidR="00F2067C">
        <w:rPr>
          <w:szCs w:val="20"/>
        </w:rPr>
        <w:t>9</w:t>
      </w:r>
      <w:r w:rsidR="005E4128" w:rsidRPr="005060E0">
        <w:rPr>
          <w:szCs w:val="20"/>
        </w:rPr>
        <w:fldChar w:fldCharType="end"/>
      </w:r>
      <w:r w:rsidR="005E4128" w:rsidRPr="005060E0">
        <w:rPr>
          <w:szCs w:val="20"/>
        </w:rPr>
        <w:t>.</w:t>
      </w:r>
      <w:r w:rsidR="00DA1824" w:rsidRPr="005060E0">
        <w:rPr>
          <w:szCs w:val="20"/>
        </w:rPr>
        <w:t xml:space="preserve"> </w:t>
      </w:r>
      <w:r w:rsidRPr="005060E0">
        <w:rPr>
          <w:szCs w:val="20"/>
        </w:rPr>
        <w:t>T</w:t>
      </w:r>
      <w:r w:rsidR="00DA1824" w:rsidRPr="005060E0">
        <w:rPr>
          <w:szCs w:val="20"/>
        </w:rPr>
        <w:t xml:space="preserve">he </w:t>
      </w:r>
      <w:r w:rsidR="003442FA" w:rsidRPr="005060E0">
        <w:rPr>
          <w:szCs w:val="20"/>
        </w:rPr>
        <w:t xml:space="preserve">range of the </w:t>
      </w:r>
      <w:r w:rsidR="00DA1824" w:rsidRPr="005060E0">
        <w:rPr>
          <w:szCs w:val="20"/>
        </w:rPr>
        <w:t>aggregate</w:t>
      </w:r>
      <w:r w:rsidR="003442FA" w:rsidRPr="005060E0">
        <w:rPr>
          <w:szCs w:val="20"/>
        </w:rPr>
        <w:t>d</w:t>
      </w:r>
      <w:r w:rsidR="00DA1824" w:rsidRPr="005060E0">
        <w:rPr>
          <w:szCs w:val="20"/>
        </w:rPr>
        <w:t xml:space="preserve"> </w:t>
      </w:r>
      <w:r w:rsidRPr="005060E0">
        <w:rPr>
          <w:szCs w:val="20"/>
        </w:rPr>
        <w:t xml:space="preserve">historical health cost </w:t>
      </w:r>
      <w:r w:rsidR="00DA1824" w:rsidRPr="005060E0">
        <w:rPr>
          <w:szCs w:val="20"/>
        </w:rPr>
        <w:t>due to O</w:t>
      </w:r>
      <w:r w:rsidR="00DA1824" w:rsidRPr="005060E0">
        <w:rPr>
          <w:szCs w:val="20"/>
          <w:vertAlign w:val="subscript"/>
        </w:rPr>
        <w:t>3</w:t>
      </w:r>
      <w:r w:rsidR="00DA1824" w:rsidRPr="005060E0">
        <w:rPr>
          <w:szCs w:val="20"/>
        </w:rPr>
        <w:t xml:space="preserve"> for all jurisdict</w:t>
      </w:r>
      <w:r w:rsidRPr="005060E0">
        <w:rPr>
          <w:szCs w:val="20"/>
        </w:rPr>
        <w:t>ions over the period 2010</w:t>
      </w:r>
      <w:r w:rsidR="00DF4D3A" w:rsidRPr="005060E0">
        <w:rPr>
          <w:szCs w:val="20"/>
        </w:rPr>
        <w:t>–20</w:t>
      </w:r>
      <w:r w:rsidRPr="005060E0">
        <w:rPr>
          <w:szCs w:val="20"/>
        </w:rPr>
        <w:t>14 wa</w:t>
      </w:r>
      <w:r w:rsidR="00DA1824" w:rsidRPr="005060E0">
        <w:rPr>
          <w:szCs w:val="20"/>
        </w:rPr>
        <w:t>s $22</w:t>
      </w:r>
      <w:r w:rsidRPr="005060E0">
        <w:rPr>
          <w:szCs w:val="20"/>
        </w:rPr>
        <w:t>5</w:t>
      </w:r>
      <w:r w:rsidR="00C11F36" w:rsidRPr="005060E0">
        <w:rPr>
          <w:szCs w:val="20"/>
        </w:rPr>
        <w:t> </w:t>
      </w:r>
      <w:r w:rsidRPr="005060E0">
        <w:rPr>
          <w:szCs w:val="20"/>
        </w:rPr>
        <w:t>million</w:t>
      </w:r>
      <w:r w:rsidR="00D50EBA" w:rsidRPr="005060E0">
        <w:rPr>
          <w:szCs w:val="20"/>
        </w:rPr>
        <w:t xml:space="preserve"> to $1,572 million (based on the different CRF groups)</w:t>
      </w:r>
      <w:r w:rsidR="00D50EBA" w:rsidRPr="005060E0">
        <w:rPr>
          <w:rStyle w:val="FootnoteReference"/>
          <w:szCs w:val="20"/>
        </w:rPr>
        <w:footnoteReference w:id="31"/>
      </w:r>
      <w:r w:rsidRPr="005060E0">
        <w:rPr>
          <w:szCs w:val="20"/>
        </w:rPr>
        <w:t xml:space="preserve">. This </w:t>
      </w:r>
      <w:r w:rsidR="00D50EBA" w:rsidRPr="005060E0">
        <w:rPr>
          <w:szCs w:val="20"/>
        </w:rPr>
        <w:t xml:space="preserve">range was higher </w:t>
      </w:r>
      <w:r w:rsidR="006257EB" w:rsidRPr="005060E0">
        <w:rPr>
          <w:szCs w:val="20"/>
        </w:rPr>
        <w:t>than</w:t>
      </w:r>
      <w:r w:rsidR="00DA1824" w:rsidRPr="005060E0">
        <w:rPr>
          <w:szCs w:val="20"/>
        </w:rPr>
        <w:t xml:space="preserve"> </w:t>
      </w:r>
      <w:r w:rsidR="00005C8F">
        <w:rPr>
          <w:szCs w:val="20"/>
        </w:rPr>
        <w:t>the corresponding</w:t>
      </w:r>
      <w:r w:rsidR="00005C8F" w:rsidRPr="005060E0">
        <w:rPr>
          <w:szCs w:val="20"/>
        </w:rPr>
        <w:t xml:space="preserve"> </w:t>
      </w:r>
      <w:r w:rsidR="00DA1824" w:rsidRPr="005060E0">
        <w:rPr>
          <w:szCs w:val="20"/>
        </w:rPr>
        <w:t>value for NO</w:t>
      </w:r>
      <w:r w:rsidR="00DA1824" w:rsidRPr="005060E0">
        <w:rPr>
          <w:szCs w:val="20"/>
          <w:vertAlign w:val="subscript"/>
        </w:rPr>
        <w:t>2</w:t>
      </w:r>
      <w:r w:rsidR="005B2C4B" w:rsidRPr="005060E0">
        <w:rPr>
          <w:szCs w:val="20"/>
        </w:rPr>
        <w:t>.</w:t>
      </w:r>
    </w:p>
    <w:p w14:paraId="6628E744" w14:textId="452C36CE" w:rsidR="00DA1824" w:rsidRPr="005060E0" w:rsidRDefault="00DA1824" w:rsidP="006B061B">
      <w:pPr>
        <w:spacing w:after="160" w:line="276" w:lineRule="atLeast"/>
        <w:rPr>
          <w:szCs w:val="20"/>
        </w:rPr>
      </w:pPr>
      <w:r w:rsidRPr="005060E0">
        <w:rPr>
          <w:szCs w:val="20"/>
        </w:rPr>
        <w:t>The abatement measures modelled</w:t>
      </w:r>
      <w:r w:rsidR="00A2582D" w:rsidRPr="005060E0">
        <w:rPr>
          <w:szCs w:val="20"/>
        </w:rPr>
        <w:t xml:space="preserve"> (over the period 2021</w:t>
      </w:r>
      <w:r w:rsidR="00DF4D3A" w:rsidRPr="005060E0">
        <w:rPr>
          <w:szCs w:val="20"/>
        </w:rPr>
        <w:t>–20</w:t>
      </w:r>
      <w:r w:rsidR="00A2582D" w:rsidRPr="005060E0">
        <w:rPr>
          <w:szCs w:val="20"/>
        </w:rPr>
        <w:t>40) we</w:t>
      </w:r>
      <w:r w:rsidRPr="005060E0">
        <w:rPr>
          <w:szCs w:val="20"/>
        </w:rPr>
        <w:t xml:space="preserve">re clearly not </w:t>
      </w:r>
      <w:r w:rsidR="00DC4829" w:rsidRPr="005060E0">
        <w:rPr>
          <w:szCs w:val="20"/>
        </w:rPr>
        <w:t xml:space="preserve">economically efficient </w:t>
      </w:r>
      <w:r w:rsidRPr="005060E0">
        <w:rPr>
          <w:szCs w:val="20"/>
        </w:rPr>
        <w:t>at the national level for O</w:t>
      </w:r>
      <w:r w:rsidRPr="005060E0">
        <w:rPr>
          <w:szCs w:val="20"/>
          <w:vertAlign w:val="subscript"/>
        </w:rPr>
        <w:t>3</w:t>
      </w:r>
      <w:r w:rsidRPr="005060E0">
        <w:rPr>
          <w:szCs w:val="20"/>
        </w:rPr>
        <w:t>, with a cost of around $430 million and a benefit of $20 million. The measures were not economically efficient in any jurisdiction.</w:t>
      </w:r>
    </w:p>
    <w:p w14:paraId="3B9C88BF" w14:textId="34716E41" w:rsidR="001623D4" w:rsidRPr="005060E0" w:rsidRDefault="008051B8" w:rsidP="006B061B">
      <w:pPr>
        <w:pStyle w:val="Heading2"/>
        <w:spacing w:before="320" w:after="200"/>
      </w:pPr>
      <w:bookmarkStart w:id="236" w:name="_Toc479858868"/>
      <w:bookmarkStart w:id="237" w:name="_Toc3278986"/>
      <w:r w:rsidRPr="005060E0">
        <w:t>N</w:t>
      </w:r>
      <w:r w:rsidR="00EB11D5" w:rsidRPr="005060E0">
        <w:t>on-quantified</w:t>
      </w:r>
      <w:r w:rsidR="001623D4" w:rsidRPr="005060E0">
        <w:t xml:space="preserve"> benefits and disbenefits</w:t>
      </w:r>
      <w:bookmarkEnd w:id="236"/>
      <w:bookmarkEnd w:id="237"/>
      <w:r w:rsidR="001623D4" w:rsidRPr="005060E0">
        <w:t xml:space="preserve"> </w:t>
      </w:r>
    </w:p>
    <w:p w14:paraId="3C478586" w14:textId="352679EF" w:rsidR="001623D4" w:rsidRPr="006B061B" w:rsidRDefault="001623D4" w:rsidP="006B061B">
      <w:pPr>
        <w:spacing w:after="160" w:line="276" w:lineRule="atLeast"/>
        <w:rPr>
          <w:spacing w:val="-1"/>
        </w:rPr>
      </w:pPr>
      <w:r w:rsidRPr="006B061B">
        <w:rPr>
          <w:spacing w:val="-1"/>
        </w:rPr>
        <w:t>O</w:t>
      </w:r>
      <w:r w:rsidRPr="006B061B">
        <w:rPr>
          <w:spacing w:val="-1"/>
          <w:vertAlign w:val="subscript"/>
        </w:rPr>
        <w:t>3</w:t>
      </w:r>
      <w:r w:rsidR="007D785D" w:rsidRPr="006B061B">
        <w:rPr>
          <w:spacing w:val="-1"/>
        </w:rPr>
        <w:t xml:space="preserve"> is </w:t>
      </w:r>
      <w:r w:rsidRPr="006B061B">
        <w:rPr>
          <w:spacing w:val="-1"/>
        </w:rPr>
        <w:t>assoc</w:t>
      </w:r>
      <w:r w:rsidR="007D785D" w:rsidRPr="006B061B">
        <w:rPr>
          <w:spacing w:val="-1"/>
        </w:rPr>
        <w:t xml:space="preserve">iated with impacts on </w:t>
      </w:r>
      <w:r w:rsidRPr="006B061B">
        <w:rPr>
          <w:spacing w:val="-1"/>
        </w:rPr>
        <w:t>vegetation</w:t>
      </w:r>
      <w:r w:rsidR="007D785D" w:rsidRPr="006B061B">
        <w:rPr>
          <w:spacing w:val="-1"/>
        </w:rPr>
        <w:t xml:space="preserve"> and materials</w:t>
      </w:r>
      <w:r w:rsidR="00EB11D5" w:rsidRPr="006B061B">
        <w:rPr>
          <w:spacing w:val="-1"/>
        </w:rPr>
        <w:t xml:space="preserve"> (e.g. rubber and plastics)</w:t>
      </w:r>
      <w:r w:rsidR="007D785D" w:rsidRPr="006B061B">
        <w:rPr>
          <w:spacing w:val="-1"/>
        </w:rPr>
        <w:t xml:space="preserve">, as well as the </w:t>
      </w:r>
      <w:r w:rsidRPr="006B061B">
        <w:rPr>
          <w:spacing w:val="-1"/>
        </w:rPr>
        <w:t>nitrification of lakes and rivers</w:t>
      </w:r>
      <w:r w:rsidR="00B00321" w:rsidRPr="006B061B">
        <w:rPr>
          <w:spacing w:val="-1"/>
        </w:rPr>
        <w:t xml:space="preserve">. </w:t>
      </w:r>
      <w:r w:rsidRPr="006B061B">
        <w:rPr>
          <w:spacing w:val="-1"/>
        </w:rPr>
        <w:t xml:space="preserve">As the </w:t>
      </w:r>
      <w:r w:rsidR="00FE23DB" w:rsidRPr="006B061B">
        <w:rPr>
          <w:spacing w:val="-1"/>
        </w:rPr>
        <w:t>AAQ NEPM</w:t>
      </w:r>
      <w:r w:rsidRPr="006B061B">
        <w:rPr>
          <w:spacing w:val="-1"/>
        </w:rPr>
        <w:t xml:space="preserve"> standards are based on the protection of human health, standards have not been derived for thes</w:t>
      </w:r>
      <w:r w:rsidR="007D785D" w:rsidRPr="006B061B">
        <w:rPr>
          <w:spacing w:val="-1"/>
        </w:rPr>
        <w:t>e other</w:t>
      </w:r>
      <w:r w:rsidRPr="006B061B">
        <w:rPr>
          <w:spacing w:val="-1"/>
        </w:rPr>
        <w:t xml:space="preserve"> effects</w:t>
      </w:r>
      <w:r w:rsidR="00005C8F" w:rsidRPr="006B061B">
        <w:rPr>
          <w:spacing w:val="-1"/>
        </w:rPr>
        <w:t>;</w:t>
      </w:r>
      <w:r w:rsidR="007D785D" w:rsidRPr="006B061B">
        <w:rPr>
          <w:spacing w:val="-1"/>
        </w:rPr>
        <w:t xml:space="preserve"> </w:t>
      </w:r>
      <w:r w:rsidR="00005C8F" w:rsidRPr="006B061B">
        <w:rPr>
          <w:spacing w:val="-1"/>
        </w:rPr>
        <w:t>h</w:t>
      </w:r>
      <w:r w:rsidRPr="006B061B">
        <w:rPr>
          <w:spacing w:val="-1"/>
        </w:rPr>
        <w:t>owever, any reduction in O</w:t>
      </w:r>
      <w:r w:rsidRPr="006B061B">
        <w:rPr>
          <w:spacing w:val="-1"/>
          <w:vertAlign w:val="subscript"/>
        </w:rPr>
        <w:t>3</w:t>
      </w:r>
      <w:r w:rsidRPr="006B061B">
        <w:rPr>
          <w:spacing w:val="-1"/>
        </w:rPr>
        <w:t xml:space="preserve"> levels resulting from the adoption of more stringent standards will also lead to reductions in the effe</w:t>
      </w:r>
      <w:r w:rsidR="00EB11D5" w:rsidRPr="006B061B">
        <w:rPr>
          <w:spacing w:val="-1"/>
        </w:rPr>
        <w:t xml:space="preserve">cts on vegetation. </w:t>
      </w:r>
      <w:r w:rsidRPr="006B061B">
        <w:rPr>
          <w:spacing w:val="-1"/>
        </w:rPr>
        <w:t>O</w:t>
      </w:r>
      <w:r w:rsidRPr="006B061B">
        <w:rPr>
          <w:spacing w:val="-1"/>
          <w:vertAlign w:val="subscript"/>
        </w:rPr>
        <w:t>3</w:t>
      </w:r>
      <w:r w:rsidRPr="006B061B">
        <w:rPr>
          <w:spacing w:val="-1"/>
        </w:rPr>
        <w:t xml:space="preserve"> is </w:t>
      </w:r>
      <w:r w:rsidR="007D785D" w:rsidRPr="006B061B">
        <w:rPr>
          <w:spacing w:val="-1"/>
        </w:rPr>
        <w:t xml:space="preserve">also a potent greenhouse gas. </w:t>
      </w:r>
      <w:r w:rsidRPr="006B061B">
        <w:rPr>
          <w:spacing w:val="-1"/>
        </w:rPr>
        <w:t>The impacts of climate change are predicted to increase O</w:t>
      </w:r>
      <w:r w:rsidRPr="006B061B">
        <w:rPr>
          <w:spacing w:val="-1"/>
          <w:vertAlign w:val="subscript"/>
        </w:rPr>
        <w:t>3</w:t>
      </w:r>
      <w:r w:rsidRPr="006B061B">
        <w:rPr>
          <w:spacing w:val="-1"/>
        </w:rPr>
        <w:t xml:space="preserve"> levels, and in particular, O</w:t>
      </w:r>
      <w:r w:rsidRPr="006B061B">
        <w:rPr>
          <w:spacing w:val="-1"/>
          <w:vertAlign w:val="subscript"/>
        </w:rPr>
        <w:t xml:space="preserve">3 </w:t>
      </w:r>
      <w:r w:rsidRPr="006B061B">
        <w:rPr>
          <w:spacing w:val="-1"/>
        </w:rPr>
        <w:t>events in the future.</w:t>
      </w:r>
      <w:r w:rsidR="00EB11D5" w:rsidRPr="006B061B">
        <w:rPr>
          <w:spacing w:val="-1"/>
        </w:rPr>
        <w:t xml:space="preserve"> </w:t>
      </w:r>
      <w:r w:rsidR="00EB11D5" w:rsidRPr="006B061B">
        <w:rPr>
          <w:spacing w:val="-1"/>
          <w:szCs w:val="20"/>
        </w:rPr>
        <w:t>A</w:t>
      </w:r>
      <w:r w:rsidRPr="006B061B">
        <w:rPr>
          <w:spacing w:val="-1"/>
          <w:szCs w:val="20"/>
        </w:rPr>
        <w:t>ny reductions in O</w:t>
      </w:r>
      <w:r w:rsidRPr="006B061B">
        <w:rPr>
          <w:spacing w:val="-1"/>
          <w:szCs w:val="20"/>
          <w:vertAlign w:val="subscript"/>
        </w:rPr>
        <w:t>3</w:t>
      </w:r>
      <w:r w:rsidRPr="006B061B">
        <w:rPr>
          <w:spacing w:val="-1"/>
          <w:szCs w:val="20"/>
        </w:rPr>
        <w:t xml:space="preserve"> levels due to the implementation of air quality management actions to meet more stringent standards will have additional benefits in terms of reducing</w:t>
      </w:r>
      <w:r w:rsidR="00EB11D5" w:rsidRPr="006B061B">
        <w:rPr>
          <w:spacing w:val="-1"/>
          <w:szCs w:val="20"/>
        </w:rPr>
        <w:t xml:space="preserve"> these other impacts</w:t>
      </w:r>
      <w:r w:rsidRPr="006B061B">
        <w:rPr>
          <w:spacing w:val="-1"/>
          <w:szCs w:val="20"/>
        </w:rPr>
        <w:t>.</w:t>
      </w:r>
      <w:r w:rsidRPr="006B061B">
        <w:rPr>
          <w:spacing w:val="-1"/>
        </w:rPr>
        <w:t xml:space="preserve"> </w:t>
      </w:r>
    </w:p>
    <w:p w14:paraId="1EDA484A" w14:textId="0FC22968" w:rsidR="001623D4" w:rsidRPr="005060E0" w:rsidRDefault="00F55AD6" w:rsidP="0043533F">
      <w:pPr>
        <w:pStyle w:val="Heading2"/>
      </w:pPr>
      <w:bookmarkStart w:id="238" w:name="_Toc479858869"/>
      <w:bookmarkStart w:id="239" w:name="_Toc3278987"/>
      <w:r w:rsidRPr="005060E0">
        <w:t>E</w:t>
      </w:r>
      <w:r w:rsidR="009B7316" w:rsidRPr="005060E0">
        <w:t>xposure-</w:t>
      </w:r>
      <w:r w:rsidR="001623D4" w:rsidRPr="005060E0">
        <w:t>reductio</w:t>
      </w:r>
      <w:bookmarkEnd w:id="238"/>
      <w:r w:rsidRPr="005060E0">
        <w:t>n</w:t>
      </w:r>
      <w:r w:rsidR="009B7316" w:rsidRPr="005060E0">
        <w:t xml:space="preserve"> framework</w:t>
      </w:r>
      <w:bookmarkEnd w:id="239"/>
    </w:p>
    <w:p w14:paraId="137F0283" w14:textId="26F507A3" w:rsidR="001623D4" w:rsidRPr="005060E0" w:rsidRDefault="006E41C1" w:rsidP="001623D4">
      <w:pPr>
        <w:rPr>
          <w:szCs w:val="20"/>
        </w:rPr>
      </w:pPr>
      <w:r w:rsidRPr="005060E0">
        <w:rPr>
          <w:szCs w:val="20"/>
        </w:rPr>
        <w:t xml:space="preserve">As shown in the analysis, </w:t>
      </w:r>
      <w:r w:rsidR="001623D4" w:rsidRPr="005060E0">
        <w:rPr>
          <w:szCs w:val="20"/>
        </w:rPr>
        <w:t>there are significant health effects associated with exposure to O</w:t>
      </w:r>
      <w:r w:rsidR="001623D4" w:rsidRPr="005060E0">
        <w:rPr>
          <w:szCs w:val="20"/>
          <w:vertAlign w:val="subscript"/>
        </w:rPr>
        <w:t>3</w:t>
      </w:r>
      <w:r w:rsidRPr="005060E0">
        <w:rPr>
          <w:szCs w:val="20"/>
        </w:rPr>
        <w:t xml:space="preserve"> in the Australian airsheds. </w:t>
      </w:r>
      <w:r w:rsidR="001623D4" w:rsidRPr="005060E0">
        <w:rPr>
          <w:szCs w:val="20"/>
        </w:rPr>
        <w:t>The introduction of the abatement measures would lead to reductions in O</w:t>
      </w:r>
      <w:r w:rsidR="001623D4" w:rsidRPr="005060E0">
        <w:rPr>
          <w:szCs w:val="20"/>
          <w:vertAlign w:val="subscript"/>
        </w:rPr>
        <w:t>3</w:t>
      </w:r>
      <w:r w:rsidR="001623D4" w:rsidRPr="005060E0">
        <w:rPr>
          <w:szCs w:val="20"/>
        </w:rPr>
        <w:t xml:space="preserve"> in most jurisdictions, however these measures</w:t>
      </w:r>
      <w:r w:rsidR="006257EB" w:rsidRPr="005060E0">
        <w:rPr>
          <w:szCs w:val="20"/>
        </w:rPr>
        <w:t xml:space="preserve"> have been shown to not be </w:t>
      </w:r>
      <w:r w:rsidR="00DC4829" w:rsidRPr="005060E0">
        <w:rPr>
          <w:szCs w:val="20"/>
        </w:rPr>
        <w:t>economically efficient</w:t>
      </w:r>
      <w:r w:rsidR="001623D4" w:rsidRPr="005060E0">
        <w:rPr>
          <w:szCs w:val="20"/>
        </w:rPr>
        <w:t>. One of the key c</w:t>
      </w:r>
      <w:r w:rsidR="00704BAC" w:rsidRPr="005060E0">
        <w:rPr>
          <w:szCs w:val="20"/>
        </w:rPr>
        <w:t xml:space="preserve">hallenges is the </w:t>
      </w:r>
      <w:r w:rsidR="001623D4" w:rsidRPr="005060E0">
        <w:rPr>
          <w:szCs w:val="20"/>
        </w:rPr>
        <w:t>population growth predicted between 2016 and 2040</w:t>
      </w:r>
      <w:r w:rsidR="00B00321" w:rsidRPr="005060E0">
        <w:rPr>
          <w:szCs w:val="20"/>
        </w:rPr>
        <w:t xml:space="preserve">. </w:t>
      </w:r>
      <w:r w:rsidR="001623D4" w:rsidRPr="005060E0">
        <w:rPr>
          <w:szCs w:val="20"/>
        </w:rPr>
        <w:t xml:space="preserve">As the health effects attributable to </w:t>
      </w:r>
      <w:r w:rsidR="005B3776" w:rsidRPr="005060E0">
        <w:rPr>
          <w:szCs w:val="20"/>
        </w:rPr>
        <w:t>O</w:t>
      </w:r>
      <w:r w:rsidR="005B3776" w:rsidRPr="005060E0">
        <w:rPr>
          <w:szCs w:val="20"/>
          <w:vertAlign w:val="subscript"/>
        </w:rPr>
        <w:t>3</w:t>
      </w:r>
      <w:r w:rsidR="001623D4" w:rsidRPr="005060E0">
        <w:rPr>
          <w:szCs w:val="20"/>
        </w:rPr>
        <w:t xml:space="preserve"> are based on risks to whole populations, small improvements in air quality are offset if the predicted population growth is large</w:t>
      </w:r>
      <w:r w:rsidR="006257EB" w:rsidRPr="005060E0">
        <w:rPr>
          <w:szCs w:val="20"/>
        </w:rPr>
        <w:t>,</w:t>
      </w:r>
      <w:r w:rsidR="001623D4" w:rsidRPr="005060E0">
        <w:rPr>
          <w:szCs w:val="20"/>
        </w:rPr>
        <w:t xml:space="preserve"> and this can re</w:t>
      </w:r>
      <w:r w:rsidR="006257EB" w:rsidRPr="005060E0">
        <w:rPr>
          <w:szCs w:val="20"/>
        </w:rPr>
        <w:t>sult in increases in population-</w:t>
      </w:r>
      <w:r w:rsidR="001623D4" w:rsidRPr="005060E0">
        <w:rPr>
          <w:szCs w:val="20"/>
        </w:rPr>
        <w:t>based health effects.</w:t>
      </w:r>
    </w:p>
    <w:p w14:paraId="0A9008ED" w14:textId="27C3B14C" w:rsidR="001623D4" w:rsidRPr="005060E0" w:rsidRDefault="00704BAC" w:rsidP="001623D4">
      <w:pPr>
        <w:rPr>
          <w:szCs w:val="20"/>
        </w:rPr>
      </w:pPr>
      <w:r w:rsidRPr="005060E0">
        <w:rPr>
          <w:szCs w:val="20"/>
        </w:rPr>
        <w:t xml:space="preserve">Given the </w:t>
      </w:r>
      <w:r w:rsidR="001623D4" w:rsidRPr="005060E0">
        <w:rPr>
          <w:szCs w:val="20"/>
        </w:rPr>
        <w:t>health burden posed by O</w:t>
      </w:r>
      <w:r w:rsidR="001623D4" w:rsidRPr="005060E0">
        <w:rPr>
          <w:szCs w:val="20"/>
          <w:vertAlign w:val="subscript"/>
        </w:rPr>
        <w:t xml:space="preserve">3 </w:t>
      </w:r>
      <w:r w:rsidR="001623D4" w:rsidRPr="005060E0">
        <w:rPr>
          <w:szCs w:val="20"/>
        </w:rPr>
        <w:t>in Australian citie</w:t>
      </w:r>
      <w:r w:rsidR="009B7316" w:rsidRPr="005060E0">
        <w:rPr>
          <w:szCs w:val="20"/>
        </w:rPr>
        <w:t>s, an exposure-reduction framework</w:t>
      </w:r>
      <w:r w:rsidR="001623D4" w:rsidRPr="005060E0">
        <w:rPr>
          <w:szCs w:val="20"/>
        </w:rPr>
        <w:t xml:space="preserve"> would provide a framework where population exposure to </w:t>
      </w:r>
      <w:r w:rsidR="005B3776" w:rsidRPr="005060E0">
        <w:rPr>
          <w:szCs w:val="20"/>
        </w:rPr>
        <w:t>O</w:t>
      </w:r>
      <w:r w:rsidR="005B3776" w:rsidRPr="005060E0">
        <w:rPr>
          <w:szCs w:val="20"/>
          <w:vertAlign w:val="subscript"/>
        </w:rPr>
        <w:t>3</w:t>
      </w:r>
      <w:r w:rsidR="001623D4" w:rsidRPr="005060E0">
        <w:rPr>
          <w:szCs w:val="20"/>
        </w:rPr>
        <w:t xml:space="preserve"> can be reduced</w:t>
      </w:r>
      <w:r w:rsidR="00A40A44" w:rsidRPr="005060E0">
        <w:rPr>
          <w:szCs w:val="20"/>
        </w:rPr>
        <w:t>,</w:t>
      </w:r>
      <w:r w:rsidR="001623D4" w:rsidRPr="005060E0">
        <w:rPr>
          <w:szCs w:val="20"/>
        </w:rPr>
        <w:t xml:space="preserve"> even if the standards can’t be met at the present time</w:t>
      </w:r>
      <w:r w:rsidR="00B00321" w:rsidRPr="005060E0">
        <w:rPr>
          <w:szCs w:val="20"/>
        </w:rPr>
        <w:t xml:space="preserve">. </w:t>
      </w:r>
      <w:r w:rsidR="001623D4" w:rsidRPr="005060E0">
        <w:rPr>
          <w:szCs w:val="20"/>
        </w:rPr>
        <w:t xml:space="preserve">It also provides a mechanism whereby jurisdictions can report improvements in </w:t>
      </w:r>
      <w:r w:rsidR="005B3776" w:rsidRPr="005060E0">
        <w:rPr>
          <w:szCs w:val="20"/>
        </w:rPr>
        <w:t>O</w:t>
      </w:r>
      <w:r w:rsidR="005B3776" w:rsidRPr="005060E0">
        <w:rPr>
          <w:szCs w:val="20"/>
          <w:vertAlign w:val="subscript"/>
        </w:rPr>
        <w:t>3</w:t>
      </w:r>
      <w:r w:rsidR="001623D4" w:rsidRPr="005060E0">
        <w:rPr>
          <w:szCs w:val="20"/>
        </w:rPr>
        <w:t xml:space="preserve"> levels rather than just reporting that exceedances of standards have occurred</w:t>
      </w:r>
      <w:r w:rsidR="00B00321" w:rsidRPr="005060E0">
        <w:rPr>
          <w:szCs w:val="20"/>
        </w:rPr>
        <w:t xml:space="preserve">. </w:t>
      </w:r>
    </w:p>
    <w:p w14:paraId="786454DA" w14:textId="048691A2" w:rsidR="00F55AD6" w:rsidRPr="005060E0" w:rsidRDefault="005128BC" w:rsidP="00B81325">
      <w:pPr>
        <w:pStyle w:val="Heading2"/>
        <w:numPr>
          <w:ilvl w:val="1"/>
          <w:numId w:val="52"/>
        </w:numPr>
      </w:pPr>
      <w:bookmarkStart w:id="240" w:name="_Toc3278988"/>
      <w:r w:rsidRPr="005060E0">
        <w:t xml:space="preserve">Summary of ozone </w:t>
      </w:r>
      <w:r w:rsidR="00F55AD6" w:rsidRPr="005060E0">
        <w:t>assessment</w:t>
      </w:r>
      <w:bookmarkEnd w:id="240"/>
    </w:p>
    <w:p w14:paraId="3C181F5D" w14:textId="20209985" w:rsidR="00F55AD6" w:rsidRPr="005060E0" w:rsidRDefault="00F55AD6" w:rsidP="008230E3">
      <w:pPr>
        <w:pStyle w:val="Heading3"/>
      </w:pPr>
      <w:r w:rsidRPr="005060E0">
        <w:t xml:space="preserve">What does the recent health evidence </w:t>
      </w:r>
      <w:r w:rsidR="00005C8F">
        <w:t>tell us</w:t>
      </w:r>
      <w:r w:rsidRPr="005060E0">
        <w:t>?</w:t>
      </w:r>
    </w:p>
    <w:p w14:paraId="51FBDE81" w14:textId="39B69A62" w:rsidR="00364E80" w:rsidRPr="005060E0" w:rsidRDefault="00364E80" w:rsidP="009F470F">
      <w:pPr>
        <w:widowControl w:val="0"/>
      </w:pPr>
      <w:r w:rsidRPr="005060E0">
        <w:t>International studies have provided evidence that exposure to O</w:t>
      </w:r>
      <w:r w:rsidRPr="005060E0">
        <w:rPr>
          <w:vertAlign w:val="subscript"/>
        </w:rPr>
        <w:t>3</w:t>
      </w:r>
      <w:r w:rsidRPr="005060E0">
        <w:t xml:space="preserve"> is causally linked to short-term acute mortality and morbidity primarily for respiratory causes. There is some evidence that O</w:t>
      </w:r>
      <w:r w:rsidRPr="005060E0">
        <w:rPr>
          <w:vertAlign w:val="subscript"/>
        </w:rPr>
        <w:t>3</w:t>
      </w:r>
      <w:r w:rsidRPr="005060E0">
        <w:t xml:space="preserve"> exposures are also associated with cardiovascular outcomes, but the evidence is not as strong as for respiratory outcomes.</w:t>
      </w:r>
    </w:p>
    <w:p w14:paraId="0478097B" w14:textId="1DAE5909" w:rsidR="00F55AD6" w:rsidRPr="005060E0" w:rsidRDefault="007A06FA" w:rsidP="00364E80">
      <w:r w:rsidRPr="005060E0">
        <w:t>R</w:t>
      </w:r>
      <w:r w:rsidR="009F470F" w:rsidRPr="005060E0">
        <w:t>eviews have found there is new evidence on the associat</w:t>
      </w:r>
      <w:r w:rsidRPr="005060E0">
        <w:t>ions between</w:t>
      </w:r>
      <w:r w:rsidR="009F470F" w:rsidRPr="005060E0">
        <w:t xml:space="preserve"> daily maximum 1-hour and 8</w:t>
      </w:r>
      <w:r w:rsidR="00AC5F3B">
        <w:noBreakHyphen/>
      </w:r>
      <w:r w:rsidR="009F470F" w:rsidRPr="005060E0">
        <w:t>hour O</w:t>
      </w:r>
      <w:r w:rsidR="009F470F" w:rsidRPr="005060E0">
        <w:rPr>
          <w:vertAlign w:val="subscript"/>
        </w:rPr>
        <w:t>3</w:t>
      </w:r>
      <w:r w:rsidR="009F470F" w:rsidRPr="005060E0">
        <w:t xml:space="preserve"> conce</w:t>
      </w:r>
      <w:r w:rsidR="00627461" w:rsidRPr="005060E0">
        <w:t xml:space="preserve">ntrations </w:t>
      </w:r>
      <w:r w:rsidRPr="005060E0">
        <w:t>and</w:t>
      </w:r>
      <w:r w:rsidR="00627461" w:rsidRPr="005060E0">
        <w:t xml:space="preserve"> all-</w:t>
      </w:r>
      <w:r w:rsidR="009F470F" w:rsidRPr="005060E0">
        <w:t>cause, cardiovascular and respiratory mortality</w:t>
      </w:r>
      <w:r w:rsidRPr="005060E0">
        <w:t>,</w:t>
      </w:r>
      <w:r w:rsidR="009F470F" w:rsidRPr="005060E0">
        <w:t xml:space="preserve"> as well as cardiovascular and respiratory hospital</w:t>
      </w:r>
      <w:r w:rsidRPr="005060E0">
        <w:t xml:space="preserve"> admissions</w:t>
      </w:r>
      <w:r w:rsidR="009F470F" w:rsidRPr="005060E0">
        <w:t xml:space="preserve">. </w:t>
      </w:r>
      <w:r w:rsidRPr="005060E0">
        <w:t>There is currently no convincing evidence of a threshold for short-term exposure to a daily maximum 1</w:t>
      </w:r>
      <w:r w:rsidR="009E1687" w:rsidRPr="005060E0">
        <w:t>-</w:t>
      </w:r>
      <w:r w:rsidRPr="005060E0">
        <w:t>hour or 8-hour O</w:t>
      </w:r>
      <w:r w:rsidRPr="005060E0">
        <w:rPr>
          <w:vertAlign w:val="subscript"/>
        </w:rPr>
        <w:t>3</w:t>
      </w:r>
      <w:r w:rsidRPr="005060E0">
        <w:t xml:space="preserve"> concentration, or of a non-linear relationship at low concentrations. </w:t>
      </w:r>
      <w:r w:rsidR="009F470F" w:rsidRPr="005060E0">
        <w:t>The evidence base for long-term effects of O</w:t>
      </w:r>
      <w:r w:rsidR="009F470F" w:rsidRPr="005060E0">
        <w:rPr>
          <w:vertAlign w:val="subscript"/>
        </w:rPr>
        <w:t>3</w:t>
      </w:r>
      <w:r w:rsidR="009F470F" w:rsidRPr="005060E0">
        <w:t xml:space="preserve"> has also strengthened; in particular, </w:t>
      </w:r>
      <w:r w:rsidR="009F470F" w:rsidRPr="005060E0">
        <w:rPr>
          <w:rFonts w:asciiTheme="minorHAnsi" w:hAnsiTheme="minorHAnsi" w:cstheme="minorHAnsi"/>
          <w:szCs w:val="20"/>
        </w:rPr>
        <w:t>l</w:t>
      </w:r>
      <w:r w:rsidR="009F470F" w:rsidRPr="005060E0">
        <w:t>ong-term exposure to O</w:t>
      </w:r>
      <w:r w:rsidR="009F470F" w:rsidRPr="005060E0">
        <w:rPr>
          <w:vertAlign w:val="subscript"/>
        </w:rPr>
        <w:t>3</w:t>
      </w:r>
      <w:r w:rsidR="009F470F" w:rsidRPr="005060E0">
        <w:t xml:space="preserve"> is linked to the incidence of asthma, and not just the exacerbation of existing asthma. O</w:t>
      </w:r>
      <w:r w:rsidR="009F470F" w:rsidRPr="005060E0">
        <w:rPr>
          <w:vertAlign w:val="subscript"/>
        </w:rPr>
        <w:t>3</w:t>
      </w:r>
      <w:r w:rsidR="009F470F" w:rsidRPr="005060E0">
        <w:t xml:space="preserve"> was also found to be associated with a range of reproductive and developmental effects that had not previously been linked with O</w:t>
      </w:r>
      <w:r w:rsidR="009F470F" w:rsidRPr="005060E0">
        <w:rPr>
          <w:vertAlign w:val="subscript"/>
        </w:rPr>
        <w:t>3</w:t>
      </w:r>
      <w:r w:rsidR="009F470F" w:rsidRPr="005060E0">
        <w:t xml:space="preserve"> exposure. </w:t>
      </w:r>
    </w:p>
    <w:p w14:paraId="0C106D3B" w14:textId="77777777" w:rsidR="00F55AD6" w:rsidRPr="005060E0" w:rsidRDefault="00F55AD6" w:rsidP="008230E3">
      <w:pPr>
        <w:pStyle w:val="Heading3"/>
      </w:pPr>
      <w:r w:rsidRPr="005060E0">
        <w:t>What do the WHO guidelines and international standards tell us?</w:t>
      </w:r>
    </w:p>
    <w:p w14:paraId="17DA26B4" w14:textId="03DEAA37" w:rsidR="006626C1" w:rsidRPr="005060E0" w:rsidRDefault="009F470F" w:rsidP="006626C1">
      <w:pPr>
        <w:widowControl w:val="0"/>
        <w:rPr>
          <w:szCs w:val="20"/>
        </w:rPr>
      </w:pPr>
      <w:r w:rsidRPr="005060E0">
        <w:rPr>
          <w:rFonts w:asciiTheme="minorHAnsi" w:hAnsiTheme="minorHAnsi" w:cstheme="minorHAnsi"/>
          <w:szCs w:val="20"/>
        </w:rPr>
        <w:t>The only WHO guideline for O</w:t>
      </w:r>
      <w:r w:rsidRPr="005060E0">
        <w:rPr>
          <w:rFonts w:asciiTheme="minorHAnsi" w:hAnsiTheme="minorHAnsi" w:cstheme="minorHAnsi"/>
          <w:szCs w:val="20"/>
          <w:vertAlign w:val="subscript"/>
        </w:rPr>
        <w:t>3</w:t>
      </w:r>
      <w:r w:rsidRPr="005060E0">
        <w:rPr>
          <w:rFonts w:asciiTheme="minorHAnsi" w:hAnsiTheme="minorHAnsi" w:cstheme="minorHAnsi"/>
          <w:szCs w:val="20"/>
        </w:rPr>
        <w:t xml:space="preserve"> is for the daily maximum 8-hour concentration (47 ppb, </w:t>
      </w:r>
      <w:r w:rsidRPr="005060E0">
        <w:rPr>
          <w:rFonts w:cs="Arial"/>
          <w:szCs w:val="20"/>
        </w:rPr>
        <w:t>100 μg/m</w:t>
      </w:r>
      <w:r w:rsidRPr="005060E0">
        <w:rPr>
          <w:rFonts w:cs="Arial"/>
          <w:szCs w:val="20"/>
          <w:vertAlign w:val="superscript"/>
        </w:rPr>
        <w:t>3</w:t>
      </w:r>
      <w:r w:rsidRPr="005060E0">
        <w:rPr>
          <w:rFonts w:asciiTheme="minorHAnsi" w:hAnsiTheme="minorHAnsi" w:cstheme="minorHAnsi"/>
          <w:szCs w:val="20"/>
        </w:rPr>
        <w:t>).</w:t>
      </w:r>
      <w:r w:rsidR="006626C1" w:rsidRPr="005060E0">
        <w:t xml:space="preserve"> </w:t>
      </w:r>
      <w:r w:rsidRPr="005060E0">
        <w:rPr>
          <w:szCs w:val="20"/>
        </w:rPr>
        <w:t>The 8</w:t>
      </w:r>
      <w:r w:rsidR="00AC5F3B">
        <w:rPr>
          <w:szCs w:val="20"/>
        </w:rPr>
        <w:noBreakHyphen/>
      </w:r>
      <w:r w:rsidRPr="005060E0">
        <w:rPr>
          <w:szCs w:val="20"/>
        </w:rPr>
        <w:t>hour averaging period is the one in common use internationally, but it is not included in the AAQ NEPM. The 4-hour averaging period, which is included</w:t>
      </w:r>
      <w:r w:rsidR="006626C1" w:rsidRPr="005060E0">
        <w:rPr>
          <w:szCs w:val="20"/>
        </w:rPr>
        <w:t xml:space="preserve"> in the AAQ NEPM, is not used outside Australia. The 1-hour averaging period standard used in Australia is not used by the USEPA, EU, UK or Canada, nor is it recommended by </w:t>
      </w:r>
      <w:r w:rsidR="00AC5F3B">
        <w:rPr>
          <w:szCs w:val="20"/>
        </w:rPr>
        <w:t xml:space="preserve">the </w:t>
      </w:r>
      <w:r w:rsidR="006626C1" w:rsidRPr="005060E0">
        <w:rPr>
          <w:szCs w:val="20"/>
        </w:rPr>
        <w:t>WHO.</w:t>
      </w:r>
    </w:p>
    <w:p w14:paraId="13BD5236" w14:textId="7493EFA0" w:rsidR="00F55AD6" w:rsidRPr="005060E0" w:rsidRDefault="00F55AD6" w:rsidP="008230E3">
      <w:pPr>
        <w:pStyle w:val="Heading3"/>
      </w:pPr>
      <w:r w:rsidRPr="005060E0">
        <w:t>What do the air quality measurements and modelling tell us?</w:t>
      </w:r>
    </w:p>
    <w:p w14:paraId="2DED5D60" w14:textId="449A8051" w:rsidR="008742AB" w:rsidRPr="00AC5F3B" w:rsidRDefault="008742AB" w:rsidP="008742AB">
      <w:r w:rsidRPr="005060E0">
        <w:t>The a</w:t>
      </w:r>
      <w:r w:rsidR="009529A6" w:rsidRPr="005060E0">
        <w:t>mbient monitoring</w:t>
      </w:r>
      <w:r w:rsidRPr="005060E0">
        <w:t xml:space="preserve"> data showed</w:t>
      </w:r>
      <w:r w:rsidR="009529A6" w:rsidRPr="005060E0">
        <w:t xml:space="preserve"> there is significant year-to-year variability in the </w:t>
      </w:r>
      <w:r w:rsidR="005B3776" w:rsidRPr="005060E0">
        <w:t>O</w:t>
      </w:r>
      <w:r w:rsidR="005B3776" w:rsidRPr="005060E0">
        <w:rPr>
          <w:vertAlign w:val="subscript"/>
        </w:rPr>
        <w:t>3</w:t>
      </w:r>
      <w:r w:rsidR="00810D77" w:rsidRPr="005060E0">
        <w:t xml:space="preserve"> levels observed in the Australian airsheds</w:t>
      </w:r>
      <w:r w:rsidR="00C143F1" w:rsidRPr="005060E0">
        <w:t>. O</w:t>
      </w:r>
      <w:r w:rsidR="00C143F1" w:rsidRPr="005060E0">
        <w:rPr>
          <w:vertAlign w:val="subscript"/>
        </w:rPr>
        <w:t>3</w:t>
      </w:r>
      <w:r w:rsidR="009529A6" w:rsidRPr="005060E0">
        <w:t xml:space="preserve"> levels are influenced by hot summers (temperature) and bushfires.</w:t>
      </w:r>
      <w:r w:rsidRPr="005060E0">
        <w:rPr>
          <w:rFonts w:cs="Arial"/>
        </w:rPr>
        <w:t xml:space="preserve"> Patterns of exceedances of the air quality standards (current and proposed) for O</w:t>
      </w:r>
      <w:r w:rsidRPr="005060E0">
        <w:rPr>
          <w:rFonts w:cs="Arial"/>
          <w:vertAlign w:val="subscript"/>
        </w:rPr>
        <w:t>3</w:t>
      </w:r>
      <w:r w:rsidRPr="005060E0">
        <w:rPr>
          <w:rFonts w:cs="Arial"/>
        </w:rPr>
        <w:t xml:space="preserve"> have been more complicated than those for SO</w:t>
      </w:r>
      <w:r w:rsidRPr="005060E0">
        <w:rPr>
          <w:rFonts w:cs="Arial"/>
          <w:vertAlign w:val="subscript"/>
        </w:rPr>
        <w:t>2</w:t>
      </w:r>
      <w:r w:rsidRPr="005060E0">
        <w:rPr>
          <w:rFonts w:cs="Arial"/>
        </w:rPr>
        <w:t xml:space="preserve"> and NO</w:t>
      </w:r>
      <w:r w:rsidRPr="005060E0">
        <w:rPr>
          <w:rFonts w:cs="Arial"/>
          <w:vertAlign w:val="subscript"/>
        </w:rPr>
        <w:t>2</w:t>
      </w:r>
      <w:r w:rsidRPr="005060E0">
        <w:rPr>
          <w:rFonts w:cs="Arial"/>
        </w:rPr>
        <w:t>.</w:t>
      </w:r>
    </w:p>
    <w:p w14:paraId="2D62365C" w14:textId="0BDF4880" w:rsidR="00A52AD4" w:rsidRPr="005060E0" w:rsidRDefault="008742AB" w:rsidP="00A52AD4">
      <w:pPr>
        <w:rPr>
          <w:rFonts w:cs="Arial"/>
        </w:rPr>
      </w:pPr>
      <w:r w:rsidRPr="005060E0">
        <w:rPr>
          <w:rFonts w:cs="Arial"/>
        </w:rPr>
        <w:t>In</w:t>
      </w:r>
      <w:r w:rsidR="00A52AD4" w:rsidRPr="005060E0">
        <w:rPr>
          <w:rFonts w:cs="Arial"/>
        </w:rPr>
        <w:t xml:space="preserve"> Sydney there was a slight downward trend in maximum 1-hour and 4-hour O</w:t>
      </w:r>
      <w:r w:rsidR="00A52AD4" w:rsidRPr="005060E0">
        <w:rPr>
          <w:rFonts w:cs="Arial"/>
          <w:vertAlign w:val="subscript"/>
        </w:rPr>
        <w:t>3</w:t>
      </w:r>
      <w:r w:rsidR="00A52AD4" w:rsidRPr="005060E0">
        <w:rPr>
          <w:rFonts w:cs="Arial"/>
        </w:rPr>
        <w:t xml:space="preserve"> concentrations from 2003 to 2016. For all other cities and regional centres no clear trend was apparent. There were also no systematic, long-term patterns in the data for 8-hour O</w:t>
      </w:r>
      <w:r w:rsidR="00A52AD4" w:rsidRPr="005060E0">
        <w:rPr>
          <w:rFonts w:cs="Arial"/>
          <w:vertAlign w:val="subscript"/>
        </w:rPr>
        <w:t>3</w:t>
      </w:r>
      <w:r w:rsidR="00A52AD4" w:rsidRPr="005060E0">
        <w:rPr>
          <w:rFonts w:cs="Arial"/>
        </w:rPr>
        <w:t xml:space="preserve"> concentrations. A number of the peak O</w:t>
      </w:r>
      <w:r w:rsidR="00A52AD4" w:rsidRPr="005060E0">
        <w:rPr>
          <w:rFonts w:cs="Arial"/>
          <w:vertAlign w:val="subscript"/>
        </w:rPr>
        <w:t>3</w:t>
      </w:r>
      <w:r w:rsidR="00A52AD4" w:rsidRPr="005060E0">
        <w:rPr>
          <w:rFonts w:cs="Arial"/>
        </w:rPr>
        <w:t xml:space="preserve"> concentrations in various years were associated with large bushfires. </w:t>
      </w:r>
    </w:p>
    <w:p w14:paraId="7E13A094" w14:textId="516DBA52" w:rsidR="00FA4CCB" w:rsidRPr="005060E0" w:rsidRDefault="008742AB" w:rsidP="00FA4CCB">
      <w:pPr>
        <w:spacing w:after="120"/>
      </w:pPr>
      <w:r w:rsidRPr="005060E0">
        <w:rPr>
          <w:rFonts w:cs="Arial"/>
        </w:rPr>
        <w:t xml:space="preserve">Historically, </w:t>
      </w:r>
      <w:r w:rsidR="00A52AD4" w:rsidRPr="005060E0">
        <w:rPr>
          <w:rFonts w:cs="Arial"/>
        </w:rPr>
        <w:t>exceedances of the current AAQ NEPM standards (100 ppb for the 1-hour average, and 80 ppb for the rolling 4-hour average) occurred in most airsheds and in most years. This was particularly e</w:t>
      </w:r>
      <w:r w:rsidRPr="005060E0">
        <w:rPr>
          <w:rFonts w:cs="Arial"/>
        </w:rPr>
        <w:t>vi</w:t>
      </w:r>
      <w:r w:rsidR="00522077" w:rsidRPr="005060E0">
        <w:rPr>
          <w:rFonts w:cs="Arial"/>
        </w:rPr>
        <w:t>dent in the data for Sydney. Clearly there would have been more exceedances of the more stringent proposed standards</w:t>
      </w:r>
      <w:r w:rsidR="00A52AD4" w:rsidRPr="005060E0">
        <w:rPr>
          <w:rFonts w:cs="Arial"/>
        </w:rPr>
        <w:t>.</w:t>
      </w:r>
      <w:r w:rsidR="00FA4CCB" w:rsidRPr="005060E0">
        <w:t xml:space="preserve"> The modelling for future years showed that the Abatement Package would not have a substantial effect on the general exceedance patterns in Sydney and the Port Phillip Region, although exceedances would be reduced</w:t>
      </w:r>
      <w:r w:rsidR="00AC5F3B">
        <w:t>.</w:t>
      </w:r>
    </w:p>
    <w:p w14:paraId="538AC4E1" w14:textId="0E7F4188" w:rsidR="00FA4CCB" w:rsidRPr="005060E0" w:rsidRDefault="00A52AD4" w:rsidP="00FA4CCB">
      <w:pPr>
        <w:rPr>
          <w:rFonts w:cs="Arial"/>
        </w:rPr>
      </w:pPr>
      <w:r w:rsidRPr="005060E0">
        <w:rPr>
          <w:rFonts w:cs="Arial"/>
        </w:rPr>
        <w:t>Four proposed 8-hour standards were considered in this review (70 ppb, 60 ppb, 55 ppb and 47 ppb). Based on the monitoring data for recent years the 70 ppb standard was met in Canberra and Adelaide, as well as in the regional centres of Newcastle, Townsville and Gladstone. In Sydney, Wollongong, the Port Phillip Region and Perth, the lower standards were exceeded in most years.</w:t>
      </w:r>
      <w:r w:rsidR="00FA4CCB" w:rsidRPr="005060E0">
        <w:rPr>
          <w:rFonts w:cs="Arial"/>
        </w:rPr>
        <w:t xml:space="preserve"> </w:t>
      </w:r>
      <w:r w:rsidR="00FA4CCB" w:rsidRPr="005060E0">
        <w:t>In the modelling for future years, the Abatement Package had</w:t>
      </w:r>
      <w:r w:rsidR="000925B2" w:rsidRPr="005060E0">
        <w:t xml:space="preserve"> no discernible effect on the number of exceedances in Sydney, with some improvement predicted for the Port Phillip Region in 2040. All airsheds except Newcastle and Wollongong were predicted to exceed the 55 ppb standard, even with the Abatement Package. </w:t>
      </w:r>
    </w:p>
    <w:p w14:paraId="338B141A" w14:textId="7639794A" w:rsidR="00810D77" w:rsidRPr="005060E0" w:rsidRDefault="00810D77" w:rsidP="00810D77">
      <w:pPr>
        <w:spacing w:after="120"/>
      </w:pPr>
      <w:r w:rsidRPr="005060E0">
        <w:t>The comparison between the historical measurements and the future predictions in the BAU scenario indicated the models were generally underestimating the numbers of exceedances for O</w:t>
      </w:r>
      <w:r w:rsidRPr="005060E0">
        <w:rPr>
          <w:vertAlign w:val="subscript"/>
        </w:rPr>
        <w:t>3</w:t>
      </w:r>
      <w:r w:rsidRPr="005060E0">
        <w:t xml:space="preserve"> in NSW, and overestimating exceedances in the Latrobe Valley. It appears that O</w:t>
      </w:r>
      <w:r w:rsidRPr="005060E0">
        <w:rPr>
          <w:vertAlign w:val="subscript"/>
        </w:rPr>
        <w:t>3</w:t>
      </w:r>
      <w:r w:rsidRPr="005060E0">
        <w:t xml:space="preserve"> exceedances in the Port Phillip Region were reasonably well predicted.</w:t>
      </w:r>
    </w:p>
    <w:p w14:paraId="798EEF93" w14:textId="15EF123B" w:rsidR="00810D77" w:rsidRPr="005060E0" w:rsidRDefault="000925B2" w:rsidP="00810D77">
      <w:pPr>
        <w:rPr>
          <w:rFonts w:cs="Arial"/>
        </w:rPr>
      </w:pPr>
      <w:r w:rsidRPr="005060E0">
        <w:rPr>
          <w:rFonts w:cs="Arial"/>
        </w:rPr>
        <w:t>T</w:t>
      </w:r>
      <w:r w:rsidR="00810D77" w:rsidRPr="005060E0">
        <w:rPr>
          <w:rFonts w:cs="Arial"/>
        </w:rPr>
        <w:t>he processes of O</w:t>
      </w:r>
      <w:r w:rsidR="00810D77" w:rsidRPr="005060E0">
        <w:rPr>
          <w:rFonts w:cs="Arial"/>
          <w:vertAlign w:val="subscript"/>
        </w:rPr>
        <w:t>3</w:t>
      </w:r>
      <w:r w:rsidR="00810D77" w:rsidRPr="005060E0">
        <w:rPr>
          <w:rFonts w:cs="Arial"/>
        </w:rPr>
        <w:t xml:space="preserve"> formation and removal are </w:t>
      </w:r>
      <w:r w:rsidR="00B27A58" w:rsidRPr="005060E0">
        <w:rPr>
          <w:rFonts w:cs="Arial"/>
        </w:rPr>
        <w:t>complex and</w:t>
      </w:r>
      <w:r w:rsidR="00810D77" w:rsidRPr="005060E0">
        <w:rPr>
          <w:rFonts w:cs="Arial"/>
        </w:rPr>
        <w:t xml:space="preserve"> require detailed modelling. This was only possible for NSW and Victoria, and therefore for the other jurisdictions there were no projections of O</w:t>
      </w:r>
      <w:r w:rsidR="00810D77" w:rsidRPr="005060E0">
        <w:rPr>
          <w:rFonts w:cs="Arial"/>
          <w:vertAlign w:val="subscript"/>
        </w:rPr>
        <w:t>3</w:t>
      </w:r>
      <w:r w:rsidR="00810D77" w:rsidRPr="005060E0">
        <w:rPr>
          <w:rFonts w:cs="Arial"/>
        </w:rPr>
        <w:t xml:space="preserve"> concentrations and associated health outcomes (as well as monetised benefits). The modelling of ozone is also subject to uncertainty and, given it underestimated exceedances of standards in Sydney, on the whole greater weight should be given to the historical measurements than to the future modelling when providing recommendations on possible new standards.</w:t>
      </w:r>
    </w:p>
    <w:p w14:paraId="7DC3EACC" w14:textId="49078135" w:rsidR="00F55AD6" w:rsidRPr="005060E0" w:rsidRDefault="00740374" w:rsidP="008230E3">
      <w:pPr>
        <w:pStyle w:val="Heading3"/>
      </w:pPr>
      <w:r w:rsidRPr="005060E0">
        <w:t>W</w:t>
      </w:r>
      <w:r w:rsidR="00F55AD6" w:rsidRPr="005060E0">
        <w:t>hat does the HRA tell us?</w:t>
      </w:r>
    </w:p>
    <w:p w14:paraId="5960F2DD" w14:textId="0546FA38" w:rsidR="00A52AD4" w:rsidRPr="005060E0" w:rsidRDefault="00A52AD4" w:rsidP="00A52AD4">
      <w:pPr>
        <w:rPr>
          <w:lang w:eastAsia="en-AU"/>
        </w:rPr>
      </w:pPr>
      <w:r w:rsidRPr="005060E0">
        <w:t>The aggregated estimates for the number of historical and projected attributable health outcomes due to O</w:t>
      </w:r>
      <w:r w:rsidRPr="005060E0">
        <w:rPr>
          <w:vertAlign w:val="subscript"/>
        </w:rPr>
        <w:t>3</w:t>
      </w:r>
      <w:r w:rsidRPr="005060E0">
        <w:t xml:space="preserve"> in the modelled airsheds (NSW and Victoria) and other airsheds are shown in </w:t>
      </w:r>
      <w:r w:rsidRPr="005060E0">
        <w:rPr>
          <w:szCs w:val="20"/>
        </w:rPr>
        <w:fldChar w:fldCharType="begin"/>
      </w:r>
      <w:r w:rsidRPr="005060E0">
        <w:rPr>
          <w:szCs w:val="20"/>
        </w:rPr>
        <w:instrText xml:space="preserve"> REF _Ref508546260 \h  \* MERGEFORMAT </w:instrText>
      </w:r>
      <w:r w:rsidRPr="005060E0">
        <w:rPr>
          <w:szCs w:val="20"/>
        </w:rPr>
      </w:r>
      <w:r w:rsidRPr="005060E0">
        <w:rPr>
          <w:szCs w:val="20"/>
        </w:rPr>
        <w:fldChar w:fldCharType="separate"/>
      </w:r>
      <w:r w:rsidR="00F2067C" w:rsidRPr="00F2067C">
        <w:rPr>
          <w:rFonts w:cs="Arial"/>
          <w:szCs w:val="20"/>
        </w:rPr>
        <w:t xml:space="preserve">Table </w:t>
      </w:r>
      <w:r w:rsidR="00F2067C" w:rsidRPr="00F2067C">
        <w:rPr>
          <w:rFonts w:cs="Arial"/>
          <w:noProof/>
          <w:szCs w:val="20"/>
        </w:rPr>
        <w:t>8</w:t>
      </w:r>
      <w:r w:rsidR="00F2067C" w:rsidRPr="00F2067C">
        <w:rPr>
          <w:rFonts w:cs="Arial"/>
          <w:noProof/>
          <w:szCs w:val="20"/>
        </w:rPr>
        <w:noBreakHyphen/>
        <w:t>11</w:t>
      </w:r>
      <w:r w:rsidRPr="005060E0">
        <w:rPr>
          <w:szCs w:val="20"/>
        </w:rPr>
        <w:fldChar w:fldCharType="end"/>
      </w:r>
      <w:r w:rsidRPr="005060E0">
        <w:rPr>
          <w:szCs w:val="20"/>
        </w:rPr>
        <w:t>.</w:t>
      </w:r>
      <w:r w:rsidRPr="005060E0">
        <w:rPr>
          <w:lang w:eastAsia="en-AU"/>
        </w:rPr>
        <w:t xml:space="preserve"> The results show that t</w:t>
      </w:r>
      <w:r w:rsidR="00704BAC" w:rsidRPr="005060E0">
        <w:rPr>
          <w:lang w:eastAsia="en-AU"/>
        </w:rPr>
        <w:t xml:space="preserve">here is a substantial </w:t>
      </w:r>
      <w:r w:rsidRPr="005060E0">
        <w:rPr>
          <w:lang w:eastAsia="en-AU"/>
        </w:rPr>
        <w:t>health burden associated with exposure to recent historical levels of O</w:t>
      </w:r>
      <w:r w:rsidRPr="005060E0">
        <w:rPr>
          <w:vertAlign w:val="subscript"/>
          <w:lang w:eastAsia="en-AU"/>
        </w:rPr>
        <w:t>3</w:t>
      </w:r>
      <w:r w:rsidRPr="005060E0">
        <w:rPr>
          <w:lang w:eastAsia="en-AU"/>
        </w:rPr>
        <w:t xml:space="preserve">, particularly in the </w:t>
      </w:r>
      <w:r w:rsidR="0052172F">
        <w:rPr>
          <w:lang w:eastAsia="en-AU"/>
        </w:rPr>
        <w:t>major</w:t>
      </w:r>
      <w:r w:rsidR="0052172F" w:rsidRPr="005060E0">
        <w:rPr>
          <w:lang w:eastAsia="en-AU"/>
        </w:rPr>
        <w:t xml:space="preserve"> </w:t>
      </w:r>
      <w:r w:rsidRPr="005060E0">
        <w:rPr>
          <w:lang w:eastAsia="en-AU"/>
        </w:rPr>
        <w:t>cities. In Sydney and Melbourne</w:t>
      </w:r>
      <w:r w:rsidR="00B27A58" w:rsidRPr="005060E0">
        <w:rPr>
          <w:lang w:eastAsia="en-AU"/>
        </w:rPr>
        <w:t>,</w:t>
      </w:r>
      <w:r w:rsidRPr="005060E0">
        <w:rPr>
          <w:lang w:eastAsia="en-AU"/>
        </w:rPr>
        <w:t xml:space="preserve"> the health burden is projected to increase substantially in the future under the BAU scenario. </w:t>
      </w:r>
    </w:p>
    <w:p w14:paraId="7751EFFC" w14:textId="7144AD94" w:rsidR="00A52AD4" w:rsidRPr="005060E0" w:rsidRDefault="00A52AD4" w:rsidP="00A52AD4">
      <w:pPr>
        <w:rPr>
          <w:lang w:eastAsia="en-AU"/>
        </w:rPr>
      </w:pPr>
      <w:r w:rsidRPr="005060E0">
        <w:rPr>
          <w:lang w:eastAsia="en-AU"/>
        </w:rPr>
        <w:t>Overall, the Abatement Package scenario did not have a large effect on health outcomes. The abatement measures resulted in only small reductions in health outcomes in 2031 and 2040. In Melbourne in 2021, the year in which it was assumed that the abatement measures would be implemented, there was a predicted increase in the attributable health effects due to O</w:t>
      </w:r>
      <w:r w:rsidRPr="005060E0">
        <w:rPr>
          <w:vertAlign w:val="subscript"/>
          <w:lang w:eastAsia="en-AU"/>
        </w:rPr>
        <w:t>3</w:t>
      </w:r>
      <w:r w:rsidRPr="005060E0">
        <w:rPr>
          <w:lang w:eastAsia="en-AU"/>
        </w:rPr>
        <w:t xml:space="preserve">. The reasons for this are </w:t>
      </w:r>
      <w:r w:rsidR="00B27A58" w:rsidRPr="005060E0">
        <w:rPr>
          <w:lang w:eastAsia="en-AU"/>
        </w:rPr>
        <w:t>unknown but</w:t>
      </w:r>
      <w:r w:rsidRPr="005060E0">
        <w:rPr>
          <w:lang w:eastAsia="en-AU"/>
        </w:rPr>
        <w:t xml:space="preserve"> are likely to be due in part to the complex photochemistry between NO</w:t>
      </w:r>
      <w:r w:rsidRPr="005060E0">
        <w:rPr>
          <w:vertAlign w:val="subscript"/>
          <w:lang w:eastAsia="en-AU"/>
        </w:rPr>
        <w:t>2</w:t>
      </w:r>
      <w:r w:rsidRPr="005060E0">
        <w:rPr>
          <w:lang w:eastAsia="en-AU"/>
        </w:rPr>
        <w:t xml:space="preserve"> and O</w:t>
      </w:r>
      <w:r w:rsidRPr="005060E0">
        <w:rPr>
          <w:vertAlign w:val="subscript"/>
          <w:lang w:eastAsia="en-AU"/>
        </w:rPr>
        <w:t>3</w:t>
      </w:r>
      <w:r w:rsidRPr="005060E0">
        <w:rPr>
          <w:lang w:eastAsia="en-AU"/>
        </w:rPr>
        <w:t>.</w:t>
      </w:r>
    </w:p>
    <w:p w14:paraId="7FD33DD8" w14:textId="365A00DF" w:rsidR="00A52AD4" w:rsidRPr="005060E0" w:rsidRDefault="00A52AD4" w:rsidP="00A52AD4">
      <w:pPr>
        <w:widowControl w:val="0"/>
        <w:rPr>
          <w:lang w:eastAsia="en-AU"/>
        </w:rPr>
      </w:pPr>
      <w:r w:rsidRPr="005060E0">
        <w:rPr>
          <w:lang w:eastAsia="en-AU"/>
        </w:rPr>
        <w:t>The numbers of health outcomes associated with meeting the O</w:t>
      </w:r>
      <w:r w:rsidRPr="005060E0">
        <w:rPr>
          <w:vertAlign w:val="subscript"/>
          <w:lang w:eastAsia="en-AU"/>
        </w:rPr>
        <w:t>3</w:t>
      </w:r>
      <w:r w:rsidRPr="005060E0">
        <w:rPr>
          <w:lang w:eastAsia="en-AU"/>
        </w:rPr>
        <w:t xml:space="preserve"> standards are given in Appendix B (Annexure C, Section C.2). The implementation of the Abatement Package did not lead to the meeting of the proposed 1-hour standard for O</w:t>
      </w:r>
      <w:r w:rsidRPr="005060E0">
        <w:rPr>
          <w:vertAlign w:val="subscript"/>
          <w:lang w:eastAsia="en-AU"/>
        </w:rPr>
        <w:t>3</w:t>
      </w:r>
      <w:r w:rsidRPr="005060E0">
        <w:rPr>
          <w:lang w:eastAsia="en-AU"/>
        </w:rPr>
        <w:t xml:space="preserve"> of 70 ppb. The 85 ppb and 100 ppb proposed standards were met with the Abatement Package. The numbers of health outcomes avoided in the Australian airsheds by compliance with the proposed 1-hour standards for O</w:t>
      </w:r>
      <w:r w:rsidRPr="005060E0">
        <w:rPr>
          <w:vertAlign w:val="subscript"/>
          <w:lang w:eastAsia="en-AU"/>
        </w:rPr>
        <w:t>3</w:t>
      </w:r>
      <w:r w:rsidRPr="005060E0">
        <w:rPr>
          <w:lang w:eastAsia="en-AU"/>
        </w:rPr>
        <w:t xml:space="preserve"> of 70, 85 and 100 ppb are presented in </w:t>
      </w:r>
      <w:r w:rsidRPr="005060E0">
        <w:rPr>
          <w:lang w:eastAsia="en-AU"/>
        </w:rPr>
        <w:fldChar w:fldCharType="begin"/>
      </w:r>
      <w:r w:rsidRPr="005060E0">
        <w:rPr>
          <w:lang w:eastAsia="en-AU"/>
        </w:rPr>
        <w:instrText xml:space="preserve"> REF _Ref508547210 \h </w:instrText>
      </w:r>
      <w:r w:rsidRPr="005060E0">
        <w:rPr>
          <w:lang w:eastAsia="en-AU"/>
        </w:rPr>
      </w:r>
      <w:r w:rsidRPr="005060E0">
        <w:rPr>
          <w:lang w:eastAsia="en-AU"/>
        </w:rPr>
        <w:fldChar w:fldCharType="separate"/>
      </w:r>
      <w:r w:rsidR="00F2067C" w:rsidRPr="005060E0">
        <w:rPr>
          <w:rFonts w:cs="Arial"/>
        </w:rPr>
        <w:t xml:space="preserve">Table </w:t>
      </w:r>
      <w:r w:rsidR="00F2067C">
        <w:rPr>
          <w:rFonts w:cs="Arial"/>
          <w:noProof/>
        </w:rPr>
        <w:t>8</w:t>
      </w:r>
      <w:r w:rsidR="00F2067C" w:rsidRPr="005060E0">
        <w:rPr>
          <w:rFonts w:cs="Arial"/>
        </w:rPr>
        <w:noBreakHyphen/>
      </w:r>
      <w:r w:rsidR="00F2067C">
        <w:rPr>
          <w:rFonts w:cs="Arial"/>
          <w:noProof/>
        </w:rPr>
        <w:t>12</w:t>
      </w:r>
      <w:r w:rsidRPr="005060E0">
        <w:rPr>
          <w:lang w:eastAsia="en-AU"/>
        </w:rPr>
        <w:fldChar w:fldCharType="end"/>
      </w:r>
      <w:r w:rsidRPr="005060E0">
        <w:rPr>
          <w:lang w:eastAsia="en-AU"/>
        </w:rPr>
        <w:t xml:space="preserve">, </w:t>
      </w:r>
      <w:r w:rsidRPr="005060E0">
        <w:rPr>
          <w:lang w:eastAsia="en-AU"/>
        </w:rPr>
        <w:fldChar w:fldCharType="begin"/>
      </w:r>
      <w:r w:rsidRPr="005060E0">
        <w:rPr>
          <w:lang w:eastAsia="en-AU"/>
        </w:rPr>
        <w:instrText xml:space="preserve"> REF _Ref508547212 \h </w:instrText>
      </w:r>
      <w:r w:rsidRPr="005060E0">
        <w:rPr>
          <w:lang w:eastAsia="en-AU"/>
        </w:rPr>
      </w:r>
      <w:r w:rsidRPr="005060E0">
        <w:rPr>
          <w:lang w:eastAsia="en-AU"/>
        </w:rPr>
        <w:fldChar w:fldCharType="separate"/>
      </w:r>
      <w:r w:rsidR="00F2067C" w:rsidRPr="005060E0">
        <w:rPr>
          <w:rFonts w:cs="Arial"/>
        </w:rPr>
        <w:t xml:space="preserve">Table </w:t>
      </w:r>
      <w:r w:rsidR="00F2067C">
        <w:rPr>
          <w:rFonts w:cs="Arial"/>
          <w:noProof/>
        </w:rPr>
        <w:t>8</w:t>
      </w:r>
      <w:r w:rsidR="00F2067C" w:rsidRPr="005060E0">
        <w:rPr>
          <w:rFonts w:cs="Arial"/>
        </w:rPr>
        <w:noBreakHyphen/>
      </w:r>
      <w:r w:rsidR="00F2067C">
        <w:rPr>
          <w:rFonts w:cs="Arial"/>
          <w:noProof/>
        </w:rPr>
        <w:t>13</w:t>
      </w:r>
      <w:r w:rsidRPr="005060E0">
        <w:rPr>
          <w:lang w:eastAsia="en-AU"/>
        </w:rPr>
        <w:fldChar w:fldCharType="end"/>
      </w:r>
      <w:r w:rsidRPr="005060E0">
        <w:rPr>
          <w:lang w:eastAsia="en-AU"/>
        </w:rPr>
        <w:t xml:space="preserve">, and </w:t>
      </w:r>
      <w:r w:rsidRPr="005060E0">
        <w:rPr>
          <w:lang w:eastAsia="en-AU"/>
        </w:rPr>
        <w:fldChar w:fldCharType="begin"/>
      </w:r>
      <w:r w:rsidRPr="005060E0">
        <w:rPr>
          <w:lang w:eastAsia="en-AU"/>
        </w:rPr>
        <w:instrText xml:space="preserve"> REF _Ref508547214 \h </w:instrText>
      </w:r>
      <w:r w:rsidRPr="005060E0">
        <w:rPr>
          <w:lang w:eastAsia="en-AU"/>
        </w:rPr>
      </w:r>
      <w:r w:rsidRPr="005060E0">
        <w:rPr>
          <w:lang w:eastAsia="en-AU"/>
        </w:rPr>
        <w:fldChar w:fldCharType="separate"/>
      </w:r>
      <w:r w:rsidR="00F2067C" w:rsidRPr="005060E0">
        <w:rPr>
          <w:rFonts w:cs="Arial"/>
        </w:rPr>
        <w:t xml:space="preserve">Table </w:t>
      </w:r>
      <w:r w:rsidR="00F2067C">
        <w:rPr>
          <w:rFonts w:cs="Arial"/>
          <w:noProof/>
        </w:rPr>
        <w:t>8</w:t>
      </w:r>
      <w:r w:rsidR="00F2067C" w:rsidRPr="005060E0">
        <w:rPr>
          <w:rFonts w:cs="Arial"/>
        </w:rPr>
        <w:noBreakHyphen/>
      </w:r>
      <w:r w:rsidR="00F2067C">
        <w:rPr>
          <w:rFonts w:cs="Arial"/>
          <w:noProof/>
        </w:rPr>
        <w:t>14</w:t>
      </w:r>
      <w:r w:rsidRPr="005060E0">
        <w:rPr>
          <w:lang w:eastAsia="en-AU"/>
        </w:rPr>
        <w:fldChar w:fldCharType="end"/>
      </w:r>
      <w:r w:rsidRPr="005060E0">
        <w:rPr>
          <w:lang w:eastAsia="en-AU"/>
        </w:rPr>
        <w:t xml:space="preserve"> respectively.</w:t>
      </w:r>
    </w:p>
    <w:p w14:paraId="5D8E5D41" w14:textId="77777777" w:rsidR="00BA2AE2" w:rsidRPr="005060E0" w:rsidRDefault="00BA2AE2" w:rsidP="00BA2AE2">
      <w:pPr>
        <w:pStyle w:val="Heading3"/>
        <w:rPr>
          <w:lang w:eastAsia="en-AU"/>
        </w:rPr>
      </w:pPr>
      <w:r w:rsidRPr="005060E0">
        <w:rPr>
          <w:lang w:eastAsia="en-AU"/>
        </w:rPr>
        <w:t>What does the CBA tell us?</w:t>
      </w:r>
    </w:p>
    <w:p w14:paraId="399C664D" w14:textId="0023C28D" w:rsidR="00BA2AE2" w:rsidRPr="005060E0" w:rsidRDefault="00BA2AE2" w:rsidP="00BA2AE2">
      <w:pPr>
        <w:rPr>
          <w:szCs w:val="20"/>
        </w:rPr>
      </w:pPr>
      <w:r w:rsidRPr="005060E0">
        <w:rPr>
          <w:szCs w:val="20"/>
        </w:rPr>
        <w:t xml:space="preserve">The abatement measures modelled were clearly not </w:t>
      </w:r>
      <w:r w:rsidR="00F61D32" w:rsidRPr="005060E0">
        <w:rPr>
          <w:szCs w:val="20"/>
        </w:rPr>
        <w:t xml:space="preserve">economically efficient </w:t>
      </w:r>
      <w:r w:rsidR="005B3113" w:rsidRPr="005060E0">
        <w:rPr>
          <w:szCs w:val="20"/>
        </w:rPr>
        <w:t xml:space="preserve">at the national level for </w:t>
      </w:r>
      <w:r w:rsidRPr="005060E0">
        <w:rPr>
          <w:szCs w:val="20"/>
        </w:rPr>
        <w:t>O</w:t>
      </w:r>
      <w:r w:rsidR="005B3113" w:rsidRPr="005060E0">
        <w:rPr>
          <w:szCs w:val="20"/>
          <w:vertAlign w:val="subscript"/>
        </w:rPr>
        <w:t>3</w:t>
      </w:r>
      <w:r w:rsidRPr="005060E0">
        <w:rPr>
          <w:szCs w:val="20"/>
        </w:rPr>
        <w:t>, with a</w:t>
      </w:r>
      <w:r w:rsidR="005B3113" w:rsidRPr="005060E0">
        <w:rPr>
          <w:szCs w:val="20"/>
        </w:rPr>
        <w:t xml:space="preserve"> cost of $430 m</w:t>
      </w:r>
      <w:r w:rsidRPr="005060E0">
        <w:rPr>
          <w:szCs w:val="20"/>
        </w:rPr>
        <w:t>illion and a benefit of $</w:t>
      </w:r>
      <w:r w:rsidR="005B3113" w:rsidRPr="005060E0">
        <w:rPr>
          <w:szCs w:val="20"/>
        </w:rPr>
        <w:t>20</w:t>
      </w:r>
      <w:r w:rsidRPr="005060E0">
        <w:rPr>
          <w:szCs w:val="20"/>
        </w:rPr>
        <w:t xml:space="preserve"> million</w:t>
      </w:r>
      <w:r w:rsidR="009E1687" w:rsidRPr="005060E0">
        <w:rPr>
          <w:szCs w:val="20"/>
        </w:rPr>
        <w:t xml:space="preserve"> under CRF Group 1. In fact, the CBA showed that the package of abatement measures was uneconomic regardless of CRF group adopted</w:t>
      </w:r>
      <w:r w:rsidRPr="005060E0">
        <w:rPr>
          <w:szCs w:val="20"/>
        </w:rPr>
        <w:t>. T</w:t>
      </w:r>
      <w:r w:rsidRPr="005060E0">
        <w:t>he benefits were relatively low</w:t>
      </w:r>
      <w:r w:rsidR="005B3113" w:rsidRPr="005060E0">
        <w:t>, partly</w:t>
      </w:r>
      <w:r w:rsidRPr="005060E0">
        <w:t xml:space="preserve"> because of the </w:t>
      </w:r>
      <w:r w:rsidR="005B3113" w:rsidRPr="005060E0">
        <w:t xml:space="preserve">low population where </w:t>
      </w:r>
      <w:r w:rsidRPr="005060E0">
        <w:t xml:space="preserve">reductions </w:t>
      </w:r>
      <w:r w:rsidR="005B3113" w:rsidRPr="005060E0">
        <w:t>in concentration</w:t>
      </w:r>
      <w:r w:rsidRPr="005060E0">
        <w:t xml:space="preserve"> would occur</w:t>
      </w:r>
      <w:r w:rsidR="005B3113" w:rsidRPr="005060E0">
        <w:t>, and partly because of the complex, non-linear relationships between changes in O</w:t>
      </w:r>
      <w:r w:rsidR="005B3113" w:rsidRPr="005060E0">
        <w:rPr>
          <w:vertAlign w:val="subscript"/>
        </w:rPr>
        <w:t>3</w:t>
      </w:r>
      <w:r w:rsidR="005B3113" w:rsidRPr="005060E0">
        <w:t xml:space="preserve"> concentrations and changes in precursor emissions</w:t>
      </w:r>
      <w:r w:rsidRPr="005060E0">
        <w:t>.</w:t>
      </w:r>
    </w:p>
    <w:p w14:paraId="641EE289" w14:textId="61E79D74" w:rsidR="00F55AD6" w:rsidRPr="005060E0" w:rsidRDefault="00F55AD6" w:rsidP="00B81325">
      <w:pPr>
        <w:pStyle w:val="Heading2"/>
        <w:numPr>
          <w:ilvl w:val="1"/>
          <w:numId w:val="52"/>
        </w:numPr>
      </w:pPr>
      <w:bookmarkStart w:id="241" w:name="_Ref508619512"/>
      <w:bookmarkStart w:id="242" w:name="_Toc3278989"/>
      <w:r w:rsidRPr="005060E0">
        <w:t>Recommendations</w:t>
      </w:r>
      <w:bookmarkEnd w:id="241"/>
      <w:bookmarkEnd w:id="242"/>
    </w:p>
    <w:p w14:paraId="0FE58EB8" w14:textId="48A0460E" w:rsidR="00F55AD6" w:rsidRPr="005060E0" w:rsidRDefault="00F55AD6" w:rsidP="008230E3">
      <w:pPr>
        <w:pStyle w:val="Heading3"/>
      </w:pPr>
      <w:r w:rsidRPr="005060E0">
        <w:t>What O</w:t>
      </w:r>
      <w:r w:rsidRPr="005060E0">
        <w:rPr>
          <w:vertAlign w:val="subscript"/>
        </w:rPr>
        <w:t>3</w:t>
      </w:r>
      <w:r w:rsidRPr="005060E0">
        <w:t xml:space="preserve"> standards should be adopted to protect health?</w:t>
      </w:r>
    </w:p>
    <w:p w14:paraId="468FC738" w14:textId="069D97FA" w:rsidR="008230E3" w:rsidRPr="005060E0" w:rsidRDefault="008230E3" w:rsidP="008230E3">
      <w:r w:rsidRPr="005060E0">
        <w:t>The following sections provide the recommendations for the variation of the O</w:t>
      </w:r>
      <w:r w:rsidRPr="005060E0">
        <w:rPr>
          <w:vertAlign w:val="subscript"/>
        </w:rPr>
        <w:t>3</w:t>
      </w:r>
      <w:r w:rsidRPr="005060E0">
        <w:t xml:space="preserve"> standards in the AAQ NEPM, and the supporting rationale.</w:t>
      </w:r>
    </w:p>
    <w:p w14:paraId="4662E64E" w14:textId="6BDD3B6A" w:rsidR="009772AA" w:rsidRPr="005060E0" w:rsidRDefault="009772AA" w:rsidP="009772AA">
      <w:pPr>
        <w:pStyle w:val="Heading4"/>
      </w:pPr>
      <w:r w:rsidRPr="005060E0">
        <w:t xml:space="preserve">1-hour </w:t>
      </w:r>
      <w:r w:rsidR="009F0509" w:rsidRPr="005060E0">
        <w:t xml:space="preserve">and 4-hour </w:t>
      </w:r>
      <w:r w:rsidRPr="005060E0">
        <w:t>standard</w:t>
      </w:r>
      <w:r w:rsidR="009F0509" w:rsidRPr="005060E0">
        <w:t>s</w:t>
      </w:r>
    </w:p>
    <w:p w14:paraId="60CB68E4" w14:textId="76EB531E" w:rsidR="005A6400" w:rsidRPr="005060E0" w:rsidRDefault="00C14F6B" w:rsidP="005A6400">
      <w:r w:rsidRPr="005060E0">
        <w:t>The 1-hour and 4-hour forms of the Australian O</w:t>
      </w:r>
      <w:r w:rsidRPr="005060E0">
        <w:rPr>
          <w:vertAlign w:val="subscript"/>
        </w:rPr>
        <w:t>3</w:t>
      </w:r>
      <w:r w:rsidRPr="005060E0">
        <w:t xml:space="preserve"> standard were established in 1998. Since that time new health science information has become available to better guide the most appropriate form of the O</w:t>
      </w:r>
      <w:r w:rsidRPr="005060E0">
        <w:rPr>
          <w:vertAlign w:val="subscript"/>
        </w:rPr>
        <w:t>3</w:t>
      </w:r>
      <w:r w:rsidRPr="005060E0">
        <w:t xml:space="preserve"> standard. </w:t>
      </w:r>
      <w:r w:rsidR="005A6400" w:rsidRPr="005060E0">
        <w:t>In particular, t</w:t>
      </w:r>
      <w:r w:rsidR="0081690E" w:rsidRPr="005060E0">
        <w:t>he REVIHAAP project concluded that epidemiological evidence supported health estimates based on daily maximum 8-hour O</w:t>
      </w:r>
      <w:r w:rsidR="0081690E" w:rsidRPr="005060E0">
        <w:rPr>
          <w:vertAlign w:val="subscript"/>
        </w:rPr>
        <w:t>3</w:t>
      </w:r>
      <w:r w:rsidR="0081690E" w:rsidRPr="005060E0">
        <w:t xml:space="preserve"> (WHO 2013b). </w:t>
      </w:r>
      <w:r w:rsidR="00063AC7">
        <w:t xml:space="preserve">The </w:t>
      </w:r>
      <w:r w:rsidR="0081690E" w:rsidRPr="005060E0">
        <w:t>WHO did not find evidence that a 1</w:t>
      </w:r>
      <w:r w:rsidR="0081690E" w:rsidRPr="005060E0">
        <w:noBreakHyphen/>
        <w:t>hour standard provided any additional health protection.</w:t>
      </w:r>
      <w:r w:rsidR="005A6400" w:rsidRPr="005060E0">
        <w:t xml:space="preserve"> Epidemiological studies have not focused on a 4-hour averaging period, so evidence is not available to assess the benefits and drawbacks of a 4-hour averaging period. While it is not clear there is an epidemiological reason for using a 4-hour averaging period, it is clear that the 8-hour averaging period appropriately represents the daily exposure.</w:t>
      </w:r>
    </w:p>
    <w:p w14:paraId="516A175D" w14:textId="631F0168" w:rsidR="0081690E" w:rsidRPr="005060E0" w:rsidRDefault="0081690E" w:rsidP="0081690E">
      <w:pPr>
        <w:rPr>
          <w:szCs w:val="20"/>
        </w:rPr>
      </w:pPr>
      <w:r w:rsidRPr="005060E0">
        <w:rPr>
          <w:szCs w:val="20"/>
        </w:rPr>
        <w:t xml:space="preserve">The 1-hour standard is used in Australia but is not used by the USEPA, EU, UK or Canada, nor is it recommended by </w:t>
      </w:r>
      <w:r w:rsidR="00063AC7">
        <w:rPr>
          <w:szCs w:val="20"/>
        </w:rPr>
        <w:t xml:space="preserve">the </w:t>
      </w:r>
      <w:r w:rsidRPr="005060E0">
        <w:rPr>
          <w:szCs w:val="20"/>
        </w:rPr>
        <w:t>WHO</w:t>
      </w:r>
      <w:r w:rsidRPr="005060E0">
        <w:t>. A 1-hour standard is only applied in Australia, New Zealand and California. The standard in Australia is less stringent than in the other locations.</w:t>
      </w:r>
      <w:r w:rsidRPr="005060E0">
        <w:rPr>
          <w:szCs w:val="20"/>
        </w:rPr>
        <w:t xml:space="preserve"> The 4-hour averaging period, which is included in the AAQ NEPM, is not used outside Australia</w:t>
      </w:r>
      <w:r w:rsidRPr="005060E0">
        <w:t>, and it has not been considered as a standard by the WHO.</w:t>
      </w:r>
    </w:p>
    <w:p w14:paraId="7DDB6461" w14:textId="0E76F46E" w:rsidR="009F0509" w:rsidRPr="005060E0" w:rsidRDefault="008230E3" w:rsidP="00230609">
      <w:r w:rsidRPr="005060E0">
        <w:t>Because O</w:t>
      </w:r>
      <w:r w:rsidRPr="005060E0">
        <w:rPr>
          <w:vertAlign w:val="subscript"/>
        </w:rPr>
        <w:t>3</w:t>
      </w:r>
      <w:r w:rsidRPr="005060E0">
        <w:t xml:space="preserve"> is a secondary pollutant </w:t>
      </w:r>
      <w:r w:rsidR="00063AC7">
        <w:t>that</w:t>
      </w:r>
      <w:r w:rsidR="00063AC7" w:rsidRPr="005060E0">
        <w:t xml:space="preserve"> </w:t>
      </w:r>
      <w:r w:rsidRPr="005060E0">
        <w:t>forms in the atmosphere over a period of hours, peak 1-hour O</w:t>
      </w:r>
      <w:r w:rsidRPr="005060E0">
        <w:rPr>
          <w:vertAlign w:val="subscript"/>
        </w:rPr>
        <w:t>3</w:t>
      </w:r>
      <w:r w:rsidRPr="005060E0">
        <w:t xml:space="preserve"> exposures do not occur in isolation but as part of a photochemical smog event or burn with a duration of many hours. This is apparent in the Australian monitoring data. For example, in the last decade, the 1-hour NEPM standard has not been exceeded in Victoria, and has rarely been exceeded in NSW, in the absence of exceedances of a hypothetical rolling 8-hour standard.</w:t>
      </w:r>
      <w:r w:rsidR="005A6400" w:rsidRPr="005060E0">
        <w:t xml:space="preserve"> </w:t>
      </w:r>
      <w:r w:rsidR="00C14F6B" w:rsidRPr="005060E0">
        <w:t>A rolling 8-hour standard captures all O</w:t>
      </w:r>
      <w:r w:rsidR="00C14F6B" w:rsidRPr="005060E0">
        <w:rPr>
          <w:vertAlign w:val="subscript"/>
        </w:rPr>
        <w:t>3</w:t>
      </w:r>
      <w:r w:rsidR="00C14F6B" w:rsidRPr="005060E0">
        <w:t xml:space="preserve"> events from 1</w:t>
      </w:r>
      <w:r w:rsidR="00D16C58">
        <w:rPr>
          <w:rFonts w:cs="Arial"/>
        </w:rPr>
        <w:t>–</w:t>
      </w:r>
      <w:r w:rsidR="00C14F6B" w:rsidRPr="005060E0">
        <w:t xml:space="preserve">8 hours and is now commonly applied by </w:t>
      </w:r>
      <w:r w:rsidRPr="005060E0">
        <w:t xml:space="preserve">the </w:t>
      </w:r>
      <w:r w:rsidR="00C14F6B" w:rsidRPr="005060E0">
        <w:t>nations with the tightest air pollution standards. This 8</w:t>
      </w:r>
      <w:r w:rsidR="00063AC7">
        <w:noBreakHyphen/>
      </w:r>
      <w:r w:rsidR="00C14F6B" w:rsidRPr="005060E0">
        <w:t>hour standard is a controlling standard that can generally also enable 1-hour and 4-hour O</w:t>
      </w:r>
      <w:r w:rsidR="00C14F6B" w:rsidRPr="005060E0">
        <w:rPr>
          <w:vertAlign w:val="subscript"/>
        </w:rPr>
        <w:t>3</w:t>
      </w:r>
      <w:r w:rsidR="00C91F63" w:rsidRPr="005060E0">
        <w:t xml:space="preserve"> values to be met. </w:t>
      </w:r>
    </w:p>
    <w:p w14:paraId="427D6FD8" w14:textId="792D59B8" w:rsidR="004B00CE" w:rsidRPr="005060E0" w:rsidRDefault="005A6400" w:rsidP="00EF2FD6">
      <w:pPr>
        <w:rPr>
          <w:rFonts w:cs="Arial"/>
        </w:rPr>
      </w:pPr>
      <w:r w:rsidRPr="005060E0">
        <w:rPr>
          <w:rFonts w:cs="Arial"/>
        </w:rPr>
        <w:t>Based on the above, it would be appropriate to remove the 1-hour and 4-hour O</w:t>
      </w:r>
      <w:r w:rsidRPr="005060E0">
        <w:rPr>
          <w:rFonts w:cs="Arial"/>
          <w:vertAlign w:val="subscript"/>
        </w:rPr>
        <w:t>3</w:t>
      </w:r>
      <w:r w:rsidRPr="005060E0">
        <w:rPr>
          <w:rFonts w:cs="Arial"/>
        </w:rPr>
        <w:t xml:space="preserve"> standards from the </w:t>
      </w:r>
      <w:r w:rsidR="0062453C" w:rsidRPr="005060E0">
        <w:rPr>
          <w:rFonts w:cs="Arial"/>
        </w:rPr>
        <w:t>AAQ NEPM and</w:t>
      </w:r>
      <w:r w:rsidRPr="005060E0">
        <w:rPr>
          <w:rFonts w:cs="Arial"/>
        </w:rPr>
        <w:t xml:space="preserve"> replac</w:t>
      </w:r>
      <w:r w:rsidR="0062453C" w:rsidRPr="005060E0">
        <w:rPr>
          <w:rFonts w:cs="Arial"/>
        </w:rPr>
        <w:t>e</w:t>
      </w:r>
      <w:r w:rsidRPr="005060E0">
        <w:rPr>
          <w:rFonts w:cs="Arial"/>
        </w:rPr>
        <w:t xml:space="preserve"> them with a (more appropriate) rolling 8-hour standard (see below). Maintaining 1-hour and 4-hour</w:t>
      </w:r>
      <w:r w:rsidR="004B00CE" w:rsidRPr="005060E0">
        <w:rPr>
          <w:rFonts w:cs="Arial"/>
        </w:rPr>
        <w:t xml:space="preserve"> standard</w:t>
      </w:r>
      <w:r w:rsidRPr="005060E0">
        <w:rPr>
          <w:rFonts w:cs="Arial"/>
        </w:rPr>
        <w:t>s when an 8-hour</w:t>
      </w:r>
      <w:r w:rsidR="004B00CE" w:rsidRPr="005060E0">
        <w:rPr>
          <w:rFonts w:cs="Arial"/>
        </w:rPr>
        <w:t xml:space="preserve"> standard is introduced would </w:t>
      </w:r>
      <w:r w:rsidRPr="005060E0">
        <w:rPr>
          <w:rFonts w:cs="Arial"/>
        </w:rPr>
        <w:t xml:space="preserve">also </w:t>
      </w:r>
      <w:r w:rsidR="004B00CE" w:rsidRPr="005060E0">
        <w:rPr>
          <w:rFonts w:cs="Arial"/>
        </w:rPr>
        <w:t>unnecessarily duplicate reporting</w:t>
      </w:r>
      <w:r w:rsidR="00063AC7">
        <w:rPr>
          <w:rFonts w:cs="Arial"/>
        </w:rPr>
        <w:t>,</w:t>
      </w:r>
      <w:r w:rsidR="004B00CE" w:rsidRPr="005060E0">
        <w:rPr>
          <w:rFonts w:cs="Arial"/>
        </w:rPr>
        <w:t xml:space="preserve"> while not providing additional health protection.</w:t>
      </w:r>
    </w:p>
    <w:p w14:paraId="45ACC2B5" w14:textId="15013D9A" w:rsidR="00C91F63" w:rsidRPr="005060E0" w:rsidRDefault="005A6400" w:rsidP="005A6400">
      <w:pPr>
        <w:spacing w:after="360"/>
      </w:pPr>
      <w:r w:rsidRPr="005060E0">
        <w:t>However, i</w:t>
      </w:r>
      <w:r w:rsidR="00C91F63" w:rsidRPr="005060E0">
        <w:t xml:space="preserve">n the Australian context, it is recognised there would be some benefit to tracking </w:t>
      </w:r>
      <w:r w:rsidR="00063AC7">
        <w:t xml:space="preserve">historical </w:t>
      </w:r>
      <w:r w:rsidR="00C91F63" w:rsidRPr="005060E0">
        <w:t>1-hour O</w:t>
      </w:r>
      <w:r w:rsidR="00C91F63" w:rsidRPr="005060E0">
        <w:rPr>
          <w:vertAlign w:val="subscript"/>
        </w:rPr>
        <w:t>3</w:t>
      </w:r>
      <w:r w:rsidR="00C91F63" w:rsidRPr="005060E0">
        <w:t xml:space="preserve"> trends. </w:t>
      </w:r>
      <w:r w:rsidRPr="005060E0">
        <w:t>In addition, it is worth noting that t</w:t>
      </w:r>
      <w:r w:rsidR="00696C6E" w:rsidRPr="005060E0">
        <w:t>he EU only applies an 8-hour O</w:t>
      </w:r>
      <w:r w:rsidR="00696C6E" w:rsidRPr="005060E0">
        <w:rPr>
          <w:vertAlign w:val="subscript"/>
        </w:rPr>
        <w:t>3</w:t>
      </w:r>
      <w:r w:rsidR="00696C6E" w:rsidRPr="005060E0">
        <w:t xml:space="preserve"> standard</w:t>
      </w:r>
      <w:r w:rsidR="00FF06B1">
        <w:t>,</w:t>
      </w:r>
      <w:r w:rsidR="00696C6E" w:rsidRPr="005060E0">
        <w:t xml:space="preserve"> but it also uses a 1-hour </w:t>
      </w:r>
      <w:r w:rsidR="00BB1AE6" w:rsidRPr="005060E0">
        <w:t xml:space="preserve">community information </w:t>
      </w:r>
      <w:r w:rsidR="00696C6E" w:rsidRPr="005060E0">
        <w:t xml:space="preserve">value on the basis that an 8-hour period is too long for triggering an information release. Information warnings based on 8-hour averages would be delivered too late to avoid adverse health consequences (NEPC 2005). </w:t>
      </w:r>
      <w:r w:rsidR="00C91F63" w:rsidRPr="005060E0">
        <w:t>Therefore, it is recommended that jurisdictions continue to record and report 1</w:t>
      </w:r>
      <w:r w:rsidR="00FF06B1">
        <w:noBreakHyphen/>
      </w:r>
      <w:r w:rsidR="00C91F63" w:rsidRPr="005060E0">
        <w:t>hour O</w:t>
      </w:r>
      <w:r w:rsidR="00C91F63" w:rsidRPr="005060E0">
        <w:rPr>
          <w:vertAlign w:val="subscript"/>
        </w:rPr>
        <w:t>3</w:t>
      </w:r>
      <w:r w:rsidR="00FF06B1">
        <w:t xml:space="preserve"> concentrations</w:t>
      </w:r>
      <w:r w:rsidR="00C91F63" w:rsidRPr="005060E0">
        <w:t xml:space="preserve"> </w:t>
      </w:r>
      <w:r w:rsidR="00FF06B1">
        <w:t>so that d</w:t>
      </w:r>
      <w:r w:rsidR="00C91F63" w:rsidRPr="005060E0">
        <w:t xml:space="preserve">ata </w:t>
      </w:r>
      <w:r w:rsidR="00FF06B1">
        <w:t xml:space="preserve">continue to be available </w:t>
      </w:r>
      <w:r w:rsidR="00C91F63" w:rsidRPr="005060E0">
        <w:t>for analysis. For this reason, it is recommended that a 1-hour O</w:t>
      </w:r>
      <w:r w:rsidR="00C91F63" w:rsidRPr="005060E0">
        <w:rPr>
          <w:vertAlign w:val="subscript"/>
        </w:rPr>
        <w:t>3</w:t>
      </w:r>
      <w:r w:rsidR="00C91F63" w:rsidRPr="005060E0">
        <w:t xml:space="preserve"> communi</w:t>
      </w:r>
      <w:r w:rsidR="00BB1AE6" w:rsidRPr="005060E0">
        <w:t xml:space="preserve">ty health information </w:t>
      </w:r>
      <w:r w:rsidR="00C91F63" w:rsidRPr="005060E0">
        <w:t>value or alternative forecast mechanism is used by states and territories to provide quick community health alerts in conjunction with an 8-hour standard.</w:t>
      </w:r>
    </w:p>
    <w:p w14:paraId="64EA87E1" w14:textId="6FBCCF28" w:rsidR="009772AA" w:rsidRPr="005060E0" w:rsidRDefault="004F4B59" w:rsidP="0077021A">
      <w:pPr>
        <w:spacing w:after="120" w:line="288" w:lineRule="auto"/>
        <w:rPr>
          <w:rFonts w:asciiTheme="minorHAnsi" w:hAnsiTheme="minorHAnsi" w:cstheme="minorHAnsi"/>
          <w:szCs w:val="20"/>
        </w:rPr>
      </w:pPr>
      <w:r w:rsidRPr="005060E0">
        <w:rPr>
          <w:rFonts w:asciiTheme="minorHAnsi" w:hAnsiTheme="minorHAnsi" w:cstheme="minorHAnsi"/>
          <w:noProof/>
          <w:szCs w:val="20"/>
          <w:lang w:eastAsia="en-AU"/>
        </w:rPr>
        <mc:AlternateContent>
          <mc:Choice Requires="wps">
            <w:drawing>
              <wp:inline distT="0" distB="0" distL="0" distR="0" wp14:anchorId="396423CC" wp14:editId="00A559BA">
                <wp:extent cx="6086475" cy="787179"/>
                <wp:effectExtent l="0" t="0" r="28575" b="13335"/>
                <wp:docPr id="675" name="Text Box 675"/>
                <wp:cNvGraphicFramePr/>
                <a:graphic xmlns:a="http://schemas.openxmlformats.org/drawingml/2006/main">
                  <a:graphicData uri="http://schemas.microsoft.com/office/word/2010/wordprocessingShape">
                    <wps:wsp>
                      <wps:cNvSpPr txBox="1"/>
                      <wps:spPr>
                        <a:xfrm>
                          <a:off x="0" y="0"/>
                          <a:ext cx="6086475" cy="787179"/>
                        </a:xfrm>
                        <a:prstGeom prst="rect">
                          <a:avLst/>
                        </a:prstGeom>
                        <a:solidFill>
                          <a:schemeClr val="tx2">
                            <a:lumMod val="20000"/>
                            <a:lumOff val="80000"/>
                          </a:schemeClr>
                        </a:solidFill>
                        <a:ln w="6350">
                          <a:solidFill>
                            <a:schemeClr val="tx2">
                              <a:lumMod val="40000"/>
                              <a:lumOff val="60000"/>
                            </a:schemeClr>
                          </a:solidFill>
                        </a:ln>
                      </wps:spPr>
                      <wps:txbx>
                        <w:txbxContent>
                          <w:p w14:paraId="01BEE49B" w14:textId="0CDF2569" w:rsidR="00B246FA" w:rsidRDefault="00B246FA" w:rsidP="004F4B59">
                            <w:pPr>
                              <w:pStyle w:val="ListBullet"/>
                              <w:numPr>
                                <w:ilvl w:val="0"/>
                                <w:numId w:val="0"/>
                              </w:numPr>
                            </w:pPr>
                            <w:r>
                              <w:rPr>
                                <w:b/>
                              </w:rPr>
                              <w:t>Recommendation 17</w:t>
                            </w:r>
                            <w:r w:rsidRPr="00C14F6B">
                              <w:rPr>
                                <w:b/>
                              </w:rPr>
                              <w:t>:</w:t>
                            </w:r>
                            <w:r>
                              <w:t xml:space="preserve"> T</w:t>
                            </w:r>
                            <w:r w:rsidRPr="00AE616A">
                              <w:t xml:space="preserve">he </w:t>
                            </w:r>
                            <w:r>
                              <w:t>current 1-hour and 4-hour</w:t>
                            </w:r>
                            <w:r w:rsidRPr="00D93132">
                              <w:t xml:space="preserve"> standard</w:t>
                            </w:r>
                            <w:r>
                              <w:t xml:space="preserve">s for </w:t>
                            </w:r>
                            <w:r w:rsidRPr="00D93132">
                              <w:t>O</w:t>
                            </w:r>
                            <w:r>
                              <w:rPr>
                                <w:vertAlign w:val="subscript"/>
                              </w:rPr>
                              <w:t>3</w:t>
                            </w:r>
                            <w:r w:rsidRPr="00D93132">
                              <w:t xml:space="preserve"> should be removed from the AAQ NEPM.</w:t>
                            </w:r>
                          </w:p>
                          <w:p w14:paraId="709BB431" w14:textId="67AAEBA2" w:rsidR="00B246FA" w:rsidRDefault="00B246FA" w:rsidP="00C91F63">
                            <w:pPr>
                              <w:pStyle w:val="ListBullet"/>
                              <w:numPr>
                                <w:ilvl w:val="0"/>
                                <w:numId w:val="0"/>
                              </w:numPr>
                            </w:pPr>
                            <w:r>
                              <w:rPr>
                                <w:b/>
                              </w:rPr>
                              <w:t>Recommendation 18</w:t>
                            </w:r>
                            <w:r w:rsidRPr="00C14F6B">
                              <w:rPr>
                                <w:b/>
                              </w:rPr>
                              <w:t>:</w:t>
                            </w:r>
                            <w:r>
                              <w:t xml:space="preserve"> Jurisdictions should continue to record and report 1-hour O</w:t>
                            </w:r>
                            <w:r w:rsidRPr="00C91F63">
                              <w:rPr>
                                <w:vertAlign w:val="subscript"/>
                              </w:rPr>
                              <w:t>3</w:t>
                            </w:r>
                            <w:r>
                              <w:t xml:space="preserve"> concentrations</w:t>
                            </w:r>
                            <w:r w:rsidRPr="00D93132">
                              <w:t>.</w:t>
                            </w:r>
                          </w:p>
                          <w:p w14:paraId="1F30BBF2" w14:textId="77777777" w:rsidR="00B246FA" w:rsidRPr="00AE616A" w:rsidRDefault="00B246FA" w:rsidP="004F4B59">
                            <w:pPr>
                              <w:pStyle w:val="ListBullet"/>
                              <w:numPr>
                                <w:ilvl w:val="0"/>
                                <w:numId w:val="0"/>
                              </w:numPr>
                            </w:pPr>
                          </w:p>
                          <w:p w14:paraId="6F7828A9" w14:textId="77777777" w:rsidR="00B246FA" w:rsidRDefault="00B246FA" w:rsidP="004F4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6423CC" id="Text Box 675" o:spid="_x0000_s1048" type="#_x0000_t202" style="width:479.2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tndcQIAACMFAAAOAAAAZHJzL2Uyb0RvYy54bWysVMlu2zAQvRfoPxC8N5Jdx3aEyIGbIEWB&#10;NAngFDnTFBUL4FaStpR+fR8py3HS5VD0Ig1nhrO9Nzy/6JQkO+F8Y3RJRyc5JUJzUzX6qaTfHq4/&#10;zCnxgemKSaNFSZ+FpxeL9+/OW1uIsdkYWQlHEET7orUl3YRgiyzzfCMU8yfGCg1jbZxiAUf3lFWO&#10;tYiuZDbO82nWGldZZ7jwHtqr3kgXKX5dCx7u6tqLQGRJUVtIX5e+6/jNFueseHLMbhq+L4P9QxWK&#10;NRpJD6GuWGBk65pfQqmGO+NNHU64UZmp64aL1AO6GeVvulltmBWpFwzH28OY/P8Ly2939440VUmn&#10;s1NKNFMA6UF0gXwyHYk6TKi1voDjysI1dDAA6UHvoYyNd7VT8Y+WCOyY9fNhvjEch3Kaz6eTmIbD&#10;NpvPRrOzGCZ7uW2dD5+FUSQKJXXAL42V7W586F0Hl5jMG9lU142U6RA5Iy6lIzsGtEM3TlflVn01&#10;Va8DY/I95lCDGb16PqhRSWJejJLqepVAatKiiY+neQr8yna49ufkkyELK46TTwf135LDJjUqikj0&#10;E49S6NZdwm48HuBYm+oZKDnTM91bft1glDfMh3vmQG0Ag3UNd/jU0qAfs5co2Rj343f66A/GwUpJ&#10;i1Upqf++ZU5QIr9ocPFsNJnE3UqHyelsjIM7tqyPLXqrLg3wGeFhsDyJ0T/IQaydUY/Y6mXMChPT&#10;HLkB6CBehn6B8SpwsVwmJ2yTZeFGryyPoSMfIlEeukfm7J5NATy8NcNSseINqXrfeFOb5TaYukmM&#10;i4Pup7qfPzYxcWP/asRVPz4nr5e3bfETAAD//wMAUEsDBBQABgAIAAAAIQDcYtVM3AAAAAUBAAAP&#10;AAAAZHJzL2Rvd25yZXYueG1sTI/NTsMwEITvSLyDtUjcqE1EUJvGqfgpcKYtor1t4yWJGttR7LTp&#10;27NwgctIqxnNfJsvRtuKI/Wh8U7D7USBIFd607hKw2b9cjMFESI6g613pOFMARbF5UWOmfEn907H&#10;VawEl7iQoYY6xi6TMpQ1WQwT35Fj78v3FiOffSVNjycut61MlLqXFhvHCzV29FRTeVgNVsMjfRx2&#10;qcLl6zbZnJ/Xy8/dMHvT+vpqfJiDiDTGvzD84DM6FMy094MzQbQa+JH4q+zN0mkKYs+h5E6BLHL5&#10;n774BgAA//8DAFBLAQItABQABgAIAAAAIQC2gziS/gAAAOEBAAATAAAAAAAAAAAAAAAAAAAAAABb&#10;Q29udGVudF9UeXBlc10ueG1sUEsBAi0AFAAGAAgAAAAhADj9If/WAAAAlAEAAAsAAAAAAAAAAAAA&#10;AAAALwEAAF9yZWxzLy5yZWxzUEsBAi0AFAAGAAgAAAAhAMzW2d1xAgAAIwUAAA4AAAAAAAAAAAAA&#10;AAAALgIAAGRycy9lMm9Eb2MueG1sUEsBAi0AFAAGAAgAAAAhANxi1UzcAAAABQEAAA8AAAAAAAAA&#10;AAAAAAAAywQAAGRycy9kb3ducmV2LnhtbFBLBQYAAAAABAAEAPMAAADUBQAAAAA=&#10;" fillcolor="#dedfe3 [671]" strokecolor="#bdbfc8 [1311]" strokeweight=".5pt">
                <v:textbox>
                  <w:txbxContent>
                    <w:p w14:paraId="01BEE49B" w14:textId="0CDF2569" w:rsidR="00B246FA" w:rsidRDefault="00B246FA" w:rsidP="004F4B59">
                      <w:pPr>
                        <w:pStyle w:val="ListBullet"/>
                        <w:numPr>
                          <w:ilvl w:val="0"/>
                          <w:numId w:val="0"/>
                        </w:numPr>
                      </w:pPr>
                      <w:r>
                        <w:rPr>
                          <w:b/>
                        </w:rPr>
                        <w:t>Recommendation 17</w:t>
                      </w:r>
                      <w:r w:rsidRPr="00C14F6B">
                        <w:rPr>
                          <w:b/>
                        </w:rPr>
                        <w:t>:</w:t>
                      </w:r>
                      <w:r>
                        <w:t xml:space="preserve"> T</w:t>
                      </w:r>
                      <w:r w:rsidRPr="00AE616A">
                        <w:t xml:space="preserve">he </w:t>
                      </w:r>
                      <w:r>
                        <w:t>current 1-hour and 4-hour</w:t>
                      </w:r>
                      <w:r w:rsidRPr="00D93132">
                        <w:t xml:space="preserve"> standard</w:t>
                      </w:r>
                      <w:r>
                        <w:t xml:space="preserve">s for </w:t>
                      </w:r>
                      <w:r w:rsidRPr="00D93132">
                        <w:t>O</w:t>
                      </w:r>
                      <w:r>
                        <w:rPr>
                          <w:vertAlign w:val="subscript"/>
                        </w:rPr>
                        <w:t>3</w:t>
                      </w:r>
                      <w:r w:rsidRPr="00D93132">
                        <w:t xml:space="preserve"> should be removed from the AAQ NEPM.</w:t>
                      </w:r>
                    </w:p>
                    <w:p w14:paraId="709BB431" w14:textId="67AAEBA2" w:rsidR="00B246FA" w:rsidRDefault="00B246FA" w:rsidP="00C91F63">
                      <w:pPr>
                        <w:pStyle w:val="ListBullet"/>
                        <w:numPr>
                          <w:ilvl w:val="0"/>
                          <w:numId w:val="0"/>
                        </w:numPr>
                      </w:pPr>
                      <w:r>
                        <w:rPr>
                          <w:b/>
                        </w:rPr>
                        <w:t>Recommendation 18</w:t>
                      </w:r>
                      <w:r w:rsidRPr="00C14F6B">
                        <w:rPr>
                          <w:b/>
                        </w:rPr>
                        <w:t>:</w:t>
                      </w:r>
                      <w:r>
                        <w:t xml:space="preserve"> Jurisdictions should continue to record and report 1-hour O</w:t>
                      </w:r>
                      <w:r w:rsidRPr="00C91F63">
                        <w:rPr>
                          <w:vertAlign w:val="subscript"/>
                        </w:rPr>
                        <w:t>3</w:t>
                      </w:r>
                      <w:r>
                        <w:t xml:space="preserve"> concentrations</w:t>
                      </w:r>
                      <w:r w:rsidRPr="00D93132">
                        <w:t>.</w:t>
                      </w:r>
                    </w:p>
                    <w:p w14:paraId="1F30BBF2" w14:textId="77777777" w:rsidR="00B246FA" w:rsidRPr="00AE616A" w:rsidRDefault="00B246FA" w:rsidP="004F4B59">
                      <w:pPr>
                        <w:pStyle w:val="ListBullet"/>
                        <w:numPr>
                          <w:ilvl w:val="0"/>
                          <w:numId w:val="0"/>
                        </w:numPr>
                      </w:pPr>
                    </w:p>
                    <w:p w14:paraId="6F7828A9" w14:textId="77777777" w:rsidR="00B246FA" w:rsidRDefault="00B246FA" w:rsidP="004F4B59"/>
                  </w:txbxContent>
                </v:textbox>
                <w10:anchorlock/>
              </v:shape>
            </w:pict>
          </mc:Fallback>
        </mc:AlternateContent>
      </w:r>
    </w:p>
    <w:p w14:paraId="35DD9B72" w14:textId="1FEE84B5" w:rsidR="009772AA" w:rsidRPr="005060E0" w:rsidRDefault="009772AA" w:rsidP="009772AA">
      <w:pPr>
        <w:pStyle w:val="Heading4"/>
      </w:pPr>
      <w:r w:rsidRPr="005060E0">
        <w:t>8-hour standard</w:t>
      </w:r>
    </w:p>
    <w:p w14:paraId="4A8CA645" w14:textId="6BA4F1B1" w:rsidR="009C2EA8" w:rsidRPr="005060E0" w:rsidRDefault="008230E3" w:rsidP="009C2EA8">
      <w:pPr>
        <w:widowControl w:val="0"/>
        <w:rPr>
          <w:rFonts w:cs="Arial"/>
          <w:szCs w:val="20"/>
        </w:rPr>
      </w:pPr>
      <w:r w:rsidRPr="005060E0">
        <w:rPr>
          <w:rFonts w:asciiTheme="minorHAnsi" w:hAnsiTheme="minorHAnsi" w:cstheme="minorHAnsi"/>
          <w:szCs w:val="20"/>
        </w:rPr>
        <w:t>The only WHO guideline for O</w:t>
      </w:r>
      <w:r w:rsidRPr="005060E0">
        <w:rPr>
          <w:rFonts w:asciiTheme="minorHAnsi" w:hAnsiTheme="minorHAnsi" w:cstheme="minorHAnsi"/>
          <w:szCs w:val="20"/>
          <w:vertAlign w:val="subscript"/>
        </w:rPr>
        <w:t>3</w:t>
      </w:r>
      <w:r w:rsidRPr="005060E0">
        <w:rPr>
          <w:rFonts w:asciiTheme="minorHAnsi" w:hAnsiTheme="minorHAnsi" w:cstheme="minorHAnsi"/>
          <w:szCs w:val="20"/>
        </w:rPr>
        <w:t xml:space="preserve"> is for the daily maximu</w:t>
      </w:r>
      <w:r w:rsidR="007C0600" w:rsidRPr="005060E0">
        <w:rPr>
          <w:rFonts w:asciiTheme="minorHAnsi" w:hAnsiTheme="minorHAnsi" w:cstheme="minorHAnsi"/>
          <w:szCs w:val="20"/>
        </w:rPr>
        <w:t xml:space="preserve">m </w:t>
      </w:r>
      <w:r w:rsidR="009C2EA8" w:rsidRPr="005060E0">
        <w:rPr>
          <w:rFonts w:asciiTheme="minorHAnsi" w:hAnsiTheme="minorHAnsi" w:cstheme="minorHAnsi"/>
          <w:szCs w:val="20"/>
        </w:rPr>
        <w:t xml:space="preserve">rolling </w:t>
      </w:r>
      <w:r w:rsidR="007C0600" w:rsidRPr="005060E0">
        <w:rPr>
          <w:rFonts w:asciiTheme="minorHAnsi" w:hAnsiTheme="minorHAnsi" w:cstheme="minorHAnsi"/>
          <w:szCs w:val="20"/>
        </w:rPr>
        <w:t>8-hour concentration (47 ppb</w:t>
      </w:r>
      <w:r w:rsidRPr="005060E0">
        <w:rPr>
          <w:rFonts w:asciiTheme="minorHAnsi" w:hAnsiTheme="minorHAnsi" w:cstheme="minorHAnsi"/>
          <w:szCs w:val="20"/>
        </w:rPr>
        <w:t>).</w:t>
      </w:r>
      <w:r w:rsidRPr="005060E0">
        <w:t xml:space="preserve"> </w:t>
      </w:r>
      <w:r w:rsidRPr="005060E0">
        <w:rPr>
          <w:szCs w:val="20"/>
        </w:rPr>
        <w:t>The 8-hour averaging period is the one in common use internationally, but it i</w:t>
      </w:r>
      <w:r w:rsidR="009C2EA8" w:rsidRPr="005060E0">
        <w:rPr>
          <w:szCs w:val="20"/>
        </w:rPr>
        <w:t>s not currently included in the AAQ NEPM.</w:t>
      </w:r>
      <w:r w:rsidR="009C2EA8" w:rsidRPr="005060E0">
        <w:rPr>
          <w:rFonts w:cs="Arial"/>
          <w:szCs w:val="20"/>
        </w:rPr>
        <w:t xml:space="preserve"> </w:t>
      </w:r>
      <w:r w:rsidR="009C2EA8" w:rsidRPr="005060E0">
        <w:t>As noted above, a rolling 8-hour standard captures all O</w:t>
      </w:r>
      <w:r w:rsidR="009C2EA8" w:rsidRPr="005060E0">
        <w:rPr>
          <w:vertAlign w:val="subscript"/>
        </w:rPr>
        <w:t>3</w:t>
      </w:r>
      <w:r w:rsidR="009C2EA8" w:rsidRPr="005060E0">
        <w:t xml:space="preserve"> events from 1</w:t>
      </w:r>
      <w:r w:rsidR="00D16C58">
        <w:rPr>
          <w:rFonts w:cs="Arial"/>
        </w:rPr>
        <w:t>–</w:t>
      </w:r>
      <w:r w:rsidR="009C2EA8" w:rsidRPr="005060E0">
        <w:t>8 hours and is now commonly applied by the nations with the tightest air pollution standards. This 8-hour standard is a controlling standard that can generally also enable 1-hour and 4-hour O</w:t>
      </w:r>
      <w:r w:rsidR="009C2EA8" w:rsidRPr="005060E0">
        <w:rPr>
          <w:vertAlign w:val="subscript"/>
        </w:rPr>
        <w:t>3</w:t>
      </w:r>
      <w:r w:rsidR="009C2EA8" w:rsidRPr="005060E0">
        <w:t xml:space="preserve"> values to be met.</w:t>
      </w:r>
    </w:p>
    <w:p w14:paraId="6391BB7B" w14:textId="6F1615E2" w:rsidR="00201EF5" w:rsidRPr="005060E0" w:rsidRDefault="009C2EA8" w:rsidP="00323767">
      <w:r w:rsidRPr="005060E0">
        <w:t xml:space="preserve">The analysis presented in this </w:t>
      </w:r>
      <w:r w:rsidR="00DF05A9" w:rsidRPr="005060E0">
        <w:t>Impact Statement</w:t>
      </w:r>
      <w:r w:rsidRPr="005060E0">
        <w:t xml:space="preserve"> has shown that the 8-hour standard of 47 ppb has been significantly exceeded historically in almost all airsheds, and exceedances are predicted in the future in NSW and Victoria. The proposed standards of 55 ppb and 60 ppb are also predicted to be exceeded in the BAU scenario, particularly in large cities. T</w:t>
      </w:r>
      <w:r w:rsidR="00323767" w:rsidRPr="005060E0">
        <w:t xml:space="preserve">here have been few historical exceedances of the 70 ppb standard, and few exceedances are also predicted for the future. The </w:t>
      </w:r>
      <w:r w:rsidR="00DF05A9" w:rsidRPr="005060E0">
        <w:t>Impact Statement</w:t>
      </w:r>
      <w:r w:rsidR="00323767" w:rsidRPr="005060E0">
        <w:t xml:space="preserve"> has shown there have been, and are likely</w:t>
      </w:r>
      <w:r w:rsidR="00201EF5" w:rsidRPr="005060E0">
        <w:t xml:space="preserve"> to be in the future, some</w:t>
      </w:r>
      <w:r w:rsidR="00323767" w:rsidRPr="005060E0">
        <w:t xml:space="preserve"> exceedances of the 60 ppb standard</w:t>
      </w:r>
      <w:r w:rsidRPr="005060E0">
        <w:t>.</w:t>
      </w:r>
    </w:p>
    <w:p w14:paraId="3BB90774" w14:textId="7BD9E9C3" w:rsidR="00323767" w:rsidRPr="005060E0" w:rsidRDefault="00201EF5" w:rsidP="003B56A0">
      <w:pPr>
        <w:spacing w:after="176"/>
      </w:pPr>
      <w:r w:rsidRPr="005060E0">
        <w:t xml:space="preserve">The 70 ppb standard is consistent with the status quo, as </w:t>
      </w:r>
      <w:r w:rsidR="003E5A82">
        <w:t xml:space="preserve">it </w:t>
      </w:r>
      <w:r w:rsidRPr="005060E0">
        <w:t>is roughly equivalent to the current 1-hour and 4</w:t>
      </w:r>
      <w:r w:rsidR="00053743" w:rsidRPr="005060E0">
        <w:noBreakHyphen/>
      </w:r>
      <w:r w:rsidRPr="005060E0">
        <w:t xml:space="preserve">hour standards, whereas a 60 ppb standard would introduce significant difficulties in terms </w:t>
      </w:r>
      <w:r w:rsidR="0000460E" w:rsidRPr="005060E0">
        <w:t xml:space="preserve">of </w:t>
      </w:r>
      <w:r w:rsidRPr="005060E0">
        <w:t xml:space="preserve">compliance issues in large cities, with a requirement for </w:t>
      </w:r>
      <w:r w:rsidR="009C2EA8" w:rsidRPr="005060E0">
        <w:t xml:space="preserve">a complex and </w:t>
      </w:r>
      <w:r w:rsidRPr="005060E0">
        <w:t>extensive</w:t>
      </w:r>
      <w:r w:rsidR="009C2EA8" w:rsidRPr="005060E0">
        <w:t xml:space="preserve"> package of abatement measures. </w:t>
      </w:r>
      <w:r w:rsidR="00323767" w:rsidRPr="005060E0">
        <w:t>Although it has not been inve</w:t>
      </w:r>
      <w:r w:rsidRPr="005060E0">
        <w:t xml:space="preserve">stigated in this </w:t>
      </w:r>
      <w:r w:rsidR="00DF05A9" w:rsidRPr="005060E0">
        <w:t>Impact Statement</w:t>
      </w:r>
      <w:r w:rsidRPr="005060E0">
        <w:t>, an intermediate</w:t>
      </w:r>
      <w:r w:rsidR="00323767" w:rsidRPr="005060E0">
        <w:t xml:space="preserve"> standard of 65 ppb </w:t>
      </w:r>
      <w:r w:rsidRPr="005060E0">
        <w:t xml:space="preserve">is therefore recommended for incorporation into the AAQ NEPM. </w:t>
      </w:r>
      <w:r w:rsidR="00CE41A6" w:rsidRPr="005060E0">
        <w:t xml:space="preserve">This is higher than the WHO guideline </w:t>
      </w:r>
      <w:r w:rsidR="00CE41A6">
        <w:t>and EU and UK standards, similar to Canada and stricter than the US. The difference between these standards also reduces once the form of the standard and allowable exceedances are considered (refer to Table 8-3)</w:t>
      </w:r>
      <w:r w:rsidR="00CE41A6" w:rsidRPr="005060E0">
        <w:t xml:space="preserve">. Whilst it should generally be </w:t>
      </w:r>
      <w:r w:rsidR="00CE41A6">
        <w:t xml:space="preserve">more </w:t>
      </w:r>
      <w:r w:rsidR="00CE41A6" w:rsidRPr="005060E0">
        <w:t>achievable in Australian jurisdictions</w:t>
      </w:r>
      <w:r w:rsidR="00CE41A6">
        <w:t xml:space="preserve"> than 60ppb</w:t>
      </w:r>
      <w:r w:rsidR="00CE41A6" w:rsidRPr="005060E0">
        <w:t xml:space="preserve">, it </w:t>
      </w:r>
      <w:r w:rsidR="00CE41A6">
        <w:t xml:space="preserve">would also </w:t>
      </w:r>
      <w:r w:rsidR="00CE41A6" w:rsidRPr="005060E0">
        <w:t>driv</w:t>
      </w:r>
      <w:r w:rsidR="00CE41A6">
        <w:t>e</w:t>
      </w:r>
      <w:r w:rsidR="00CE41A6" w:rsidRPr="005060E0">
        <w:t xml:space="preserve"> improvements in health.</w:t>
      </w:r>
    </w:p>
    <w:p w14:paraId="07DB95D9" w14:textId="3AAB0703" w:rsidR="003B56A0" w:rsidRPr="005060E0" w:rsidRDefault="003B56A0" w:rsidP="003B56A0">
      <w:pPr>
        <w:spacing w:after="0"/>
      </w:pPr>
      <w:r w:rsidRPr="005060E0">
        <w:t>The comparison between the historical measurements and the future predictions indicated that the models were potentially underestimating the numbers of exceedances for O</w:t>
      </w:r>
      <w:r w:rsidRPr="005060E0">
        <w:rPr>
          <w:vertAlign w:val="subscript"/>
        </w:rPr>
        <w:t>3</w:t>
      </w:r>
      <w:r w:rsidRPr="005060E0">
        <w:t xml:space="preserve"> in Sydney, and overestimating exceedances in the Port Phillip Region. This means that exceedances of the 65 ppb standard in Sydney may be more pronounced than the modelling has suggested.</w:t>
      </w:r>
    </w:p>
    <w:p w14:paraId="4E38D8AD" w14:textId="77777777" w:rsidR="00991C1D" w:rsidRPr="005060E0" w:rsidRDefault="00991C1D" w:rsidP="003B56A0">
      <w:pPr>
        <w:spacing w:after="0"/>
        <w:rPr>
          <w:rFonts w:cs="Arial"/>
        </w:rPr>
      </w:pPr>
    </w:p>
    <w:p w14:paraId="56896AFA" w14:textId="5FE8D41C" w:rsidR="009772AA" w:rsidRPr="005060E0" w:rsidRDefault="00B4207F" w:rsidP="0077021A">
      <w:pPr>
        <w:spacing w:after="120" w:line="288" w:lineRule="auto"/>
        <w:rPr>
          <w:rFonts w:asciiTheme="minorHAnsi" w:hAnsiTheme="minorHAnsi" w:cstheme="minorHAnsi"/>
          <w:szCs w:val="20"/>
        </w:rPr>
      </w:pPr>
      <w:r w:rsidRPr="005060E0">
        <w:rPr>
          <w:rFonts w:asciiTheme="minorHAnsi" w:hAnsiTheme="minorHAnsi" w:cstheme="minorHAnsi"/>
          <w:noProof/>
          <w:szCs w:val="20"/>
          <w:lang w:eastAsia="en-AU"/>
        </w:rPr>
        <mc:AlternateContent>
          <mc:Choice Requires="wps">
            <w:drawing>
              <wp:inline distT="0" distB="0" distL="0" distR="0" wp14:anchorId="0ECDA79C" wp14:editId="1F80F36D">
                <wp:extent cx="6086475" cy="962108"/>
                <wp:effectExtent l="0" t="0" r="28575" b="28575"/>
                <wp:docPr id="673" name="Text Box 673"/>
                <wp:cNvGraphicFramePr/>
                <a:graphic xmlns:a="http://schemas.openxmlformats.org/drawingml/2006/main">
                  <a:graphicData uri="http://schemas.microsoft.com/office/word/2010/wordprocessingShape">
                    <wps:wsp>
                      <wps:cNvSpPr txBox="1"/>
                      <wps:spPr>
                        <a:xfrm>
                          <a:off x="0" y="0"/>
                          <a:ext cx="6086475" cy="962108"/>
                        </a:xfrm>
                        <a:prstGeom prst="rect">
                          <a:avLst/>
                        </a:prstGeom>
                        <a:solidFill>
                          <a:schemeClr val="tx2">
                            <a:lumMod val="20000"/>
                            <a:lumOff val="80000"/>
                          </a:schemeClr>
                        </a:solidFill>
                        <a:ln w="6350">
                          <a:solidFill>
                            <a:schemeClr val="tx2">
                              <a:lumMod val="40000"/>
                              <a:lumOff val="60000"/>
                            </a:schemeClr>
                          </a:solidFill>
                        </a:ln>
                      </wps:spPr>
                      <wps:txbx>
                        <w:txbxContent>
                          <w:p w14:paraId="0D40D7DD" w14:textId="714D1773" w:rsidR="00B246FA" w:rsidRPr="00310CA6" w:rsidRDefault="00B246FA" w:rsidP="00310CA6">
                            <w:pPr>
                              <w:pStyle w:val="ListBullet"/>
                              <w:numPr>
                                <w:ilvl w:val="0"/>
                                <w:numId w:val="0"/>
                              </w:numPr>
                              <w:rPr>
                                <w:b/>
                              </w:rPr>
                            </w:pPr>
                            <w:r>
                              <w:rPr>
                                <w:b/>
                              </w:rPr>
                              <w:t>Recommendation 19</w:t>
                            </w:r>
                            <w:r w:rsidRPr="00C14F6B">
                              <w:rPr>
                                <w:b/>
                              </w:rPr>
                              <w:t>:</w:t>
                            </w:r>
                            <w:r w:rsidRPr="00C14F6B">
                              <w:t xml:space="preserve"> </w:t>
                            </w:r>
                            <w:r>
                              <w:t>A</w:t>
                            </w:r>
                            <w:r w:rsidRPr="00C14F6B">
                              <w:t xml:space="preserve"> rolling 8-hour standard for O</w:t>
                            </w:r>
                            <w:r w:rsidRPr="00C14F6B">
                              <w:rPr>
                                <w:vertAlign w:val="subscript"/>
                              </w:rPr>
                              <w:t>3</w:t>
                            </w:r>
                            <w:r w:rsidRPr="00C14F6B">
                              <w:t xml:space="preserve"> in the AAQ NEPM should be </w:t>
                            </w:r>
                            <w:r>
                              <w:t>introduc</w:t>
                            </w:r>
                            <w:r w:rsidRPr="00C14F6B">
                              <w:t>ed, and the numerical value of the standard should be 65 ppb.</w:t>
                            </w:r>
                          </w:p>
                          <w:p w14:paraId="0A9A8859" w14:textId="35897E7B" w:rsidR="00B246FA" w:rsidRPr="003E5A82" w:rsidRDefault="00B246FA" w:rsidP="00B4207F">
                            <w:pPr>
                              <w:pStyle w:val="ListBullet"/>
                              <w:numPr>
                                <w:ilvl w:val="0"/>
                                <w:numId w:val="0"/>
                              </w:numPr>
                              <w:spacing w:after="120"/>
                            </w:pPr>
                            <w:r>
                              <w:rPr>
                                <w:b/>
                              </w:rPr>
                              <w:t>Recommendation 20</w:t>
                            </w:r>
                            <w:r w:rsidRPr="00C14F6B">
                              <w:rPr>
                                <w:b/>
                              </w:rPr>
                              <w:t>:</w:t>
                            </w:r>
                            <w:r>
                              <w:t xml:space="preserve"> The 8-</w:t>
                            </w:r>
                            <w:r w:rsidRPr="004B00CE">
                              <w:t>hour standard should be reviewed in 2025, with the option of reducing it once there is a better understanding of O</w:t>
                            </w:r>
                            <w:r w:rsidRPr="004B00CE">
                              <w:rPr>
                                <w:vertAlign w:val="subscript"/>
                              </w:rPr>
                              <w:t>3</w:t>
                            </w:r>
                            <w:r w:rsidRPr="004B00CE">
                              <w:t xml:space="preserve"> generation in capital city airsheds.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CDA79C" id="Text Box 673" o:spid="_x0000_s1049" type="#_x0000_t202" style="width:479.2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TccgIAACMFAAAOAAAAZHJzL2Uyb0RvYy54bWysVF1P2zAUfZ+0/2D5fSQtpZSIFHUgpkkM&#10;kGDas+s4NJLj69luG/brd+w0pbCPh2kvyfW91/frnOvzi67VbKOcb8iUfHSUc6aMpKoxTyX/+nj9&#10;YcaZD8JUQpNRJX9Wnl/M378739pCjWlFulKOIYjxxdaWfBWCLbLMy5VqhT8iqwyMNblWBBzdU1Y5&#10;sUX0VmfjPJ9mW3KVdSSV99Be9UY+T/HrWslwV9deBaZLjtpC+rr0XcZvNj8XxZMTdtXIXRniH6po&#10;RWOQdB/qSgTB1q75JVTbSEee6nAkqc2orhupUg/oZpS/6eZhJaxKvWA43u7H5P9fWHm7uXesqUo+&#10;PT3mzIgWID2qLrCP1LGow4S21hdwfLBwDR0MQHrQeyhj413t2vhHSwx2zPp5P98YTkI5zWfTyekJ&#10;ZxK2s+l4lM9imOzltnU+fFLUsiiU3AG/NFaxufGhdx1cYjJPuqmuG63TIXJGXWrHNgJoh26crup1&#10;+4WqXgfG5DvMoQYzevVsUKOSxLwYJdX1KoE2bIsmjk/yFPiVbX/tz8knQxZRHCafDuq/JYdNG1QU&#10;kegnHqXQLbuE3XgP05KqZ6DkqGe6t/K6wShvhA/3woHaAAbrGu7wqTWhH9pJnK3I/fidPvqDcbBy&#10;tsWqlNx/XwunONOfDbh4NppM4m6lw+TkdIyDO7QsDy1m3V4S8BnhYbAyidE/6EGsHbXfsNWLmBUm&#10;YSRyA9BBvAz9AuNVkGqxSE7YJivCjXmwMoaOfIhEeey+CWd3bArg4S0NSyWKN6TqfeNNQ4t1oLpJ&#10;jIuD7qe6mz82MXFj92rEVT88J6+Xt23+EwAA//8DAFBLAwQUAAYACAAAACEAIbkyMNwAAAAFAQAA&#10;DwAAAGRycy9kb3ducmV2LnhtbEyPzU7DMBCE70i8g7VI3KjTSkFtiFPxU+BMWwS9beMliRqvo9hp&#10;07dn4QKXkVYzmvk2X46uVUfqQ+PZwHSSgCIuvW24MrDdPN/MQYWIbLH1TAbOFGBZXF7kmFl/4jc6&#10;rmOlpIRDhgbqGLtM61DW5DBMfEcs3pfvHUY5+0rbHk9S7lo9S5Jb7bBhWaixo8eaysN6cAYe6P2w&#10;SxNcvXzOtuenzepjNyxejbm+Gu/vQEUa418YfvAFHQph2vuBbVCtAXkk/qp4i3SegtpLKJ2moItc&#10;/6cvvgEAAP//AwBQSwECLQAUAAYACAAAACEAtoM4kv4AAADhAQAAEwAAAAAAAAAAAAAAAAAAAAAA&#10;W0NvbnRlbnRfVHlwZXNdLnhtbFBLAQItABQABgAIAAAAIQA4/SH/1gAAAJQBAAALAAAAAAAAAAAA&#10;AAAAAC8BAABfcmVscy8ucmVsc1BLAQItABQABgAIAAAAIQBFIATccgIAACMFAAAOAAAAAAAAAAAA&#10;AAAAAC4CAABkcnMvZTJvRG9jLnhtbFBLAQItABQABgAIAAAAIQAhuTIw3AAAAAUBAAAPAAAAAAAA&#10;AAAAAAAAAMwEAABkcnMvZG93bnJldi54bWxQSwUGAAAAAAQABADzAAAA1QUAAAAA&#10;" fillcolor="#dedfe3 [671]" strokecolor="#bdbfc8 [1311]" strokeweight=".5pt">
                <v:textbox>
                  <w:txbxContent>
                    <w:p w14:paraId="0D40D7DD" w14:textId="714D1773" w:rsidR="00B246FA" w:rsidRPr="00310CA6" w:rsidRDefault="00B246FA" w:rsidP="00310CA6">
                      <w:pPr>
                        <w:pStyle w:val="ListBullet"/>
                        <w:numPr>
                          <w:ilvl w:val="0"/>
                          <w:numId w:val="0"/>
                        </w:numPr>
                        <w:rPr>
                          <w:b/>
                        </w:rPr>
                      </w:pPr>
                      <w:r>
                        <w:rPr>
                          <w:b/>
                        </w:rPr>
                        <w:t>Recommendation 19</w:t>
                      </w:r>
                      <w:r w:rsidRPr="00C14F6B">
                        <w:rPr>
                          <w:b/>
                        </w:rPr>
                        <w:t>:</w:t>
                      </w:r>
                      <w:r w:rsidRPr="00C14F6B">
                        <w:t xml:space="preserve"> </w:t>
                      </w:r>
                      <w:r>
                        <w:t>A</w:t>
                      </w:r>
                      <w:r w:rsidRPr="00C14F6B">
                        <w:t xml:space="preserve"> rolling 8-hour standard for O</w:t>
                      </w:r>
                      <w:r w:rsidRPr="00C14F6B">
                        <w:rPr>
                          <w:vertAlign w:val="subscript"/>
                        </w:rPr>
                        <w:t>3</w:t>
                      </w:r>
                      <w:r w:rsidRPr="00C14F6B">
                        <w:t xml:space="preserve"> in the AAQ NEPM should be </w:t>
                      </w:r>
                      <w:r>
                        <w:t>introduc</w:t>
                      </w:r>
                      <w:r w:rsidRPr="00C14F6B">
                        <w:t>ed, and the numerical value of the standard should be 65 ppb.</w:t>
                      </w:r>
                    </w:p>
                    <w:p w14:paraId="0A9A8859" w14:textId="35897E7B" w:rsidR="00B246FA" w:rsidRPr="003E5A82" w:rsidRDefault="00B246FA" w:rsidP="00B4207F">
                      <w:pPr>
                        <w:pStyle w:val="ListBullet"/>
                        <w:numPr>
                          <w:ilvl w:val="0"/>
                          <w:numId w:val="0"/>
                        </w:numPr>
                        <w:spacing w:after="120"/>
                      </w:pPr>
                      <w:r>
                        <w:rPr>
                          <w:b/>
                        </w:rPr>
                        <w:t>Recommendation 20</w:t>
                      </w:r>
                      <w:r w:rsidRPr="00C14F6B">
                        <w:rPr>
                          <w:b/>
                        </w:rPr>
                        <w:t>:</w:t>
                      </w:r>
                      <w:r>
                        <w:t xml:space="preserve"> The 8-</w:t>
                      </w:r>
                      <w:r w:rsidRPr="004B00CE">
                        <w:t>hour standard should be reviewed in 2025, with the option of reducing it once there is a better understanding of O</w:t>
                      </w:r>
                      <w:r w:rsidRPr="004B00CE">
                        <w:rPr>
                          <w:vertAlign w:val="subscript"/>
                        </w:rPr>
                        <w:t>3</w:t>
                      </w:r>
                      <w:r w:rsidRPr="004B00CE">
                        <w:t xml:space="preserve"> generation in capital city airsheds.</w:t>
                      </w:r>
                    </w:p>
                  </w:txbxContent>
                </v:textbox>
                <w10:anchorlock/>
              </v:shape>
            </w:pict>
          </mc:Fallback>
        </mc:AlternateContent>
      </w:r>
    </w:p>
    <w:p w14:paraId="1DB471E0" w14:textId="77777777" w:rsidR="00F55AD6" w:rsidRPr="005060E0" w:rsidRDefault="00F55AD6" w:rsidP="008230E3">
      <w:pPr>
        <w:pStyle w:val="Heading3"/>
      </w:pPr>
      <w:r w:rsidRPr="005060E0">
        <w:t>What form should the standards take?</w:t>
      </w:r>
    </w:p>
    <w:p w14:paraId="7DC7A9A6" w14:textId="08C2C144" w:rsidR="00677312" w:rsidRPr="005060E0" w:rsidRDefault="00FA4D6C" w:rsidP="00FA4D6C">
      <w:r w:rsidRPr="005060E0">
        <w:t>In line with the recommendations for SO</w:t>
      </w:r>
      <w:r w:rsidRPr="005060E0">
        <w:rPr>
          <w:vertAlign w:val="subscript"/>
        </w:rPr>
        <w:t>2</w:t>
      </w:r>
      <w:r w:rsidRPr="005060E0">
        <w:t xml:space="preserve"> and NO</w:t>
      </w:r>
      <w:r w:rsidRPr="005060E0">
        <w:rPr>
          <w:vertAlign w:val="subscript"/>
        </w:rPr>
        <w:t>2</w:t>
      </w:r>
      <w:r w:rsidRPr="005060E0">
        <w:t>, as well as the WHO guideline</w:t>
      </w:r>
      <w:r w:rsidR="0033499A" w:rsidRPr="005060E0">
        <w:t xml:space="preserve"> and the approach adopted for PM in the AAQ NEPM</w:t>
      </w:r>
      <w:r w:rsidRPr="005060E0">
        <w:t>, t</w:t>
      </w:r>
      <w:r w:rsidR="00677312" w:rsidRPr="005060E0">
        <w:t>he form of the</w:t>
      </w:r>
      <w:r w:rsidRPr="005060E0">
        <w:t xml:space="preserve"> 8-hour</w:t>
      </w:r>
      <w:r w:rsidR="00677312" w:rsidRPr="005060E0">
        <w:t xml:space="preserve"> standard </w:t>
      </w:r>
      <w:r w:rsidRPr="005060E0">
        <w:t>for O</w:t>
      </w:r>
      <w:r w:rsidRPr="005060E0">
        <w:rPr>
          <w:vertAlign w:val="subscript"/>
        </w:rPr>
        <w:t>3</w:t>
      </w:r>
      <w:r w:rsidRPr="005060E0">
        <w:t xml:space="preserve"> </w:t>
      </w:r>
      <w:r w:rsidR="00677312" w:rsidRPr="005060E0">
        <w:t>should be the maximum value with no allowable exceedances.</w:t>
      </w:r>
    </w:p>
    <w:p w14:paraId="6F30D151" w14:textId="3D528107" w:rsidR="001202D0" w:rsidRPr="005060E0" w:rsidRDefault="003E45E2" w:rsidP="005C5ED4">
      <w:pPr>
        <w:spacing w:after="360"/>
      </w:pPr>
      <w:r w:rsidRPr="005060E0">
        <w:t>However, i</w:t>
      </w:r>
      <w:r w:rsidR="0033499A" w:rsidRPr="005060E0">
        <w:t xml:space="preserve">n several jurisdictions </w:t>
      </w:r>
      <w:r w:rsidR="00FA4D6C" w:rsidRPr="005060E0">
        <w:t>exceedances of the</w:t>
      </w:r>
      <w:r w:rsidR="0033499A" w:rsidRPr="005060E0">
        <w:t xml:space="preserve"> O</w:t>
      </w:r>
      <w:r w:rsidR="0033499A" w:rsidRPr="005060E0">
        <w:rPr>
          <w:vertAlign w:val="subscript"/>
        </w:rPr>
        <w:t>3</w:t>
      </w:r>
      <w:r w:rsidR="0033499A" w:rsidRPr="005060E0">
        <w:t xml:space="preserve"> </w:t>
      </w:r>
      <w:r w:rsidR="00FA4D6C" w:rsidRPr="005060E0">
        <w:t xml:space="preserve">standards are associated with major </w:t>
      </w:r>
      <w:r w:rsidR="001202D0" w:rsidRPr="005060E0">
        <w:t>fire events.</w:t>
      </w:r>
      <w:r w:rsidRPr="005060E0">
        <w:t xml:space="preserve"> A</w:t>
      </w:r>
      <w:r w:rsidR="00D852AA" w:rsidRPr="005060E0">
        <w:t>n exceptional</w:t>
      </w:r>
      <w:r w:rsidRPr="005060E0">
        <w:t xml:space="preserve"> event rule is therefore recommended</w:t>
      </w:r>
      <w:r w:rsidR="001202D0" w:rsidRPr="005060E0">
        <w:t xml:space="preserve"> for O</w:t>
      </w:r>
      <w:r w:rsidR="001202D0" w:rsidRPr="005060E0">
        <w:rPr>
          <w:vertAlign w:val="subscript"/>
        </w:rPr>
        <w:t>3</w:t>
      </w:r>
      <w:r w:rsidR="009C4DD0" w:rsidRPr="005060E0">
        <w:t>, with an approach that is consistent with that currently defined in the AAQ NEPM for PM</w:t>
      </w:r>
      <w:r w:rsidR="009C4DD0" w:rsidRPr="005060E0">
        <w:rPr>
          <w:vertAlign w:val="subscript"/>
        </w:rPr>
        <w:t>10</w:t>
      </w:r>
      <w:r w:rsidR="009C4DD0" w:rsidRPr="005060E0">
        <w:t xml:space="preserve"> and PM</w:t>
      </w:r>
      <w:r w:rsidR="009C4DD0" w:rsidRPr="005060E0">
        <w:rPr>
          <w:vertAlign w:val="subscript"/>
        </w:rPr>
        <w:t>2.5</w:t>
      </w:r>
      <w:r w:rsidR="009C4DD0" w:rsidRPr="005060E0">
        <w:t>. That is to say</w:t>
      </w:r>
      <w:r w:rsidR="009C4DD0" w:rsidRPr="005060E0">
        <w:rPr>
          <w:szCs w:val="20"/>
        </w:rPr>
        <w:t>, for the purpose of reporting compliance against an 8-hour O</w:t>
      </w:r>
      <w:r w:rsidR="009C4DD0" w:rsidRPr="005060E0">
        <w:rPr>
          <w:szCs w:val="20"/>
          <w:vertAlign w:val="subscript"/>
        </w:rPr>
        <w:t>3</w:t>
      </w:r>
      <w:r w:rsidR="009C4DD0" w:rsidRPr="005060E0">
        <w:rPr>
          <w:szCs w:val="20"/>
        </w:rPr>
        <w:t xml:space="preserve"> standard, jurisdictions should include all measured data, including monitoring data directly associated with an exceptional event.</w:t>
      </w:r>
      <w:r w:rsidR="009C4DD0" w:rsidRPr="005060E0">
        <w:t xml:space="preserve"> </w:t>
      </w:r>
      <w:r w:rsidRPr="005060E0">
        <w:t>T</w:t>
      </w:r>
      <w:r w:rsidR="001202D0" w:rsidRPr="005060E0">
        <w:t>he reporting protocol</w:t>
      </w:r>
      <w:r w:rsidR="009C4DD0" w:rsidRPr="005060E0">
        <w:t>s</w:t>
      </w:r>
      <w:r w:rsidR="001202D0" w:rsidRPr="005060E0">
        <w:t xml:space="preserve"> currently in place for PM would help jurisdictions to better understand the reasons for </w:t>
      </w:r>
      <w:r w:rsidR="009C4DD0" w:rsidRPr="005060E0">
        <w:t>O</w:t>
      </w:r>
      <w:r w:rsidR="009C4DD0" w:rsidRPr="005060E0">
        <w:rPr>
          <w:vertAlign w:val="subscript"/>
        </w:rPr>
        <w:t>3</w:t>
      </w:r>
      <w:r w:rsidR="009C4DD0" w:rsidRPr="005060E0">
        <w:t xml:space="preserve"> </w:t>
      </w:r>
      <w:r w:rsidR="001202D0" w:rsidRPr="005060E0">
        <w:t>exceedances.</w:t>
      </w:r>
    </w:p>
    <w:p w14:paraId="7E334740" w14:textId="26E87135" w:rsidR="005C5ED4" w:rsidRPr="005060E0" w:rsidRDefault="005C5ED4" w:rsidP="001202D0">
      <w:r w:rsidRPr="005060E0">
        <w:rPr>
          <w:rFonts w:asciiTheme="minorHAnsi" w:hAnsiTheme="minorHAnsi" w:cstheme="minorHAnsi"/>
          <w:noProof/>
          <w:szCs w:val="20"/>
          <w:lang w:eastAsia="en-AU"/>
        </w:rPr>
        <mc:AlternateContent>
          <mc:Choice Requires="wps">
            <w:drawing>
              <wp:inline distT="0" distB="0" distL="0" distR="0" wp14:anchorId="3E4BD3E6" wp14:editId="1CD44667">
                <wp:extent cx="6086475" cy="978010"/>
                <wp:effectExtent l="0" t="0" r="28575" b="12700"/>
                <wp:docPr id="679" name="Text Box 679"/>
                <wp:cNvGraphicFramePr/>
                <a:graphic xmlns:a="http://schemas.openxmlformats.org/drawingml/2006/main">
                  <a:graphicData uri="http://schemas.microsoft.com/office/word/2010/wordprocessingShape">
                    <wps:wsp>
                      <wps:cNvSpPr txBox="1"/>
                      <wps:spPr>
                        <a:xfrm>
                          <a:off x="0" y="0"/>
                          <a:ext cx="6086475" cy="978010"/>
                        </a:xfrm>
                        <a:prstGeom prst="rect">
                          <a:avLst/>
                        </a:prstGeom>
                        <a:solidFill>
                          <a:schemeClr val="tx2">
                            <a:lumMod val="20000"/>
                            <a:lumOff val="80000"/>
                          </a:schemeClr>
                        </a:solidFill>
                        <a:ln w="6350">
                          <a:solidFill>
                            <a:schemeClr val="tx2">
                              <a:lumMod val="40000"/>
                              <a:lumOff val="60000"/>
                            </a:schemeClr>
                          </a:solidFill>
                        </a:ln>
                      </wps:spPr>
                      <wps:txbx>
                        <w:txbxContent>
                          <w:p w14:paraId="2A3FE1FA" w14:textId="34246CC1" w:rsidR="00B246FA" w:rsidRPr="00310CA6" w:rsidRDefault="00B246FA" w:rsidP="00310CA6">
                            <w:pPr>
                              <w:pStyle w:val="ListBullet"/>
                              <w:numPr>
                                <w:ilvl w:val="0"/>
                                <w:numId w:val="0"/>
                              </w:numPr>
                              <w:rPr>
                                <w:b/>
                              </w:rPr>
                            </w:pPr>
                            <w:r>
                              <w:rPr>
                                <w:b/>
                              </w:rPr>
                              <w:t>Recommendation 21</w:t>
                            </w:r>
                            <w:r w:rsidRPr="00C14F6B">
                              <w:rPr>
                                <w:b/>
                              </w:rPr>
                              <w:t>:</w:t>
                            </w:r>
                            <w:r>
                              <w:t xml:space="preserve"> T</w:t>
                            </w:r>
                            <w:r w:rsidRPr="005C5ED4">
                              <w:t>he form of the 8-hour standard for O</w:t>
                            </w:r>
                            <w:r w:rsidRPr="005C5ED4">
                              <w:rPr>
                                <w:vertAlign w:val="subscript"/>
                              </w:rPr>
                              <w:t>3</w:t>
                            </w:r>
                            <w:r w:rsidRPr="005C5ED4">
                              <w:t xml:space="preserve"> should be the maximum value with no allowable exceedances</w:t>
                            </w:r>
                            <w:r>
                              <w:t xml:space="preserve"> (excluding exceptional events)</w:t>
                            </w:r>
                            <w:r w:rsidRPr="005C5ED4">
                              <w:t>.</w:t>
                            </w:r>
                          </w:p>
                          <w:p w14:paraId="6FCD0291" w14:textId="746CE4A7" w:rsidR="00B246FA" w:rsidRPr="005C5ED4" w:rsidRDefault="00B246FA" w:rsidP="005C5ED4">
                            <w:pPr>
                              <w:pStyle w:val="ListBullet"/>
                              <w:numPr>
                                <w:ilvl w:val="0"/>
                                <w:numId w:val="0"/>
                              </w:numPr>
                              <w:spacing w:after="120"/>
                            </w:pPr>
                            <w:r>
                              <w:rPr>
                                <w:b/>
                              </w:rPr>
                              <w:t>Recommendation 22</w:t>
                            </w:r>
                            <w:r w:rsidRPr="00C14F6B">
                              <w:rPr>
                                <w:b/>
                              </w:rPr>
                              <w:t>:</w:t>
                            </w:r>
                            <w:r>
                              <w:t xml:space="preserve"> </w:t>
                            </w:r>
                            <w:r w:rsidRPr="005C5ED4">
                              <w:t>An exceptional even</w:t>
                            </w:r>
                            <w:r>
                              <w:t xml:space="preserve">t rule should be implemented </w:t>
                            </w:r>
                            <w:r w:rsidRPr="005C5ED4">
                              <w:t>for O</w:t>
                            </w:r>
                            <w:r w:rsidRPr="005C5ED4">
                              <w:rPr>
                                <w:vertAlign w:val="subscript"/>
                              </w:rPr>
                              <w:t>3</w:t>
                            </w:r>
                            <w:r>
                              <w:t>, defined in a way that is consistent with the approach for PM</w:t>
                            </w:r>
                            <w:r w:rsidRPr="009C4DD0">
                              <w:rPr>
                                <w:vertAlign w:val="subscript"/>
                              </w:rPr>
                              <w:t>10</w:t>
                            </w:r>
                            <w:r>
                              <w:t xml:space="preserve"> and PM</w:t>
                            </w:r>
                            <w:r w:rsidRPr="009C4DD0">
                              <w:rPr>
                                <w:vertAlign w:val="subscript"/>
                              </w:rPr>
                              <w:t>2.5</w:t>
                            </w:r>
                            <w:r>
                              <w:t xml:space="preserve"> in the AAQ NEPM.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4BD3E6" id="Text Box 679" o:spid="_x0000_s1050" type="#_x0000_t202" style="width:479.2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FzcQIAACMFAAAOAAAAZHJzL2Uyb0RvYy54bWysVMlu2zAQvRfoPxC8N5Jdx4sQOXATpCiQ&#10;JgGSImeaomIB3ErSltKv7yNlOU66HIpepOHMcLb3hmfnnZJkJ5xvjC7p6CSnRGhuqkY/lfTbw9WH&#10;OSU+MF0xabQo6bPw9Hz5/t1ZawsxNhsjK+EIgmhftLakmxBskWWeb4Ri/sRYoWGsjVMs4Oiessqx&#10;FtGVzMZ5Ps1a4yrrDBfeQ3vZG+kyxa9rwcNtXXsRiCwpagvp69J3Hb/Z8owVT47ZTcP3ZbB/qEKx&#10;RiPpIdQlC4xsXfNLKNVwZ7ypwwk3KjN13XCRekA3o/xNN/cbZkXqBcPx9jAm///C8pvdnSNNVdLp&#10;bEGJZgogPYgukE+mI1GHCbXWF3C8t3ANHQxAetB7KGPjXe1U/KMlAjtm/XyYbwzHoZzm8+lkdkoJ&#10;h20xm6PjGCZ7uW2dD5+FUSQKJXXAL42V7a596F0Hl5jMG9lUV42U6RA5Iy6kIzsGtEM3TlflVn01&#10;Va8DY/I95lCDGb16PqhRSWJejJLqepVAatKiiY+neQr8yna49ufkkyELK46TTwf135LDJjUqikj0&#10;E49S6NZdwm48GeBYm+oZKDnTM91bftVglNfMhzvmQG0Ag3UNt/jU0qAfs5co2Rj343f66A/GwUpJ&#10;i1Upqf++ZU5QIr9ocHExmkzibqXD5HQ2xsEdW9bHFr1VFwb4jPAwWJ7E6B/kINbOqEds9SpmhYlp&#10;jtwAdBAvQr/AeBW4WK2SE7bJsnCt7y2PoSMfIlEeukfm7J5NATy8McNSseINqXrfeFOb1TaYukmM&#10;i4Pup7qfPzYxcWP/asRVPz4nr5e3bfkTAAD//wMAUEsDBBQABgAIAAAAIQCE5DIl3AAAAAUBAAAP&#10;AAAAZHJzL2Rvd25yZXYueG1sTI/NTsMwEITvSLyDtUjcqENFUBviVPwUONMWQW/beEmixusodtr0&#10;7Vm4wGWk1Yxmvs0Xo2vVgfrQeDZwPUlAEZfeNlwZ2Kyfr2agQkS22HomAycKsCjOz3LMrD/yGx1W&#10;sVJSwiFDA3WMXaZ1KGtyGCa+Ixbvy/cOo5x9pW2PRyl3rZ4mya122LAs1NjRY03lfjU4Aw/0vt+m&#10;CS5fPqeb09N6+bEd5q/GXF6M93egIo3xLww/+IIOhTDt/MA2qNaAPBJ/Vbx5OktB7SSU3iSgi1z/&#10;py++AQAA//8DAFBLAQItABQABgAIAAAAIQC2gziS/gAAAOEBAAATAAAAAAAAAAAAAAAAAAAAAABb&#10;Q29udGVudF9UeXBlc10ueG1sUEsBAi0AFAAGAAgAAAAhADj9If/WAAAAlAEAAAsAAAAAAAAAAAAA&#10;AAAALwEAAF9yZWxzLy5yZWxzUEsBAi0AFAAGAAgAAAAhAFk+YXNxAgAAIwUAAA4AAAAAAAAAAAAA&#10;AAAALgIAAGRycy9lMm9Eb2MueG1sUEsBAi0AFAAGAAgAAAAhAITkMiXcAAAABQEAAA8AAAAAAAAA&#10;AAAAAAAAywQAAGRycy9kb3ducmV2LnhtbFBLBQYAAAAABAAEAPMAAADUBQAAAAA=&#10;" fillcolor="#dedfe3 [671]" strokecolor="#bdbfc8 [1311]" strokeweight=".5pt">
                <v:textbox>
                  <w:txbxContent>
                    <w:p w14:paraId="2A3FE1FA" w14:textId="34246CC1" w:rsidR="00B246FA" w:rsidRPr="00310CA6" w:rsidRDefault="00B246FA" w:rsidP="00310CA6">
                      <w:pPr>
                        <w:pStyle w:val="ListBullet"/>
                        <w:numPr>
                          <w:ilvl w:val="0"/>
                          <w:numId w:val="0"/>
                        </w:numPr>
                        <w:rPr>
                          <w:b/>
                        </w:rPr>
                      </w:pPr>
                      <w:r>
                        <w:rPr>
                          <w:b/>
                        </w:rPr>
                        <w:t>Recommendation 21</w:t>
                      </w:r>
                      <w:r w:rsidRPr="00C14F6B">
                        <w:rPr>
                          <w:b/>
                        </w:rPr>
                        <w:t>:</w:t>
                      </w:r>
                      <w:r>
                        <w:t xml:space="preserve"> T</w:t>
                      </w:r>
                      <w:r w:rsidRPr="005C5ED4">
                        <w:t>he form of the 8-hour standard for O</w:t>
                      </w:r>
                      <w:r w:rsidRPr="005C5ED4">
                        <w:rPr>
                          <w:vertAlign w:val="subscript"/>
                        </w:rPr>
                        <w:t>3</w:t>
                      </w:r>
                      <w:r w:rsidRPr="005C5ED4">
                        <w:t xml:space="preserve"> should be the maximum value with no allowable exceedances</w:t>
                      </w:r>
                      <w:r>
                        <w:t xml:space="preserve"> (excluding exceptional events)</w:t>
                      </w:r>
                      <w:r w:rsidRPr="005C5ED4">
                        <w:t>.</w:t>
                      </w:r>
                    </w:p>
                    <w:p w14:paraId="6FCD0291" w14:textId="746CE4A7" w:rsidR="00B246FA" w:rsidRPr="005C5ED4" w:rsidRDefault="00B246FA" w:rsidP="005C5ED4">
                      <w:pPr>
                        <w:pStyle w:val="ListBullet"/>
                        <w:numPr>
                          <w:ilvl w:val="0"/>
                          <w:numId w:val="0"/>
                        </w:numPr>
                        <w:spacing w:after="120"/>
                      </w:pPr>
                      <w:r>
                        <w:rPr>
                          <w:b/>
                        </w:rPr>
                        <w:t>Recommendation 22</w:t>
                      </w:r>
                      <w:r w:rsidRPr="00C14F6B">
                        <w:rPr>
                          <w:b/>
                        </w:rPr>
                        <w:t>:</w:t>
                      </w:r>
                      <w:r>
                        <w:t xml:space="preserve"> </w:t>
                      </w:r>
                      <w:r w:rsidRPr="005C5ED4">
                        <w:t>An exceptional even</w:t>
                      </w:r>
                      <w:r>
                        <w:t xml:space="preserve">t rule should be implemented </w:t>
                      </w:r>
                      <w:r w:rsidRPr="005C5ED4">
                        <w:t>for O</w:t>
                      </w:r>
                      <w:r w:rsidRPr="005C5ED4">
                        <w:rPr>
                          <w:vertAlign w:val="subscript"/>
                        </w:rPr>
                        <w:t>3</w:t>
                      </w:r>
                      <w:r>
                        <w:t>, defined in a way that is consistent with the approach for PM</w:t>
                      </w:r>
                      <w:r w:rsidRPr="009C4DD0">
                        <w:rPr>
                          <w:vertAlign w:val="subscript"/>
                        </w:rPr>
                        <w:t>10</w:t>
                      </w:r>
                      <w:r>
                        <w:t xml:space="preserve"> and PM</w:t>
                      </w:r>
                      <w:r w:rsidRPr="009C4DD0">
                        <w:rPr>
                          <w:vertAlign w:val="subscript"/>
                        </w:rPr>
                        <w:t>2.5</w:t>
                      </w:r>
                      <w:r>
                        <w:t xml:space="preserve"> in the AAQ NEPM.</w:t>
                      </w:r>
                    </w:p>
                  </w:txbxContent>
                </v:textbox>
                <w10:anchorlock/>
              </v:shape>
            </w:pict>
          </mc:Fallback>
        </mc:AlternateContent>
      </w:r>
    </w:p>
    <w:p w14:paraId="347E9936" w14:textId="77777777" w:rsidR="005C5ED4" w:rsidRPr="005060E0" w:rsidRDefault="005C5ED4" w:rsidP="005C5ED4">
      <w:pPr>
        <w:pStyle w:val="Heading3"/>
        <w:rPr>
          <w:szCs w:val="20"/>
        </w:rPr>
      </w:pPr>
      <w:r w:rsidRPr="005060E0">
        <w:t>How will prescribed burns be managed under an exceptional events rule?</w:t>
      </w:r>
    </w:p>
    <w:p w14:paraId="77C8834E" w14:textId="0373B740" w:rsidR="005C5ED4" w:rsidRPr="005060E0" w:rsidRDefault="005C5ED4" w:rsidP="005C5ED4">
      <w:r w:rsidRPr="005060E0">
        <w:t xml:space="preserve">Concentrations of the precursors within the smoke plumes of bushfires are sufficient to generate </w:t>
      </w:r>
      <w:r w:rsidR="0077540B" w:rsidRPr="005060E0">
        <w:t>O</w:t>
      </w:r>
      <w:r w:rsidR="0077540B" w:rsidRPr="005060E0">
        <w:rPr>
          <w:vertAlign w:val="subscript"/>
        </w:rPr>
        <w:t>3</w:t>
      </w:r>
      <w:r w:rsidR="0077540B" w:rsidRPr="005060E0">
        <w:t xml:space="preserve"> and</w:t>
      </w:r>
      <w:r w:rsidRPr="005060E0">
        <w:t xml:space="preserve"> increase concentration</w:t>
      </w:r>
      <w:r w:rsidR="0077540B" w:rsidRPr="005060E0">
        <w:t>s</w:t>
      </w:r>
      <w:r w:rsidRPr="005060E0">
        <w:t xml:space="preserve"> during the fire event.</w:t>
      </w:r>
      <w:r w:rsidRPr="005060E0">
        <w:rPr>
          <w:rFonts w:eastAsia="Times New Roman"/>
        </w:rPr>
        <w:t xml:space="preserve"> </w:t>
      </w:r>
      <w:r w:rsidRPr="005060E0">
        <w:t>Not all fires will lead to O</w:t>
      </w:r>
      <w:r w:rsidRPr="005060E0">
        <w:rPr>
          <w:vertAlign w:val="subscript"/>
        </w:rPr>
        <w:t>3</w:t>
      </w:r>
      <w:r w:rsidRPr="005060E0">
        <w:t xml:space="preserve"> events or an exceedance of the standard. Suitable meteorological conditions (importantly air temperature) and precursor emissions need to be present to drive the reactions. </w:t>
      </w:r>
      <w:r w:rsidRPr="005060E0">
        <w:rPr>
          <w:rFonts w:eastAsia="Times New Roman"/>
        </w:rPr>
        <w:t>Climate variability and higher temperatures predicted in the future as a result of climate change are likely to increase the potential for O</w:t>
      </w:r>
      <w:r w:rsidRPr="005060E0">
        <w:rPr>
          <w:rFonts w:eastAsia="Times New Roman"/>
          <w:vertAlign w:val="subscript"/>
        </w:rPr>
        <w:t>3</w:t>
      </w:r>
      <w:r w:rsidRPr="005060E0">
        <w:rPr>
          <w:rFonts w:eastAsia="Times New Roman"/>
        </w:rPr>
        <w:t xml:space="preserve"> formation. </w:t>
      </w:r>
    </w:p>
    <w:p w14:paraId="3B7866AC" w14:textId="212CC22F" w:rsidR="009E1687" w:rsidRPr="005060E0" w:rsidRDefault="009E1687" w:rsidP="005C5ED4">
      <w:pPr>
        <w:rPr>
          <w:szCs w:val="20"/>
        </w:rPr>
      </w:pPr>
      <w:r w:rsidRPr="005060E0">
        <w:rPr>
          <w:szCs w:val="20"/>
        </w:rPr>
        <w:t>It is important to manage prescribed burns to minimise the production of O</w:t>
      </w:r>
      <w:r w:rsidRPr="005060E0">
        <w:rPr>
          <w:szCs w:val="20"/>
          <w:vertAlign w:val="subscript"/>
        </w:rPr>
        <w:t>3</w:t>
      </w:r>
      <w:r w:rsidRPr="005060E0">
        <w:rPr>
          <w:szCs w:val="20"/>
        </w:rPr>
        <w:t xml:space="preserve"> and other air pollutants. To this end all O</w:t>
      </w:r>
      <w:r w:rsidRPr="005060E0">
        <w:rPr>
          <w:szCs w:val="20"/>
          <w:vertAlign w:val="subscript"/>
        </w:rPr>
        <w:t>3</w:t>
      </w:r>
      <w:r w:rsidRPr="005060E0">
        <w:rPr>
          <w:szCs w:val="20"/>
        </w:rPr>
        <w:t xml:space="preserve"> monitoring data and all exceedances of O</w:t>
      </w:r>
      <w:r w:rsidRPr="005060E0">
        <w:rPr>
          <w:szCs w:val="20"/>
          <w:vertAlign w:val="subscript"/>
        </w:rPr>
        <w:t>3</w:t>
      </w:r>
      <w:r w:rsidRPr="005060E0">
        <w:rPr>
          <w:szCs w:val="20"/>
        </w:rPr>
        <w:t xml:space="preserve"> standards, with and without exceptional events, </w:t>
      </w:r>
      <w:r w:rsidR="0061388D">
        <w:rPr>
          <w:szCs w:val="20"/>
        </w:rPr>
        <w:t>should</w:t>
      </w:r>
      <w:r w:rsidR="0061388D" w:rsidRPr="005060E0">
        <w:rPr>
          <w:szCs w:val="20"/>
        </w:rPr>
        <w:t xml:space="preserve"> </w:t>
      </w:r>
      <w:r w:rsidRPr="005060E0">
        <w:rPr>
          <w:szCs w:val="20"/>
        </w:rPr>
        <w:t>be fully reported and described. This will assist policy analysis of management options.</w:t>
      </w:r>
    </w:p>
    <w:p w14:paraId="317E91C2" w14:textId="77777777" w:rsidR="00F55AD6" w:rsidRPr="005060E0" w:rsidRDefault="00F55AD6" w:rsidP="008230E3">
      <w:pPr>
        <w:pStyle w:val="Heading3"/>
      </w:pPr>
      <w:r w:rsidRPr="005060E0">
        <w:t>Are the recommended standards achievable with reasonable measures?</w:t>
      </w:r>
    </w:p>
    <w:p w14:paraId="631BE6A5" w14:textId="4D225A58" w:rsidR="008B7AAF" w:rsidRPr="005060E0" w:rsidRDefault="008B7AAF" w:rsidP="00FA4D6C">
      <w:r w:rsidRPr="005060E0">
        <w:t xml:space="preserve">For </w:t>
      </w:r>
      <w:r w:rsidR="00FA4D6C" w:rsidRPr="005060E0">
        <w:t>8-hour O</w:t>
      </w:r>
      <w:r w:rsidR="00FA4D6C" w:rsidRPr="005060E0">
        <w:rPr>
          <w:vertAlign w:val="subscript"/>
        </w:rPr>
        <w:t>3</w:t>
      </w:r>
      <w:r w:rsidR="00FA4D6C" w:rsidRPr="005060E0">
        <w:t xml:space="preserve"> </w:t>
      </w:r>
      <w:r w:rsidRPr="005060E0">
        <w:t xml:space="preserve">the proposed standard </w:t>
      </w:r>
      <w:r w:rsidR="0061388D">
        <w:t>that</w:t>
      </w:r>
      <w:r w:rsidR="0061388D" w:rsidRPr="005060E0">
        <w:t xml:space="preserve"> </w:t>
      </w:r>
      <w:r w:rsidRPr="005060E0">
        <w:t>appears to be the most generally achievable in the BAU scenario is 70 ppb</w:t>
      </w:r>
      <w:r w:rsidR="005C5ED4" w:rsidRPr="005060E0">
        <w:t>, and the recommended standard for the AAQ NEPM is a more stringent 65 ppb</w:t>
      </w:r>
      <w:r w:rsidRPr="005060E0">
        <w:t xml:space="preserve">. However, it should be noted that </w:t>
      </w:r>
      <w:r w:rsidR="005C5ED4" w:rsidRPr="005060E0">
        <w:t>compliance with the</w:t>
      </w:r>
      <w:r w:rsidRPr="005060E0">
        <w:t xml:space="preserve"> </w:t>
      </w:r>
      <w:r w:rsidR="005C5ED4" w:rsidRPr="005060E0">
        <w:t xml:space="preserve">65 ppb </w:t>
      </w:r>
      <w:r w:rsidRPr="005060E0">
        <w:t>standard in NSW may be challenging in practice given that the modelling under-predicted exceedances.</w:t>
      </w:r>
    </w:p>
    <w:p w14:paraId="3A794FB1" w14:textId="1B80A03B" w:rsidR="00FA4D6C" w:rsidRPr="005060E0" w:rsidRDefault="00FA4D6C" w:rsidP="00FA4D6C">
      <w:r w:rsidRPr="005060E0">
        <w:t>Any lower standard would require the introduction of abatement measures. This is particularly important for Sydney</w:t>
      </w:r>
      <w:r w:rsidR="0061388D">
        <w:t>,</w:t>
      </w:r>
      <w:r w:rsidRPr="005060E0">
        <w:t xml:space="preserve"> </w:t>
      </w:r>
      <w:r w:rsidR="0061388D">
        <w:t>which</w:t>
      </w:r>
      <w:r w:rsidR="0061388D" w:rsidRPr="005060E0">
        <w:t xml:space="preserve"> </w:t>
      </w:r>
      <w:r w:rsidRPr="005060E0">
        <w:t xml:space="preserve">has significant challenges not experienced in other jurisdictions. One of the key challenges is the difference in the </w:t>
      </w:r>
      <w:r w:rsidR="00C143F1" w:rsidRPr="005060E0">
        <w:t>actions required to reduce O</w:t>
      </w:r>
      <w:r w:rsidR="00C143F1" w:rsidRPr="005060E0">
        <w:rPr>
          <w:vertAlign w:val="subscript"/>
        </w:rPr>
        <w:t>3</w:t>
      </w:r>
      <w:r w:rsidRPr="005060E0">
        <w:t xml:space="preserve"> levels in NO</w:t>
      </w:r>
      <w:r w:rsidRPr="005060E0">
        <w:rPr>
          <w:vertAlign w:val="subscript"/>
        </w:rPr>
        <w:t>x</w:t>
      </w:r>
      <w:r w:rsidRPr="005060E0">
        <w:t xml:space="preserve"> limited airsheds compared to VOC limited airsheds</w:t>
      </w:r>
      <w:r w:rsidR="00B00321" w:rsidRPr="005060E0">
        <w:t xml:space="preserve">. </w:t>
      </w:r>
      <w:r w:rsidRPr="005060E0">
        <w:t>As shown in the modelling of the abatement measures, one package of measures applied to all airsheds can lead to benefits in one airshed but significant disbenefits in others</w:t>
      </w:r>
      <w:r w:rsidR="0061388D">
        <w:t>,</w:t>
      </w:r>
      <w:r w:rsidRPr="005060E0">
        <w:t xml:space="preserve"> depending on whether it is VOC or NO</w:t>
      </w:r>
      <w:r w:rsidRPr="005060E0">
        <w:rPr>
          <w:vertAlign w:val="subscript"/>
        </w:rPr>
        <w:t>x</w:t>
      </w:r>
      <w:r w:rsidRPr="005060E0">
        <w:t xml:space="preserve"> limited. This suggests that t</w:t>
      </w:r>
      <w:r w:rsidR="00C143F1" w:rsidRPr="005060E0">
        <w:t>he actions taken to reduce O</w:t>
      </w:r>
      <w:r w:rsidR="00C143F1" w:rsidRPr="005060E0">
        <w:rPr>
          <w:vertAlign w:val="subscript"/>
        </w:rPr>
        <w:t>3</w:t>
      </w:r>
      <w:r w:rsidRPr="005060E0">
        <w:t xml:space="preserve"> need to differ and should be determined on a jurisdictional basis. Alternatively, </w:t>
      </w:r>
      <w:r w:rsidR="003147E2" w:rsidRPr="005060E0">
        <w:t>packages of abatement measure</w:t>
      </w:r>
      <w:r w:rsidRPr="005060E0">
        <w:t>s could be developed for NO</w:t>
      </w:r>
      <w:r w:rsidRPr="005060E0">
        <w:rPr>
          <w:vertAlign w:val="subscript"/>
        </w:rPr>
        <w:t>x</w:t>
      </w:r>
      <w:r w:rsidRPr="005060E0">
        <w:t xml:space="preserve"> limited airsheds and a separate package for VOC limited airsheds</w:t>
      </w:r>
      <w:r w:rsidR="0061388D">
        <w:t>;</w:t>
      </w:r>
      <w:r w:rsidR="00B00321" w:rsidRPr="005060E0">
        <w:t xml:space="preserve"> </w:t>
      </w:r>
      <w:r w:rsidR="0061388D">
        <w:t>h</w:t>
      </w:r>
      <w:r w:rsidRPr="005060E0">
        <w:t>owever, for most jurisdictions there is uncertainty in determining whether their airshed is either VOC or NO</w:t>
      </w:r>
      <w:r w:rsidRPr="005060E0">
        <w:rPr>
          <w:vertAlign w:val="subscript"/>
        </w:rPr>
        <w:t>x</w:t>
      </w:r>
      <w:r w:rsidRPr="005060E0">
        <w:t xml:space="preserve"> limited</w:t>
      </w:r>
      <w:r w:rsidR="0061388D">
        <w:t>,</w:t>
      </w:r>
      <w:r w:rsidRPr="005060E0">
        <w:t xml:space="preserve"> with the exceptions being Melbourne and Sydney</w:t>
      </w:r>
      <w:r w:rsidR="006E17BE" w:rsidRPr="005060E0">
        <w:t xml:space="preserve"> (though information for Sydney and Melbourne should also be reviewed and updated)</w:t>
      </w:r>
      <w:r w:rsidRPr="005060E0">
        <w:t>. To enable a national package of measures to be developed</w:t>
      </w:r>
      <w:r w:rsidR="0061388D">
        <w:t>,</w:t>
      </w:r>
      <w:r w:rsidRPr="005060E0">
        <w:t xml:space="preserve"> air dispersion modelling should be undertaken for each airshed so the key issues and challenges for each jurisdiction are well understood. To enable this, more detailed and consistent emission inventories for the non-modelled jurisdictions need to be developed.</w:t>
      </w:r>
    </w:p>
    <w:p w14:paraId="2C25087E" w14:textId="762AC209" w:rsidR="00F55AD6" w:rsidRPr="005060E0" w:rsidRDefault="00F55AD6" w:rsidP="008230E3">
      <w:pPr>
        <w:pStyle w:val="Heading3"/>
      </w:pPr>
      <w:r w:rsidRPr="005060E0">
        <w:t>Shou</w:t>
      </w:r>
      <w:r w:rsidR="009B7316" w:rsidRPr="005060E0">
        <w:t>ld an exposure-reduction framework</w:t>
      </w:r>
      <w:r w:rsidRPr="005060E0">
        <w:t xml:space="preserve"> </w:t>
      </w:r>
      <w:r w:rsidR="007102F8">
        <w:t>for O</w:t>
      </w:r>
      <w:r w:rsidR="00ED1321" w:rsidRPr="0074409B">
        <w:rPr>
          <w:vertAlign w:val="subscript"/>
        </w:rPr>
        <w:t>3</w:t>
      </w:r>
      <w:r w:rsidR="00ED1321">
        <w:t xml:space="preserve"> </w:t>
      </w:r>
      <w:r w:rsidRPr="005060E0">
        <w:t>be considered?</w:t>
      </w:r>
    </w:p>
    <w:p w14:paraId="1F239960" w14:textId="46984AD8" w:rsidR="005455DD" w:rsidRPr="005060E0" w:rsidRDefault="00D00A16" w:rsidP="00A56F12">
      <w:r w:rsidRPr="005060E0">
        <w:t xml:space="preserve">An </w:t>
      </w:r>
      <w:r w:rsidR="009B7316" w:rsidRPr="005060E0">
        <w:t>exposure-reduction framework</w:t>
      </w:r>
      <w:r w:rsidRPr="005060E0">
        <w:t xml:space="preserve"> (and target) for O</w:t>
      </w:r>
      <w:r w:rsidRPr="005060E0">
        <w:rPr>
          <w:vertAlign w:val="subscript"/>
        </w:rPr>
        <w:t>3</w:t>
      </w:r>
      <w:r w:rsidR="00682AE2" w:rsidRPr="005060E0">
        <w:t xml:space="preserve"> should be established</w:t>
      </w:r>
      <w:r w:rsidRPr="005060E0">
        <w:t xml:space="preserve"> to reduce population exposure and associated health risk. </w:t>
      </w:r>
      <w:r w:rsidR="009B7316" w:rsidRPr="005060E0">
        <w:t>If an exposure-reduction framework</w:t>
      </w:r>
      <w:r w:rsidR="00A56F12" w:rsidRPr="005060E0">
        <w:t xml:space="preserve"> is adopt</w:t>
      </w:r>
      <w:r w:rsidR="005455DD" w:rsidRPr="005060E0">
        <w:t>ed for NO</w:t>
      </w:r>
      <w:r w:rsidR="005455DD" w:rsidRPr="005060E0">
        <w:rPr>
          <w:vertAlign w:val="subscript"/>
        </w:rPr>
        <w:t>2</w:t>
      </w:r>
      <w:r w:rsidR="00A56F12" w:rsidRPr="005060E0">
        <w:t>, it is recommende</w:t>
      </w:r>
      <w:r w:rsidR="005455DD" w:rsidRPr="005060E0">
        <w:t xml:space="preserve">d that one also be adopted for </w:t>
      </w:r>
      <w:r w:rsidR="00A56F12" w:rsidRPr="005060E0">
        <w:t>O</w:t>
      </w:r>
      <w:r w:rsidR="005455DD" w:rsidRPr="005060E0">
        <w:rPr>
          <w:vertAlign w:val="subscript"/>
        </w:rPr>
        <w:t>3</w:t>
      </w:r>
      <w:r w:rsidR="00566F94">
        <w:t>,</w:t>
      </w:r>
      <w:r w:rsidR="00A56F12" w:rsidRPr="005060E0">
        <w:t xml:space="preserve"> as the reduction in O</w:t>
      </w:r>
      <w:r w:rsidR="00A56F12" w:rsidRPr="005060E0">
        <w:rPr>
          <w:vertAlign w:val="subscript"/>
        </w:rPr>
        <w:t>3</w:t>
      </w:r>
      <w:r w:rsidR="00A56F12" w:rsidRPr="005060E0">
        <w:t xml:space="preserve"> is dependent on reductions in both VOCs and NO</w:t>
      </w:r>
      <w:r w:rsidR="00A56F12" w:rsidRPr="005060E0">
        <w:rPr>
          <w:vertAlign w:val="subscript"/>
        </w:rPr>
        <w:t>2</w:t>
      </w:r>
      <w:r w:rsidR="00A56F12" w:rsidRPr="005060E0">
        <w:t>.</w:t>
      </w:r>
    </w:p>
    <w:p w14:paraId="0F3EFC7D" w14:textId="008F468D" w:rsidR="009772AA" w:rsidRPr="005060E0" w:rsidRDefault="00D50C9A" w:rsidP="00A56F12">
      <w:r w:rsidRPr="005060E0">
        <w:t>A</w:t>
      </w:r>
      <w:r w:rsidR="00FA4D6C" w:rsidRPr="005060E0">
        <w:t>n</w:t>
      </w:r>
      <w:r w:rsidRPr="005060E0">
        <w:t>y exposure-</w:t>
      </w:r>
      <w:r w:rsidR="00FA4D6C" w:rsidRPr="005060E0">
        <w:t>reductio</w:t>
      </w:r>
      <w:r w:rsidR="009B7316" w:rsidRPr="005060E0">
        <w:t>n framework</w:t>
      </w:r>
      <w:r w:rsidRPr="005060E0">
        <w:t xml:space="preserve"> for O</w:t>
      </w:r>
      <w:r w:rsidRPr="005060E0">
        <w:rPr>
          <w:vertAlign w:val="subscript"/>
        </w:rPr>
        <w:t>3</w:t>
      </w:r>
      <w:r w:rsidR="00FA4D6C" w:rsidRPr="005060E0">
        <w:t xml:space="preserve"> </w:t>
      </w:r>
      <w:r w:rsidR="00682AE2" w:rsidRPr="005060E0">
        <w:t>should set</w:t>
      </w:r>
      <w:r w:rsidR="00FA4D6C" w:rsidRPr="005060E0">
        <w:t xml:space="preserve"> </w:t>
      </w:r>
      <w:r w:rsidRPr="005060E0">
        <w:t xml:space="preserve">a target for reduction in </w:t>
      </w:r>
      <w:r w:rsidR="00FA4D6C" w:rsidRPr="005060E0">
        <w:t>levels over a specified time period. A national target could be established but the actions taken to meet that target would be specific to the individual jurisdictions.</w:t>
      </w:r>
    </w:p>
    <w:p w14:paraId="4E5BAFB4" w14:textId="14ECA3AE" w:rsidR="00F65A03" w:rsidRPr="005060E0" w:rsidRDefault="00F65A03" w:rsidP="00A56F12">
      <w:r w:rsidRPr="005060E0">
        <w:t xml:space="preserve">Consistent with the approach used in the AAQ NEPM </w:t>
      </w:r>
      <w:r w:rsidR="00ED1321">
        <w:t>variation</w:t>
      </w:r>
      <w:r w:rsidR="00ED1321" w:rsidRPr="005060E0">
        <w:t xml:space="preserve"> </w:t>
      </w:r>
      <w:r w:rsidRPr="005060E0">
        <w:t>for PM</w:t>
      </w:r>
      <w:r w:rsidRPr="005060E0">
        <w:rPr>
          <w:vertAlign w:val="subscript"/>
        </w:rPr>
        <w:t>2.5</w:t>
      </w:r>
      <w:r w:rsidRPr="005060E0">
        <w:t xml:space="preserve">, it is recommended that jurisdictions evaluate and report population exposure to </w:t>
      </w:r>
      <w:r w:rsidR="005E25CE" w:rsidRPr="005060E0">
        <w:t>O</w:t>
      </w:r>
      <w:r w:rsidR="005E25CE" w:rsidRPr="005060E0">
        <w:rPr>
          <w:vertAlign w:val="subscript"/>
        </w:rPr>
        <w:t>3</w:t>
      </w:r>
      <w:r w:rsidR="005E25CE" w:rsidRPr="005060E0">
        <w:t xml:space="preserve"> </w:t>
      </w:r>
      <w:r w:rsidRPr="005060E0">
        <w:t>from the commencement of the varied AAQ NEPM. Jurisdictions should agree on any procedures or methods to ensure consistency. To be consistent with the AAQ NEPM it is also proposed that a simplified response to implementing an exposure</w:t>
      </w:r>
      <w:r w:rsidR="0011733C" w:rsidRPr="005060E0">
        <w:t>-</w:t>
      </w:r>
      <w:r w:rsidRPr="005060E0">
        <w:t xml:space="preserve">reduction framework for </w:t>
      </w:r>
      <w:r w:rsidR="005E25CE" w:rsidRPr="005060E0">
        <w:t>O</w:t>
      </w:r>
      <w:r w:rsidR="005E25CE" w:rsidRPr="005060E0">
        <w:rPr>
          <w:vertAlign w:val="subscript"/>
        </w:rPr>
        <w:t>3</w:t>
      </w:r>
      <w:r w:rsidR="005E25CE" w:rsidRPr="005060E0">
        <w:t xml:space="preserve"> </w:t>
      </w:r>
      <w:r w:rsidRPr="005060E0">
        <w:t xml:space="preserve">would be to adopt a long-term goal </w:t>
      </w:r>
      <w:r w:rsidR="00EF4B02" w:rsidRPr="005060E0">
        <w:t>to be decided once more detailed and consistent emission inventories for the non-modelled jurisdictions are developed</w:t>
      </w:r>
      <w:r w:rsidRPr="005060E0">
        <w:t xml:space="preserve">. </w:t>
      </w:r>
    </w:p>
    <w:p w14:paraId="732DA7CE" w14:textId="285FAEB7" w:rsidR="00682AE2" w:rsidRPr="005060E0" w:rsidRDefault="00682AE2" w:rsidP="00AA287D">
      <w:pPr>
        <w:spacing w:after="0" w:line="240" w:lineRule="auto"/>
        <w:rPr>
          <w:szCs w:val="20"/>
        </w:rPr>
      </w:pPr>
    </w:p>
    <w:p w14:paraId="01236C37" w14:textId="3049AA7D" w:rsidR="009772AA" w:rsidRPr="005060E0" w:rsidRDefault="00682AE2" w:rsidP="00A56F12">
      <w:pPr>
        <w:rPr>
          <w:szCs w:val="20"/>
        </w:rPr>
      </w:pPr>
      <w:r w:rsidRPr="005060E0">
        <w:rPr>
          <w:rFonts w:asciiTheme="minorHAnsi" w:hAnsiTheme="minorHAnsi" w:cstheme="minorHAnsi"/>
          <w:noProof/>
          <w:szCs w:val="20"/>
          <w:lang w:eastAsia="en-AU"/>
        </w:rPr>
        <mc:AlternateContent>
          <mc:Choice Requires="wps">
            <w:drawing>
              <wp:inline distT="0" distB="0" distL="0" distR="0" wp14:anchorId="151E5587" wp14:editId="16CD72CF">
                <wp:extent cx="6086475" cy="1225550"/>
                <wp:effectExtent l="0" t="0" r="28575" b="12700"/>
                <wp:docPr id="7" name="Text Box 7"/>
                <wp:cNvGraphicFramePr/>
                <a:graphic xmlns:a="http://schemas.openxmlformats.org/drawingml/2006/main">
                  <a:graphicData uri="http://schemas.microsoft.com/office/word/2010/wordprocessingShape">
                    <wps:wsp>
                      <wps:cNvSpPr txBox="1"/>
                      <wps:spPr>
                        <a:xfrm>
                          <a:off x="0" y="0"/>
                          <a:ext cx="6086475" cy="1225550"/>
                        </a:xfrm>
                        <a:prstGeom prst="rect">
                          <a:avLst/>
                        </a:prstGeom>
                        <a:solidFill>
                          <a:schemeClr val="tx2">
                            <a:lumMod val="20000"/>
                            <a:lumOff val="80000"/>
                          </a:schemeClr>
                        </a:solidFill>
                        <a:ln w="6350">
                          <a:solidFill>
                            <a:schemeClr val="tx2">
                              <a:lumMod val="40000"/>
                              <a:lumOff val="60000"/>
                            </a:schemeClr>
                          </a:solidFill>
                        </a:ln>
                      </wps:spPr>
                      <wps:txbx>
                        <w:txbxContent>
                          <w:p w14:paraId="05F2F9E4" w14:textId="6AAA13AD" w:rsidR="00B246FA" w:rsidRDefault="00B246FA" w:rsidP="00682AE2">
                            <w:pPr>
                              <w:rPr>
                                <w:szCs w:val="20"/>
                              </w:rPr>
                            </w:pPr>
                            <w:r>
                              <w:rPr>
                                <w:b/>
                              </w:rPr>
                              <w:t>Recommendation 23</w:t>
                            </w:r>
                            <w:r w:rsidRPr="00C14F6B">
                              <w:rPr>
                                <w:b/>
                              </w:rPr>
                              <w:t>:</w:t>
                            </w:r>
                            <w:r>
                              <w:t xml:space="preserve"> </w:t>
                            </w:r>
                            <w:r w:rsidRPr="00682AE2">
                              <w:rPr>
                                <w:szCs w:val="20"/>
                              </w:rPr>
                              <w:t>An exposure-reduction framework</w:t>
                            </w:r>
                            <w:r>
                              <w:rPr>
                                <w:szCs w:val="20"/>
                              </w:rPr>
                              <w:t xml:space="preserve">, in the form of a long-term goal </w:t>
                            </w:r>
                            <w:r w:rsidRPr="00682AE2">
                              <w:rPr>
                                <w:szCs w:val="20"/>
                              </w:rPr>
                              <w:t>for O</w:t>
                            </w:r>
                            <w:r w:rsidRPr="00682AE2">
                              <w:rPr>
                                <w:szCs w:val="20"/>
                                <w:vertAlign w:val="subscript"/>
                              </w:rPr>
                              <w:t>3</w:t>
                            </w:r>
                            <w:r>
                              <w:rPr>
                                <w:szCs w:val="20"/>
                              </w:rPr>
                              <w:t>,</w:t>
                            </w:r>
                            <w:r w:rsidRPr="00682AE2">
                              <w:rPr>
                                <w:szCs w:val="20"/>
                              </w:rPr>
                              <w:t xml:space="preserve"> should be </w:t>
                            </w:r>
                            <w:r>
                              <w:rPr>
                                <w:szCs w:val="20"/>
                              </w:rPr>
                              <w:t>considered</w:t>
                            </w:r>
                            <w:r w:rsidRPr="00682AE2">
                              <w:rPr>
                                <w:szCs w:val="20"/>
                              </w:rPr>
                              <w:t xml:space="preserve"> to reduce population exposure and associated health risk</w:t>
                            </w:r>
                            <w:r>
                              <w:rPr>
                                <w:szCs w:val="20"/>
                              </w:rPr>
                              <w:t xml:space="preserve"> </w:t>
                            </w:r>
                            <w:r w:rsidRPr="0087445D">
                              <w:rPr>
                                <w:szCs w:val="20"/>
                              </w:rPr>
                              <w:t>once there is a better understanding of O</w:t>
                            </w:r>
                            <w:r w:rsidRPr="0087445D">
                              <w:rPr>
                                <w:szCs w:val="20"/>
                                <w:vertAlign w:val="subscript"/>
                              </w:rPr>
                              <w:t>3</w:t>
                            </w:r>
                            <w:r w:rsidRPr="0087445D">
                              <w:rPr>
                                <w:szCs w:val="20"/>
                              </w:rPr>
                              <w:t xml:space="preserve"> generation in capital city airsheds</w:t>
                            </w:r>
                            <w:r w:rsidRPr="00682AE2">
                              <w:rPr>
                                <w:szCs w:val="20"/>
                              </w:rPr>
                              <w:t>.</w:t>
                            </w:r>
                          </w:p>
                          <w:p w14:paraId="53C8C9B3" w14:textId="4E39A984" w:rsidR="00B246FA" w:rsidRDefault="00B246FA" w:rsidP="00682AE2">
                            <w:pPr>
                              <w:pStyle w:val="ListBullet"/>
                              <w:numPr>
                                <w:ilvl w:val="0"/>
                                <w:numId w:val="0"/>
                              </w:numPr>
                            </w:pPr>
                            <w:r w:rsidRPr="00F65A03">
                              <w:rPr>
                                <w:b/>
                              </w:rPr>
                              <w:t xml:space="preserve">Recommendation </w:t>
                            </w:r>
                            <w:r>
                              <w:rPr>
                                <w:b/>
                              </w:rPr>
                              <w:t>24</w:t>
                            </w:r>
                            <w:r w:rsidRPr="00F65A03">
                              <w:rPr>
                                <w:b/>
                              </w:rPr>
                              <w:t xml:space="preserve">: </w:t>
                            </w:r>
                            <w:r w:rsidRPr="00F65A03">
                              <w:t xml:space="preserve">Jurisdictions should commence </w:t>
                            </w:r>
                            <w:r>
                              <w:t xml:space="preserve">annual </w:t>
                            </w:r>
                            <w:r w:rsidRPr="00F65A03">
                              <w:t xml:space="preserve">reporting on population exposure to </w:t>
                            </w:r>
                            <w:r>
                              <w:t>O</w:t>
                            </w:r>
                            <w:r w:rsidRPr="00E20C55">
                              <w:rPr>
                                <w:vertAlign w:val="subscript"/>
                              </w:rPr>
                              <w:t>3</w:t>
                            </w:r>
                            <w:r w:rsidRPr="00F65A03">
                              <w:t xml:space="preserve"> from the commencement of a varied AAQ NEPM.</w:t>
                            </w:r>
                          </w:p>
                          <w:p w14:paraId="746E98A5" w14:textId="3006AB23" w:rsidR="00B246FA" w:rsidRPr="00310CA6" w:rsidRDefault="00B246FA" w:rsidP="00F65A03">
                            <w:pPr>
                              <w:pStyle w:val="ListBullet"/>
                              <w:numPr>
                                <w:ilvl w:val="0"/>
                                <w:numId w:val="0"/>
                              </w:num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1E5587" id="Text Box 7" o:spid="_x0000_s1051" type="#_x0000_t202" style="width:479.25pt;height: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ybAIAACAFAAAOAAAAZHJzL2Uyb0RvYy54bWysVMtu2zAQvBfoPxC8N7JVv2pEDtwEKQqk&#10;SYCkyJmmqFgAxWVJ2lL69R1SVuKmRQ9BL9Ryd7WvmeXpWddotlfO12QKPj4ZcaaMpLI2jwX/fn/5&#10;YcGZD8KUQpNRBX9Snp+t3r87be1S5bQlXSrHEMT4ZWsLvg3BLrPMy61qhD8hqwyMFblGBFzdY1Y6&#10;0SJ6o7N8NJplLbnSOpLKe2gveiNfpfhVpWS4qSqvAtMFR20hnS6dm3hmq1OxfHTCbmt5KEO8oYpG&#10;1AZJn0NdiCDYztV/hGpq6chTFU4kNRlVVS1V6gHdjEevurnbCqtSLxiOt89j8v8vrLze3zpWlwWf&#10;c2ZEA4juVRfYZ+rYPE6ntX4JpzsLt9BBDZQHvYcyNt1VrolftMNgx5yfnmcbg0koZ6PFbDKfciZh&#10;G+f5dDpN089efrfOhy+KGhaFgjuAl2Yq9lc+oBS4Di4xmyddl5e11ukSCaPOtWN7AahDl6df9a75&#10;RmWvA11GB8ChBi169WJQI3yiXYySkv2WQBvWoouPqPotySdDFrE8Tj4b1P9KDps2qChC0Y88SqHb&#10;dAm4fDrgsaHyCTA56mnurbysMcor4cOtcOA1kMGuhhsclSb0QweJsy25n3/TR3/QDVbOWuxJwf2P&#10;nXCKM/3VgIifxpNJXKx0mUznOS7u2LI5tphdc07AZ4xXwcokRv+gB7Fy1DxgpdcxK0zCSOQGoIN4&#10;HvrtxZMg1XqdnLBKVoQrc2dlDB3xiUS57x6Eswc2BRDxmoaNEstXpOp945+G1rtAVZ0YFwfdT/Uw&#10;f6xh4sbhyYh7fnxPXi8P2+oXAAAA//8DAFBLAwQUAAYACAAAACEA2k9989wAAAAFAQAADwAAAGRy&#10;cy9kb3ducmV2LnhtbEyPzU7DMBCE70i8g7VI3KhNUVCTxqn4KXCmLaK9beMliRqvo9hp07fHcIHL&#10;SKsZzXybL0bbiiP1vnGs4XaiQBCXzjRcadisX25mIHxANtg6Jg1n8rAoLi9yzIw78TsdV6ESsYR9&#10;hhrqELpMSl/WZNFPXEccvS/XWwzx7CtpejzFctvKqVL30mLDcaHGjp5qKg+rwWp4pI/DLlG4fN1O&#10;N+fn9fJzN6RvWl9fjQ9zEIHG8BeGH/yIDkVk2ruBjRethvhI+NXopcksAbGPofROgSxy+Z+++AYA&#10;AP//AwBQSwECLQAUAAYACAAAACEAtoM4kv4AAADhAQAAEwAAAAAAAAAAAAAAAAAAAAAAW0NvbnRl&#10;bnRfVHlwZXNdLnhtbFBLAQItABQABgAIAAAAIQA4/SH/1gAAAJQBAAALAAAAAAAAAAAAAAAAAC8B&#10;AABfcmVscy8ucmVsc1BLAQItABQABgAIAAAAIQBlnv/ybAIAACAFAAAOAAAAAAAAAAAAAAAAAC4C&#10;AABkcnMvZTJvRG9jLnhtbFBLAQItABQABgAIAAAAIQDaT33z3AAAAAUBAAAPAAAAAAAAAAAAAAAA&#10;AMYEAABkcnMvZG93bnJldi54bWxQSwUGAAAAAAQABADzAAAAzwUAAAAA&#10;" fillcolor="#dedfe3 [671]" strokecolor="#bdbfc8 [1311]" strokeweight=".5pt">
                <v:textbox>
                  <w:txbxContent>
                    <w:p w14:paraId="05F2F9E4" w14:textId="6AAA13AD" w:rsidR="00B246FA" w:rsidRDefault="00B246FA" w:rsidP="00682AE2">
                      <w:pPr>
                        <w:rPr>
                          <w:szCs w:val="20"/>
                        </w:rPr>
                      </w:pPr>
                      <w:r>
                        <w:rPr>
                          <w:b/>
                        </w:rPr>
                        <w:t>Recommendation 23</w:t>
                      </w:r>
                      <w:r w:rsidRPr="00C14F6B">
                        <w:rPr>
                          <w:b/>
                        </w:rPr>
                        <w:t>:</w:t>
                      </w:r>
                      <w:r>
                        <w:t xml:space="preserve"> </w:t>
                      </w:r>
                      <w:r w:rsidRPr="00682AE2">
                        <w:rPr>
                          <w:szCs w:val="20"/>
                        </w:rPr>
                        <w:t>An exposure-reduction framework</w:t>
                      </w:r>
                      <w:r>
                        <w:rPr>
                          <w:szCs w:val="20"/>
                        </w:rPr>
                        <w:t xml:space="preserve">, in the form of a long-term goal </w:t>
                      </w:r>
                      <w:r w:rsidRPr="00682AE2">
                        <w:rPr>
                          <w:szCs w:val="20"/>
                        </w:rPr>
                        <w:t>for O</w:t>
                      </w:r>
                      <w:r w:rsidRPr="00682AE2">
                        <w:rPr>
                          <w:szCs w:val="20"/>
                          <w:vertAlign w:val="subscript"/>
                        </w:rPr>
                        <w:t>3</w:t>
                      </w:r>
                      <w:r>
                        <w:rPr>
                          <w:szCs w:val="20"/>
                        </w:rPr>
                        <w:t>,</w:t>
                      </w:r>
                      <w:r w:rsidRPr="00682AE2">
                        <w:rPr>
                          <w:szCs w:val="20"/>
                        </w:rPr>
                        <w:t xml:space="preserve"> should be </w:t>
                      </w:r>
                      <w:r>
                        <w:rPr>
                          <w:szCs w:val="20"/>
                        </w:rPr>
                        <w:t>considered</w:t>
                      </w:r>
                      <w:r w:rsidRPr="00682AE2">
                        <w:rPr>
                          <w:szCs w:val="20"/>
                        </w:rPr>
                        <w:t xml:space="preserve"> to reduce population exposure and associated health risk</w:t>
                      </w:r>
                      <w:r>
                        <w:rPr>
                          <w:szCs w:val="20"/>
                        </w:rPr>
                        <w:t xml:space="preserve"> </w:t>
                      </w:r>
                      <w:r w:rsidRPr="0087445D">
                        <w:rPr>
                          <w:szCs w:val="20"/>
                        </w:rPr>
                        <w:t>once there is a better understanding of O</w:t>
                      </w:r>
                      <w:r w:rsidRPr="0087445D">
                        <w:rPr>
                          <w:szCs w:val="20"/>
                          <w:vertAlign w:val="subscript"/>
                        </w:rPr>
                        <w:t>3</w:t>
                      </w:r>
                      <w:r w:rsidRPr="0087445D">
                        <w:rPr>
                          <w:szCs w:val="20"/>
                        </w:rPr>
                        <w:t xml:space="preserve"> generation in capital city airsheds</w:t>
                      </w:r>
                      <w:r w:rsidRPr="00682AE2">
                        <w:rPr>
                          <w:szCs w:val="20"/>
                        </w:rPr>
                        <w:t>.</w:t>
                      </w:r>
                    </w:p>
                    <w:p w14:paraId="53C8C9B3" w14:textId="4E39A984" w:rsidR="00B246FA" w:rsidRDefault="00B246FA" w:rsidP="00682AE2">
                      <w:pPr>
                        <w:pStyle w:val="ListBullet"/>
                        <w:numPr>
                          <w:ilvl w:val="0"/>
                          <w:numId w:val="0"/>
                        </w:numPr>
                      </w:pPr>
                      <w:r w:rsidRPr="00F65A03">
                        <w:rPr>
                          <w:b/>
                        </w:rPr>
                        <w:t xml:space="preserve">Recommendation </w:t>
                      </w:r>
                      <w:r>
                        <w:rPr>
                          <w:b/>
                        </w:rPr>
                        <w:t>24</w:t>
                      </w:r>
                      <w:r w:rsidRPr="00F65A03">
                        <w:rPr>
                          <w:b/>
                        </w:rPr>
                        <w:t xml:space="preserve">: </w:t>
                      </w:r>
                      <w:r w:rsidRPr="00F65A03">
                        <w:t xml:space="preserve">Jurisdictions should commence </w:t>
                      </w:r>
                      <w:r>
                        <w:t xml:space="preserve">annual </w:t>
                      </w:r>
                      <w:r w:rsidRPr="00F65A03">
                        <w:t xml:space="preserve">reporting on population exposure to </w:t>
                      </w:r>
                      <w:r>
                        <w:t>O</w:t>
                      </w:r>
                      <w:r w:rsidRPr="00E20C55">
                        <w:rPr>
                          <w:vertAlign w:val="subscript"/>
                        </w:rPr>
                        <w:t>3</w:t>
                      </w:r>
                      <w:r w:rsidRPr="00F65A03">
                        <w:t xml:space="preserve"> from the commencement of a varied AAQ NEPM.</w:t>
                      </w:r>
                    </w:p>
                    <w:p w14:paraId="746E98A5" w14:textId="3006AB23" w:rsidR="00B246FA" w:rsidRPr="00310CA6" w:rsidRDefault="00B246FA" w:rsidP="00F65A03">
                      <w:pPr>
                        <w:pStyle w:val="ListBullet"/>
                        <w:numPr>
                          <w:ilvl w:val="0"/>
                          <w:numId w:val="0"/>
                        </w:numPr>
                        <w:rPr>
                          <w:b/>
                        </w:rPr>
                      </w:pPr>
                    </w:p>
                  </w:txbxContent>
                </v:textbox>
                <w10:anchorlock/>
              </v:shape>
            </w:pict>
          </mc:Fallback>
        </mc:AlternateContent>
      </w:r>
    </w:p>
    <w:p w14:paraId="6C6921B4" w14:textId="77777777" w:rsidR="00D50C9A" w:rsidRPr="00566F94" w:rsidRDefault="00D50C9A" w:rsidP="00A56F12"/>
    <w:p w14:paraId="4077D7F1" w14:textId="6F1AECCF" w:rsidR="004D01D5" w:rsidRPr="00566F94" w:rsidRDefault="004D01D5">
      <w:pPr>
        <w:spacing w:after="160" w:line="259" w:lineRule="auto"/>
      </w:pPr>
      <w:r w:rsidRPr="00566F94">
        <w:br w:type="page"/>
      </w:r>
    </w:p>
    <w:p w14:paraId="0E3D6383" w14:textId="266F9AEE" w:rsidR="004D01D5" w:rsidRPr="005060E0" w:rsidRDefault="004D01D5">
      <w:pPr>
        <w:spacing w:after="160" w:line="259" w:lineRule="auto"/>
        <w:rPr>
          <w:color w:val="FF0000"/>
          <w:szCs w:val="20"/>
        </w:rPr>
      </w:pPr>
      <w:r w:rsidRPr="005060E0">
        <w:rPr>
          <w:noProof/>
          <w:color w:val="FF0000"/>
          <w:szCs w:val="20"/>
          <w:lang w:eastAsia="en-AU"/>
        </w:rPr>
        <mc:AlternateContent>
          <mc:Choice Requires="wps">
            <w:drawing>
              <wp:inline distT="0" distB="0" distL="0" distR="0" wp14:anchorId="06A932B6" wp14:editId="6674A6F6">
                <wp:extent cx="6080125" cy="7342496"/>
                <wp:effectExtent l="0" t="0" r="15875" b="11430"/>
                <wp:docPr id="467" name="Text Box 467"/>
                <wp:cNvGraphicFramePr/>
                <a:graphic xmlns:a="http://schemas.openxmlformats.org/drawingml/2006/main">
                  <a:graphicData uri="http://schemas.microsoft.com/office/word/2010/wordprocessingShape">
                    <wps:wsp>
                      <wps:cNvSpPr txBox="1"/>
                      <wps:spPr>
                        <a:xfrm>
                          <a:off x="0" y="0"/>
                          <a:ext cx="6080125" cy="7342496"/>
                        </a:xfrm>
                        <a:prstGeom prst="rect">
                          <a:avLst/>
                        </a:prstGeom>
                        <a:ln>
                          <a:solidFill>
                            <a:schemeClr val="accent1">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6912AFC2" w14:textId="7E3F3DF2" w:rsidR="00B246FA" w:rsidRDefault="00B246FA" w:rsidP="004D01D5">
                            <w:pPr>
                              <w:rPr>
                                <w:b/>
                                <w:sz w:val="24"/>
                              </w:rPr>
                            </w:pPr>
                            <w:r w:rsidRPr="00C11F36">
                              <w:rPr>
                                <w:b/>
                                <w:sz w:val="24"/>
                              </w:rPr>
                              <w:t xml:space="preserve">Chapter </w:t>
                            </w:r>
                            <w:r>
                              <w:rPr>
                                <w:b/>
                                <w:sz w:val="24"/>
                              </w:rPr>
                              <w:t>8</w:t>
                            </w:r>
                            <w:r w:rsidRPr="00C11F36">
                              <w:rPr>
                                <w:b/>
                                <w:sz w:val="24"/>
                              </w:rPr>
                              <w:t xml:space="preserve"> – Key </w:t>
                            </w:r>
                            <w:r>
                              <w:rPr>
                                <w:b/>
                                <w:sz w:val="24"/>
                              </w:rPr>
                              <w:t>p</w:t>
                            </w:r>
                            <w:r w:rsidRPr="00C11F36">
                              <w:rPr>
                                <w:b/>
                                <w:sz w:val="24"/>
                              </w:rPr>
                              <w:t>oints</w:t>
                            </w:r>
                          </w:p>
                          <w:p w14:paraId="580EF4E7" w14:textId="5B386626" w:rsidR="00B246FA" w:rsidRDefault="00B246FA" w:rsidP="00B81325">
                            <w:pPr>
                              <w:numPr>
                                <w:ilvl w:val="0"/>
                                <w:numId w:val="72"/>
                              </w:numPr>
                            </w:pPr>
                            <w:r>
                              <w:t>O</w:t>
                            </w:r>
                            <w:r w:rsidRPr="00C11F36">
                              <w:rPr>
                                <w:vertAlign w:val="subscript"/>
                              </w:rPr>
                              <w:t>3</w:t>
                            </w:r>
                            <w:r>
                              <w:t xml:space="preserve"> is a highly reactive gas and a major component of photochemical smog. O</w:t>
                            </w:r>
                            <w:r w:rsidRPr="00C11F36">
                              <w:rPr>
                                <w:vertAlign w:val="subscript"/>
                              </w:rPr>
                              <w:t>3</w:t>
                            </w:r>
                            <w:r>
                              <w:t xml:space="preserve"> is not emitted directly but is a secondary pollutant formed in the atmosphere by the reaction of nitrogen oxides (NOx) and volatile organic compounds (VOCs) in the presence of heat and sunlight. The combustion of fuel in vehicles is a key source of both NOx and VOCs and is therefore important in the consideration of O</w:t>
                            </w:r>
                            <w:r w:rsidRPr="00C11F36">
                              <w:rPr>
                                <w:vertAlign w:val="subscript"/>
                              </w:rPr>
                              <w:t>3</w:t>
                            </w:r>
                            <w:r>
                              <w:t xml:space="preserve"> formation. </w:t>
                            </w:r>
                          </w:p>
                          <w:p w14:paraId="50D6232D" w14:textId="77777777" w:rsidR="00B246FA" w:rsidRDefault="00B246FA" w:rsidP="00B81325">
                            <w:pPr>
                              <w:numPr>
                                <w:ilvl w:val="0"/>
                                <w:numId w:val="72"/>
                              </w:numPr>
                            </w:pPr>
                            <w:r>
                              <w:t>O</w:t>
                            </w:r>
                            <w:r w:rsidRPr="00C11F36">
                              <w:rPr>
                                <w:vertAlign w:val="subscript"/>
                              </w:rPr>
                              <w:t>3</w:t>
                            </w:r>
                            <w:r>
                              <w:t xml:space="preserve"> is known to impact on health largely through effects in the respiratory tract. It may be harmful to the lungs, especially for children, the elderly and people with lung disease. It may also exacerbate pre-existing respiratory conditions such as asthma. It can also damage vegetation and materials and is a potent greenhouse gas.</w:t>
                            </w:r>
                          </w:p>
                          <w:p w14:paraId="42104658" w14:textId="1DB395C0" w:rsidR="00B246FA" w:rsidRDefault="00B246FA" w:rsidP="00B81325">
                            <w:pPr>
                              <w:numPr>
                                <w:ilvl w:val="0"/>
                                <w:numId w:val="72"/>
                              </w:numPr>
                            </w:pPr>
                            <w:r>
                              <w:t>There have been no clear trends in O</w:t>
                            </w:r>
                            <w:r w:rsidRPr="00C11F36">
                              <w:rPr>
                                <w:vertAlign w:val="subscript"/>
                              </w:rPr>
                              <w:t>3</w:t>
                            </w:r>
                            <w:r>
                              <w:t xml:space="preserve"> concentrations in Australian cities or regional centres from 2003–2016 except for Sydney, where there has been a slight downward trend.</w:t>
                            </w:r>
                          </w:p>
                          <w:p w14:paraId="05678560" w14:textId="0D84A757" w:rsidR="00B246FA" w:rsidRDefault="00B246FA" w:rsidP="00B81325">
                            <w:pPr>
                              <w:numPr>
                                <w:ilvl w:val="0"/>
                                <w:numId w:val="72"/>
                              </w:numPr>
                            </w:pPr>
                            <w:r>
                              <w:t>O</w:t>
                            </w:r>
                            <w:r w:rsidRPr="00C11F36">
                              <w:rPr>
                                <w:vertAlign w:val="subscript"/>
                              </w:rPr>
                              <w:t>3</w:t>
                            </w:r>
                            <w:r>
                              <w:t xml:space="preserve"> exceedances have occurred in most airsheds in most years between 2003 and 2016, particularly in Sydney.</w:t>
                            </w:r>
                          </w:p>
                          <w:p w14:paraId="6F745A76" w14:textId="35147E1C" w:rsidR="00B246FA" w:rsidRDefault="00B246FA" w:rsidP="00B81325">
                            <w:pPr>
                              <w:numPr>
                                <w:ilvl w:val="0"/>
                                <w:numId w:val="72"/>
                              </w:numPr>
                            </w:pPr>
                            <w:r>
                              <w:t>There is a substantial health burden associated with exposure to recent historical levels of O</w:t>
                            </w:r>
                            <w:r w:rsidRPr="00C11F36">
                              <w:rPr>
                                <w:vertAlign w:val="subscript"/>
                              </w:rPr>
                              <w:t>3</w:t>
                            </w:r>
                            <w:r>
                              <w:t>, particularly in the major cities. In Sydney and Melbourne, the health burden is projected to increase substantially in the future if emissions continue as forecast with no abatement.</w:t>
                            </w:r>
                          </w:p>
                          <w:p w14:paraId="5DBF4F9C" w14:textId="2FC36D9B" w:rsidR="00B246FA" w:rsidRDefault="00B246FA" w:rsidP="00B81325">
                            <w:pPr>
                              <w:numPr>
                                <w:ilvl w:val="0"/>
                                <w:numId w:val="72"/>
                              </w:numPr>
                            </w:pPr>
                            <w:r>
                              <w:t>1-hour or 4-hour averaging periods are not widely used (1-hour), or not used at all (4-hour), outside of Australia and are not recommended by the WHO.</w:t>
                            </w:r>
                          </w:p>
                          <w:p w14:paraId="0F5DFF7F" w14:textId="6E36D947" w:rsidR="00B246FA" w:rsidRDefault="00B246FA" w:rsidP="00B81325">
                            <w:pPr>
                              <w:numPr>
                                <w:ilvl w:val="0"/>
                                <w:numId w:val="72"/>
                              </w:numPr>
                            </w:pPr>
                            <w:r>
                              <w:t>An 8-hour averaging period is the only one commonly used for ozone internationally and the only averaging period applied in the US, EU, UK and Canada, and recommended by the WHO. The WHO found that it provides sufficient health protection and a 1-hour standard is not required.</w:t>
                            </w:r>
                          </w:p>
                          <w:p w14:paraId="241F6D3A" w14:textId="5FD6C7B2" w:rsidR="00B246FA" w:rsidRDefault="00B246FA" w:rsidP="00B81325">
                            <w:pPr>
                              <w:numPr>
                                <w:ilvl w:val="0"/>
                                <w:numId w:val="72"/>
                              </w:numPr>
                            </w:pPr>
                            <w:r>
                              <w:t>As a controlling standard, an Australian 8-hour standard of 70 ppb would capture longer-term health impacts of most concern and would generally ensure current 1-hour and 4-hour standards would not be exceeded. The adoption of a 65 ppb 8-hour O</w:t>
                            </w:r>
                            <w:r w:rsidRPr="00C11F36">
                              <w:rPr>
                                <w:sz w:val="22"/>
                                <w:vertAlign w:val="subscript"/>
                              </w:rPr>
                              <w:t>3</w:t>
                            </w:r>
                            <w:r>
                              <w:t xml:space="preserve"> standard would provide additional protection against prolonged O</w:t>
                            </w:r>
                            <w:r w:rsidRPr="00126BED">
                              <w:rPr>
                                <w:vertAlign w:val="subscript"/>
                              </w:rPr>
                              <w:t>3</w:t>
                            </w:r>
                            <w:r>
                              <w:t xml:space="preserve"> exposures, as well as against shorter-term peaks of concern.</w:t>
                            </w:r>
                          </w:p>
                          <w:p w14:paraId="64AE057D" w14:textId="77777777" w:rsidR="00B246FA" w:rsidRDefault="00B246FA" w:rsidP="00B81325">
                            <w:pPr>
                              <w:numPr>
                                <w:ilvl w:val="0"/>
                                <w:numId w:val="72"/>
                              </w:numPr>
                            </w:pPr>
                            <w:r>
                              <w:t>O</w:t>
                            </w:r>
                            <w:r w:rsidRPr="00C11F36">
                              <w:rPr>
                                <w:vertAlign w:val="subscript"/>
                              </w:rPr>
                              <w:t>3</w:t>
                            </w:r>
                            <w:r>
                              <w:t xml:space="preserve"> exceedances are influenced by bushfires in most jurisdictions. Given this, an exceptional events rule may be appropriate that permits exceedances of the O</w:t>
                            </w:r>
                            <w:r w:rsidRPr="00C11F36">
                              <w:rPr>
                                <w:vertAlign w:val="subscript"/>
                              </w:rPr>
                              <w:t>3</w:t>
                            </w:r>
                            <w:r>
                              <w:t xml:space="preserve"> standards when they are caused by major natural events such as bushfires.</w:t>
                            </w:r>
                          </w:p>
                          <w:p w14:paraId="1058C09B" w14:textId="4DB7F132" w:rsidR="00B246FA" w:rsidRPr="004D01D5" w:rsidRDefault="00B246FA" w:rsidP="00B81325">
                            <w:pPr>
                              <w:numPr>
                                <w:ilvl w:val="0"/>
                                <w:numId w:val="72"/>
                              </w:numPr>
                            </w:pPr>
                            <w:r>
                              <w:t>Given the health burden posed by O</w:t>
                            </w:r>
                            <w:r w:rsidRPr="00C11F36">
                              <w:rPr>
                                <w:vertAlign w:val="subscript"/>
                              </w:rPr>
                              <w:t>3</w:t>
                            </w:r>
                            <w:r>
                              <w:t xml:space="preserve"> in Australian cities, an exposure-reduction framework would provide a mechanism to reduce population exposure to O</w:t>
                            </w:r>
                            <w:r w:rsidRPr="00C11F36">
                              <w:rPr>
                                <w:vertAlign w:val="subscript"/>
                              </w:rPr>
                              <w:t>3</w:t>
                            </w:r>
                            <w:r>
                              <w:t xml:space="preserve"> and allow jurisdictions to report improvements in O</w:t>
                            </w:r>
                            <w:r w:rsidRPr="00C11F36">
                              <w:rPr>
                                <w:vertAlign w:val="subscript"/>
                              </w:rPr>
                              <w:t>3</w:t>
                            </w:r>
                            <w:r>
                              <w:t xml:space="preserve"> levels as well as any exceedances of the standard.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A932B6" id="Text Box 467" o:spid="_x0000_s1052" type="#_x0000_t202" style="width:478.75pt;height:57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rOpAIAALAFAAAOAAAAZHJzL2Uyb0RvYy54bWysVFtP2zAUfp+0/2D5fSTNSoGKFHUgpkkM&#10;0GDi2XVsGs328Wy3Sffrd2w3oWJIk6blwbHP/Tu384teK7IVzrdgajo5KikRhkPTmueafn+8/nBK&#10;iQ/MNEyBETXdCU8vFu/fnXd2LipYg2qEI2jE+Hlna7oOwc6LwvO10MwfgRUGmRKcZgGf7rloHOvQ&#10;ulZFVZazogPXWAdceI/Uq8yki2RfSsHDnZReBKJqirGFdLp0ruJZLM7Z/Nkxu275Pgz2D1Fo1hp0&#10;Opq6YoGRjWv/MKVb7sCDDEccdAFStlwkDIhmUr5C87BmViQsmBxvxzT5/2eW327vHWmbmk5nJ5QY&#10;prFIj6IP5BP0JNIwQ531cxR8sCgaemRgpQe6R2IE3kun4x8hEeRjrndjfqM5jsRZeVpOqmNKOPJO&#10;Pk6r6dks2ile1K3z4bMATeKlpg4LmPLKtjc+ZNFBJHpTJp4eVNtct0qlR2wdcakc2TIsOuNcmDBJ&#10;RtRGf4Um02clfrn8SMYmyeTpQMaYUhNGSynCAyfIi46LmJeMP93CTokc1DchMaeIuEp+R0OHIQ3I&#10;lUHpqCYRwKiYA36lqBBHzsFeNqqJ1OWjYvl3j6NG8gomjMq6NeDeMtD8GD1n+QF9xhzhh37Vp0aq&#10;ErJIWkGzw5ZxkMfOW37dYllvmA/3zOGcYZfg7gh3eEgFXU1hf6NkDe7XW/Qoj+2PXEo6nNua+p8b&#10;5gQl6ovBwTibTKdx0NNjenxS4cMdclaHHLPRl4BdMsEtZXm6Rvmghqt0oJ9wxSyjV2Qxw9F3TcNw&#10;vQx5m+CK4mK5TEI42paFG/NgeTQd0xyb9rF/Ys7uOzvgUNzCMOFs/qrBs2zUNLDcBJBt6v6XrO4L&#10;gGshded+hcW9c/hOUi+LdvEbAAD//wMAUEsDBBQABgAIAAAAIQBQgWmG3QAAAAYBAAAPAAAAZHJz&#10;L2Rvd25yZXYueG1sTI/NasMwEITvhb6D2EJvjZwWp41jOYT+QKEkkDS5byzFFpVWxlIS5+277aW9&#10;LCwzzHxTzgfvxMn00QZSMB5lIAzVQVtqFGw/3+6eQMSEpNEFMgouJsK8ur4qsdDhTGtz2qRGcAjF&#10;AhW0KXWFlLFujcc4Cp0h1g6h95j47RupezxzuHfyPssm0qMlbmixM8+tqb82R88ll/pjMT3s3BK3&#10;696+29VLeF0pdXszLGYgkhnSnxl+8BkdKmbahyPpKJwCHpJ+L2vT/DEHsWfTOJ88gKxK+R+/+gYA&#10;AP//AwBQSwECLQAUAAYACAAAACEAtoM4kv4AAADhAQAAEwAAAAAAAAAAAAAAAAAAAAAAW0NvbnRl&#10;bnRfVHlwZXNdLnhtbFBLAQItABQABgAIAAAAIQA4/SH/1gAAAJQBAAALAAAAAAAAAAAAAAAAAC8B&#10;AABfcmVscy8ucmVsc1BLAQItABQABgAIAAAAIQCWa2rOpAIAALAFAAAOAAAAAAAAAAAAAAAAAC4C&#10;AABkcnMvZTJvRG9jLnhtbFBLAQItABQABgAIAAAAIQBQgWmG3QAAAAYBAAAPAAAAAAAAAAAAAAAA&#10;AP4EAABkcnMvZG93bnJldi54bWxQSwUGAAAAAAQABADzAAAACAYAAAAA&#10;" fillcolor="white [3201]" strokecolor="#40b4ff [1940]" strokeweight="2pt">
                <v:textbox>
                  <w:txbxContent>
                    <w:p w14:paraId="6912AFC2" w14:textId="7E3F3DF2" w:rsidR="00B246FA" w:rsidRDefault="00B246FA" w:rsidP="004D01D5">
                      <w:pPr>
                        <w:rPr>
                          <w:b/>
                          <w:sz w:val="24"/>
                        </w:rPr>
                      </w:pPr>
                      <w:r w:rsidRPr="00C11F36">
                        <w:rPr>
                          <w:b/>
                          <w:sz w:val="24"/>
                        </w:rPr>
                        <w:t xml:space="preserve">Chapter </w:t>
                      </w:r>
                      <w:r>
                        <w:rPr>
                          <w:b/>
                          <w:sz w:val="24"/>
                        </w:rPr>
                        <w:t>8</w:t>
                      </w:r>
                      <w:r w:rsidRPr="00C11F36">
                        <w:rPr>
                          <w:b/>
                          <w:sz w:val="24"/>
                        </w:rPr>
                        <w:t xml:space="preserve"> – Key </w:t>
                      </w:r>
                      <w:r>
                        <w:rPr>
                          <w:b/>
                          <w:sz w:val="24"/>
                        </w:rPr>
                        <w:t>p</w:t>
                      </w:r>
                      <w:r w:rsidRPr="00C11F36">
                        <w:rPr>
                          <w:b/>
                          <w:sz w:val="24"/>
                        </w:rPr>
                        <w:t>oints</w:t>
                      </w:r>
                    </w:p>
                    <w:p w14:paraId="580EF4E7" w14:textId="5B386626" w:rsidR="00B246FA" w:rsidRDefault="00B246FA" w:rsidP="00B81325">
                      <w:pPr>
                        <w:numPr>
                          <w:ilvl w:val="0"/>
                          <w:numId w:val="72"/>
                        </w:numPr>
                      </w:pPr>
                      <w:r>
                        <w:t>O</w:t>
                      </w:r>
                      <w:r w:rsidRPr="00C11F36">
                        <w:rPr>
                          <w:vertAlign w:val="subscript"/>
                        </w:rPr>
                        <w:t>3</w:t>
                      </w:r>
                      <w:r>
                        <w:t xml:space="preserve"> is a highly reactive gas and a major component of photochemical smog. O</w:t>
                      </w:r>
                      <w:r w:rsidRPr="00C11F36">
                        <w:rPr>
                          <w:vertAlign w:val="subscript"/>
                        </w:rPr>
                        <w:t>3</w:t>
                      </w:r>
                      <w:r>
                        <w:t xml:space="preserve"> is not emitted directly but is a secondary pollutant formed in the atmosphere by the reaction of nitrogen oxides (NOx) and volatile organic compounds (VOCs) in the presence of heat and sunlight. The combustion of fuel in vehicles is a key source of both NOx and VOCs and is therefore important in the consideration of O</w:t>
                      </w:r>
                      <w:r w:rsidRPr="00C11F36">
                        <w:rPr>
                          <w:vertAlign w:val="subscript"/>
                        </w:rPr>
                        <w:t>3</w:t>
                      </w:r>
                      <w:r>
                        <w:t xml:space="preserve"> formation. </w:t>
                      </w:r>
                    </w:p>
                    <w:p w14:paraId="50D6232D" w14:textId="77777777" w:rsidR="00B246FA" w:rsidRDefault="00B246FA" w:rsidP="00B81325">
                      <w:pPr>
                        <w:numPr>
                          <w:ilvl w:val="0"/>
                          <w:numId w:val="72"/>
                        </w:numPr>
                      </w:pPr>
                      <w:r>
                        <w:t>O</w:t>
                      </w:r>
                      <w:r w:rsidRPr="00C11F36">
                        <w:rPr>
                          <w:vertAlign w:val="subscript"/>
                        </w:rPr>
                        <w:t>3</w:t>
                      </w:r>
                      <w:r>
                        <w:t xml:space="preserve"> is known to impact on health largely through effects in the respiratory tract. It may be harmful to the lungs, especially for children, the elderly and people with lung disease. It may also exacerbate pre-existing respiratory conditions such as asthma. It can also damage vegetation and materials and is a potent greenhouse gas.</w:t>
                      </w:r>
                    </w:p>
                    <w:p w14:paraId="42104658" w14:textId="1DB395C0" w:rsidR="00B246FA" w:rsidRDefault="00B246FA" w:rsidP="00B81325">
                      <w:pPr>
                        <w:numPr>
                          <w:ilvl w:val="0"/>
                          <w:numId w:val="72"/>
                        </w:numPr>
                      </w:pPr>
                      <w:r>
                        <w:t>There have been no clear trends in O</w:t>
                      </w:r>
                      <w:r w:rsidRPr="00C11F36">
                        <w:rPr>
                          <w:vertAlign w:val="subscript"/>
                        </w:rPr>
                        <w:t>3</w:t>
                      </w:r>
                      <w:r>
                        <w:t xml:space="preserve"> concentrations in Australian cities or regional centres from 2003–2016 except for Sydney, where there has been a slight downward trend.</w:t>
                      </w:r>
                    </w:p>
                    <w:p w14:paraId="05678560" w14:textId="0D84A757" w:rsidR="00B246FA" w:rsidRDefault="00B246FA" w:rsidP="00B81325">
                      <w:pPr>
                        <w:numPr>
                          <w:ilvl w:val="0"/>
                          <w:numId w:val="72"/>
                        </w:numPr>
                      </w:pPr>
                      <w:r>
                        <w:t>O</w:t>
                      </w:r>
                      <w:r w:rsidRPr="00C11F36">
                        <w:rPr>
                          <w:vertAlign w:val="subscript"/>
                        </w:rPr>
                        <w:t>3</w:t>
                      </w:r>
                      <w:r>
                        <w:t xml:space="preserve"> exceedances have occurred in most airsheds in most years between 2003 and 2016, particularly in Sydney.</w:t>
                      </w:r>
                    </w:p>
                    <w:p w14:paraId="6F745A76" w14:textId="35147E1C" w:rsidR="00B246FA" w:rsidRDefault="00B246FA" w:rsidP="00B81325">
                      <w:pPr>
                        <w:numPr>
                          <w:ilvl w:val="0"/>
                          <w:numId w:val="72"/>
                        </w:numPr>
                      </w:pPr>
                      <w:r>
                        <w:t>There is a substantial health burden associated with exposure to recent historical levels of O</w:t>
                      </w:r>
                      <w:r w:rsidRPr="00C11F36">
                        <w:rPr>
                          <w:vertAlign w:val="subscript"/>
                        </w:rPr>
                        <w:t>3</w:t>
                      </w:r>
                      <w:r>
                        <w:t>, particularly in the major cities. In Sydney and Melbourne, the health burden is projected to increase substantially in the future if emissions continue as forecast with no abatement.</w:t>
                      </w:r>
                    </w:p>
                    <w:p w14:paraId="5DBF4F9C" w14:textId="2FC36D9B" w:rsidR="00B246FA" w:rsidRDefault="00B246FA" w:rsidP="00B81325">
                      <w:pPr>
                        <w:numPr>
                          <w:ilvl w:val="0"/>
                          <w:numId w:val="72"/>
                        </w:numPr>
                      </w:pPr>
                      <w:r>
                        <w:t>1-hour or 4-hour averaging periods are not widely used (1-hour), or not used at all (4-hour), outside of Australia and are not recommended by the WHO.</w:t>
                      </w:r>
                    </w:p>
                    <w:p w14:paraId="0F5DFF7F" w14:textId="6E36D947" w:rsidR="00B246FA" w:rsidRDefault="00B246FA" w:rsidP="00B81325">
                      <w:pPr>
                        <w:numPr>
                          <w:ilvl w:val="0"/>
                          <w:numId w:val="72"/>
                        </w:numPr>
                      </w:pPr>
                      <w:r>
                        <w:t>An 8-hour averaging period is the only one commonly used for ozone internationally and the only averaging period applied in the US, EU, UK and Canada, and recommended by the WHO. The WHO found that it provides sufficient health protection and a 1-hour standard is not required.</w:t>
                      </w:r>
                    </w:p>
                    <w:p w14:paraId="241F6D3A" w14:textId="5FD6C7B2" w:rsidR="00B246FA" w:rsidRDefault="00B246FA" w:rsidP="00B81325">
                      <w:pPr>
                        <w:numPr>
                          <w:ilvl w:val="0"/>
                          <w:numId w:val="72"/>
                        </w:numPr>
                      </w:pPr>
                      <w:r>
                        <w:t>As a controlling standard, an Australian 8-hour standard of 70 ppb would capture longer-term health impacts of most concern and would generally ensure current 1-hour and 4-hour standards would not be exceeded. The adoption of a 65 ppb 8-hour O</w:t>
                      </w:r>
                      <w:r w:rsidRPr="00C11F36">
                        <w:rPr>
                          <w:sz w:val="22"/>
                          <w:vertAlign w:val="subscript"/>
                        </w:rPr>
                        <w:t>3</w:t>
                      </w:r>
                      <w:r>
                        <w:t xml:space="preserve"> standard would provide additional protection against prolonged O</w:t>
                      </w:r>
                      <w:r w:rsidRPr="00126BED">
                        <w:rPr>
                          <w:vertAlign w:val="subscript"/>
                        </w:rPr>
                        <w:t>3</w:t>
                      </w:r>
                      <w:r>
                        <w:t xml:space="preserve"> exposures, as well as against shorter-term peaks of concern.</w:t>
                      </w:r>
                    </w:p>
                    <w:p w14:paraId="64AE057D" w14:textId="77777777" w:rsidR="00B246FA" w:rsidRDefault="00B246FA" w:rsidP="00B81325">
                      <w:pPr>
                        <w:numPr>
                          <w:ilvl w:val="0"/>
                          <w:numId w:val="72"/>
                        </w:numPr>
                      </w:pPr>
                      <w:r>
                        <w:t>O</w:t>
                      </w:r>
                      <w:r w:rsidRPr="00C11F36">
                        <w:rPr>
                          <w:vertAlign w:val="subscript"/>
                        </w:rPr>
                        <w:t>3</w:t>
                      </w:r>
                      <w:r>
                        <w:t xml:space="preserve"> exceedances are influenced by bushfires in most jurisdictions. Given this, an exceptional events rule may be appropriate that permits exceedances of the O</w:t>
                      </w:r>
                      <w:r w:rsidRPr="00C11F36">
                        <w:rPr>
                          <w:vertAlign w:val="subscript"/>
                        </w:rPr>
                        <w:t>3</w:t>
                      </w:r>
                      <w:r>
                        <w:t xml:space="preserve"> standards when they are caused by major natural events such as bushfires.</w:t>
                      </w:r>
                    </w:p>
                    <w:p w14:paraId="1058C09B" w14:textId="4DB7F132" w:rsidR="00B246FA" w:rsidRPr="004D01D5" w:rsidRDefault="00B246FA" w:rsidP="00B81325">
                      <w:pPr>
                        <w:numPr>
                          <w:ilvl w:val="0"/>
                          <w:numId w:val="72"/>
                        </w:numPr>
                      </w:pPr>
                      <w:r>
                        <w:t>Given the health burden posed by O</w:t>
                      </w:r>
                      <w:r w:rsidRPr="00C11F36">
                        <w:rPr>
                          <w:vertAlign w:val="subscript"/>
                        </w:rPr>
                        <w:t>3</w:t>
                      </w:r>
                      <w:r>
                        <w:t xml:space="preserve"> in Australian cities, an exposure-reduction framework would provide a mechanism to reduce population exposure to O</w:t>
                      </w:r>
                      <w:r w:rsidRPr="00C11F36">
                        <w:rPr>
                          <w:vertAlign w:val="subscript"/>
                        </w:rPr>
                        <w:t>3</w:t>
                      </w:r>
                      <w:r>
                        <w:t xml:space="preserve"> and allow jurisdictions to report improvements in O</w:t>
                      </w:r>
                      <w:r w:rsidRPr="00C11F36">
                        <w:rPr>
                          <w:vertAlign w:val="subscript"/>
                        </w:rPr>
                        <w:t>3</w:t>
                      </w:r>
                      <w:r>
                        <w:t xml:space="preserve"> levels as well as any exceedances of the standard.</w:t>
                      </w:r>
                    </w:p>
                  </w:txbxContent>
                </v:textbox>
                <w10:anchorlock/>
              </v:shape>
            </w:pict>
          </mc:Fallback>
        </mc:AlternateContent>
      </w:r>
    </w:p>
    <w:p w14:paraId="76FBB4BC" w14:textId="2297722E" w:rsidR="004D01D5" w:rsidRPr="005060E0" w:rsidRDefault="004D01D5">
      <w:pPr>
        <w:spacing w:after="160" w:line="259" w:lineRule="auto"/>
      </w:pPr>
      <w:r w:rsidRPr="005060E0">
        <w:br w:type="page"/>
      </w:r>
    </w:p>
    <w:p w14:paraId="270420C2" w14:textId="385B3880" w:rsidR="004D01D5" w:rsidRPr="005060E0" w:rsidRDefault="00973AD4">
      <w:pPr>
        <w:spacing w:after="160" w:line="259" w:lineRule="auto"/>
      </w:pPr>
      <w:r w:rsidRPr="005060E0">
        <w:rPr>
          <w:noProof/>
          <w:color w:val="FF0000"/>
          <w:szCs w:val="20"/>
          <w:lang w:eastAsia="en-AU"/>
        </w:rPr>
        <mc:AlternateContent>
          <mc:Choice Requires="wps">
            <w:drawing>
              <wp:inline distT="0" distB="0" distL="0" distR="0" wp14:anchorId="5C36251A" wp14:editId="0606C5FB">
                <wp:extent cx="6140968" cy="4514850"/>
                <wp:effectExtent l="0" t="0" r="12700" b="19050"/>
                <wp:docPr id="468" name="Text Box 468"/>
                <wp:cNvGraphicFramePr/>
                <a:graphic xmlns:a="http://schemas.openxmlformats.org/drawingml/2006/main">
                  <a:graphicData uri="http://schemas.microsoft.com/office/word/2010/wordprocessingShape">
                    <wps:wsp>
                      <wps:cNvSpPr txBox="1"/>
                      <wps:spPr>
                        <a:xfrm>
                          <a:off x="0" y="0"/>
                          <a:ext cx="6140968" cy="45148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4698858" w14:textId="24ACFCD5" w:rsidR="00B246FA" w:rsidRDefault="00B246FA" w:rsidP="004D01D5">
                            <w:pPr>
                              <w:rPr>
                                <w:b/>
                                <w:sz w:val="24"/>
                              </w:rPr>
                            </w:pPr>
                            <w:r w:rsidRPr="00C11F36">
                              <w:rPr>
                                <w:b/>
                                <w:sz w:val="24"/>
                              </w:rPr>
                              <w:t xml:space="preserve">Chapter </w:t>
                            </w:r>
                            <w:r>
                              <w:rPr>
                                <w:b/>
                                <w:sz w:val="24"/>
                              </w:rPr>
                              <w:t>8</w:t>
                            </w:r>
                            <w:r w:rsidRPr="00C11F36">
                              <w:rPr>
                                <w:b/>
                                <w:sz w:val="24"/>
                              </w:rPr>
                              <w:t xml:space="preserve"> – Consultation </w:t>
                            </w:r>
                            <w:r>
                              <w:rPr>
                                <w:b/>
                                <w:sz w:val="24"/>
                              </w:rPr>
                              <w:t>q</w:t>
                            </w:r>
                            <w:r w:rsidRPr="00C11F36">
                              <w:rPr>
                                <w:b/>
                                <w:sz w:val="24"/>
                              </w:rPr>
                              <w:t>uestions</w:t>
                            </w:r>
                          </w:p>
                          <w:p w14:paraId="58B2FDB3" w14:textId="77777777" w:rsidR="00B246FA" w:rsidRPr="004D01D5" w:rsidRDefault="00B246FA" w:rsidP="00B81325">
                            <w:pPr>
                              <w:pStyle w:val="ListParagraph"/>
                              <w:numPr>
                                <w:ilvl w:val="0"/>
                                <w:numId w:val="69"/>
                              </w:numPr>
                              <w:ind w:hanging="357"/>
                              <w:contextualSpacing w:val="0"/>
                            </w:pPr>
                            <w:r w:rsidRPr="004D01D5">
                              <w:t>Do you agree with the recommendations made in this report for the O</w:t>
                            </w:r>
                            <w:r w:rsidRPr="00C11F36">
                              <w:rPr>
                                <w:vertAlign w:val="subscript"/>
                              </w:rPr>
                              <w:t>3</w:t>
                            </w:r>
                            <w:r w:rsidRPr="004D01D5">
                              <w:t xml:space="preserve"> standards? Your answer should consider whether you agree:</w:t>
                            </w:r>
                          </w:p>
                          <w:p w14:paraId="65BB9BDC" w14:textId="22DCA0E4" w:rsidR="00B246FA" w:rsidRPr="004D01D5" w:rsidRDefault="00B246FA" w:rsidP="00B81325">
                            <w:pPr>
                              <w:pStyle w:val="ListParagraph"/>
                              <w:numPr>
                                <w:ilvl w:val="0"/>
                                <w:numId w:val="80"/>
                              </w:numPr>
                              <w:ind w:hanging="357"/>
                              <w:contextualSpacing w:val="0"/>
                            </w:pPr>
                            <w:r>
                              <w:t>w</w:t>
                            </w:r>
                            <w:r w:rsidRPr="004D01D5">
                              <w:t>ith the introduction of a rolling 8-hour O</w:t>
                            </w:r>
                            <w:r w:rsidRPr="00C11F36">
                              <w:rPr>
                                <w:vertAlign w:val="subscript"/>
                              </w:rPr>
                              <w:t>3</w:t>
                            </w:r>
                            <w:r w:rsidRPr="004D01D5">
                              <w:t xml:space="preserve"> standard and removal of the 1-hour and 4</w:t>
                            </w:r>
                            <w:r>
                              <w:noBreakHyphen/>
                            </w:r>
                            <w:r w:rsidRPr="004D01D5">
                              <w:t>hour averaging periods</w:t>
                            </w:r>
                          </w:p>
                          <w:p w14:paraId="69572CF9" w14:textId="6411E675" w:rsidR="00B246FA" w:rsidRPr="004D01D5" w:rsidRDefault="00B246FA" w:rsidP="00B81325">
                            <w:pPr>
                              <w:pStyle w:val="ListParagraph"/>
                              <w:numPr>
                                <w:ilvl w:val="0"/>
                                <w:numId w:val="80"/>
                              </w:numPr>
                              <w:ind w:hanging="357"/>
                              <w:contextualSpacing w:val="0"/>
                            </w:pPr>
                            <w:r>
                              <w:t>with</w:t>
                            </w:r>
                            <w:r w:rsidRPr="004D01D5">
                              <w:t xml:space="preserve"> jurisdictions continu</w:t>
                            </w:r>
                            <w:r>
                              <w:t>ing</w:t>
                            </w:r>
                            <w:r w:rsidRPr="004D01D5">
                              <w:t xml:space="preserve"> to record and report 1-hour concentrations even if there is no 1-hour standard</w:t>
                            </w:r>
                          </w:p>
                          <w:p w14:paraId="5065356E" w14:textId="5FBE15C3" w:rsidR="00B246FA" w:rsidRPr="004D01D5" w:rsidRDefault="00B246FA" w:rsidP="00B81325">
                            <w:pPr>
                              <w:pStyle w:val="ListParagraph"/>
                              <w:numPr>
                                <w:ilvl w:val="0"/>
                                <w:numId w:val="80"/>
                              </w:numPr>
                              <w:ind w:hanging="357"/>
                              <w:contextualSpacing w:val="0"/>
                            </w:pPr>
                            <w:r>
                              <w:t>t</w:t>
                            </w:r>
                            <w:r w:rsidRPr="004D01D5">
                              <w:t>hat there are no other averaging periods that should be considered for O</w:t>
                            </w:r>
                            <w:r w:rsidRPr="00C11F36">
                              <w:rPr>
                                <w:vertAlign w:val="subscript"/>
                              </w:rPr>
                              <w:t>3</w:t>
                            </w:r>
                            <w:r w:rsidRPr="004D01D5">
                              <w:t xml:space="preserve"> in the future</w:t>
                            </w:r>
                          </w:p>
                          <w:p w14:paraId="55BFA928" w14:textId="664DBB33" w:rsidR="00B246FA" w:rsidRPr="004D01D5" w:rsidRDefault="00B246FA" w:rsidP="00B81325">
                            <w:pPr>
                              <w:pStyle w:val="ListParagraph"/>
                              <w:numPr>
                                <w:ilvl w:val="0"/>
                                <w:numId w:val="80"/>
                              </w:numPr>
                              <w:ind w:hanging="357"/>
                              <w:contextualSpacing w:val="0"/>
                            </w:pPr>
                            <w:r>
                              <w:t>w</w:t>
                            </w:r>
                            <w:r w:rsidRPr="004D01D5">
                              <w:t>ith the preferred numerical value for the 8-hour O</w:t>
                            </w:r>
                            <w:r w:rsidRPr="00C11F36">
                              <w:rPr>
                                <w:vertAlign w:val="subscript"/>
                              </w:rPr>
                              <w:t>3</w:t>
                            </w:r>
                            <w:r w:rsidRPr="004D01D5">
                              <w:t xml:space="preserve"> standard (65 ppb)</w:t>
                            </w:r>
                          </w:p>
                          <w:p w14:paraId="34C94876" w14:textId="38181828" w:rsidR="00B246FA" w:rsidRPr="004D01D5" w:rsidRDefault="00B246FA" w:rsidP="00B81325">
                            <w:pPr>
                              <w:pStyle w:val="ListParagraph"/>
                              <w:numPr>
                                <w:ilvl w:val="0"/>
                                <w:numId w:val="80"/>
                              </w:numPr>
                              <w:ind w:hanging="357"/>
                              <w:contextualSpacing w:val="0"/>
                            </w:pPr>
                            <w:r>
                              <w:t>t</w:t>
                            </w:r>
                            <w:r w:rsidRPr="004D01D5">
                              <w:t>hat there should be no allowable exceedances for the O</w:t>
                            </w:r>
                            <w:r w:rsidRPr="00C11F36">
                              <w:rPr>
                                <w:vertAlign w:val="subscript"/>
                              </w:rPr>
                              <w:t>3</w:t>
                            </w:r>
                            <w:r w:rsidRPr="004D01D5">
                              <w:t xml:space="preserve"> standards</w:t>
                            </w:r>
                          </w:p>
                          <w:p w14:paraId="28EDA40C" w14:textId="7872CC05" w:rsidR="00B246FA" w:rsidRPr="004D01D5" w:rsidRDefault="00B246FA" w:rsidP="00B81325">
                            <w:pPr>
                              <w:pStyle w:val="ListParagraph"/>
                              <w:numPr>
                                <w:ilvl w:val="0"/>
                                <w:numId w:val="80"/>
                              </w:numPr>
                              <w:ind w:hanging="357"/>
                              <w:contextualSpacing w:val="0"/>
                            </w:pPr>
                            <w:r>
                              <w:t>w</w:t>
                            </w:r>
                            <w:r w:rsidRPr="004D01D5">
                              <w:t>ith the introduction of an exposure-reduction framework for O</w:t>
                            </w:r>
                            <w:r w:rsidRPr="00C11F36">
                              <w:rPr>
                                <w:vertAlign w:val="subscript"/>
                              </w:rPr>
                              <w:t>3</w:t>
                            </w:r>
                            <w:r w:rsidRPr="004D01D5">
                              <w:t xml:space="preserve"> (in the form of a long-term goal for O</w:t>
                            </w:r>
                            <w:r w:rsidRPr="00C11F36">
                              <w:rPr>
                                <w:vertAlign w:val="subscript"/>
                              </w:rPr>
                              <w:t>3</w:t>
                            </w:r>
                            <w:r w:rsidRPr="004D01D5">
                              <w:t>) once O</w:t>
                            </w:r>
                            <w:r w:rsidRPr="00C11F36">
                              <w:rPr>
                                <w:vertAlign w:val="subscript"/>
                              </w:rPr>
                              <w:t>3</w:t>
                            </w:r>
                            <w:r w:rsidRPr="004D01D5">
                              <w:t xml:space="preserve"> generation in capital cities is better understood</w:t>
                            </w:r>
                          </w:p>
                          <w:p w14:paraId="3FBB1748" w14:textId="13EF3DE6" w:rsidR="00B246FA" w:rsidRPr="004D01D5" w:rsidRDefault="00B246FA" w:rsidP="00B81325">
                            <w:pPr>
                              <w:pStyle w:val="ListParagraph"/>
                              <w:numPr>
                                <w:ilvl w:val="0"/>
                                <w:numId w:val="80"/>
                              </w:numPr>
                              <w:ind w:hanging="357"/>
                              <w:contextualSpacing w:val="0"/>
                            </w:pPr>
                            <w:r>
                              <w:t>with</w:t>
                            </w:r>
                            <w:r w:rsidRPr="004D01D5">
                              <w:t xml:space="preserve"> jurisdictions commenc</w:t>
                            </w:r>
                            <w:r>
                              <w:t>ing</w:t>
                            </w:r>
                            <w:r w:rsidRPr="004D01D5">
                              <w:t xml:space="preserve"> annual reporting on population exposure to O</w:t>
                            </w:r>
                            <w:r w:rsidRPr="00C11F36">
                              <w:rPr>
                                <w:vertAlign w:val="subscript"/>
                              </w:rPr>
                              <w:t>3</w:t>
                            </w:r>
                            <w:r w:rsidRPr="004D01D5">
                              <w:t xml:space="preserve"> from the commencement of a varied AAQ NEPM</w:t>
                            </w:r>
                          </w:p>
                          <w:p w14:paraId="5ADFD356" w14:textId="3810D206" w:rsidR="00B246FA" w:rsidRPr="00283823" w:rsidRDefault="00B246FA" w:rsidP="00B66119">
                            <w:pPr>
                              <w:pStyle w:val="ListParagraph"/>
                              <w:numPr>
                                <w:ilvl w:val="0"/>
                                <w:numId w:val="80"/>
                              </w:numPr>
                              <w:ind w:hanging="357"/>
                              <w:contextualSpacing w:val="0"/>
                            </w:pPr>
                            <w:r>
                              <w:t>w</w:t>
                            </w:r>
                            <w:r w:rsidRPr="00283823">
                              <w:t>ith the introduction of an exceptional events rule for O</w:t>
                            </w:r>
                            <w:r w:rsidRPr="00283823">
                              <w:rPr>
                                <w:vertAlign w:val="subscript"/>
                              </w:rPr>
                              <w:t>3</w:t>
                            </w:r>
                            <w:r w:rsidRPr="00283823">
                              <w:t xml:space="preserve"> that is consistent with the approach for the PM</w:t>
                            </w:r>
                            <w:r w:rsidRPr="00283823">
                              <w:rPr>
                                <w:vertAlign w:val="subscript"/>
                              </w:rPr>
                              <w:t>2.5</w:t>
                            </w:r>
                            <w:r w:rsidRPr="00283823">
                              <w:t xml:space="preserve"> and PM</w:t>
                            </w:r>
                            <w:r w:rsidRPr="00283823">
                              <w:rPr>
                                <w:vertAlign w:val="subscript"/>
                              </w:rPr>
                              <w:t>10</w:t>
                            </w:r>
                            <w:r w:rsidRPr="00283823">
                              <w:t xml:space="preserve"> standards in the AAQ NEPM. Note that an exceptional events rule </w:t>
                            </w:r>
                            <w:r>
                              <w:t xml:space="preserve">will </w:t>
                            </w:r>
                            <w:r w:rsidRPr="00283823">
                              <w:t xml:space="preserve">differ </w:t>
                            </w:r>
                            <w:r>
                              <w:t xml:space="preserve">from </w:t>
                            </w:r>
                            <w:r w:rsidRPr="00283823">
                              <w:t xml:space="preserve">an allowable exceedances rule as it </w:t>
                            </w:r>
                            <w:r>
                              <w:t xml:space="preserve">will </w:t>
                            </w:r>
                            <w:r w:rsidRPr="00283823">
                              <w:t>only appl</w:t>
                            </w:r>
                            <w:r>
                              <w:t>y</w:t>
                            </w:r>
                            <w:r w:rsidRPr="00283823">
                              <w:t xml:space="preserve"> to </w:t>
                            </w:r>
                            <w:r>
                              <w:t xml:space="preserve">exceptional </w:t>
                            </w:r>
                            <w:r w:rsidRPr="00283823">
                              <w:t>events (such as bushfires and dust storms)</w:t>
                            </w:r>
                            <w:r>
                              <w:t xml:space="preserve"> </w:t>
                            </w:r>
                            <w:r w:rsidRPr="00283823">
                              <w:t xml:space="preserve">rather than </w:t>
                            </w:r>
                            <w:r>
                              <w:t xml:space="preserve">be based on </w:t>
                            </w:r>
                            <w:r w:rsidRPr="00283823">
                              <w:t>a fixed number of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36251A" id="Text Box 468" o:spid="_x0000_s1053" type="#_x0000_t202" style="width:483.55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nWdgIAADgFAAAOAAAAZHJzL2Uyb0RvYy54bWysVN9v2yAQfp+0/wHxvjqO3LSN4lRZqk6T&#10;orZaO/WZYEisAceAxM7++h04drMuT9NebLj77vd3zG5brcheOF+DKWl+MaJEGA5VbTYl/f5y/+ma&#10;Eh+YqZgCI0p6EJ7ezj9+mDV2KsawBVUJR9CJ8dPGlnQbgp1mmedboZm/ACsMKiU4zQJe3SarHGvQ&#10;u1bZeDSaZA24yjrgwnuU3nVKOk/+pRQ8PErpRSCqpJhbSF+Xvuv4zeYzNt04Zrc1P6bB/iELzWqD&#10;QQdXdywwsnP1X650zR14kOGCg85AypqLVANWk4/eVfO8ZVakWrA53g5t8v/PLX/YPzlSVyUtJjgq&#10;wzQO6UW0gXyGlkQZdqixforAZ4vQ0KICJ93LPQpj4a10Ov6xJIJ67PVh6G90x1E4yYvRTQzDUVdc&#10;5sX1ZZpA9mZunQ9fBGgSDyV1OMDUV7Zf+YCpILSHxGjKRFnMr8sjncJBiU75TUisDSOPk5PEKrFU&#10;juwZ8oFxLkxIlaBbZRAdzWSt1GCYnzNUg9ERG81EYttgODpn+GfEwSJFBRMGY10bcOccVD/6dGWH&#10;76vvao7lh3bdpoGOr/oZraE64OgcdPT3lt/X2N4V8+GJOeQ7Tgt3ODziRypoSgrHEyVbcL/OySMe&#10;aYhaShrcn5L6nzvmBCXqq0GC3uRFERcuXYrLqzFe3KlmfaoxO70EHEmOr4Xl6RjxQfVH6UC/4qov&#10;YlRUMcMxdklDf1yGbqvxqeBisUggXDHLwso8Wx5dxzZH8ry0r8zZI8MCkvMB+k1j03dE67DR0sBi&#10;F0DWiYWx0V1XjwPA9UzkPD4lcf9P7wn19uDNfwMAAP//AwBQSwMEFAAGAAgAAAAhANrCfAfaAAAA&#10;BQEAAA8AAABkcnMvZG93bnJldi54bWxMj8FOwzAQRO9I/IO1SNyobQ5pCdlUKKLqDYlScXbiJYka&#10;r6PYTdO/x3CBy0qjGc28LbaLG8RMU+g9I+iVAkHceNtzi3D82D1sQIRo2JrBMyFcKcC2vL0pTG79&#10;hd9pPsRWpBIOuUHoYhxzKUPTkTNh5Ufi5H35yZmY5NRKO5lLKneDfFQqk870nBY6M1LVUXM6nB1C&#10;papdmPe6zq6+P31uXvltbPaI93fLyzOISEv8C8MPfkKHMjHV/sw2iAEhPRJ/b/KesrUGUSOstVYg&#10;y0L+py+/AQAA//8DAFBLAQItABQABgAIAAAAIQC2gziS/gAAAOEBAAATAAAAAAAAAAAAAAAAAAAA&#10;AABbQ29udGVudF9UeXBlc10ueG1sUEsBAi0AFAAGAAgAAAAhADj9If/WAAAAlAEAAAsAAAAAAAAA&#10;AAAAAAAALwEAAF9yZWxzLy5yZWxzUEsBAi0AFAAGAAgAAAAhAN9KOdZ2AgAAOAUAAA4AAAAAAAAA&#10;AAAAAAAALgIAAGRycy9lMm9Eb2MueG1sUEsBAi0AFAAGAAgAAAAhANrCfAfaAAAABQEAAA8AAAAA&#10;AAAAAAAAAAAA0AQAAGRycy9kb3ducmV2LnhtbFBLBQYAAAAABAAEAPMAAADXBQAAAAA=&#10;" fillcolor="white [3201]" strokecolor="#0076c0 [3204]" strokeweight="2pt">
                <v:textbox>
                  <w:txbxContent>
                    <w:p w14:paraId="64698858" w14:textId="24ACFCD5" w:rsidR="00B246FA" w:rsidRDefault="00B246FA" w:rsidP="004D01D5">
                      <w:pPr>
                        <w:rPr>
                          <w:b/>
                          <w:sz w:val="24"/>
                        </w:rPr>
                      </w:pPr>
                      <w:r w:rsidRPr="00C11F36">
                        <w:rPr>
                          <w:b/>
                          <w:sz w:val="24"/>
                        </w:rPr>
                        <w:t xml:space="preserve">Chapter </w:t>
                      </w:r>
                      <w:r>
                        <w:rPr>
                          <w:b/>
                          <w:sz w:val="24"/>
                        </w:rPr>
                        <w:t>8</w:t>
                      </w:r>
                      <w:r w:rsidRPr="00C11F36">
                        <w:rPr>
                          <w:b/>
                          <w:sz w:val="24"/>
                        </w:rPr>
                        <w:t xml:space="preserve"> – Consultation </w:t>
                      </w:r>
                      <w:r>
                        <w:rPr>
                          <w:b/>
                          <w:sz w:val="24"/>
                        </w:rPr>
                        <w:t>q</w:t>
                      </w:r>
                      <w:r w:rsidRPr="00C11F36">
                        <w:rPr>
                          <w:b/>
                          <w:sz w:val="24"/>
                        </w:rPr>
                        <w:t>uestions</w:t>
                      </w:r>
                    </w:p>
                    <w:p w14:paraId="58B2FDB3" w14:textId="77777777" w:rsidR="00B246FA" w:rsidRPr="004D01D5" w:rsidRDefault="00B246FA" w:rsidP="00B81325">
                      <w:pPr>
                        <w:pStyle w:val="ListParagraph"/>
                        <w:numPr>
                          <w:ilvl w:val="0"/>
                          <w:numId w:val="69"/>
                        </w:numPr>
                        <w:ind w:hanging="357"/>
                        <w:contextualSpacing w:val="0"/>
                      </w:pPr>
                      <w:r w:rsidRPr="004D01D5">
                        <w:t>Do you agree with the recommendations made in this report for the O</w:t>
                      </w:r>
                      <w:r w:rsidRPr="00C11F36">
                        <w:rPr>
                          <w:vertAlign w:val="subscript"/>
                        </w:rPr>
                        <w:t>3</w:t>
                      </w:r>
                      <w:r w:rsidRPr="004D01D5">
                        <w:t xml:space="preserve"> standards? Your answer should consider whether you agree:</w:t>
                      </w:r>
                    </w:p>
                    <w:p w14:paraId="65BB9BDC" w14:textId="22DCA0E4" w:rsidR="00B246FA" w:rsidRPr="004D01D5" w:rsidRDefault="00B246FA" w:rsidP="00B81325">
                      <w:pPr>
                        <w:pStyle w:val="ListParagraph"/>
                        <w:numPr>
                          <w:ilvl w:val="0"/>
                          <w:numId w:val="80"/>
                        </w:numPr>
                        <w:ind w:hanging="357"/>
                        <w:contextualSpacing w:val="0"/>
                      </w:pPr>
                      <w:r>
                        <w:t>w</w:t>
                      </w:r>
                      <w:r w:rsidRPr="004D01D5">
                        <w:t>ith the introduction of a rolling 8-hour O</w:t>
                      </w:r>
                      <w:r w:rsidRPr="00C11F36">
                        <w:rPr>
                          <w:vertAlign w:val="subscript"/>
                        </w:rPr>
                        <w:t>3</w:t>
                      </w:r>
                      <w:r w:rsidRPr="004D01D5">
                        <w:t xml:space="preserve"> standard and removal of the 1-hour and 4</w:t>
                      </w:r>
                      <w:r>
                        <w:noBreakHyphen/>
                      </w:r>
                      <w:r w:rsidRPr="004D01D5">
                        <w:t>hour averaging periods</w:t>
                      </w:r>
                    </w:p>
                    <w:p w14:paraId="69572CF9" w14:textId="6411E675" w:rsidR="00B246FA" w:rsidRPr="004D01D5" w:rsidRDefault="00B246FA" w:rsidP="00B81325">
                      <w:pPr>
                        <w:pStyle w:val="ListParagraph"/>
                        <w:numPr>
                          <w:ilvl w:val="0"/>
                          <w:numId w:val="80"/>
                        </w:numPr>
                        <w:ind w:hanging="357"/>
                        <w:contextualSpacing w:val="0"/>
                      </w:pPr>
                      <w:r>
                        <w:t>with</w:t>
                      </w:r>
                      <w:r w:rsidRPr="004D01D5">
                        <w:t xml:space="preserve"> jurisdictions continu</w:t>
                      </w:r>
                      <w:r>
                        <w:t>ing</w:t>
                      </w:r>
                      <w:r w:rsidRPr="004D01D5">
                        <w:t xml:space="preserve"> to record and report 1-hour concentrations even if there is no 1-hour standard</w:t>
                      </w:r>
                    </w:p>
                    <w:p w14:paraId="5065356E" w14:textId="5FBE15C3" w:rsidR="00B246FA" w:rsidRPr="004D01D5" w:rsidRDefault="00B246FA" w:rsidP="00B81325">
                      <w:pPr>
                        <w:pStyle w:val="ListParagraph"/>
                        <w:numPr>
                          <w:ilvl w:val="0"/>
                          <w:numId w:val="80"/>
                        </w:numPr>
                        <w:ind w:hanging="357"/>
                        <w:contextualSpacing w:val="0"/>
                      </w:pPr>
                      <w:r>
                        <w:t>t</w:t>
                      </w:r>
                      <w:r w:rsidRPr="004D01D5">
                        <w:t>hat there are no other averaging periods that should be considered for O</w:t>
                      </w:r>
                      <w:r w:rsidRPr="00C11F36">
                        <w:rPr>
                          <w:vertAlign w:val="subscript"/>
                        </w:rPr>
                        <w:t>3</w:t>
                      </w:r>
                      <w:r w:rsidRPr="004D01D5">
                        <w:t xml:space="preserve"> in the future</w:t>
                      </w:r>
                    </w:p>
                    <w:p w14:paraId="55BFA928" w14:textId="664DBB33" w:rsidR="00B246FA" w:rsidRPr="004D01D5" w:rsidRDefault="00B246FA" w:rsidP="00B81325">
                      <w:pPr>
                        <w:pStyle w:val="ListParagraph"/>
                        <w:numPr>
                          <w:ilvl w:val="0"/>
                          <w:numId w:val="80"/>
                        </w:numPr>
                        <w:ind w:hanging="357"/>
                        <w:contextualSpacing w:val="0"/>
                      </w:pPr>
                      <w:r>
                        <w:t>w</w:t>
                      </w:r>
                      <w:r w:rsidRPr="004D01D5">
                        <w:t>ith the preferred numerical value for the 8-hour O</w:t>
                      </w:r>
                      <w:r w:rsidRPr="00C11F36">
                        <w:rPr>
                          <w:vertAlign w:val="subscript"/>
                        </w:rPr>
                        <w:t>3</w:t>
                      </w:r>
                      <w:r w:rsidRPr="004D01D5">
                        <w:t xml:space="preserve"> standard (65 ppb)</w:t>
                      </w:r>
                    </w:p>
                    <w:p w14:paraId="34C94876" w14:textId="38181828" w:rsidR="00B246FA" w:rsidRPr="004D01D5" w:rsidRDefault="00B246FA" w:rsidP="00B81325">
                      <w:pPr>
                        <w:pStyle w:val="ListParagraph"/>
                        <w:numPr>
                          <w:ilvl w:val="0"/>
                          <w:numId w:val="80"/>
                        </w:numPr>
                        <w:ind w:hanging="357"/>
                        <w:contextualSpacing w:val="0"/>
                      </w:pPr>
                      <w:r>
                        <w:t>t</w:t>
                      </w:r>
                      <w:r w:rsidRPr="004D01D5">
                        <w:t>hat there should be no allowable exceedances for the O</w:t>
                      </w:r>
                      <w:r w:rsidRPr="00C11F36">
                        <w:rPr>
                          <w:vertAlign w:val="subscript"/>
                        </w:rPr>
                        <w:t>3</w:t>
                      </w:r>
                      <w:r w:rsidRPr="004D01D5">
                        <w:t xml:space="preserve"> standards</w:t>
                      </w:r>
                    </w:p>
                    <w:p w14:paraId="28EDA40C" w14:textId="7872CC05" w:rsidR="00B246FA" w:rsidRPr="004D01D5" w:rsidRDefault="00B246FA" w:rsidP="00B81325">
                      <w:pPr>
                        <w:pStyle w:val="ListParagraph"/>
                        <w:numPr>
                          <w:ilvl w:val="0"/>
                          <w:numId w:val="80"/>
                        </w:numPr>
                        <w:ind w:hanging="357"/>
                        <w:contextualSpacing w:val="0"/>
                      </w:pPr>
                      <w:r>
                        <w:t>w</w:t>
                      </w:r>
                      <w:r w:rsidRPr="004D01D5">
                        <w:t>ith the introduction of an exposure-reduction framework for O</w:t>
                      </w:r>
                      <w:r w:rsidRPr="00C11F36">
                        <w:rPr>
                          <w:vertAlign w:val="subscript"/>
                        </w:rPr>
                        <w:t>3</w:t>
                      </w:r>
                      <w:r w:rsidRPr="004D01D5">
                        <w:t xml:space="preserve"> (in the form of a long-term goal for O</w:t>
                      </w:r>
                      <w:r w:rsidRPr="00C11F36">
                        <w:rPr>
                          <w:vertAlign w:val="subscript"/>
                        </w:rPr>
                        <w:t>3</w:t>
                      </w:r>
                      <w:r w:rsidRPr="004D01D5">
                        <w:t>) once O</w:t>
                      </w:r>
                      <w:r w:rsidRPr="00C11F36">
                        <w:rPr>
                          <w:vertAlign w:val="subscript"/>
                        </w:rPr>
                        <w:t>3</w:t>
                      </w:r>
                      <w:r w:rsidRPr="004D01D5">
                        <w:t xml:space="preserve"> generation in capital cities is better understood</w:t>
                      </w:r>
                    </w:p>
                    <w:p w14:paraId="3FBB1748" w14:textId="13EF3DE6" w:rsidR="00B246FA" w:rsidRPr="004D01D5" w:rsidRDefault="00B246FA" w:rsidP="00B81325">
                      <w:pPr>
                        <w:pStyle w:val="ListParagraph"/>
                        <w:numPr>
                          <w:ilvl w:val="0"/>
                          <w:numId w:val="80"/>
                        </w:numPr>
                        <w:ind w:hanging="357"/>
                        <w:contextualSpacing w:val="0"/>
                      </w:pPr>
                      <w:r>
                        <w:t>with</w:t>
                      </w:r>
                      <w:r w:rsidRPr="004D01D5">
                        <w:t xml:space="preserve"> jurisdictions commenc</w:t>
                      </w:r>
                      <w:r>
                        <w:t>ing</w:t>
                      </w:r>
                      <w:r w:rsidRPr="004D01D5">
                        <w:t xml:space="preserve"> annual reporting on population exposure to O</w:t>
                      </w:r>
                      <w:r w:rsidRPr="00C11F36">
                        <w:rPr>
                          <w:vertAlign w:val="subscript"/>
                        </w:rPr>
                        <w:t>3</w:t>
                      </w:r>
                      <w:r w:rsidRPr="004D01D5">
                        <w:t xml:space="preserve"> from the commencement of a varied AAQ NEPM</w:t>
                      </w:r>
                    </w:p>
                    <w:p w14:paraId="5ADFD356" w14:textId="3810D206" w:rsidR="00B246FA" w:rsidRPr="00283823" w:rsidRDefault="00B246FA" w:rsidP="00B66119">
                      <w:pPr>
                        <w:pStyle w:val="ListParagraph"/>
                        <w:numPr>
                          <w:ilvl w:val="0"/>
                          <w:numId w:val="80"/>
                        </w:numPr>
                        <w:ind w:hanging="357"/>
                        <w:contextualSpacing w:val="0"/>
                      </w:pPr>
                      <w:r>
                        <w:t>w</w:t>
                      </w:r>
                      <w:r w:rsidRPr="00283823">
                        <w:t>ith the introduction of an exceptional events rule for O</w:t>
                      </w:r>
                      <w:r w:rsidRPr="00283823">
                        <w:rPr>
                          <w:vertAlign w:val="subscript"/>
                        </w:rPr>
                        <w:t>3</w:t>
                      </w:r>
                      <w:r w:rsidRPr="00283823">
                        <w:t xml:space="preserve"> that is consistent with the approach for the PM</w:t>
                      </w:r>
                      <w:r w:rsidRPr="00283823">
                        <w:rPr>
                          <w:vertAlign w:val="subscript"/>
                        </w:rPr>
                        <w:t>2.5</w:t>
                      </w:r>
                      <w:r w:rsidRPr="00283823">
                        <w:t xml:space="preserve"> and PM</w:t>
                      </w:r>
                      <w:r w:rsidRPr="00283823">
                        <w:rPr>
                          <w:vertAlign w:val="subscript"/>
                        </w:rPr>
                        <w:t>10</w:t>
                      </w:r>
                      <w:r w:rsidRPr="00283823">
                        <w:t xml:space="preserve"> standards in the AAQ NEPM. Note that an exceptional events rule </w:t>
                      </w:r>
                      <w:r>
                        <w:t xml:space="preserve">will </w:t>
                      </w:r>
                      <w:r w:rsidRPr="00283823">
                        <w:t xml:space="preserve">differ </w:t>
                      </w:r>
                      <w:r>
                        <w:t xml:space="preserve">from </w:t>
                      </w:r>
                      <w:r w:rsidRPr="00283823">
                        <w:t xml:space="preserve">an allowable exceedances rule as it </w:t>
                      </w:r>
                      <w:r>
                        <w:t xml:space="preserve">will </w:t>
                      </w:r>
                      <w:r w:rsidRPr="00283823">
                        <w:t>only appl</w:t>
                      </w:r>
                      <w:r>
                        <w:t>y</w:t>
                      </w:r>
                      <w:r w:rsidRPr="00283823">
                        <w:t xml:space="preserve"> to </w:t>
                      </w:r>
                      <w:r>
                        <w:t xml:space="preserve">exceptional </w:t>
                      </w:r>
                      <w:r w:rsidRPr="00283823">
                        <w:t>events (such as bushfires and dust storms)</w:t>
                      </w:r>
                      <w:r>
                        <w:t xml:space="preserve"> </w:t>
                      </w:r>
                      <w:r w:rsidRPr="00283823">
                        <w:t xml:space="preserve">rather than </w:t>
                      </w:r>
                      <w:r>
                        <w:t xml:space="preserve">be based on </w:t>
                      </w:r>
                      <w:r w:rsidRPr="00283823">
                        <w:t>a fixed number of days.</w:t>
                      </w:r>
                    </w:p>
                  </w:txbxContent>
                </v:textbox>
                <w10:anchorlock/>
              </v:shape>
            </w:pict>
          </mc:Fallback>
        </mc:AlternateContent>
      </w:r>
    </w:p>
    <w:p w14:paraId="4FDBD879" w14:textId="387D420A" w:rsidR="00CB5360" w:rsidRPr="005060E0" w:rsidRDefault="00CB5360" w:rsidP="00A56F12"/>
    <w:p w14:paraId="4683791D" w14:textId="2E4CB581" w:rsidR="004D01D5" w:rsidRPr="005060E0" w:rsidRDefault="004D01D5" w:rsidP="00A56F12">
      <w:pPr>
        <w:rPr>
          <w:color w:val="FF0000"/>
          <w:szCs w:val="20"/>
        </w:rPr>
        <w:sectPr w:rsidR="004D01D5" w:rsidRPr="005060E0" w:rsidSect="00F30B35">
          <w:headerReference w:type="default" r:id="rId44"/>
          <w:footerReference w:type="default" r:id="rId45"/>
          <w:pgSz w:w="11906" w:h="16838" w:code="9"/>
          <w:pgMar w:top="1440" w:right="1133" w:bottom="1843" w:left="1134" w:header="680" w:footer="170" w:gutter="0"/>
          <w:cols w:space="708"/>
          <w:docGrid w:linePitch="360"/>
        </w:sectPr>
      </w:pPr>
    </w:p>
    <w:p w14:paraId="21B5828F" w14:textId="3B889F7D" w:rsidR="005E4128" w:rsidRPr="005060E0" w:rsidRDefault="005E4128" w:rsidP="00917ED8">
      <w:pPr>
        <w:pStyle w:val="Heading1"/>
        <w:spacing w:after="360"/>
      </w:pPr>
      <w:bookmarkStart w:id="243" w:name="_Ref508614107"/>
      <w:bookmarkStart w:id="244" w:name="_Toc3278990"/>
      <w:r w:rsidRPr="005060E0">
        <w:t>Results of cost</w:t>
      </w:r>
      <w:r w:rsidR="00875B93" w:rsidRPr="005060E0">
        <w:t>–</w:t>
      </w:r>
      <w:r w:rsidRPr="005060E0">
        <w:t>benefit analysis</w:t>
      </w:r>
      <w:bookmarkEnd w:id="243"/>
      <w:bookmarkEnd w:id="244"/>
    </w:p>
    <w:p w14:paraId="77A304F8" w14:textId="7CA657BD" w:rsidR="00324888" w:rsidRPr="005060E0" w:rsidRDefault="00324888" w:rsidP="00917ED8">
      <w:pPr>
        <w:spacing w:after="120" w:line="240" w:lineRule="auto"/>
      </w:pPr>
      <w:r w:rsidRPr="005060E0">
        <w:t>The CBA provided estimates for the following:</w:t>
      </w:r>
    </w:p>
    <w:p w14:paraId="44028D70" w14:textId="5F6CE26A" w:rsidR="00324888" w:rsidRPr="005060E0" w:rsidRDefault="00906F80" w:rsidP="00917ED8">
      <w:pPr>
        <w:pStyle w:val="BullettL1PB"/>
        <w:spacing w:after="120"/>
      </w:pPr>
      <w:r>
        <w:t>t</w:t>
      </w:r>
      <w:r w:rsidR="00324888" w:rsidRPr="005060E0">
        <w:t>he cost of the existing health burden for SO</w:t>
      </w:r>
      <w:r w:rsidR="00324888" w:rsidRPr="005060E0">
        <w:rPr>
          <w:vertAlign w:val="subscript"/>
        </w:rPr>
        <w:t>2</w:t>
      </w:r>
      <w:r w:rsidR="00324888" w:rsidRPr="005060E0">
        <w:t>, NO</w:t>
      </w:r>
      <w:r w:rsidR="00324888" w:rsidRPr="005060E0">
        <w:rPr>
          <w:vertAlign w:val="subscript"/>
        </w:rPr>
        <w:t>2</w:t>
      </w:r>
      <w:r w:rsidR="00324888" w:rsidRPr="005060E0">
        <w:t xml:space="preserve"> and O</w:t>
      </w:r>
      <w:r w:rsidR="00324888" w:rsidRPr="005060E0">
        <w:rPr>
          <w:vertAlign w:val="subscript"/>
        </w:rPr>
        <w:t xml:space="preserve">3 </w:t>
      </w:r>
      <w:r w:rsidR="00324888" w:rsidRPr="005060E0">
        <w:t>in present value (PV) terms</w:t>
      </w:r>
      <w:r w:rsidR="0078296E" w:rsidRPr="005060E0">
        <w:t xml:space="preserve"> and 2016 dollars</w:t>
      </w:r>
      <w:r w:rsidR="00324888" w:rsidRPr="005060E0">
        <w:t>, based on the HRA data for 2010</w:t>
      </w:r>
      <w:r w:rsidR="00DF4D3A" w:rsidRPr="005060E0">
        <w:t>–20</w:t>
      </w:r>
      <w:r w:rsidR="00324888" w:rsidRPr="005060E0">
        <w:t>14</w:t>
      </w:r>
    </w:p>
    <w:p w14:paraId="30F8D888" w14:textId="6F36F571" w:rsidR="00324888" w:rsidRPr="005060E0" w:rsidRDefault="00906F80" w:rsidP="00324888">
      <w:pPr>
        <w:pStyle w:val="BullettL1PB"/>
      </w:pPr>
      <w:r>
        <w:t>t</w:t>
      </w:r>
      <w:r w:rsidR="00324888" w:rsidRPr="005060E0">
        <w:t>he costs and benefits of the Abatement Package scenario.</w:t>
      </w:r>
    </w:p>
    <w:p w14:paraId="5597A0E3" w14:textId="2A72D056" w:rsidR="00324888" w:rsidRPr="005060E0" w:rsidRDefault="00324888" w:rsidP="00917ED8">
      <w:pPr>
        <w:spacing w:after="160" w:line="276" w:lineRule="atLeast"/>
      </w:pPr>
      <w:r w:rsidRPr="005060E0">
        <w:t xml:space="preserve">The abatement measures </w:t>
      </w:r>
      <w:r w:rsidR="00AD6949" w:rsidRPr="005060E0">
        <w:t>targeted</w:t>
      </w:r>
      <w:r w:rsidRPr="005060E0">
        <w:t xml:space="preserve"> </w:t>
      </w:r>
      <w:r w:rsidR="00C40468" w:rsidRPr="005060E0">
        <w:t>emission sources for</w:t>
      </w:r>
      <w:r w:rsidRPr="005060E0">
        <w:t xml:space="preserve"> SO</w:t>
      </w:r>
      <w:r w:rsidRPr="005060E0">
        <w:rPr>
          <w:vertAlign w:val="subscript"/>
        </w:rPr>
        <w:t>X</w:t>
      </w:r>
      <w:r w:rsidRPr="005060E0">
        <w:t>, NO</w:t>
      </w:r>
      <w:r w:rsidRPr="005060E0">
        <w:rPr>
          <w:vertAlign w:val="subscript"/>
        </w:rPr>
        <w:t>X</w:t>
      </w:r>
      <w:r w:rsidRPr="005060E0">
        <w:t xml:space="preserve"> and VOC</w:t>
      </w:r>
      <w:r w:rsidR="00C40468" w:rsidRPr="005060E0">
        <w:t>s</w:t>
      </w:r>
      <w:r w:rsidRPr="005060E0">
        <w:t>. The assessment of costs and emission reductions was based on publicly available data. The monetary benefits were estimated based on the health outcomes from the HRA.</w:t>
      </w:r>
    </w:p>
    <w:p w14:paraId="6DA13824" w14:textId="18AACB01" w:rsidR="005E4128" w:rsidRPr="005060E0" w:rsidRDefault="00324888" w:rsidP="00917ED8">
      <w:pPr>
        <w:spacing w:after="160" w:line="276" w:lineRule="atLeast"/>
      </w:pPr>
      <w:r w:rsidRPr="005060E0">
        <w:t>The CBA is described in detail in Appendix C, and the results are summarised below.</w:t>
      </w:r>
    </w:p>
    <w:p w14:paraId="5CF39D6F" w14:textId="77777777" w:rsidR="005E4128" w:rsidRPr="005060E0" w:rsidRDefault="005E4128" w:rsidP="00A974F1">
      <w:pPr>
        <w:pStyle w:val="Heading2"/>
        <w:spacing w:before="280" w:after="180"/>
      </w:pPr>
      <w:bookmarkStart w:id="245" w:name="_Toc3278991"/>
      <w:r w:rsidRPr="005060E0">
        <w:t>Cost of existing health burden</w:t>
      </w:r>
      <w:bookmarkEnd w:id="245"/>
    </w:p>
    <w:p w14:paraId="1D4D5A31" w14:textId="09267AD2" w:rsidR="00CE06E9" w:rsidRPr="005060E0" w:rsidRDefault="008051B8" w:rsidP="00917ED8">
      <w:pPr>
        <w:spacing w:line="276" w:lineRule="atLeast"/>
      </w:pPr>
      <w:r w:rsidRPr="005060E0">
        <w:rPr>
          <w:lang w:eastAsia="en-AU"/>
        </w:rPr>
        <w:t>For the existing health burden, the aggregated health costs of SO</w:t>
      </w:r>
      <w:r w:rsidRPr="005060E0">
        <w:rPr>
          <w:vertAlign w:val="subscript"/>
          <w:lang w:eastAsia="en-AU"/>
        </w:rPr>
        <w:t>2</w:t>
      </w:r>
      <w:r w:rsidRPr="005060E0">
        <w:rPr>
          <w:lang w:eastAsia="en-AU"/>
        </w:rPr>
        <w:t>, NO</w:t>
      </w:r>
      <w:r w:rsidRPr="005060E0">
        <w:rPr>
          <w:vertAlign w:val="subscript"/>
          <w:lang w:eastAsia="en-AU"/>
        </w:rPr>
        <w:t>2</w:t>
      </w:r>
      <w:r w:rsidRPr="005060E0">
        <w:rPr>
          <w:lang w:eastAsia="en-AU"/>
        </w:rPr>
        <w:t xml:space="preserve"> and O</w:t>
      </w:r>
      <w:r w:rsidRPr="005060E0">
        <w:rPr>
          <w:vertAlign w:val="subscript"/>
          <w:lang w:eastAsia="en-AU"/>
        </w:rPr>
        <w:t>3</w:t>
      </w:r>
      <w:r w:rsidRPr="005060E0">
        <w:rPr>
          <w:lang w:eastAsia="en-AU"/>
        </w:rPr>
        <w:t xml:space="preserve"> over the period 2010 to 2014 </w:t>
      </w:r>
      <w:r w:rsidR="006A4E7D" w:rsidRPr="005060E0">
        <w:rPr>
          <w:lang w:eastAsia="en-AU"/>
        </w:rPr>
        <w:t xml:space="preserve">(based on the </w:t>
      </w:r>
      <w:r w:rsidR="00270D1E" w:rsidRPr="005060E0">
        <w:rPr>
          <w:lang w:eastAsia="en-AU"/>
        </w:rPr>
        <w:t xml:space="preserve">central estimate for the </w:t>
      </w:r>
      <w:r w:rsidR="006A4E7D" w:rsidRPr="005060E0">
        <w:rPr>
          <w:lang w:eastAsia="en-AU"/>
        </w:rPr>
        <w:t xml:space="preserve">Group 1 CRFs) </w:t>
      </w:r>
      <w:r w:rsidRPr="005060E0">
        <w:rPr>
          <w:lang w:eastAsia="en-AU"/>
        </w:rPr>
        <w:t>are provided in</w:t>
      </w:r>
      <w:r w:rsidR="00324888" w:rsidRPr="005060E0">
        <w:rPr>
          <w:lang w:eastAsia="en-AU"/>
        </w:rPr>
        <w:t xml:space="preserve"> </w:t>
      </w:r>
      <w:r w:rsidR="00324888" w:rsidRPr="005060E0">
        <w:rPr>
          <w:lang w:eastAsia="en-AU"/>
        </w:rPr>
        <w:fldChar w:fldCharType="begin"/>
      </w:r>
      <w:r w:rsidR="00324888" w:rsidRPr="005060E0">
        <w:rPr>
          <w:lang w:eastAsia="en-AU"/>
        </w:rPr>
        <w:instrText xml:space="preserve"> REF _Ref508625910 \h  \* MERGEFORMAT </w:instrText>
      </w:r>
      <w:r w:rsidR="00324888" w:rsidRPr="005060E0">
        <w:rPr>
          <w:lang w:eastAsia="en-AU"/>
        </w:rPr>
      </w:r>
      <w:r w:rsidR="00324888" w:rsidRPr="005060E0">
        <w:rPr>
          <w:lang w:eastAsia="en-AU"/>
        </w:rPr>
        <w:fldChar w:fldCharType="separate"/>
      </w:r>
      <w:r w:rsidR="00F2067C" w:rsidRPr="00F2067C">
        <w:rPr>
          <w:rFonts w:cs="Arial"/>
        </w:rPr>
        <w:t xml:space="preserve">Table </w:t>
      </w:r>
      <w:r w:rsidR="00F2067C" w:rsidRPr="00F2067C">
        <w:rPr>
          <w:rFonts w:cs="Arial"/>
          <w:noProof/>
        </w:rPr>
        <w:t>9</w:t>
      </w:r>
      <w:r w:rsidR="00F2067C" w:rsidRPr="00F2067C">
        <w:rPr>
          <w:rFonts w:cs="Arial"/>
          <w:noProof/>
        </w:rPr>
        <w:noBreakHyphen/>
        <w:t>1</w:t>
      </w:r>
      <w:r w:rsidR="00324888" w:rsidRPr="005060E0">
        <w:rPr>
          <w:lang w:eastAsia="en-AU"/>
        </w:rPr>
        <w:fldChar w:fldCharType="end"/>
      </w:r>
      <w:r w:rsidRPr="005060E0">
        <w:rPr>
          <w:lang w:eastAsia="en-AU"/>
        </w:rPr>
        <w:t>.</w:t>
      </w:r>
      <w:r w:rsidRPr="005060E0">
        <w:t xml:space="preserve"> </w:t>
      </w:r>
      <w:r w:rsidR="00CE06E9" w:rsidRPr="005060E0">
        <w:t>Of the three pollutants, exposure to NO</w:t>
      </w:r>
      <w:r w:rsidR="00CE06E9" w:rsidRPr="005060E0">
        <w:rPr>
          <w:vertAlign w:val="subscript"/>
        </w:rPr>
        <w:t>2</w:t>
      </w:r>
      <w:r w:rsidR="00CE06E9" w:rsidRPr="005060E0">
        <w:t xml:space="preserve"> is estimated to have had the greatest health burden between 2010 and 2014, and the effects of NO</w:t>
      </w:r>
      <w:r w:rsidR="00CE06E9" w:rsidRPr="005060E0">
        <w:rPr>
          <w:vertAlign w:val="subscript"/>
        </w:rPr>
        <w:t>2</w:t>
      </w:r>
      <w:r w:rsidR="00CE06E9" w:rsidRPr="005060E0">
        <w:t xml:space="preserve"> are estimated to be the highest in NSW. This health burden for NSW reflects a combination of high NO</w:t>
      </w:r>
      <w:r w:rsidR="00CE06E9" w:rsidRPr="005060E0">
        <w:rPr>
          <w:vertAlign w:val="subscript"/>
        </w:rPr>
        <w:t>2</w:t>
      </w:r>
      <w:r w:rsidR="00CE06E9" w:rsidRPr="005060E0">
        <w:t xml:space="preserve"> concentrations and a large population size. O</w:t>
      </w:r>
      <w:r w:rsidR="00CE06E9" w:rsidRPr="005060E0">
        <w:rPr>
          <w:vertAlign w:val="subscript"/>
        </w:rPr>
        <w:t>3</w:t>
      </w:r>
      <w:r w:rsidR="00CE06E9" w:rsidRPr="005060E0">
        <w:t xml:space="preserve"> has the second highest estimated health cost of the three pollutants, and for the same reasons as NO</w:t>
      </w:r>
      <w:r w:rsidR="00CE06E9" w:rsidRPr="005060E0">
        <w:rPr>
          <w:vertAlign w:val="subscript"/>
        </w:rPr>
        <w:t>2</w:t>
      </w:r>
      <w:r w:rsidR="00CE06E9" w:rsidRPr="005060E0">
        <w:t>, the greatest burden is estimated for NSW. The health costs associated with exposure to SO</w:t>
      </w:r>
      <w:r w:rsidR="00CE06E9" w:rsidRPr="005060E0">
        <w:rPr>
          <w:vertAlign w:val="subscript"/>
        </w:rPr>
        <w:t>2</w:t>
      </w:r>
      <w:r w:rsidR="00CE06E9" w:rsidRPr="005060E0">
        <w:t xml:space="preserve"> are estimated to be the lowest, due to fewer mortalities estimated to be associated with exposure to SO</w:t>
      </w:r>
      <w:r w:rsidR="00CE06E9" w:rsidRPr="005060E0">
        <w:rPr>
          <w:vertAlign w:val="subscript"/>
        </w:rPr>
        <w:t>2</w:t>
      </w:r>
      <w:r w:rsidR="00CE06E9" w:rsidRPr="005060E0">
        <w:t xml:space="preserve"> concentrations.</w:t>
      </w:r>
    </w:p>
    <w:p w14:paraId="7C408ABF" w14:textId="54F8A8F9" w:rsidR="008051B8" w:rsidRPr="005060E0" w:rsidRDefault="008051B8" w:rsidP="00917ED8">
      <w:pPr>
        <w:spacing w:before="320" w:after="160"/>
        <w:jc w:val="center"/>
        <w:rPr>
          <w:lang w:eastAsia="en-AU"/>
        </w:rPr>
      </w:pPr>
      <w:bookmarkStart w:id="246" w:name="_Ref508625910"/>
      <w:r w:rsidRPr="005060E0">
        <w:rPr>
          <w:rFonts w:cs="Arial"/>
          <w:sz w:val="18"/>
          <w:szCs w:val="18"/>
        </w:rPr>
        <w:t xml:space="preserve">Table </w:t>
      </w:r>
      <w:r w:rsidRPr="005060E0">
        <w:rPr>
          <w:rFonts w:cs="Arial"/>
          <w:sz w:val="18"/>
          <w:szCs w:val="18"/>
        </w:rPr>
        <w:fldChar w:fldCharType="begin"/>
      </w:r>
      <w:r w:rsidRPr="005060E0">
        <w:rPr>
          <w:rFonts w:cs="Arial"/>
          <w:sz w:val="18"/>
          <w:szCs w:val="18"/>
        </w:rPr>
        <w:instrText xml:space="preserve"> STYLEREF 1 \s </w:instrText>
      </w:r>
      <w:r w:rsidRPr="005060E0">
        <w:rPr>
          <w:rFonts w:cs="Arial"/>
          <w:sz w:val="18"/>
          <w:szCs w:val="18"/>
        </w:rPr>
        <w:fldChar w:fldCharType="separate"/>
      </w:r>
      <w:r w:rsidR="00F2067C">
        <w:rPr>
          <w:rFonts w:cs="Arial"/>
          <w:noProof/>
          <w:sz w:val="18"/>
          <w:szCs w:val="18"/>
        </w:rPr>
        <w:t>9</w:t>
      </w:r>
      <w:r w:rsidRPr="005060E0">
        <w:rPr>
          <w:rFonts w:cs="Arial"/>
          <w:noProof/>
          <w:sz w:val="18"/>
          <w:szCs w:val="18"/>
        </w:rPr>
        <w:fldChar w:fldCharType="end"/>
      </w:r>
      <w:r w:rsidRPr="005060E0">
        <w:rPr>
          <w:rFonts w:cs="Arial"/>
          <w:sz w:val="18"/>
          <w:szCs w:val="18"/>
        </w:rPr>
        <w:noBreakHyphen/>
      </w:r>
      <w:r w:rsidRPr="005060E0">
        <w:rPr>
          <w:rFonts w:cs="Arial"/>
          <w:sz w:val="18"/>
          <w:szCs w:val="18"/>
        </w:rPr>
        <w:fldChar w:fldCharType="begin"/>
      </w:r>
      <w:r w:rsidRPr="005060E0">
        <w:rPr>
          <w:rFonts w:cs="Arial"/>
          <w:sz w:val="18"/>
          <w:szCs w:val="18"/>
        </w:rPr>
        <w:instrText xml:space="preserve"> SEQ Table \* ARABIC \s 1 </w:instrText>
      </w:r>
      <w:r w:rsidRPr="005060E0">
        <w:rPr>
          <w:rFonts w:cs="Arial"/>
          <w:sz w:val="18"/>
          <w:szCs w:val="18"/>
        </w:rPr>
        <w:fldChar w:fldCharType="separate"/>
      </w:r>
      <w:r w:rsidR="00F2067C">
        <w:rPr>
          <w:rFonts w:cs="Arial"/>
          <w:noProof/>
          <w:sz w:val="18"/>
          <w:szCs w:val="18"/>
        </w:rPr>
        <w:t>1</w:t>
      </w:r>
      <w:r w:rsidRPr="005060E0">
        <w:rPr>
          <w:rFonts w:cs="Arial"/>
          <w:noProof/>
          <w:sz w:val="18"/>
          <w:szCs w:val="18"/>
        </w:rPr>
        <w:fldChar w:fldCharType="end"/>
      </w:r>
      <w:bookmarkEnd w:id="246"/>
      <w:r w:rsidRPr="005060E0">
        <w:rPr>
          <w:sz w:val="18"/>
          <w:szCs w:val="18"/>
        </w:rPr>
        <w:t>:</w:t>
      </w:r>
      <w:r w:rsidRPr="005060E0">
        <w:rPr>
          <w:rStyle w:val="PBTablecaptionChar"/>
          <w:rFonts w:eastAsiaTheme="minorHAnsi"/>
        </w:rPr>
        <w:t xml:space="preserve"> Aggregated cost of health burden for 2010</w:t>
      </w:r>
      <w:r w:rsidR="00DF4D3A" w:rsidRPr="005060E0">
        <w:rPr>
          <w:rStyle w:val="PBTablecaptionChar"/>
          <w:rFonts w:eastAsiaTheme="minorHAnsi"/>
        </w:rPr>
        <w:t>–20</w:t>
      </w:r>
      <w:r w:rsidRPr="005060E0">
        <w:rPr>
          <w:rStyle w:val="PBTablecaptionChar"/>
          <w:rFonts w:eastAsiaTheme="minorHAnsi"/>
        </w:rPr>
        <w:t>14</w:t>
      </w:r>
    </w:p>
    <w:tbl>
      <w:tblPr>
        <w:tblStyle w:val="TableGrid"/>
        <w:tblW w:w="5000" w:type="pct"/>
        <w:tblLook w:val="04A0" w:firstRow="1" w:lastRow="0" w:firstColumn="1" w:lastColumn="0" w:noHBand="0" w:noVBand="1"/>
      </w:tblPr>
      <w:tblGrid>
        <w:gridCol w:w="2408"/>
        <w:gridCol w:w="2407"/>
        <w:gridCol w:w="2407"/>
        <w:gridCol w:w="2407"/>
      </w:tblGrid>
      <w:tr w:rsidR="00CE06E9" w:rsidRPr="005060E0" w14:paraId="3B29660E" w14:textId="77777777" w:rsidTr="00D35C2D">
        <w:trPr>
          <w:trHeight w:hRule="exact" w:val="340"/>
          <w:tblHeader/>
        </w:trPr>
        <w:tc>
          <w:tcPr>
            <w:tcW w:w="1250" w:type="pct"/>
            <w:vMerge w:val="restart"/>
            <w:tcBorders>
              <w:top w:val="single" w:sz="4" w:space="0" w:color="606072"/>
              <w:left w:val="single" w:sz="4" w:space="0" w:color="606072"/>
              <w:right w:val="single" w:sz="4" w:space="0" w:color="606072"/>
            </w:tcBorders>
            <w:shd w:val="clear" w:color="auto" w:fill="606072"/>
            <w:vAlign w:val="center"/>
          </w:tcPr>
          <w:p w14:paraId="1A04A9F6" w14:textId="08CF8232" w:rsidR="00CE06E9" w:rsidRPr="005060E0" w:rsidRDefault="00CE06E9" w:rsidP="00CE06E9">
            <w:pPr>
              <w:spacing w:after="0" w:line="240" w:lineRule="auto"/>
              <w:jc w:val="center"/>
              <w:rPr>
                <w:color w:val="FFFFFF" w:themeColor="background1"/>
                <w:sz w:val="16"/>
                <w:szCs w:val="16"/>
              </w:rPr>
            </w:pPr>
            <w:r w:rsidRPr="005060E0">
              <w:rPr>
                <w:color w:val="FFFFFF" w:themeColor="background1"/>
                <w:sz w:val="16"/>
                <w:szCs w:val="16"/>
              </w:rPr>
              <w:t>Jurisdiction</w:t>
            </w:r>
          </w:p>
        </w:tc>
        <w:tc>
          <w:tcPr>
            <w:tcW w:w="3750" w:type="pct"/>
            <w:gridSpan w:val="3"/>
            <w:tcBorders>
              <w:top w:val="single" w:sz="4" w:space="0" w:color="606072"/>
              <w:left w:val="single" w:sz="4" w:space="0" w:color="606072"/>
              <w:bottom w:val="single" w:sz="4" w:space="0" w:color="606072"/>
              <w:right w:val="single" w:sz="4" w:space="0" w:color="606072"/>
            </w:tcBorders>
            <w:shd w:val="clear" w:color="auto" w:fill="606072"/>
            <w:vAlign w:val="center"/>
          </w:tcPr>
          <w:p w14:paraId="1906F673" w14:textId="1B997626" w:rsidR="00CE06E9" w:rsidRPr="005060E0" w:rsidRDefault="00CE06E9" w:rsidP="008051B8">
            <w:pPr>
              <w:spacing w:after="0" w:line="240" w:lineRule="auto"/>
              <w:jc w:val="center"/>
              <w:rPr>
                <w:color w:val="FFFFFF" w:themeColor="background1"/>
                <w:sz w:val="16"/>
                <w:szCs w:val="16"/>
              </w:rPr>
            </w:pPr>
            <w:r w:rsidRPr="005060E0">
              <w:rPr>
                <w:color w:val="FFFFFF" w:themeColor="background1"/>
                <w:sz w:val="16"/>
                <w:szCs w:val="16"/>
              </w:rPr>
              <w:t>Health cost ($, 2016 PV)</w:t>
            </w:r>
          </w:p>
        </w:tc>
      </w:tr>
      <w:tr w:rsidR="00CE06E9" w:rsidRPr="005060E0" w14:paraId="6B63D621" w14:textId="77777777" w:rsidTr="00D35C2D">
        <w:trPr>
          <w:trHeight w:hRule="exact" w:val="340"/>
          <w:tblHeader/>
        </w:trPr>
        <w:tc>
          <w:tcPr>
            <w:tcW w:w="1250" w:type="pct"/>
            <w:vMerge/>
            <w:tcBorders>
              <w:left w:val="single" w:sz="4" w:space="0" w:color="606072"/>
              <w:bottom w:val="single" w:sz="4" w:space="0" w:color="606072"/>
              <w:right w:val="single" w:sz="4" w:space="0" w:color="606072"/>
            </w:tcBorders>
            <w:shd w:val="clear" w:color="auto" w:fill="606072"/>
            <w:vAlign w:val="center"/>
          </w:tcPr>
          <w:p w14:paraId="1BD332C4" w14:textId="0FCB6432" w:rsidR="00CE06E9" w:rsidRPr="005060E0" w:rsidRDefault="00CE06E9" w:rsidP="006A575B">
            <w:pPr>
              <w:spacing w:after="0" w:line="240" w:lineRule="auto"/>
              <w:rPr>
                <w:color w:val="FFFFFF" w:themeColor="background1"/>
                <w:sz w:val="16"/>
                <w:szCs w:val="16"/>
              </w:rPr>
            </w:pPr>
          </w:p>
        </w:tc>
        <w:tc>
          <w:tcPr>
            <w:tcW w:w="1250" w:type="pct"/>
            <w:tcBorders>
              <w:top w:val="single" w:sz="4" w:space="0" w:color="606072"/>
              <w:left w:val="single" w:sz="4" w:space="0" w:color="606072"/>
              <w:bottom w:val="single" w:sz="4" w:space="0" w:color="606072"/>
              <w:right w:val="single" w:sz="4" w:space="0" w:color="606072"/>
            </w:tcBorders>
            <w:shd w:val="clear" w:color="auto" w:fill="606072"/>
            <w:vAlign w:val="center"/>
          </w:tcPr>
          <w:p w14:paraId="104F3AE2" w14:textId="77777777" w:rsidR="00CE06E9" w:rsidRPr="005060E0" w:rsidRDefault="00CE06E9" w:rsidP="008051B8">
            <w:pPr>
              <w:spacing w:after="0" w:line="240" w:lineRule="auto"/>
              <w:jc w:val="center"/>
              <w:rPr>
                <w:color w:val="FFFFFF" w:themeColor="background1"/>
                <w:sz w:val="16"/>
                <w:szCs w:val="16"/>
              </w:rPr>
            </w:pPr>
            <w:r w:rsidRPr="005060E0">
              <w:rPr>
                <w:color w:val="FFFFFF" w:themeColor="background1"/>
                <w:sz w:val="16"/>
                <w:szCs w:val="16"/>
              </w:rPr>
              <w:t>SO</w:t>
            </w:r>
            <w:r w:rsidRPr="005060E0">
              <w:rPr>
                <w:color w:val="FFFFFF" w:themeColor="background1"/>
                <w:sz w:val="16"/>
                <w:szCs w:val="16"/>
                <w:vertAlign w:val="subscript"/>
              </w:rPr>
              <w:t>2</w:t>
            </w:r>
          </w:p>
        </w:tc>
        <w:tc>
          <w:tcPr>
            <w:tcW w:w="1250" w:type="pct"/>
            <w:tcBorders>
              <w:top w:val="single" w:sz="4" w:space="0" w:color="606072"/>
              <w:left w:val="single" w:sz="4" w:space="0" w:color="606072"/>
              <w:bottom w:val="single" w:sz="4" w:space="0" w:color="606072"/>
              <w:right w:val="single" w:sz="4" w:space="0" w:color="606072"/>
            </w:tcBorders>
            <w:shd w:val="clear" w:color="auto" w:fill="606072"/>
            <w:vAlign w:val="center"/>
          </w:tcPr>
          <w:p w14:paraId="4A92B3FC" w14:textId="77777777" w:rsidR="00CE06E9" w:rsidRPr="005060E0" w:rsidRDefault="00CE06E9" w:rsidP="008051B8">
            <w:pPr>
              <w:spacing w:after="0" w:line="240" w:lineRule="auto"/>
              <w:jc w:val="center"/>
              <w:rPr>
                <w:color w:val="FFFFFF" w:themeColor="background1"/>
                <w:sz w:val="16"/>
                <w:szCs w:val="16"/>
              </w:rPr>
            </w:pPr>
            <w:r w:rsidRPr="005060E0">
              <w:rPr>
                <w:color w:val="FFFFFF" w:themeColor="background1"/>
                <w:sz w:val="16"/>
                <w:szCs w:val="16"/>
              </w:rPr>
              <w:t>NO</w:t>
            </w:r>
            <w:r w:rsidRPr="005060E0">
              <w:rPr>
                <w:color w:val="FFFFFF" w:themeColor="background1"/>
                <w:sz w:val="16"/>
                <w:szCs w:val="16"/>
                <w:vertAlign w:val="subscript"/>
              </w:rPr>
              <w:t>2</w:t>
            </w:r>
          </w:p>
        </w:tc>
        <w:tc>
          <w:tcPr>
            <w:tcW w:w="1250" w:type="pct"/>
            <w:tcBorders>
              <w:top w:val="single" w:sz="4" w:space="0" w:color="606072"/>
              <w:left w:val="single" w:sz="4" w:space="0" w:color="606072"/>
              <w:bottom w:val="single" w:sz="4" w:space="0" w:color="606072"/>
              <w:right w:val="single" w:sz="4" w:space="0" w:color="606072"/>
            </w:tcBorders>
            <w:shd w:val="clear" w:color="auto" w:fill="606072"/>
            <w:vAlign w:val="center"/>
          </w:tcPr>
          <w:p w14:paraId="790FBA1D" w14:textId="77777777" w:rsidR="00CE06E9" w:rsidRPr="005060E0" w:rsidRDefault="00CE06E9" w:rsidP="008051B8">
            <w:pPr>
              <w:spacing w:after="0" w:line="240" w:lineRule="auto"/>
              <w:jc w:val="center"/>
              <w:rPr>
                <w:color w:val="FFFFFF" w:themeColor="background1"/>
                <w:sz w:val="16"/>
                <w:szCs w:val="16"/>
              </w:rPr>
            </w:pPr>
            <w:r w:rsidRPr="005060E0">
              <w:rPr>
                <w:color w:val="FFFFFF" w:themeColor="background1"/>
                <w:sz w:val="16"/>
                <w:szCs w:val="16"/>
              </w:rPr>
              <w:t>O</w:t>
            </w:r>
            <w:r w:rsidRPr="005060E0">
              <w:rPr>
                <w:color w:val="FFFFFF" w:themeColor="background1"/>
                <w:sz w:val="16"/>
                <w:szCs w:val="16"/>
                <w:vertAlign w:val="subscript"/>
              </w:rPr>
              <w:t>3</w:t>
            </w:r>
          </w:p>
        </w:tc>
      </w:tr>
      <w:tr w:rsidR="008051B8" w:rsidRPr="005060E0" w14:paraId="5E6DECCC" w14:textId="77777777" w:rsidTr="007C5231">
        <w:trPr>
          <w:trHeight w:hRule="exact" w:val="397"/>
        </w:trPr>
        <w:tc>
          <w:tcPr>
            <w:tcW w:w="1250" w:type="pct"/>
            <w:tcBorders>
              <w:top w:val="single" w:sz="4" w:space="0" w:color="606072"/>
              <w:left w:val="single" w:sz="4" w:space="0" w:color="606072"/>
              <w:bottom w:val="dotted" w:sz="4" w:space="0" w:color="606372" w:themeColor="text2"/>
              <w:right w:val="single" w:sz="4" w:space="0" w:color="606072"/>
            </w:tcBorders>
            <w:vAlign w:val="center"/>
          </w:tcPr>
          <w:p w14:paraId="701AA9E5" w14:textId="77777777" w:rsidR="008051B8" w:rsidRPr="005060E0" w:rsidRDefault="008051B8" w:rsidP="006A575B">
            <w:pPr>
              <w:spacing w:after="0" w:line="240" w:lineRule="auto"/>
              <w:rPr>
                <w:sz w:val="16"/>
                <w:szCs w:val="16"/>
              </w:rPr>
            </w:pPr>
            <w:r w:rsidRPr="005060E0">
              <w:rPr>
                <w:sz w:val="16"/>
                <w:szCs w:val="16"/>
              </w:rPr>
              <w:t>New South Wales (NSW)</w:t>
            </w:r>
          </w:p>
        </w:tc>
        <w:tc>
          <w:tcPr>
            <w:tcW w:w="1250" w:type="pct"/>
            <w:tcBorders>
              <w:top w:val="single" w:sz="4" w:space="0" w:color="606072"/>
              <w:left w:val="single" w:sz="4" w:space="0" w:color="606072"/>
              <w:bottom w:val="dotted" w:sz="4" w:space="0" w:color="606372" w:themeColor="text2"/>
              <w:right w:val="single" w:sz="4" w:space="0" w:color="606072"/>
            </w:tcBorders>
            <w:vAlign w:val="center"/>
          </w:tcPr>
          <w:p w14:paraId="49F4A469" w14:textId="08AC7823" w:rsidR="008051B8" w:rsidRPr="005060E0" w:rsidRDefault="008051B8" w:rsidP="00CE06E9">
            <w:pPr>
              <w:spacing w:after="0" w:line="240" w:lineRule="auto"/>
              <w:ind w:right="882"/>
              <w:jc w:val="right"/>
              <w:rPr>
                <w:sz w:val="16"/>
                <w:szCs w:val="16"/>
              </w:rPr>
            </w:pPr>
            <w:r w:rsidRPr="005060E0">
              <w:rPr>
                <w:sz w:val="16"/>
                <w:szCs w:val="16"/>
              </w:rPr>
              <w:t>$18</w:t>
            </w:r>
            <w:r w:rsidR="00CE06E9" w:rsidRPr="005060E0">
              <w:rPr>
                <w:sz w:val="16"/>
                <w:szCs w:val="16"/>
              </w:rPr>
              <w:t xml:space="preserve"> m</w:t>
            </w:r>
            <w:r w:rsidR="004F3E3D" w:rsidRPr="001E4376">
              <w:rPr>
                <w:sz w:val="16"/>
                <w:szCs w:val="16"/>
                <w:vertAlign w:val="superscript"/>
              </w:rPr>
              <w:t>(a)</w:t>
            </w:r>
          </w:p>
        </w:tc>
        <w:tc>
          <w:tcPr>
            <w:tcW w:w="1250" w:type="pct"/>
            <w:tcBorders>
              <w:top w:val="single" w:sz="4" w:space="0" w:color="606072"/>
              <w:left w:val="single" w:sz="4" w:space="0" w:color="606072"/>
              <w:bottom w:val="dotted" w:sz="4" w:space="0" w:color="606372" w:themeColor="text2"/>
              <w:right w:val="single" w:sz="4" w:space="0" w:color="606072"/>
            </w:tcBorders>
            <w:vAlign w:val="center"/>
          </w:tcPr>
          <w:p w14:paraId="4954317A" w14:textId="2F3D9E56" w:rsidR="008051B8" w:rsidRPr="005060E0" w:rsidRDefault="008051B8" w:rsidP="00CE06E9">
            <w:pPr>
              <w:spacing w:after="0" w:line="240" w:lineRule="auto"/>
              <w:ind w:right="888"/>
              <w:jc w:val="right"/>
              <w:rPr>
                <w:sz w:val="16"/>
                <w:szCs w:val="16"/>
              </w:rPr>
            </w:pPr>
            <w:r w:rsidRPr="005060E0">
              <w:rPr>
                <w:sz w:val="16"/>
                <w:szCs w:val="16"/>
              </w:rPr>
              <w:t>$122</w:t>
            </w:r>
            <w:r w:rsidR="00CE06E9" w:rsidRPr="005060E0">
              <w:rPr>
                <w:sz w:val="16"/>
                <w:szCs w:val="16"/>
              </w:rPr>
              <w:t xml:space="preserve"> m</w:t>
            </w:r>
          </w:p>
        </w:tc>
        <w:tc>
          <w:tcPr>
            <w:tcW w:w="1250" w:type="pct"/>
            <w:tcBorders>
              <w:top w:val="single" w:sz="4" w:space="0" w:color="606072"/>
              <w:left w:val="single" w:sz="4" w:space="0" w:color="606072"/>
              <w:bottom w:val="dotted" w:sz="4" w:space="0" w:color="606372" w:themeColor="text2"/>
              <w:right w:val="single" w:sz="4" w:space="0" w:color="606072"/>
            </w:tcBorders>
            <w:vAlign w:val="center"/>
          </w:tcPr>
          <w:p w14:paraId="3DFAED49" w14:textId="5B41E512" w:rsidR="008051B8" w:rsidRPr="005060E0" w:rsidRDefault="008051B8" w:rsidP="00CE06E9">
            <w:pPr>
              <w:spacing w:after="0" w:line="240" w:lineRule="auto"/>
              <w:ind w:right="879"/>
              <w:jc w:val="right"/>
              <w:rPr>
                <w:sz w:val="16"/>
                <w:szCs w:val="16"/>
              </w:rPr>
            </w:pPr>
            <w:r w:rsidRPr="005060E0">
              <w:rPr>
                <w:sz w:val="16"/>
                <w:szCs w:val="16"/>
              </w:rPr>
              <w:t>$111</w:t>
            </w:r>
            <w:r w:rsidR="00CE06E9" w:rsidRPr="005060E0">
              <w:rPr>
                <w:sz w:val="16"/>
                <w:szCs w:val="16"/>
              </w:rPr>
              <w:t xml:space="preserve"> m</w:t>
            </w:r>
          </w:p>
        </w:tc>
      </w:tr>
      <w:tr w:rsidR="008051B8" w:rsidRPr="005060E0" w14:paraId="02EBEF64" w14:textId="77777777" w:rsidTr="007C5231">
        <w:trPr>
          <w:trHeight w:hRule="exact" w:val="397"/>
        </w:trPr>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3A2241CD" w14:textId="77777777" w:rsidR="008051B8" w:rsidRPr="005060E0" w:rsidRDefault="008051B8" w:rsidP="006A575B">
            <w:pPr>
              <w:spacing w:after="0" w:line="240" w:lineRule="auto"/>
              <w:rPr>
                <w:sz w:val="16"/>
                <w:szCs w:val="16"/>
              </w:rPr>
            </w:pPr>
            <w:r w:rsidRPr="005060E0">
              <w:rPr>
                <w:sz w:val="16"/>
                <w:szCs w:val="16"/>
              </w:rPr>
              <w:t>Victoria (VIC)</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4F431A55" w14:textId="013291A4" w:rsidR="008051B8" w:rsidRPr="005060E0" w:rsidRDefault="008051B8" w:rsidP="00CE06E9">
            <w:pPr>
              <w:spacing w:after="0" w:line="240" w:lineRule="auto"/>
              <w:ind w:right="882"/>
              <w:jc w:val="right"/>
              <w:rPr>
                <w:sz w:val="16"/>
                <w:szCs w:val="16"/>
              </w:rPr>
            </w:pPr>
            <w:r w:rsidRPr="005060E0">
              <w:rPr>
                <w:sz w:val="16"/>
                <w:szCs w:val="16"/>
              </w:rPr>
              <w:t>$29</w:t>
            </w:r>
            <w:r w:rsidR="00CE06E9" w:rsidRPr="005060E0">
              <w:rPr>
                <w:sz w:val="16"/>
                <w:szCs w:val="16"/>
              </w:rPr>
              <w:t xml:space="preserve"> m</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5C5605F2" w14:textId="092BEAC3" w:rsidR="008051B8" w:rsidRPr="005060E0" w:rsidRDefault="008051B8" w:rsidP="00CE06E9">
            <w:pPr>
              <w:spacing w:after="0" w:line="240" w:lineRule="auto"/>
              <w:ind w:right="888"/>
              <w:jc w:val="right"/>
              <w:rPr>
                <w:sz w:val="16"/>
                <w:szCs w:val="16"/>
              </w:rPr>
            </w:pPr>
            <w:r w:rsidRPr="005060E0">
              <w:rPr>
                <w:sz w:val="16"/>
                <w:szCs w:val="16"/>
              </w:rPr>
              <w:t>$83</w:t>
            </w:r>
            <w:r w:rsidR="00CE06E9" w:rsidRPr="005060E0">
              <w:rPr>
                <w:sz w:val="16"/>
                <w:szCs w:val="16"/>
              </w:rPr>
              <w:t xml:space="preserve"> m</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6B2EF14C" w14:textId="47A103A6" w:rsidR="008051B8" w:rsidRPr="005060E0" w:rsidRDefault="008051B8" w:rsidP="00CE06E9">
            <w:pPr>
              <w:spacing w:after="0" w:line="240" w:lineRule="auto"/>
              <w:ind w:right="879"/>
              <w:jc w:val="right"/>
              <w:rPr>
                <w:sz w:val="16"/>
                <w:szCs w:val="16"/>
              </w:rPr>
            </w:pPr>
            <w:r w:rsidRPr="005060E0">
              <w:rPr>
                <w:sz w:val="16"/>
                <w:szCs w:val="16"/>
              </w:rPr>
              <w:t>$29</w:t>
            </w:r>
            <w:r w:rsidR="00CE06E9" w:rsidRPr="005060E0">
              <w:rPr>
                <w:sz w:val="16"/>
                <w:szCs w:val="16"/>
              </w:rPr>
              <w:t xml:space="preserve"> m</w:t>
            </w:r>
          </w:p>
        </w:tc>
      </w:tr>
      <w:tr w:rsidR="008051B8" w:rsidRPr="005060E0" w14:paraId="32DCAAC8" w14:textId="77777777" w:rsidTr="007C5231">
        <w:trPr>
          <w:trHeight w:hRule="exact" w:val="397"/>
        </w:trPr>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304B8FB1" w14:textId="77777777" w:rsidR="008051B8" w:rsidRPr="005060E0" w:rsidRDefault="008051B8" w:rsidP="006A575B">
            <w:pPr>
              <w:spacing w:after="0" w:line="240" w:lineRule="auto"/>
              <w:rPr>
                <w:sz w:val="16"/>
                <w:szCs w:val="16"/>
              </w:rPr>
            </w:pPr>
            <w:r w:rsidRPr="005060E0">
              <w:rPr>
                <w:sz w:val="16"/>
                <w:szCs w:val="16"/>
              </w:rPr>
              <w:t>Queensland (QLD)</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5DD45444" w14:textId="27BF3B81" w:rsidR="008051B8" w:rsidRPr="005060E0" w:rsidRDefault="008051B8" w:rsidP="00CE06E9">
            <w:pPr>
              <w:spacing w:after="0" w:line="240" w:lineRule="auto"/>
              <w:ind w:right="882"/>
              <w:jc w:val="right"/>
              <w:rPr>
                <w:sz w:val="16"/>
                <w:szCs w:val="16"/>
              </w:rPr>
            </w:pPr>
            <w:r w:rsidRPr="005060E0">
              <w:rPr>
                <w:sz w:val="16"/>
                <w:szCs w:val="16"/>
              </w:rPr>
              <w:t>$11</w:t>
            </w:r>
            <w:r w:rsidR="00CE06E9" w:rsidRPr="005060E0">
              <w:rPr>
                <w:sz w:val="16"/>
                <w:szCs w:val="16"/>
              </w:rPr>
              <w:t xml:space="preserve"> m</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35B192D0" w14:textId="4A367ECB" w:rsidR="008051B8" w:rsidRPr="005060E0" w:rsidRDefault="008051B8" w:rsidP="00CE06E9">
            <w:pPr>
              <w:spacing w:after="0" w:line="240" w:lineRule="auto"/>
              <w:ind w:right="888"/>
              <w:jc w:val="right"/>
              <w:rPr>
                <w:sz w:val="16"/>
                <w:szCs w:val="16"/>
              </w:rPr>
            </w:pPr>
            <w:r w:rsidRPr="005060E0">
              <w:rPr>
                <w:sz w:val="16"/>
                <w:szCs w:val="16"/>
              </w:rPr>
              <w:t>$27</w:t>
            </w:r>
            <w:r w:rsidR="00CE06E9" w:rsidRPr="005060E0">
              <w:rPr>
                <w:sz w:val="16"/>
                <w:szCs w:val="16"/>
              </w:rPr>
              <w:t xml:space="preserve"> m</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785A14CB" w14:textId="65293178" w:rsidR="008051B8" w:rsidRPr="005060E0" w:rsidRDefault="008051B8" w:rsidP="00CE06E9">
            <w:pPr>
              <w:spacing w:after="0" w:line="240" w:lineRule="auto"/>
              <w:ind w:right="879"/>
              <w:jc w:val="right"/>
              <w:rPr>
                <w:sz w:val="16"/>
                <w:szCs w:val="16"/>
              </w:rPr>
            </w:pPr>
            <w:r w:rsidRPr="005060E0">
              <w:rPr>
                <w:sz w:val="16"/>
                <w:szCs w:val="16"/>
              </w:rPr>
              <w:t>$34</w:t>
            </w:r>
            <w:r w:rsidR="00CE06E9" w:rsidRPr="005060E0">
              <w:rPr>
                <w:sz w:val="16"/>
                <w:szCs w:val="16"/>
              </w:rPr>
              <w:t xml:space="preserve"> m</w:t>
            </w:r>
          </w:p>
        </w:tc>
      </w:tr>
      <w:tr w:rsidR="008051B8" w:rsidRPr="005060E0" w14:paraId="58BFD308" w14:textId="77777777" w:rsidTr="007C5231">
        <w:trPr>
          <w:trHeight w:hRule="exact" w:val="397"/>
        </w:trPr>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56907805" w14:textId="77777777" w:rsidR="008051B8" w:rsidRPr="005060E0" w:rsidRDefault="008051B8" w:rsidP="006A575B">
            <w:pPr>
              <w:spacing w:after="0" w:line="240" w:lineRule="auto"/>
              <w:rPr>
                <w:sz w:val="16"/>
                <w:szCs w:val="16"/>
              </w:rPr>
            </w:pPr>
            <w:r w:rsidRPr="005060E0">
              <w:rPr>
                <w:sz w:val="16"/>
                <w:szCs w:val="16"/>
              </w:rPr>
              <w:t>Western Australia (WA)</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7F594EF3" w14:textId="315C55F7" w:rsidR="008051B8" w:rsidRPr="005060E0" w:rsidRDefault="008051B8" w:rsidP="00CE06E9">
            <w:pPr>
              <w:spacing w:after="0" w:line="240" w:lineRule="auto"/>
              <w:ind w:right="882"/>
              <w:jc w:val="right"/>
              <w:rPr>
                <w:sz w:val="16"/>
                <w:szCs w:val="16"/>
              </w:rPr>
            </w:pPr>
            <w:r w:rsidRPr="005060E0">
              <w:rPr>
                <w:sz w:val="16"/>
                <w:szCs w:val="16"/>
              </w:rPr>
              <w:t>$12</w:t>
            </w:r>
            <w:r w:rsidR="00CE06E9" w:rsidRPr="005060E0">
              <w:rPr>
                <w:sz w:val="16"/>
                <w:szCs w:val="16"/>
              </w:rPr>
              <w:t xml:space="preserve"> m</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2036B924" w14:textId="1EFFB7F7" w:rsidR="008051B8" w:rsidRPr="005060E0" w:rsidRDefault="008051B8" w:rsidP="00CE06E9">
            <w:pPr>
              <w:spacing w:after="0" w:line="240" w:lineRule="auto"/>
              <w:ind w:right="888"/>
              <w:jc w:val="right"/>
              <w:rPr>
                <w:sz w:val="16"/>
                <w:szCs w:val="16"/>
              </w:rPr>
            </w:pPr>
            <w:r w:rsidRPr="005060E0">
              <w:rPr>
                <w:sz w:val="16"/>
                <w:szCs w:val="16"/>
              </w:rPr>
              <w:t>$15</w:t>
            </w:r>
            <w:r w:rsidR="00CE06E9" w:rsidRPr="005060E0">
              <w:rPr>
                <w:sz w:val="16"/>
                <w:szCs w:val="16"/>
              </w:rPr>
              <w:t xml:space="preserve"> m</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6E694D1A" w14:textId="6E1D44CB" w:rsidR="008051B8" w:rsidRPr="005060E0" w:rsidRDefault="008051B8" w:rsidP="00CE06E9">
            <w:pPr>
              <w:spacing w:after="0" w:line="240" w:lineRule="auto"/>
              <w:ind w:right="879"/>
              <w:jc w:val="right"/>
              <w:rPr>
                <w:sz w:val="16"/>
                <w:szCs w:val="16"/>
              </w:rPr>
            </w:pPr>
            <w:r w:rsidRPr="005060E0">
              <w:rPr>
                <w:sz w:val="16"/>
                <w:szCs w:val="16"/>
              </w:rPr>
              <w:t>$32</w:t>
            </w:r>
            <w:r w:rsidR="00CE06E9" w:rsidRPr="005060E0">
              <w:rPr>
                <w:sz w:val="16"/>
                <w:szCs w:val="16"/>
              </w:rPr>
              <w:t xml:space="preserve"> m</w:t>
            </w:r>
          </w:p>
        </w:tc>
      </w:tr>
      <w:tr w:rsidR="008051B8" w:rsidRPr="005060E0" w14:paraId="13687A30" w14:textId="77777777" w:rsidTr="007C5231">
        <w:trPr>
          <w:trHeight w:hRule="exact" w:val="397"/>
        </w:trPr>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520FCC05" w14:textId="77777777" w:rsidR="008051B8" w:rsidRPr="005060E0" w:rsidRDefault="008051B8" w:rsidP="006A575B">
            <w:pPr>
              <w:spacing w:after="0" w:line="240" w:lineRule="auto"/>
              <w:rPr>
                <w:sz w:val="16"/>
                <w:szCs w:val="16"/>
              </w:rPr>
            </w:pPr>
            <w:r w:rsidRPr="005060E0">
              <w:rPr>
                <w:sz w:val="16"/>
                <w:szCs w:val="16"/>
              </w:rPr>
              <w:t>South Australia (SA)</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4312CE28" w14:textId="0BAA333B" w:rsidR="008051B8" w:rsidRPr="005060E0" w:rsidRDefault="008051B8" w:rsidP="00CE06E9">
            <w:pPr>
              <w:spacing w:after="0" w:line="240" w:lineRule="auto"/>
              <w:ind w:right="882"/>
              <w:jc w:val="right"/>
              <w:rPr>
                <w:sz w:val="16"/>
                <w:szCs w:val="16"/>
              </w:rPr>
            </w:pPr>
            <w:r w:rsidRPr="005060E0">
              <w:rPr>
                <w:sz w:val="16"/>
                <w:szCs w:val="16"/>
              </w:rPr>
              <w:t>$2</w:t>
            </w:r>
            <w:r w:rsidR="00CE06E9" w:rsidRPr="005060E0">
              <w:rPr>
                <w:sz w:val="16"/>
                <w:szCs w:val="16"/>
              </w:rPr>
              <w:t xml:space="preserve"> m</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437BB56A" w14:textId="7B613F3A" w:rsidR="008051B8" w:rsidRPr="005060E0" w:rsidRDefault="008051B8" w:rsidP="00CE06E9">
            <w:pPr>
              <w:spacing w:after="0" w:line="240" w:lineRule="auto"/>
              <w:ind w:right="888"/>
              <w:jc w:val="right"/>
              <w:rPr>
                <w:sz w:val="16"/>
                <w:szCs w:val="16"/>
              </w:rPr>
            </w:pPr>
            <w:r w:rsidRPr="005060E0">
              <w:rPr>
                <w:sz w:val="16"/>
                <w:szCs w:val="16"/>
              </w:rPr>
              <w:t>$19</w:t>
            </w:r>
            <w:r w:rsidR="00CE06E9" w:rsidRPr="005060E0">
              <w:rPr>
                <w:sz w:val="16"/>
                <w:szCs w:val="16"/>
              </w:rPr>
              <w:t xml:space="preserve"> m</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7BEB7806" w14:textId="516316F7" w:rsidR="008051B8" w:rsidRPr="005060E0" w:rsidRDefault="008051B8" w:rsidP="00CE06E9">
            <w:pPr>
              <w:spacing w:after="0" w:line="240" w:lineRule="auto"/>
              <w:ind w:right="879"/>
              <w:jc w:val="right"/>
              <w:rPr>
                <w:sz w:val="16"/>
                <w:szCs w:val="16"/>
              </w:rPr>
            </w:pPr>
            <w:r w:rsidRPr="005060E0">
              <w:rPr>
                <w:sz w:val="16"/>
                <w:szCs w:val="16"/>
              </w:rPr>
              <w:t>$16</w:t>
            </w:r>
            <w:r w:rsidR="00CE06E9" w:rsidRPr="005060E0">
              <w:rPr>
                <w:sz w:val="16"/>
                <w:szCs w:val="16"/>
              </w:rPr>
              <w:t xml:space="preserve"> m</w:t>
            </w:r>
          </w:p>
        </w:tc>
      </w:tr>
      <w:tr w:rsidR="008051B8" w:rsidRPr="005060E0" w14:paraId="0AC72258" w14:textId="77777777" w:rsidTr="007C5231">
        <w:trPr>
          <w:trHeight w:hRule="exact" w:val="397"/>
        </w:trPr>
        <w:tc>
          <w:tcPr>
            <w:tcW w:w="1250" w:type="pct"/>
            <w:tcBorders>
              <w:top w:val="dotted" w:sz="4" w:space="0" w:color="606372" w:themeColor="text2"/>
              <w:left w:val="single" w:sz="4" w:space="0" w:color="606072"/>
              <w:bottom w:val="single" w:sz="4" w:space="0" w:color="606072"/>
              <w:right w:val="single" w:sz="4" w:space="0" w:color="606072"/>
            </w:tcBorders>
            <w:vAlign w:val="center"/>
          </w:tcPr>
          <w:p w14:paraId="2A244E98" w14:textId="77777777" w:rsidR="008051B8" w:rsidRPr="005060E0" w:rsidRDefault="008051B8" w:rsidP="006A575B">
            <w:pPr>
              <w:spacing w:after="0" w:line="240" w:lineRule="auto"/>
              <w:rPr>
                <w:sz w:val="16"/>
                <w:szCs w:val="16"/>
              </w:rPr>
            </w:pPr>
            <w:r w:rsidRPr="005060E0">
              <w:rPr>
                <w:sz w:val="16"/>
                <w:szCs w:val="16"/>
              </w:rPr>
              <w:t>Northern Territory (NT)</w:t>
            </w:r>
          </w:p>
        </w:tc>
        <w:tc>
          <w:tcPr>
            <w:tcW w:w="1250" w:type="pct"/>
            <w:tcBorders>
              <w:top w:val="dotted" w:sz="4" w:space="0" w:color="606372" w:themeColor="text2"/>
              <w:left w:val="single" w:sz="4" w:space="0" w:color="606072"/>
              <w:bottom w:val="single" w:sz="4" w:space="0" w:color="606072"/>
              <w:right w:val="single" w:sz="4" w:space="0" w:color="606072"/>
            </w:tcBorders>
            <w:vAlign w:val="center"/>
          </w:tcPr>
          <w:p w14:paraId="4DE7D7D0" w14:textId="17B71172" w:rsidR="008051B8" w:rsidRPr="005060E0" w:rsidRDefault="008051B8" w:rsidP="00CE06E9">
            <w:pPr>
              <w:spacing w:after="0" w:line="240" w:lineRule="auto"/>
              <w:ind w:right="882"/>
              <w:jc w:val="right"/>
              <w:rPr>
                <w:sz w:val="16"/>
                <w:szCs w:val="16"/>
              </w:rPr>
            </w:pPr>
            <w:r w:rsidRPr="005060E0">
              <w:rPr>
                <w:sz w:val="16"/>
                <w:szCs w:val="16"/>
              </w:rPr>
              <w:t>$0</w:t>
            </w:r>
            <w:r w:rsidR="00CE06E9" w:rsidRPr="005060E0">
              <w:rPr>
                <w:sz w:val="16"/>
                <w:szCs w:val="16"/>
              </w:rPr>
              <w:t xml:space="preserve"> m</w:t>
            </w:r>
          </w:p>
        </w:tc>
        <w:tc>
          <w:tcPr>
            <w:tcW w:w="1250" w:type="pct"/>
            <w:tcBorders>
              <w:top w:val="dotted" w:sz="4" w:space="0" w:color="606372" w:themeColor="text2"/>
              <w:left w:val="single" w:sz="4" w:space="0" w:color="606072"/>
              <w:bottom w:val="single" w:sz="4" w:space="0" w:color="606072"/>
              <w:right w:val="single" w:sz="4" w:space="0" w:color="606072"/>
            </w:tcBorders>
            <w:vAlign w:val="center"/>
          </w:tcPr>
          <w:p w14:paraId="524F220D" w14:textId="0DE729C0" w:rsidR="008051B8" w:rsidRPr="005060E0" w:rsidRDefault="008051B8" w:rsidP="00CE06E9">
            <w:pPr>
              <w:spacing w:after="0" w:line="240" w:lineRule="auto"/>
              <w:ind w:right="888"/>
              <w:jc w:val="right"/>
              <w:rPr>
                <w:sz w:val="16"/>
                <w:szCs w:val="16"/>
              </w:rPr>
            </w:pPr>
            <w:r w:rsidRPr="005060E0">
              <w:rPr>
                <w:sz w:val="16"/>
                <w:szCs w:val="16"/>
              </w:rPr>
              <w:t>$0</w:t>
            </w:r>
            <w:r w:rsidR="00CE06E9" w:rsidRPr="005060E0">
              <w:rPr>
                <w:sz w:val="16"/>
                <w:szCs w:val="16"/>
              </w:rPr>
              <w:t xml:space="preserve"> m</w:t>
            </w:r>
          </w:p>
        </w:tc>
        <w:tc>
          <w:tcPr>
            <w:tcW w:w="1250" w:type="pct"/>
            <w:tcBorders>
              <w:top w:val="dotted" w:sz="4" w:space="0" w:color="606372" w:themeColor="text2"/>
              <w:left w:val="single" w:sz="4" w:space="0" w:color="606072"/>
              <w:bottom w:val="single" w:sz="4" w:space="0" w:color="606072"/>
              <w:right w:val="single" w:sz="4" w:space="0" w:color="606072"/>
            </w:tcBorders>
            <w:vAlign w:val="center"/>
          </w:tcPr>
          <w:p w14:paraId="40DA1E3F" w14:textId="3774462D" w:rsidR="008051B8" w:rsidRPr="005060E0" w:rsidRDefault="008051B8" w:rsidP="00CE06E9">
            <w:pPr>
              <w:spacing w:after="0" w:line="240" w:lineRule="auto"/>
              <w:ind w:right="879"/>
              <w:jc w:val="right"/>
              <w:rPr>
                <w:sz w:val="16"/>
                <w:szCs w:val="16"/>
              </w:rPr>
            </w:pPr>
            <w:r w:rsidRPr="005060E0">
              <w:rPr>
                <w:sz w:val="16"/>
                <w:szCs w:val="16"/>
              </w:rPr>
              <w:t>$2</w:t>
            </w:r>
            <w:r w:rsidR="00CE06E9" w:rsidRPr="005060E0">
              <w:rPr>
                <w:sz w:val="16"/>
                <w:szCs w:val="16"/>
              </w:rPr>
              <w:t xml:space="preserve"> m</w:t>
            </w:r>
          </w:p>
        </w:tc>
      </w:tr>
      <w:tr w:rsidR="008051B8" w:rsidRPr="005060E0" w14:paraId="2B467B2A" w14:textId="77777777" w:rsidTr="00CE06E9">
        <w:trPr>
          <w:trHeight w:hRule="exact" w:val="397"/>
        </w:trPr>
        <w:tc>
          <w:tcPr>
            <w:tcW w:w="1250" w:type="pct"/>
            <w:tcBorders>
              <w:top w:val="single" w:sz="4" w:space="0" w:color="606072"/>
              <w:left w:val="single" w:sz="4" w:space="0" w:color="606072"/>
              <w:bottom w:val="single" w:sz="4" w:space="0" w:color="606072"/>
              <w:right w:val="single" w:sz="4" w:space="0" w:color="606072"/>
            </w:tcBorders>
            <w:shd w:val="clear" w:color="auto" w:fill="DEDFE3" w:themeFill="text2" w:themeFillTint="33"/>
            <w:vAlign w:val="center"/>
          </w:tcPr>
          <w:p w14:paraId="147D3A13" w14:textId="77777777" w:rsidR="008051B8" w:rsidRPr="005060E0" w:rsidRDefault="008051B8" w:rsidP="006A575B">
            <w:pPr>
              <w:spacing w:after="0" w:line="240" w:lineRule="auto"/>
              <w:rPr>
                <w:b/>
                <w:sz w:val="16"/>
                <w:szCs w:val="16"/>
              </w:rPr>
            </w:pPr>
            <w:r w:rsidRPr="005060E0">
              <w:rPr>
                <w:b/>
                <w:sz w:val="16"/>
                <w:szCs w:val="16"/>
              </w:rPr>
              <w:t>Total</w:t>
            </w:r>
          </w:p>
        </w:tc>
        <w:tc>
          <w:tcPr>
            <w:tcW w:w="1250" w:type="pct"/>
            <w:tcBorders>
              <w:top w:val="single" w:sz="4" w:space="0" w:color="606072"/>
              <w:left w:val="single" w:sz="4" w:space="0" w:color="606072"/>
              <w:bottom w:val="single" w:sz="4" w:space="0" w:color="606072"/>
              <w:right w:val="single" w:sz="4" w:space="0" w:color="606072"/>
            </w:tcBorders>
            <w:shd w:val="clear" w:color="auto" w:fill="DEDFE3" w:themeFill="text2" w:themeFillTint="33"/>
            <w:vAlign w:val="center"/>
          </w:tcPr>
          <w:p w14:paraId="2329B5E8" w14:textId="647D510D" w:rsidR="008051B8" w:rsidRPr="005060E0" w:rsidRDefault="008051B8" w:rsidP="00CE06E9">
            <w:pPr>
              <w:spacing w:after="0" w:line="240" w:lineRule="auto"/>
              <w:ind w:right="882"/>
              <w:jc w:val="right"/>
              <w:rPr>
                <w:b/>
                <w:sz w:val="16"/>
                <w:szCs w:val="16"/>
              </w:rPr>
            </w:pPr>
            <w:r w:rsidRPr="005060E0">
              <w:rPr>
                <w:b/>
                <w:sz w:val="16"/>
                <w:szCs w:val="16"/>
              </w:rPr>
              <w:t>$72</w:t>
            </w:r>
            <w:r w:rsidR="00CE06E9" w:rsidRPr="005060E0">
              <w:rPr>
                <w:sz w:val="16"/>
                <w:szCs w:val="16"/>
              </w:rPr>
              <w:t xml:space="preserve"> </w:t>
            </w:r>
            <w:r w:rsidR="00CE06E9" w:rsidRPr="005060E0">
              <w:rPr>
                <w:b/>
                <w:sz w:val="16"/>
                <w:szCs w:val="16"/>
              </w:rPr>
              <w:t>m</w:t>
            </w:r>
          </w:p>
        </w:tc>
        <w:tc>
          <w:tcPr>
            <w:tcW w:w="1250" w:type="pct"/>
            <w:tcBorders>
              <w:top w:val="single" w:sz="4" w:space="0" w:color="606072"/>
              <w:left w:val="single" w:sz="4" w:space="0" w:color="606072"/>
              <w:bottom w:val="single" w:sz="4" w:space="0" w:color="606072"/>
              <w:right w:val="single" w:sz="4" w:space="0" w:color="606072"/>
            </w:tcBorders>
            <w:shd w:val="clear" w:color="auto" w:fill="DEDFE3" w:themeFill="text2" w:themeFillTint="33"/>
            <w:vAlign w:val="center"/>
          </w:tcPr>
          <w:p w14:paraId="1234584E" w14:textId="00F1194D" w:rsidR="008051B8" w:rsidRPr="005060E0" w:rsidRDefault="008051B8" w:rsidP="00CE06E9">
            <w:pPr>
              <w:spacing w:after="0" w:line="240" w:lineRule="auto"/>
              <w:ind w:right="888"/>
              <w:jc w:val="right"/>
              <w:rPr>
                <w:b/>
                <w:sz w:val="16"/>
                <w:szCs w:val="16"/>
              </w:rPr>
            </w:pPr>
            <w:r w:rsidRPr="005060E0">
              <w:rPr>
                <w:b/>
                <w:sz w:val="16"/>
                <w:szCs w:val="16"/>
              </w:rPr>
              <w:t>$265</w:t>
            </w:r>
            <w:r w:rsidR="00CE06E9" w:rsidRPr="005060E0">
              <w:rPr>
                <w:sz w:val="16"/>
                <w:szCs w:val="16"/>
              </w:rPr>
              <w:t xml:space="preserve"> </w:t>
            </w:r>
            <w:r w:rsidR="00CE06E9" w:rsidRPr="005060E0">
              <w:rPr>
                <w:b/>
                <w:sz w:val="16"/>
                <w:szCs w:val="16"/>
              </w:rPr>
              <w:t>m</w:t>
            </w:r>
          </w:p>
        </w:tc>
        <w:tc>
          <w:tcPr>
            <w:tcW w:w="1250" w:type="pct"/>
            <w:tcBorders>
              <w:top w:val="single" w:sz="4" w:space="0" w:color="606072"/>
              <w:left w:val="single" w:sz="4" w:space="0" w:color="606072"/>
              <w:bottom w:val="single" w:sz="4" w:space="0" w:color="606072"/>
              <w:right w:val="single" w:sz="4" w:space="0" w:color="606072"/>
            </w:tcBorders>
            <w:shd w:val="clear" w:color="auto" w:fill="DEDFE3" w:themeFill="text2" w:themeFillTint="33"/>
            <w:vAlign w:val="center"/>
          </w:tcPr>
          <w:p w14:paraId="7D2C65B3" w14:textId="221F177A" w:rsidR="008051B8" w:rsidRPr="005060E0" w:rsidRDefault="008051B8" w:rsidP="00CE06E9">
            <w:pPr>
              <w:spacing w:after="0" w:line="240" w:lineRule="auto"/>
              <w:ind w:right="879"/>
              <w:jc w:val="right"/>
              <w:rPr>
                <w:b/>
                <w:sz w:val="16"/>
                <w:szCs w:val="16"/>
              </w:rPr>
            </w:pPr>
            <w:r w:rsidRPr="005060E0">
              <w:rPr>
                <w:b/>
                <w:sz w:val="16"/>
                <w:szCs w:val="16"/>
              </w:rPr>
              <w:t>$225</w:t>
            </w:r>
            <w:r w:rsidR="00CE06E9" w:rsidRPr="005060E0">
              <w:rPr>
                <w:sz w:val="16"/>
                <w:szCs w:val="16"/>
              </w:rPr>
              <w:t xml:space="preserve"> </w:t>
            </w:r>
            <w:r w:rsidR="00CE06E9" w:rsidRPr="005060E0">
              <w:rPr>
                <w:b/>
                <w:sz w:val="16"/>
                <w:szCs w:val="16"/>
              </w:rPr>
              <w:t>m</w:t>
            </w:r>
          </w:p>
        </w:tc>
      </w:tr>
    </w:tbl>
    <w:p w14:paraId="57FB5D11" w14:textId="77777777" w:rsidR="004F3E3D" w:rsidRPr="005060E0" w:rsidRDefault="004F3E3D" w:rsidP="004F3E3D">
      <w:pPr>
        <w:pStyle w:val="BodyText"/>
        <w:numPr>
          <w:ilvl w:val="0"/>
          <w:numId w:val="60"/>
        </w:numPr>
        <w:spacing w:before="60" w:after="0" w:line="240" w:lineRule="auto"/>
        <w:ind w:left="567" w:hanging="425"/>
        <w:rPr>
          <w:sz w:val="16"/>
          <w:szCs w:val="16"/>
        </w:rPr>
      </w:pPr>
      <w:r w:rsidRPr="005060E0">
        <w:rPr>
          <w:sz w:val="16"/>
          <w:szCs w:val="16"/>
        </w:rPr>
        <w:t>‘m’ = million</w:t>
      </w:r>
    </w:p>
    <w:p w14:paraId="32F08B0C" w14:textId="3C9DF4F2" w:rsidR="00270D1E" w:rsidRPr="005060E0" w:rsidRDefault="00270D1E" w:rsidP="00917ED8">
      <w:pPr>
        <w:spacing w:before="320" w:after="0" w:line="276" w:lineRule="atLeast"/>
      </w:pPr>
      <w:r w:rsidRPr="005060E0">
        <w:t xml:space="preserve">Due to the uncertainty in the health response, the health burden was estimated using the two alternative groups of CRFs (Group 2 and Group 3). The uncertainty of the CRFs on the health burden in the period 2010 to 2014 (expressed as a range) are provided in </w:t>
      </w:r>
      <w:r w:rsidRPr="005060E0">
        <w:rPr>
          <w:highlight w:val="yellow"/>
        </w:rPr>
        <w:fldChar w:fldCharType="begin"/>
      </w:r>
      <w:r w:rsidRPr="005060E0">
        <w:instrText xml:space="preserve"> REF _Ref508472917 \h </w:instrText>
      </w:r>
      <w:r w:rsidRPr="005060E0">
        <w:rPr>
          <w:highlight w:val="yellow"/>
        </w:rPr>
        <w:instrText xml:space="preserve"> \* MERGEFORMAT </w:instrText>
      </w:r>
      <w:r w:rsidRPr="005060E0">
        <w:rPr>
          <w:highlight w:val="yellow"/>
        </w:rPr>
      </w:r>
      <w:r w:rsidRPr="005060E0">
        <w:rPr>
          <w:highlight w:val="yellow"/>
        </w:rPr>
        <w:fldChar w:fldCharType="separate"/>
      </w:r>
      <w:r w:rsidR="00F2067C" w:rsidRPr="00F2067C">
        <w:t xml:space="preserve">Table </w:t>
      </w:r>
      <w:r w:rsidR="00F2067C" w:rsidRPr="00F2067C">
        <w:rPr>
          <w:noProof/>
        </w:rPr>
        <w:t>9</w:t>
      </w:r>
      <w:r w:rsidR="00F2067C" w:rsidRPr="00F2067C">
        <w:rPr>
          <w:noProof/>
        </w:rPr>
        <w:noBreakHyphen/>
        <w:t>2</w:t>
      </w:r>
      <w:r w:rsidRPr="005060E0">
        <w:rPr>
          <w:highlight w:val="yellow"/>
        </w:rPr>
        <w:fldChar w:fldCharType="end"/>
      </w:r>
      <w:r w:rsidRPr="005060E0">
        <w:t>. The impact of the CRF groups on the cost</w:t>
      </w:r>
      <w:r w:rsidR="00875B93" w:rsidRPr="005060E0">
        <w:rPr>
          <w:rFonts w:cs="Arial"/>
        </w:rPr>
        <w:t>–</w:t>
      </w:r>
      <w:r w:rsidRPr="005060E0">
        <w:t xml:space="preserve">benefit analysis </w:t>
      </w:r>
      <w:r w:rsidR="00AD6949">
        <w:t>is</w:t>
      </w:r>
      <w:r w:rsidR="00AD6949" w:rsidRPr="005060E0">
        <w:t xml:space="preserve"> </w:t>
      </w:r>
      <w:r w:rsidRPr="005060E0">
        <w:t>discussed further in Annexure B of Appendix C</w:t>
      </w:r>
      <w:r w:rsidR="00B63381" w:rsidRPr="005060E0">
        <w:t>. Ultimately, the CRF groups chosen for NO</w:t>
      </w:r>
      <w:r w:rsidR="00B63381" w:rsidRPr="005060E0">
        <w:rPr>
          <w:vertAlign w:val="subscript"/>
        </w:rPr>
        <w:t>2</w:t>
      </w:r>
      <w:r w:rsidR="00B63381" w:rsidRPr="005060E0">
        <w:t xml:space="preserve"> and O</w:t>
      </w:r>
      <w:r w:rsidR="00B63381" w:rsidRPr="005060E0">
        <w:rPr>
          <w:vertAlign w:val="subscript"/>
        </w:rPr>
        <w:t>3</w:t>
      </w:r>
      <w:r w:rsidR="00B63381" w:rsidRPr="005060E0">
        <w:t xml:space="preserve"> did not change the overall outcome of the CBA: a negative NPV</w:t>
      </w:r>
      <w:r w:rsidRPr="005060E0">
        <w:t>. The estimated mortality from long-term exposure to NO</w:t>
      </w:r>
      <w:r w:rsidRPr="005060E0">
        <w:rPr>
          <w:vertAlign w:val="subscript"/>
        </w:rPr>
        <w:t>2</w:t>
      </w:r>
      <w:r w:rsidRPr="005060E0">
        <w:t xml:space="preserve"> was substantially higher using the Group 3 CRFs. In both the alternative CRF sensitivities, a much larger estimate of the health burden associated with O</w:t>
      </w:r>
      <w:r w:rsidRPr="005060E0">
        <w:rPr>
          <w:vertAlign w:val="subscript"/>
        </w:rPr>
        <w:t>3</w:t>
      </w:r>
      <w:r w:rsidRPr="005060E0">
        <w:t xml:space="preserve"> exposure was estimated. This was because of higher estimated mortalities from exposure.</w:t>
      </w:r>
    </w:p>
    <w:p w14:paraId="374F94CC" w14:textId="64E8616D" w:rsidR="00270D1E" w:rsidRPr="005060E0" w:rsidRDefault="00270D1E" w:rsidP="00270D1E">
      <w:pPr>
        <w:jc w:val="center"/>
        <w:rPr>
          <w:sz w:val="18"/>
          <w:szCs w:val="18"/>
        </w:rPr>
      </w:pPr>
      <w:bookmarkStart w:id="247" w:name="_Ref508472917"/>
      <w:bookmarkStart w:id="248" w:name="_Toc508620782"/>
      <w:bookmarkStart w:id="249" w:name="_Hlk515880211"/>
      <w:r w:rsidRPr="005060E0">
        <w:rPr>
          <w:sz w:val="18"/>
          <w:szCs w:val="18"/>
        </w:rPr>
        <w:t xml:space="preserve">Table </w:t>
      </w:r>
      <w:r w:rsidRPr="005060E0">
        <w:rPr>
          <w:sz w:val="18"/>
          <w:szCs w:val="18"/>
        </w:rPr>
        <w:fldChar w:fldCharType="begin"/>
      </w:r>
      <w:r w:rsidRPr="005060E0">
        <w:rPr>
          <w:sz w:val="18"/>
          <w:szCs w:val="18"/>
        </w:rPr>
        <w:instrText xml:space="preserve"> STYLEREF 1 \s </w:instrText>
      </w:r>
      <w:r w:rsidRPr="005060E0">
        <w:rPr>
          <w:sz w:val="18"/>
          <w:szCs w:val="18"/>
        </w:rPr>
        <w:fldChar w:fldCharType="separate"/>
      </w:r>
      <w:r w:rsidR="00F2067C">
        <w:rPr>
          <w:noProof/>
          <w:sz w:val="18"/>
          <w:szCs w:val="18"/>
        </w:rPr>
        <w:t>9</w:t>
      </w:r>
      <w:r w:rsidRPr="005060E0">
        <w:rPr>
          <w:sz w:val="18"/>
          <w:szCs w:val="18"/>
        </w:rPr>
        <w:fldChar w:fldCharType="end"/>
      </w:r>
      <w:r w:rsidRPr="005060E0">
        <w:rPr>
          <w:sz w:val="18"/>
          <w:szCs w:val="18"/>
        </w:rPr>
        <w:noBreakHyphen/>
      </w:r>
      <w:r w:rsidRPr="005060E0">
        <w:rPr>
          <w:sz w:val="18"/>
          <w:szCs w:val="18"/>
        </w:rPr>
        <w:fldChar w:fldCharType="begin"/>
      </w:r>
      <w:r w:rsidRPr="005060E0">
        <w:rPr>
          <w:sz w:val="18"/>
          <w:szCs w:val="18"/>
        </w:rPr>
        <w:instrText xml:space="preserve"> SEQ Table \* ARABIC \s 1 </w:instrText>
      </w:r>
      <w:r w:rsidRPr="005060E0">
        <w:rPr>
          <w:sz w:val="18"/>
          <w:szCs w:val="18"/>
        </w:rPr>
        <w:fldChar w:fldCharType="separate"/>
      </w:r>
      <w:r w:rsidR="00F2067C">
        <w:rPr>
          <w:noProof/>
          <w:sz w:val="18"/>
          <w:szCs w:val="18"/>
        </w:rPr>
        <w:t>2</w:t>
      </w:r>
      <w:r w:rsidRPr="005060E0">
        <w:rPr>
          <w:sz w:val="18"/>
          <w:szCs w:val="18"/>
        </w:rPr>
        <w:fldChar w:fldCharType="end"/>
      </w:r>
      <w:bookmarkEnd w:id="247"/>
      <w:r w:rsidRPr="005060E0">
        <w:rPr>
          <w:sz w:val="18"/>
          <w:szCs w:val="18"/>
        </w:rPr>
        <w:t xml:space="preserve"> Range of uncertainty on existing health burden using different CRFs ($, 2016 PV)</w:t>
      </w:r>
      <w:bookmarkEnd w:id="248"/>
    </w:p>
    <w:tbl>
      <w:tblPr>
        <w:tblStyle w:val="AureconTable4"/>
        <w:tblW w:w="5000" w:type="pct"/>
        <w:tblLook w:val="04A0" w:firstRow="1" w:lastRow="0" w:firstColumn="1" w:lastColumn="0" w:noHBand="0" w:noVBand="1"/>
      </w:tblPr>
      <w:tblGrid>
        <w:gridCol w:w="2714"/>
        <w:gridCol w:w="3083"/>
        <w:gridCol w:w="3832"/>
      </w:tblGrid>
      <w:tr w:rsidR="00270D1E" w:rsidRPr="005060E0" w14:paraId="28A8CFCC" w14:textId="77777777" w:rsidTr="00270D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9" w:type="pct"/>
          </w:tcPr>
          <w:p w14:paraId="030C2C0E" w14:textId="77777777" w:rsidR="00270D1E" w:rsidRPr="005060E0" w:rsidRDefault="00270D1E" w:rsidP="00DE6D6C">
            <w:pPr>
              <w:pStyle w:val="Bullet1"/>
              <w:numPr>
                <w:ilvl w:val="0"/>
                <w:numId w:val="0"/>
              </w:numPr>
              <w:jc w:val="center"/>
              <w:rPr>
                <w:b w:val="0"/>
                <w:sz w:val="16"/>
                <w:szCs w:val="16"/>
                <w:lang w:val="en-AU"/>
              </w:rPr>
            </w:pPr>
            <w:bookmarkStart w:id="250" w:name="_Hlk515880203"/>
            <w:bookmarkEnd w:id="249"/>
            <w:r w:rsidRPr="005060E0">
              <w:rPr>
                <w:b w:val="0"/>
                <w:sz w:val="16"/>
                <w:szCs w:val="16"/>
                <w:lang w:val="en-AU"/>
              </w:rPr>
              <w:t>SO</w:t>
            </w:r>
            <w:r w:rsidRPr="005060E0">
              <w:rPr>
                <w:b w:val="0"/>
                <w:sz w:val="16"/>
                <w:szCs w:val="16"/>
                <w:vertAlign w:val="subscript"/>
                <w:lang w:val="en-AU"/>
              </w:rPr>
              <w:t>2</w:t>
            </w:r>
          </w:p>
        </w:tc>
        <w:tc>
          <w:tcPr>
            <w:tcW w:w="1601" w:type="pct"/>
          </w:tcPr>
          <w:p w14:paraId="0502D5AE" w14:textId="77777777" w:rsidR="00270D1E" w:rsidRPr="005060E0" w:rsidRDefault="00270D1E" w:rsidP="00DE6D6C">
            <w:pPr>
              <w:pStyle w:val="Bullet1"/>
              <w:numPr>
                <w:ilvl w:val="0"/>
                <w:numId w:val="0"/>
              </w:numPr>
              <w:jc w:val="center"/>
              <w:cnfStyle w:val="100000000000" w:firstRow="1" w:lastRow="0" w:firstColumn="0" w:lastColumn="0" w:oddVBand="0" w:evenVBand="0" w:oddHBand="0" w:evenHBand="0" w:firstRowFirstColumn="0" w:firstRowLastColumn="0" w:lastRowFirstColumn="0" w:lastRowLastColumn="0"/>
              <w:rPr>
                <w:b w:val="0"/>
                <w:sz w:val="16"/>
                <w:szCs w:val="16"/>
                <w:lang w:val="en-AU"/>
              </w:rPr>
            </w:pPr>
            <w:r w:rsidRPr="005060E0">
              <w:rPr>
                <w:b w:val="0"/>
                <w:sz w:val="16"/>
                <w:szCs w:val="16"/>
                <w:lang w:val="en-AU"/>
              </w:rPr>
              <w:t>NO</w:t>
            </w:r>
            <w:r w:rsidRPr="005060E0">
              <w:rPr>
                <w:b w:val="0"/>
                <w:sz w:val="16"/>
                <w:szCs w:val="16"/>
                <w:vertAlign w:val="subscript"/>
                <w:lang w:val="en-AU"/>
              </w:rPr>
              <w:t>2</w:t>
            </w:r>
          </w:p>
        </w:tc>
        <w:tc>
          <w:tcPr>
            <w:tcW w:w="1990" w:type="pct"/>
          </w:tcPr>
          <w:p w14:paraId="58CC175A" w14:textId="77777777" w:rsidR="00270D1E" w:rsidRPr="005060E0" w:rsidRDefault="00270D1E" w:rsidP="00DE6D6C">
            <w:pPr>
              <w:pStyle w:val="Bullet1"/>
              <w:numPr>
                <w:ilvl w:val="0"/>
                <w:numId w:val="0"/>
              </w:numPr>
              <w:jc w:val="center"/>
              <w:cnfStyle w:val="100000000000" w:firstRow="1" w:lastRow="0" w:firstColumn="0" w:lastColumn="0" w:oddVBand="0" w:evenVBand="0" w:oddHBand="0" w:evenHBand="0" w:firstRowFirstColumn="0" w:firstRowLastColumn="0" w:lastRowFirstColumn="0" w:lastRowLastColumn="0"/>
              <w:rPr>
                <w:b w:val="0"/>
                <w:sz w:val="16"/>
                <w:szCs w:val="16"/>
                <w:lang w:val="en-AU"/>
              </w:rPr>
            </w:pPr>
            <w:r w:rsidRPr="005060E0">
              <w:rPr>
                <w:b w:val="0"/>
                <w:sz w:val="16"/>
                <w:szCs w:val="16"/>
                <w:lang w:val="en-AU"/>
              </w:rPr>
              <w:t>O</w:t>
            </w:r>
            <w:r w:rsidRPr="005060E0">
              <w:rPr>
                <w:b w:val="0"/>
                <w:sz w:val="16"/>
                <w:szCs w:val="16"/>
                <w:vertAlign w:val="subscript"/>
                <w:lang w:val="en-AU"/>
              </w:rPr>
              <w:t>3</w:t>
            </w:r>
          </w:p>
        </w:tc>
      </w:tr>
      <w:tr w:rsidR="00270D1E" w:rsidRPr="005060E0" w14:paraId="22E1667F" w14:textId="77777777" w:rsidTr="00270D1E">
        <w:tc>
          <w:tcPr>
            <w:cnfStyle w:val="001000000000" w:firstRow="0" w:lastRow="0" w:firstColumn="1" w:lastColumn="0" w:oddVBand="0" w:evenVBand="0" w:oddHBand="0" w:evenHBand="0" w:firstRowFirstColumn="0" w:firstRowLastColumn="0" w:lastRowFirstColumn="0" w:lastRowLastColumn="0"/>
            <w:tcW w:w="1409" w:type="pct"/>
          </w:tcPr>
          <w:p w14:paraId="6F38962E" w14:textId="77DCD781" w:rsidR="00270D1E" w:rsidRPr="005060E0" w:rsidRDefault="00270D1E" w:rsidP="00DE6D6C">
            <w:pPr>
              <w:pStyle w:val="BodyText"/>
              <w:jc w:val="center"/>
              <w:rPr>
                <w:sz w:val="16"/>
                <w:szCs w:val="16"/>
                <w:lang w:val="en-AU"/>
              </w:rPr>
            </w:pPr>
            <w:r w:rsidRPr="005060E0">
              <w:rPr>
                <w:sz w:val="16"/>
                <w:szCs w:val="16"/>
                <w:lang w:val="en-AU"/>
              </w:rPr>
              <w:t>$72 m</w:t>
            </w:r>
            <w:r w:rsidRPr="005060E0">
              <w:rPr>
                <w:sz w:val="16"/>
                <w:szCs w:val="16"/>
                <w:vertAlign w:val="superscript"/>
                <w:lang w:val="en-AU"/>
              </w:rPr>
              <w:t>(a)</w:t>
            </w:r>
          </w:p>
        </w:tc>
        <w:tc>
          <w:tcPr>
            <w:tcW w:w="1601" w:type="pct"/>
          </w:tcPr>
          <w:p w14:paraId="68E65114" w14:textId="01A60368" w:rsidR="00270D1E" w:rsidRPr="005060E0" w:rsidRDefault="00270D1E" w:rsidP="00DE6D6C">
            <w:pPr>
              <w:pStyle w:val="BodyText"/>
              <w:jc w:val="center"/>
              <w:cnfStyle w:val="000000000000" w:firstRow="0" w:lastRow="0" w:firstColumn="0" w:lastColumn="0" w:oddVBand="0" w:evenVBand="0" w:oddHBand="0" w:evenHBand="0" w:firstRowFirstColumn="0" w:firstRowLastColumn="0" w:lastRowFirstColumn="0" w:lastRowLastColumn="0"/>
              <w:rPr>
                <w:sz w:val="16"/>
                <w:szCs w:val="16"/>
                <w:lang w:val="en-AU"/>
              </w:rPr>
            </w:pPr>
            <w:r w:rsidRPr="005060E0">
              <w:rPr>
                <w:sz w:val="16"/>
                <w:szCs w:val="16"/>
                <w:lang w:val="en-AU"/>
              </w:rPr>
              <w:t>$265 – $761 m</w:t>
            </w:r>
          </w:p>
        </w:tc>
        <w:tc>
          <w:tcPr>
            <w:tcW w:w="1990" w:type="pct"/>
          </w:tcPr>
          <w:p w14:paraId="66C15B88" w14:textId="368CE086" w:rsidR="00270D1E" w:rsidRPr="005060E0" w:rsidRDefault="00270D1E" w:rsidP="00DE6D6C">
            <w:pPr>
              <w:pStyle w:val="BodyText"/>
              <w:jc w:val="center"/>
              <w:cnfStyle w:val="000000000000" w:firstRow="0" w:lastRow="0" w:firstColumn="0" w:lastColumn="0" w:oddVBand="0" w:evenVBand="0" w:oddHBand="0" w:evenHBand="0" w:firstRowFirstColumn="0" w:firstRowLastColumn="0" w:lastRowFirstColumn="0" w:lastRowLastColumn="0"/>
              <w:rPr>
                <w:sz w:val="16"/>
                <w:szCs w:val="16"/>
                <w:lang w:val="en-AU"/>
              </w:rPr>
            </w:pPr>
            <w:r w:rsidRPr="005060E0">
              <w:rPr>
                <w:sz w:val="16"/>
                <w:szCs w:val="16"/>
                <w:lang w:val="en-AU"/>
              </w:rPr>
              <w:t>$225 – $1,572 m</w:t>
            </w:r>
          </w:p>
        </w:tc>
      </w:tr>
    </w:tbl>
    <w:bookmarkEnd w:id="250"/>
    <w:p w14:paraId="3C25D3CE" w14:textId="0EA3824D" w:rsidR="00270D1E" w:rsidRPr="005060E0" w:rsidRDefault="00C80082" w:rsidP="00A220B1">
      <w:pPr>
        <w:pStyle w:val="BodyText"/>
        <w:spacing w:before="60" w:after="0" w:line="240" w:lineRule="auto"/>
        <w:ind w:left="284" w:hanging="284"/>
        <w:rPr>
          <w:b/>
          <w:sz w:val="16"/>
          <w:szCs w:val="16"/>
        </w:rPr>
      </w:pPr>
      <w:r w:rsidRPr="004F3E3D">
        <w:rPr>
          <w:bCs/>
          <w:sz w:val="16"/>
          <w:szCs w:val="16"/>
        </w:rPr>
        <w:t>(a)</w:t>
      </w:r>
      <w:r>
        <w:rPr>
          <w:bCs/>
          <w:sz w:val="16"/>
          <w:szCs w:val="16"/>
        </w:rPr>
        <w:tab/>
      </w:r>
      <w:r w:rsidR="00270D1E" w:rsidRPr="005060E0">
        <w:rPr>
          <w:bCs/>
          <w:sz w:val="16"/>
          <w:szCs w:val="16"/>
        </w:rPr>
        <w:t>The estimated health burden of SO</w:t>
      </w:r>
      <w:r w:rsidR="00270D1E" w:rsidRPr="005060E0">
        <w:rPr>
          <w:bCs/>
          <w:sz w:val="16"/>
          <w:szCs w:val="16"/>
          <w:vertAlign w:val="subscript"/>
        </w:rPr>
        <w:t>2</w:t>
      </w:r>
      <w:r w:rsidR="00270D1E" w:rsidRPr="005060E0">
        <w:rPr>
          <w:bCs/>
          <w:sz w:val="16"/>
          <w:szCs w:val="16"/>
        </w:rPr>
        <w:t xml:space="preserve"> is the same across the three groups of CRFs because the exposure-response functions used are the same.</w:t>
      </w:r>
    </w:p>
    <w:p w14:paraId="29B21F01" w14:textId="31798EAB" w:rsidR="005E4128" w:rsidRPr="005060E0" w:rsidRDefault="005E4128" w:rsidP="00A974F1">
      <w:pPr>
        <w:pStyle w:val="Heading2"/>
      </w:pPr>
      <w:bookmarkStart w:id="251" w:name="_Toc517791270"/>
      <w:bookmarkStart w:id="252" w:name="_Toc3278992"/>
      <w:bookmarkEnd w:id="251"/>
      <w:r w:rsidRPr="005060E0">
        <w:t xml:space="preserve">Costs and benefits of </w:t>
      </w:r>
      <w:r w:rsidR="006A575B" w:rsidRPr="005060E0">
        <w:t xml:space="preserve">the </w:t>
      </w:r>
      <w:r w:rsidRPr="005060E0">
        <w:t>Abatement Package</w:t>
      </w:r>
      <w:bookmarkEnd w:id="252"/>
    </w:p>
    <w:p w14:paraId="4719B964" w14:textId="29420389" w:rsidR="005E4128" w:rsidRPr="005060E0" w:rsidRDefault="005E4128" w:rsidP="005E4128">
      <w:pPr>
        <w:pStyle w:val="BodyText"/>
        <w:rPr>
          <w:szCs w:val="20"/>
        </w:rPr>
      </w:pPr>
      <w:r w:rsidRPr="005060E0">
        <w:rPr>
          <w:szCs w:val="20"/>
        </w:rPr>
        <w:t>The res</w:t>
      </w:r>
      <w:r w:rsidR="006A575B" w:rsidRPr="005060E0">
        <w:rPr>
          <w:szCs w:val="20"/>
        </w:rPr>
        <w:t>ults of the</w:t>
      </w:r>
      <w:r w:rsidR="002307B0" w:rsidRPr="005060E0">
        <w:rPr>
          <w:szCs w:val="20"/>
        </w:rPr>
        <w:t xml:space="preserve"> high-level desktop</w:t>
      </w:r>
      <w:r w:rsidR="006A575B" w:rsidRPr="005060E0">
        <w:rPr>
          <w:szCs w:val="20"/>
        </w:rPr>
        <w:t xml:space="preserve"> CBA in </w:t>
      </w:r>
      <w:r w:rsidR="007C5231" w:rsidRPr="005060E0">
        <w:rPr>
          <w:szCs w:val="20"/>
        </w:rPr>
        <w:fldChar w:fldCharType="begin"/>
      </w:r>
      <w:r w:rsidR="007C5231" w:rsidRPr="005060E0">
        <w:rPr>
          <w:szCs w:val="20"/>
        </w:rPr>
        <w:instrText xml:space="preserve"> REF _Ref508626851 \h  \* MERGEFORMAT </w:instrText>
      </w:r>
      <w:r w:rsidR="007C5231" w:rsidRPr="005060E0">
        <w:rPr>
          <w:szCs w:val="20"/>
        </w:rPr>
      </w:r>
      <w:r w:rsidR="007C5231" w:rsidRPr="005060E0">
        <w:rPr>
          <w:szCs w:val="20"/>
        </w:rPr>
        <w:fldChar w:fldCharType="separate"/>
      </w:r>
      <w:r w:rsidR="00F2067C" w:rsidRPr="00F2067C">
        <w:rPr>
          <w:rFonts w:cs="Arial"/>
          <w:szCs w:val="20"/>
        </w:rPr>
        <w:t xml:space="preserve">Table </w:t>
      </w:r>
      <w:r w:rsidR="00F2067C" w:rsidRPr="00F2067C">
        <w:rPr>
          <w:rFonts w:cs="Arial"/>
          <w:noProof/>
          <w:szCs w:val="20"/>
        </w:rPr>
        <w:t>9</w:t>
      </w:r>
      <w:r w:rsidR="00F2067C" w:rsidRPr="00F2067C">
        <w:rPr>
          <w:rFonts w:cs="Arial"/>
          <w:noProof/>
          <w:szCs w:val="20"/>
        </w:rPr>
        <w:noBreakHyphen/>
        <w:t>3</w:t>
      </w:r>
      <w:r w:rsidR="007C5231" w:rsidRPr="005060E0">
        <w:rPr>
          <w:szCs w:val="20"/>
        </w:rPr>
        <w:fldChar w:fldCharType="end"/>
      </w:r>
      <w:r w:rsidR="007C5231" w:rsidRPr="005060E0">
        <w:rPr>
          <w:szCs w:val="20"/>
        </w:rPr>
        <w:t xml:space="preserve"> show that the costs of the Abatement P</w:t>
      </w:r>
      <w:r w:rsidRPr="005060E0">
        <w:rPr>
          <w:szCs w:val="20"/>
        </w:rPr>
        <w:t>ac</w:t>
      </w:r>
      <w:r w:rsidR="00704BAC" w:rsidRPr="005060E0">
        <w:rPr>
          <w:szCs w:val="20"/>
        </w:rPr>
        <w:t>kage are likely to considerably</w:t>
      </w:r>
      <w:r w:rsidRPr="005060E0">
        <w:rPr>
          <w:szCs w:val="20"/>
        </w:rPr>
        <w:t xml:space="preserve"> outweigh the health benefits</w:t>
      </w:r>
      <w:r w:rsidR="007C5231" w:rsidRPr="005060E0">
        <w:rPr>
          <w:szCs w:val="20"/>
        </w:rPr>
        <w:t xml:space="preserve"> at the national level</w:t>
      </w:r>
      <w:r w:rsidR="003147E2" w:rsidRPr="005060E0">
        <w:rPr>
          <w:szCs w:val="20"/>
        </w:rPr>
        <w:t xml:space="preserve">. The </w:t>
      </w:r>
      <w:r w:rsidR="0078296E" w:rsidRPr="005060E0">
        <w:rPr>
          <w:szCs w:val="20"/>
        </w:rPr>
        <w:t>benefit:cost ratio</w:t>
      </w:r>
      <w:r w:rsidR="003147E2" w:rsidRPr="005060E0">
        <w:rPr>
          <w:szCs w:val="20"/>
        </w:rPr>
        <w:t xml:space="preserve"> for the Abatement P</w:t>
      </w:r>
      <w:r w:rsidRPr="005060E0">
        <w:rPr>
          <w:szCs w:val="20"/>
        </w:rPr>
        <w:t>ackage corresponding to SO</w:t>
      </w:r>
      <w:r w:rsidRPr="005060E0">
        <w:rPr>
          <w:szCs w:val="20"/>
          <w:vertAlign w:val="subscript"/>
        </w:rPr>
        <w:t>2</w:t>
      </w:r>
      <w:r w:rsidRPr="005060E0">
        <w:rPr>
          <w:szCs w:val="20"/>
        </w:rPr>
        <w:t>, NO</w:t>
      </w:r>
      <w:r w:rsidRPr="005060E0">
        <w:rPr>
          <w:szCs w:val="20"/>
          <w:vertAlign w:val="subscript"/>
        </w:rPr>
        <w:t>2</w:t>
      </w:r>
      <w:r w:rsidRPr="005060E0">
        <w:rPr>
          <w:szCs w:val="20"/>
        </w:rPr>
        <w:t xml:space="preserve"> and O</w:t>
      </w:r>
      <w:r w:rsidRPr="005060E0">
        <w:rPr>
          <w:szCs w:val="20"/>
          <w:vertAlign w:val="subscript"/>
        </w:rPr>
        <w:t>3</w:t>
      </w:r>
      <w:r w:rsidRPr="005060E0">
        <w:rPr>
          <w:szCs w:val="20"/>
        </w:rPr>
        <w:t xml:space="preserve"> is estimated at 0.01, 0.06 and 0.05 respectively.</w:t>
      </w:r>
    </w:p>
    <w:p w14:paraId="7D2DBA0B" w14:textId="77777777" w:rsidR="00270D1E" w:rsidRPr="005060E0" w:rsidRDefault="00270D1E" w:rsidP="00270D1E">
      <w:pPr>
        <w:pStyle w:val="BodyText"/>
      </w:pPr>
      <w:r w:rsidRPr="005060E0">
        <w:t>Two important qualifications accompany the CBA results:</w:t>
      </w:r>
    </w:p>
    <w:p w14:paraId="5E472936" w14:textId="6422FF72" w:rsidR="00270D1E" w:rsidRPr="005060E0" w:rsidRDefault="00270D1E" w:rsidP="00270D1E">
      <w:pPr>
        <w:pStyle w:val="ListBullet"/>
      </w:pPr>
      <w:r w:rsidRPr="005060E0">
        <w:t xml:space="preserve">There are a number of benefits </w:t>
      </w:r>
      <w:r w:rsidR="004F3E3D">
        <w:t>that</w:t>
      </w:r>
      <w:r w:rsidR="004F3E3D" w:rsidRPr="005060E0">
        <w:t xml:space="preserve"> </w:t>
      </w:r>
      <w:r w:rsidRPr="005060E0">
        <w:t>could not be reliability quantified</w:t>
      </w:r>
      <w:r w:rsidR="004F3E3D">
        <w:t>.</w:t>
      </w:r>
    </w:p>
    <w:p w14:paraId="6B04E823" w14:textId="6409D914" w:rsidR="00270D1E" w:rsidRPr="005060E0" w:rsidRDefault="00270D1E" w:rsidP="00270D1E">
      <w:pPr>
        <w:pStyle w:val="ListBullet"/>
      </w:pPr>
      <w:r w:rsidRPr="005060E0">
        <w:t>The costs and benefits of the abatement measures do not reflect the likely costs and benefits of meeting various air quality standards</w:t>
      </w:r>
      <w:r w:rsidR="004F3E3D">
        <w:t>.</w:t>
      </w:r>
    </w:p>
    <w:p w14:paraId="364A79A8" w14:textId="77777777" w:rsidR="00270D1E" w:rsidRPr="005060E0" w:rsidRDefault="00270D1E" w:rsidP="00270D1E">
      <w:pPr>
        <w:pStyle w:val="BodyText"/>
      </w:pPr>
      <w:r w:rsidRPr="005060E0">
        <w:t>Unquantified benefits include lost labour productivity, a reduction in the emission of other pollutants, avoidance of some non-health impacts, and a reduction in secondary PM formation.</w:t>
      </w:r>
    </w:p>
    <w:p w14:paraId="6229EE15" w14:textId="77777777" w:rsidR="00270D1E" w:rsidRPr="005060E0" w:rsidRDefault="00270D1E" w:rsidP="00270D1E">
      <w:pPr>
        <w:spacing w:after="200" w:line="276" w:lineRule="auto"/>
      </w:pPr>
      <w:r w:rsidRPr="005060E0">
        <w:t>While the CBA estimated the costs and benefits of the Abatement Package at the national level, it did not necessarily provide an indication of the likely costs and benefits of meeting alternative air quality standards. This is because, although some abatement measures are implemented at the national level (e.g. emission standards for road vehicles), each jurisdiction implements policy and regulations that are designed to meet the standards locally, and this may include jurisdiction-specific CBAs and other analyses to select the most appropriate set of measures.</w:t>
      </w:r>
    </w:p>
    <w:p w14:paraId="7D9F837A" w14:textId="2DAEA0DE" w:rsidR="00270D1E" w:rsidRPr="005060E0" w:rsidRDefault="00270D1E" w:rsidP="00270D1E">
      <w:pPr>
        <w:pStyle w:val="BodyText"/>
      </w:pPr>
      <w:r w:rsidRPr="005060E0">
        <w:t xml:space="preserve">The results of the CBA suggest that the implementation of abatement measures for selected pollutants can be economically efficient </w:t>
      </w:r>
      <w:r w:rsidRPr="005060E0">
        <w:rPr>
          <w:i/>
        </w:rPr>
        <w:t>in selected airsheds</w:t>
      </w:r>
      <w:r w:rsidRPr="005060E0">
        <w:t xml:space="preserve">. Therefore, this CBA recommends that abatement measures to meet updated </w:t>
      </w:r>
      <w:r w:rsidR="004F3E3D">
        <w:t xml:space="preserve">ambient air quality </w:t>
      </w:r>
      <w:r w:rsidRPr="005060E0">
        <w:t xml:space="preserve">standards should only be implemented if appropriate state-level policy assessment processes support their implementation, or if a national assessment, including </w:t>
      </w:r>
      <w:r w:rsidR="004F3E3D">
        <w:t xml:space="preserve">a </w:t>
      </w:r>
      <w:r w:rsidRPr="005060E0">
        <w:t>more detailed CBA, supports their implementation at a national level.</w:t>
      </w:r>
    </w:p>
    <w:p w14:paraId="6B83D614" w14:textId="77777777" w:rsidR="00270D1E" w:rsidRPr="005060E0" w:rsidRDefault="00270D1E" w:rsidP="00270D1E">
      <w:pPr>
        <w:pStyle w:val="BodyText"/>
      </w:pPr>
      <w:r w:rsidRPr="005060E0">
        <w:t>Furthermore, the CBA also suggests that policy approaches such as an exposure-reduction framework, which targets reductions in population exposure instead of average concentrations, could provide an effective complement to standards.</w:t>
      </w:r>
    </w:p>
    <w:p w14:paraId="40EA09AB" w14:textId="27A269EB" w:rsidR="005E4128" w:rsidRPr="005060E0" w:rsidRDefault="006A575B" w:rsidP="004F3E3D">
      <w:pPr>
        <w:pageBreakBefore/>
        <w:jc w:val="center"/>
        <w:rPr>
          <w:color w:val="0070C0"/>
        </w:rPr>
      </w:pPr>
      <w:bookmarkStart w:id="253" w:name="_Ref508626851"/>
      <w:r w:rsidRPr="005060E0">
        <w:rPr>
          <w:rFonts w:cs="Arial"/>
          <w:sz w:val="18"/>
          <w:szCs w:val="18"/>
        </w:rPr>
        <w:t xml:space="preserve">Table </w:t>
      </w:r>
      <w:r w:rsidRPr="005060E0">
        <w:rPr>
          <w:rFonts w:cs="Arial"/>
          <w:sz w:val="18"/>
          <w:szCs w:val="18"/>
        </w:rPr>
        <w:fldChar w:fldCharType="begin"/>
      </w:r>
      <w:r w:rsidRPr="005060E0">
        <w:rPr>
          <w:rFonts w:cs="Arial"/>
          <w:sz w:val="18"/>
          <w:szCs w:val="18"/>
        </w:rPr>
        <w:instrText xml:space="preserve"> STYLEREF 1 \s </w:instrText>
      </w:r>
      <w:r w:rsidRPr="005060E0">
        <w:rPr>
          <w:rFonts w:cs="Arial"/>
          <w:sz w:val="18"/>
          <w:szCs w:val="18"/>
        </w:rPr>
        <w:fldChar w:fldCharType="separate"/>
      </w:r>
      <w:r w:rsidR="00F2067C">
        <w:rPr>
          <w:rFonts w:cs="Arial"/>
          <w:noProof/>
          <w:sz w:val="18"/>
          <w:szCs w:val="18"/>
        </w:rPr>
        <w:t>9</w:t>
      </w:r>
      <w:r w:rsidRPr="005060E0">
        <w:rPr>
          <w:rFonts w:cs="Arial"/>
          <w:noProof/>
          <w:sz w:val="18"/>
          <w:szCs w:val="18"/>
        </w:rPr>
        <w:fldChar w:fldCharType="end"/>
      </w:r>
      <w:r w:rsidRPr="005060E0">
        <w:rPr>
          <w:rFonts w:cs="Arial"/>
          <w:sz w:val="18"/>
          <w:szCs w:val="18"/>
        </w:rPr>
        <w:noBreakHyphen/>
      </w:r>
      <w:r w:rsidRPr="005060E0">
        <w:rPr>
          <w:rFonts w:cs="Arial"/>
          <w:sz w:val="18"/>
          <w:szCs w:val="18"/>
        </w:rPr>
        <w:fldChar w:fldCharType="begin"/>
      </w:r>
      <w:r w:rsidRPr="005060E0">
        <w:rPr>
          <w:rFonts w:cs="Arial"/>
          <w:sz w:val="18"/>
          <w:szCs w:val="18"/>
        </w:rPr>
        <w:instrText xml:space="preserve"> SEQ Table \* ARABIC \s 1 </w:instrText>
      </w:r>
      <w:r w:rsidRPr="005060E0">
        <w:rPr>
          <w:rFonts w:cs="Arial"/>
          <w:sz w:val="18"/>
          <w:szCs w:val="18"/>
        </w:rPr>
        <w:fldChar w:fldCharType="separate"/>
      </w:r>
      <w:r w:rsidR="00F2067C">
        <w:rPr>
          <w:rFonts w:cs="Arial"/>
          <w:noProof/>
          <w:sz w:val="18"/>
          <w:szCs w:val="18"/>
        </w:rPr>
        <w:t>3</w:t>
      </w:r>
      <w:r w:rsidRPr="005060E0">
        <w:rPr>
          <w:rFonts w:cs="Arial"/>
          <w:noProof/>
          <w:sz w:val="18"/>
          <w:szCs w:val="18"/>
        </w:rPr>
        <w:fldChar w:fldCharType="end"/>
      </w:r>
      <w:bookmarkEnd w:id="253"/>
      <w:r w:rsidR="00440C9D" w:rsidRPr="005060E0">
        <w:rPr>
          <w:sz w:val="18"/>
          <w:szCs w:val="18"/>
        </w:rPr>
        <w:t>: Projected costs and benefits of the Abatement Package</w:t>
      </w:r>
      <w:r w:rsidRPr="005060E0">
        <w:rPr>
          <w:sz w:val="18"/>
          <w:szCs w:val="18"/>
        </w:rPr>
        <w:t>, aggregated over the period 2021</w:t>
      </w:r>
      <w:r w:rsidR="00DF4D3A" w:rsidRPr="005060E0">
        <w:rPr>
          <w:sz w:val="18"/>
          <w:szCs w:val="18"/>
        </w:rPr>
        <w:t>–20</w:t>
      </w:r>
      <w:r w:rsidRPr="005060E0">
        <w:rPr>
          <w:sz w:val="18"/>
          <w:szCs w:val="18"/>
        </w:rPr>
        <w:t>40</w:t>
      </w:r>
    </w:p>
    <w:tbl>
      <w:tblPr>
        <w:tblStyle w:val="TableGrid"/>
        <w:tblW w:w="5000" w:type="pct"/>
        <w:tblLook w:val="04A0" w:firstRow="1" w:lastRow="0" w:firstColumn="1" w:lastColumn="0" w:noHBand="0" w:noVBand="1"/>
      </w:tblPr>
      <w:tblGrid>
        <w:gridCol w:w="2408"/>
        <w:gridCol w:w="2407"/>
        <w:gridCol w:w="2407"/>
        <w:gridCol w:w="2407"/>
      </w:tblGrid>
      <w:tr w:rsidR="006A575B" w:rsidRPr="005060E0" w14:paraId="296EC330" w14:textId="77777777" w:rsidTr="00D35C2D">
        <w:trPr>
          <w:trHeight w:hRule="exact" w:val="340"/>
          <w:tblHeader/>
        </w:trPr>
        <w:tc>
          <w:tcPr>
            <w:tcW w:w="1250" w:type="pct"/>
            <w:vMerge w:val="restart"/>
            <w:tcBorders>
              <w:top w:val="single" w:sz="4" w:space="0" w:color="606072"/>
              <w:left w:val="single" w:sz="4" w:space="0" w:color="606072"/>
              <w:right w:val="single" w:sz="4" w:space="0" w:color="606072"/>
            </w:tcBorders>
            <w:shd w:val="clear" w:color="auto" w:fill="606072"/>
            <w:vAlign w:val="center"/>
          </w:tcPr>
          <w:p w14:paraId="4B56B11E" w14:textId="2C520FD0" w:rsidR="006A575B" w:rsidRPr="005060E0" w:rsidRDefault="006A575B" w:rsidP="006A575B">
            <w:pPr>
              <w:spacing w:after="0" w:line="240" w:lineRule="auto"/>
              <w:jc w:val="center"/>
              <w:rPr>
                <w:color w:val="FFFFFF" w:themeColor="background1"/>
                <w:sz w:val="16"/>
                <w:szCs w:val="16"/>
              </w:rPr>
            </w:pPr>
            <w:r w:rsidRPr="005060E0">
              <w:rPr>
                <w:color w:val="FFFFFF" w:themeColor="background1"/>
                <w:sz w:val="16"/>
                <w:szCs w:val="16"/>
              </w:rPr>
              <w:t>Jurisdiction</w:t>
            </w:r>
          </w:p>
        </w:tc>
        <w:tc>
          <w:tcPr>
            <w:tcW w:w="3750" w:type="pct"/>
            <w:gridSpan w:val="3"/>
            <w:tcBorders>
              <w:top w:val="single" w:sz="4" w:space="0" w:color="606072"/>
              <w:left w:val="single" w:sz="4" w:space="0" w:color="606072"/>
              <w:bottom w:val="single" w:sz="4" w:space="0" w:color="606072"/>
              <w:right w:val="single" w:sz="4" w:space="0" w:color="606072"/>
            </w:tcBorders>
            <w:shd w:val="clear" w:color="auto" w:fill="606072"/>
            <w:vAlign w:val="center"/>
          </w:tcPr>
          <w:p w14:paraId="7FFD09D2" w14:textId="76CB2419" w:rsidR="006A575B" w:rsidRPr="005060E0" w:rsidRDefault="006A575B" w:rsidP="006A575B">
            <w:pPr>
              <w:spacing w:after="0" w:line="240" w:lineRule="auto"/>
              <w:jc w:val="center"/>
              <w:rPr>
                <w:color w:val="FFFFFF" w:themeColor="background1"/>
                <w:sz w:val="16"/>
                <w:szCs w:val="16"/>
              </w:rPr>
            </w:pPr>
            <w:r w:rsidRPr="005060E0">
              <w:rPr>
                <w:color w:val="FFFFFF" w:themeColor="background1"/>
                <w:sz w:val="16"/>
                <w:szCs w:val="16"/>
              </w:rPr>
              <w:t>Pollutant</w:t>
            </w:r>
          </w:p>
        </w:tc>
      </w:tr>
      <w:tr w:rsidR="006A575B" w:rsidRPr="005060E0" w14:paraId="1EBF0F94" w14:textId="77777777" w:rsidTr="00D35C2D">
        <w:trPr>
          <w:trHeight w:hRule="exact" w:val="340"/>
          <w:tblHeader/>
        </w:trPr>
        <w:tc>
          <w:tcPr>
            <w:tcW w:w="1250" w:type="pct"/>
            <w:vMerge/>
            <w:tcBorders>
              <w:left w:val="single" w:sz="4" w:space="0" w:color="606072"/>
              <w:bottom w:val="single" w:sz="4" w:space="0" w:color="606072"/>
              <w:right w:val="single" w:sz="4" w:space="0" w:color="606072"/>
            </w:tcBorders>
            <w:shd w:val="clear" w:color="auto" w:fill="606072"/>
            <w:vAlign w:val="center"/>
          </w:tcPr>
          <w:p w14:paraId="6D81C4E1" w14:textId="7FC7BAB1" w:rsidR="006A575B" w:rsidRPr="005060E0" w:rsidRDefault="006A575B" w:rsidP="006A575B">
            <w:pPr>
              <w:spacing w:after="0" w:line="240" w:lineRule="auto"/>
              <w:jc w:val="center"/>
              <w:rPr>
                <w:color w:val="FFFFFF" w:themeColor="background1"/>
                <w:sz w:val="16"/>
                <w:szCs w:val="16"/>
              </w:rPr>
            </w:pPr>
          </w:p>
        </w:tc>
        <w:tc>
          <w:tcPr>
            <w:tcW w:w="1250" w:type="pct"/>
            <w:tcBorders>
              <w:top w:val="single" w:sz="4" w:space="0" w:color="606072"/>
              <w:left w:val="single" w:sz="4" w:space="0" w:color="606072"/>
              <w:bottom w:val="single" w:sz="4" w:space="0" w:color="606072"/>
              <w:right w:val="single" w:sz="4" w:space="0" w:color="606072"/>
            </w:tcBorders>
            <w:shd w:val="clear" w:color="auto" w:fill="606072"/>
            <w:vAlign w:val="center"/>
          </w:tcPr>
          <w:p w14:paraId="266ACAD3" w14:textId="77777777" w:rsidR="006A575B" w:rsidRPr="005060E0" w:rsidRDefault="006A575B" w:rsidP="006A575B">
            <w:pPr>
              <w:spacing w:after="0" w:line="240" w:lineRule="auto"/>
              <w:jc w:val="center"/>
              <w:rPr>
                <w:color w:val="FFFFFF" w:themeColor="background1"/>
                <w:sz w:val="16"/>
                <w:szCs w:val="16"/>
              </w:rPr>
            </w:pPr>
            <w:r w:rsidRPr="005060E0">
              <w:rPr>
                <w:color w:val="FFFFFF" w:themeColor="background1"/>
                <w:sz w:val="16"/>
                <w:szCs w:val="16"/>
              </w:rPr>
              <w:t>SO</w:t>
            </w:r>
            <w:r w:rsidRPr="005060E0">
              <w:rPr>
                <w:color w:val="FFFFFF" w:themeColor="background1"/>
                <w:sz w:val="16"/>
                <w:szCs w:val="16"/>
                <w:vertAlign w:val="subscript"/>
              </w:rPr>
              <w:t>2</w:t>
            </w:r>
          </w:p>
        </w:tc>
        <w:tc>
          <w:tcPr>
            <w:tcW w:w="1250" w:type="pct"/>
            <w:tcBorders>
              <w:top w:val="single" w:sz="4" w:space="0" w:color="606072"/>
              <w:left w:val="single" w:sz="4" w:space="0" w:color="606072"/>
              <w:bottom w:val="single" w:sz="4" w:space="0" w:color="606072"/>
              <w:right w:val="single" w:sz="4" w:space="0" w:color="606072"/>
            </w:tcBorders>
            <w:shd w:val="clear" w:color="auto" w:fill="606072"/>
            <w:vAlign w:val="center"/>
          </w:tcPr>
          <w:p w14:paraId="69F3C775" w14:textId="3374E027" w:rsidR="006A575B" w:rsidRPr="005060E0" w:rsidRDefault="006A575B" w:rsidP="006A575B">
            <w:pPr>
              <w:spacing w:after="0" w:line="240" w:lineRule="auto"/>
              <w:jc w:val="center"/>
              <w:rPr>
                <w:color w:val="FFFFFF" w:themeColor="background1"/>
                <w:sz w:val="16"/>
                <w:szCs w:val="16"/>
              </w:rPr>
            </w:pPr>
            <w:r w:rsidRPr="005060E0">
              <w:rPr>
                <w:color w:val="FFFFFF" w:themeColor="background1"/>
                <w:sz w:val="16"/>
                <w:szCs w:val="16"/>
              </w:rPr>
              <w:t>NO</w:t>
            </w:r>
            <w:r w:rsidRPr="005060E0">
              <w:rPr>
                <w:color w:val="FFFFFF" w:themeColor="background1"/>
                <w:sz w:val="16"/>
                <w:szCs w:val="16"/>
                <w:vertAlign w:val="subscript"/>
              </w:rPr>
              <w:t>2</w:t>
            </w:r>
            <w:r w:rsidR="00440C9D" w:rsidRPr="005060E0">
              <w:rPr>
                <w:color w:val="FFFFFF" w:themeColor="background1"/>
                <w:sz w:val="16"/>
                <w:szCs w:val="16"/>
                <w:vertAlign w:val="superscript"/>
              </w:rPr>
              <w:t>(a)</w:t>
            </w:r>
          </w:p>
        </w:tc>
        <w:tc>
          <w:tcPr>
            <w:tcW w:w="1250" w:type="pct"/>
            <w:tcBorders>
              <w:top w:val="single" w:sz="4" w:space="0" w:color="606072"/>
              <w:left w:val="single" w:sz="4" w:space="0" w:color="606072"/>
              <w:bottom w:val="single" w:sz="4" w:space="0" w:color="606072"/>
              <w:right w:val="single" w:sz="4" w:space="0" w:color="606072"/>
            </w:tcBorders>
            <w:shd w:val="clear" w:color="auto" w:fill="606072"/>
            <w:vAlign w:val="center"/>
          </w:tcPr>
          <w:p w14:paraId="4837C64B" w14:textId="77777777" w:rsidR="006A575B" w:rsidRPr="005060E0" w:rsidRDefault="006A575B" w:rsidP="006A575B">
            <w:pPr>
              <w:spacing w:after="0" w:line="240" w:lineRule="auto"/>
              <w:jc w:val="center"/>
              <w:rPr>
                <w:color w:val="FFFFFF" w:themeColor="background1"/>
                <w:sz w:val="16"/>
                <w:szCs w:val="16"/>
              </w:rPr>
            </w:pPr>
            <w:r w:rsidRPr="005060E0">
              <w:rPr>
                <w:color w:val="FFFFFF" w:themeColor="background1"/>
                <w:sz w:val="16"/>
                <w:szCs w:val="16"/>
              </w:rPr>
              <w:t>O</w:t>
            </w:r>
            <w:r w:rsidRPr="005060E0">
              <w:rPr>
                <w:color w:val="FFFFFF" w:themeColor="background1"/>
                <w:sz w:val="16"/>
                <w:szCs w:val="16"/>
                <w:vertAlign w:val="subscript"/>
              </w:rPr>
              <w:t>3</w:t>
            </w:r>
          </w:p>
        </w:tc>
      </w:tr>
      <w:tr w:rsidR="005E4128" w:rsidRPr="005060E0" w14:paraId="087CB1D8" w14:textId="77777777" w:rsidTr="006A575B">
        <w:trPr>
          <w:trHeight w:hRule="exact" w:val="340"/>
        </w:trPr>
        <w:tc>
          <w:tcPr>
            <w:tcW w:w="5000" w:type="pct"/>
            <w:gridSpan w:val="4"/>
            <w:tcBorders>
              <w:top w:val="single" w:sz="4" w:space="0" w:color="606072"/>
              <w:left w:val="single" w:sz="4" w:space="0" w:color="606072"/>
              <w:bottom w:val="single" w:sz="4" w:space="0" w:color="606072"/>
              <w:right w:val="single" w:sz="4" w:space="0" w:color="606072"/>
            </w:tcBorders>
            <w:shd w:val="clear" w:color="auto" w:fill="DEDFE3" w:themeFill="text2" w:themeFillTint="33"/>
            <w:vAlign w:val="center"/>
          </w:tcPr>
          <w:p w14:paraId="22C55C8F" w14:textId="1937BD37" w:rsidR="005E4128" w:rsidRPr="005060E0" w:rsidRDefault="00F91743" w:rsidP="005E4128">
            <w:pPr>
              <w:spacing w:after="0" w:line="240" w:lineRule="auto"/>
              <w:rPr>
                <w:b/>
                <w:sz w:val="16"/>
                <w:szCs w:val="16"/>
              </w:rPr>
            </w:pPr>
            <w:r w:rsidRPr="005060E0">
              <w:rPr>
                <w:b/>
                <w:sz w:val="16"/>
                <w:szCs w:val="16"/>
              </w:rPr>
              <w:t xml:space="preserve">Costs ($, 2016 </w:t>
            </w:r>
            <w:r w:rsidR="005E4128" w:rsidRPr="005060E0">
              <w:rPr>
                <w:b/>
                <w:sz w:val="16"/>
                <w:szCs w:val="16"/>
              </w:rPr>
              <w:t>PV)</w:t>
            </w:r>
          </w:p>
        </w:tc>
      </w:tr>
      <w:tr w:rsidR="005E4128" w:rsidRPr="005060E0" w14:paraId="6FC5B32F" w14:textId="77777777" w:rsidTr="007C5231">
        <w:trPr>
          <w:trHeight w:hRule="exact" w:val="340"/>
        </w:trPr>
        <w:tc>
          <w:tcPr>
            <w:tcW w:w="1250" w:type="pct"/>
            <w:tcBorders>
              <w:top w:val="single" w:sz="4" w:space="0" w:color="606072"/>
              <w:left w:val="single" w:sz="4" w:space="0" w:color="606072"/>
              <w:bottom w:val="dotted" w:sz="4" w:space="0" w:color="606372" w:themeColor="text2"/>
              <w:right w:val="single" w:sz="4" w:space="0" w:color="606072"/>
            </w:tcBorders>
            <w:vAlign w:val="center"/>
          </w:tcPr>
          <w:p w14:paraId="32BF616B" w14:textId="77777777" w:rsidR="005E4128" w:rsidRPr="005060E0" w:rsidRDefault="005E4128" w:rsidP="00EA2B5D">
            <w:pPr>
              <w:spacing w:after="0" w:line="240" w:lineRule="auto"/>
              <w:rPr>
                <w:sz w:val="16"/>
                <w:szCs w:val="16"/>
              </w:rPr>
            </w:pPr>
            <w:r w:rsidRPr="005060E0">
              <w:rPr>
                <w:sz w:val="16"/>
                <w:szCs w:val="16"/>
              </w:rPr>
              <w:t>NSW</w:t>
            </w:r>
          </w:p>
        </w:tc>
        <w:tc>
          <w:tcPr>
            <w:tcW w:w="1250" w:type="pct"/>
            <w:tcBorders>
              <w:top w:val="single" w:sz="4" w:space="0" w:color="606072"/>
              <w:left w:val="single" w:sz="4" w:space="0" w:color="606072"/>
              <w:bottom w:val="dotted" w:sz="4" w:space="0" w:color="606372" w:themeColor="text2"/>
              <w:right w:val="single" w:sz="4" w:space="0" w:color="606072"/>
            </w:tcBorders>
            <w:vAlign w:val="center"/>
          </w:tcPr>
          <w:p w14:paraId="73091751" w14:textId="52A43F40" w:rsidR="005E4128" w:rsidRPr="005060E0" w:rsidRDefault="005E4128" w:rsidP="00E20C55">
            <w:pPr>
              <w:spacing w:after="0" w:line="240" w:lineRule="auto"/>
              <w:ind w:right="599" w:firstLine="603"/>
              <w:jc w:val="center"/>
              <w:rPr>
                <w:sz w:val="16"/>
                <w:szCs w:val="16"/>
              </w:rPr>
            </w:pPr>
            <w:r w:rsidRPr="005060E0">
              <w:rPr>
                <w:sz w:val="16"/>
                <w:szCs w:val="16"/>
              </w:rPr>
              <w:t>$13,887</w:t>
            </w:r>
            <w:r w:rsidR="00F91743" w:rsidRPr="005060E0">
              <w:rPr>
                <w:sz w:val="16"/>
                <w:szCs w:val="16"/>
              </w:rPr>
              <w:t xml:space="preserve"> m</w:t>
            </w:r>
          </w:p>
        </w:tc>
        <w:tc>
          <w:tcPr>
            <w:tcW w:w="1250" w:type="pct"/>
            <w:tcBorders>
              <w:top w:val="single" w:sz="4" w:space="0" w:color="606072"/>
              <w:left w:val="single" w:sz="4" w:space="0" w:color="606072"/>
              <w:bottom w:val="dotted" w:sz="4" w:space="0" w:color="606372" w:themeColor="text2"/>
              <w:right w:val="single" w:sz="4" w:space="0" w:color="606072"/>
            </w:tcBorders>
            <w:vAlign w:val="center"/>
          </w:tcPr>
          <w:p w14:paraId="3ED06946" w14:textId="41818C75" w:rsidR="005E4128" w:rsidRPr="005060E0" w:rsidRDefault="005E4128" w:rsidP="00E20C55">
            <w:pPr>
              <w:spacing w:after="0" w:line="240" w:lineRule="auto"/>
              <w:ind w:right="604" w:firstLine="603"/>
              <w:jc w:val="center"/>
              <w:rPr>
                <w:sz w:val="16"/>
                <w:szCs w:val="16"/>
              </w:rPr>
            </w:pPr>
            <w:r w:rsidRPr="005060E0">
              <w:rPr>
                <w:sz w:val="16"/>
                <w:szCs w:val="16"/>
              </w:rPr>
              <w:t>$9,6</w:t>
            </w:r>
            <w:r w:rsidR="006428E7" w:rsidRPr="005060E0">
              <w:rPr>
                <w:sz w:val="16"/>
                <w:szCs w:val="16"/>
              </w:rPr>
              <w:t>04</w:t>
            </w:r>
            <w:r w:rsidR="00F91743" w:rsidRPr="005060E0">
              <w:rPr>
                <w:sz w:val="16"/>
                <w:szCs w:val="16"/>
              </w:rPr>
              <w:t xml:space="preserve"> m</w:t>
            </w:r>
          </w:p>
        </w:tc>
        <w:tc>
          <w:tcPr>
            <w:tcW w:w="1250" w:type="pct"/>
            <w:tcBorders>
              <w:top w:val="single" w:sz="4" w:space="0" w:color="606072"/>
              <w:left w:val="single" w:sz="4" w:space="0" w:color="606072"/>
              <w:bottom w:val="dotted" w:sz="4" w:space="0" w:color="606372" w:themeColor="text2"/>
              <w:right w:val="single" w:sz="4" w:space="0" w:color="606072"/>
            </w:tcBorders>
            <w:vAlign w:val="center"/>
          </w:tcPr>
          <w:p w14:paraId="5C637D2B" w14:textId="489AA60D" w:rsidR="005E4128" w:rsidRPr="005060E0" w:rsidRDefault="005E4128" w:rsidP="00E20C55">
            <w:pPr>
              <w:spacing w:after="0" w:line="240" w:lineRule="auto"/>
              <w:ind w:right="737" w:firstLine="603"/>
              <w:jc w:val="center"/>
              <w:rPr>
                <w:sz w:val="16"/>
                <w:szCs w:val="16"/>
              </w:rPr>
            </w:pPr>
            <w:r w:rsidRPr="005060E0">
              <w:rPr>
                <w:sz w:val="16"/>
                <w:szCs w:val="16"/>
              </w:rPr>
              <w:t>$109</w:t>
            </w:r>
            <w:r w:rsidR="00F91743" w:rsidRPr="005060E0">
              <w:rPr>
                <w:sz w:val="16"/>
                <w:szCs w:val="16"/>
              </w:rPr>
              <w:t xml:space="preserve"> m</w:t>
            </w:r>
          </w:p>
        </w:tc>
      </w:tr>
      <w:tr w:rsidR="005E4128" w:rsidRPr="005060E0" w14:paraId="5AA08D0A" w14:textId="77777777" w:rsidTr="007C5231">
        <w:trPr>
          <w:trHeight w:hRule="exact" w:val="340"/>
        </w:trPr>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0E7806BE" w14:textId="77777777" w:rsidR="005E4128" w:rsidRPr="005060E0" w:rsidRDefault="005E4128" w:rsidP="005E4128">
            <w:pPr>
              <w:spacing w:after="0" w:line="240" w:lineRule="auto"/>
              <w:rPr>
                <w:sz w:val="16"/>
                <w:szCs w:val="16"/>
              </w:rPr>
            </w:pPr>
            <w:r w:rsidRPr="005060E0">
              <w:rPr>
                <w:sz w:val="16"/>
                <w:szCs w:val="16"/>
              </w:rPr>
              <w:t>NT</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2DA75375" w14:textId="2E28CAD3" w:rsidR="005E4128" w:rsidRPr="005060E0" w:rsidRDefault="005E4128" w:rsidP="00E20C55">
            <w:pPr>
              <w:spacing w:after="0" w:line="240" w:lineRule="auto"/>
              <w:ind w:right="599" w:firstLine="603"/>
              <w:jc w:val="center"/>
              <w:rPr>
                <w:sz w:val="16"/>
                <w:szCs w:val="16"/>
              </w:rPr>
            </w:pPr>
            <w:r w:rsidRPr="005060E0">
              <w:rPr>
                <w:sz w:val="16"/>
                <w:szCs w:val="16"/>
              </w:rPr>
              <w:t>$543</w:t>
            </w:r>
            <w:r w:rsidR="00F91743" w:rsidRPr="005060E0">
              <w:rPr>
                <w:sz w:val="16"/>
                <w:szCs w:val="16"/>
              </w:rPr>
              <w:t xml:space="preserve"> m</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07397E55" w14:textId="2697BA44" w:rsidR="005E4128" w:rsidRPr="005060E0" w:rsidRDefault="005E4128" w:rsidP="00E20C55">
            <w:pPr>
              <w:spacing w:after="0" w:line="240" w:lineRule="auto"/>
              <w:ind w:right="604" w:firstLine="603"/>
              <w:jc w:val="center"/>
              <w:rPr>
                <w:sz w:val="16"/>
                <w:szCs w:val="16"/>
              </w:rPr>
            </w:pPr>
            <w:r w:rsidRPr="005060E0">
              <w:rPr>
                <w:sz w:val="16"/>
                <w:szCs w:val="16"/>
              </w:rPr>
              <w:t>$327</w:t>
            </w:r>
            <w:r w:rsidR="00F91743" w:rsidRPr="005060E0">
              <w:rPr>
                <w:sz w:val="16"/>
                <w:szCs w:val="16"/>
              </w:rPr>
              <w:t xml:space="preserve"> m</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43B039A7" w14:textId="5DF2FD9D" w:rsidR="005E4128" w:rsidRPr="005060E0" w:rsidRDefault="005E4128" w:rsidP="00E20C55">
            <w:pPr>
              <w:spacing w:after="0" w:line="240" w:lineRule="auto"/>
              <w:ind w:right="737" w:firstLine="603"/>
              <w:jc w:val="center"/>
              <w:rPr>
                <w:sz w:val="16"/>
                <w:szCs w:val="16"/>
              </w:rPr>
            </w:pPr>
            <w:r w:rsidRPr="005060E0">
              <w:rPr>
                <w:sz w:val="16"/>
                <w:szCs w:val="16"/>
              </w:rPr>
              <w:t>$3</w:t>
            </w:r>
            <w:r w:rsidR="00F91743" w:rsidRPr="005060E0">
              <w:rPr>
                <w:sz w:val="16"/>
                <w:szCs w:val="16"/>
              </w:rPr>
              <w:t xml:space="preserve"> m</w:t>
            </w:r>
          </w:p>
        </w:tc>
      </w:tr>
      <w:tr w:rsidR="005E4128" w:rsidRPr="005060E0" w14:paraId="5D0D2DDF" w14:textId="77777777" w:rsidTr="007C5231">
        <w:trPr>
          <w:trHeight w:hRule="exact" w:val="340"/>
        </w:trPr>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5C4F9C83" w14:textId="77777777" w:rsidR="005E4128" w:rsidRPr="005060E0" w:rsidRDefault="005E4128" w:rsidP="005E4128">
            <w:pPr>
              <w:spacing w:after="0" w:line="240" w:lineRule="auto"/>
              <w:rPr>
                <w:sz w:val="16"/>
                <w:szCs w:val="16"/>
              </w:rPr>
            </w:pPr>
            <w:r w:rsidRPr="005060E0">
              <w:rPr>
                <w:sz w:val="16"/>
                <w:szCs w:val="16"/>
              </w:rPr>
              <w:t>QLD</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75342C4C" w14:textId="17D7A4B2" w:rsidR="005E4128" w:rsidRPr="005060E0" w:rsidRDefault="005E4128" w:rsidP="00E20C55">
            <w:pPr>
              <w:spacing w:after="0" w:line="240" w:lineRule="auto"/>
              <w:ind w:right="599" w:firstLine="603"/>
              <w:jc w:val="center"/>
              <w:rPr>
                <w:sz w:val="16"/>
                <w:szCs w:val="16"/>
              </w:rPr>
            </w:pPr>
            <w:r w:rsidRPr="005060E0">
              <w:rPr>
                <w:sz w:val="16"/>
                <w:szCs w:val="16"/>
              </w:rPr>
              <w:t>$19</w:t>
            </w:r>
            <w:r w:rsidR="00F91743" w:rsidRPr="005060E0">
              <w:rPr>
                <w:sz w:val="16"/>
                <w:szCs w:val="16"/>
              </w:rPr>
              <w:t xml:space="preserve"> m</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6D945039" w14:textId="75165876" w:rsidR="005E4128" w:rsidRPr="005060E0" w:rsidRDefault="005E4128" w:rsidP="00E20C55">
            <w:pPr>
              <w:spacing w:after="0" w:line="240" w:lineRule="auto"/>
              <w:ind w:right="604" w:firstLine="603"/>
              <w:jc w:val="center"/>
              <w:rPr>
                <w:sz w:val="16"/>
                <w:szCs w:val="16"/>
              </w:rPr>
            </w:pPr>
            <w:r w:rsidRPr="005060E0">
              <w:rPr>
                <w:sz w:val="16"/>
                <w:szCs w:val="16"/>
              </w:rPr>
              <w:t>$3,333</w:t>
            </w:r>
            <w:r w:rsidR="00F91743" w:rsidRPr="005060E0">
              <w:rPr>
                <w:sz w:val="16"/>
                <w:szCs w:val="16"/>
              </w:rPr>
              <w:t xml:space="preserve"> m</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6DD69B35" w14:textId="338DBE5D" w:rsidR="005E4128" w:rsidRPr="005060E0" w:rsidRDefault="005E4128" w:rsidP="00E20C55">
            <w:pPr>
              <w:spacing w:after="0" w:line="240" w:lineRule="auto"/>
              <w:ind w:right="737" w:firstLine="603"/>
              <w:jc w:val="center"/>
              <w:rPr>
                <w:sz w:val="16"/>
                <w:szCs w:val="16"/>
              </w:rPr>
            </w:pPr>
            <w:r w:rsidRPr="005060E0">
              <w:rPr>
                <w:sz w:val="16"/>
                <w:szCs w:val="16"/>
              </w:rPr>
              <w:t>$104</w:t>
            </w:r>
            <w:r w:rsidR="00F91743" w:rsidRPr="005060E0">
              <w:rPr>
                <w:sz w:val="16"/>
                <w:szCs w:val="16"/>
              </w:rPr>
              <w:t xml:space="preserve"> m</w:t>
            </w:r>
          </w:p>
        </w:tc>
      </w:tr>
      <w:tr w:rsidR="005E4128" w:rsidRPr="005060E0" w14:paraId="260C93E5" w14:textId="77777777" w:rsidTr="007C5231">
        <w:trPr>
          <w:trHeight w:hRule="exact" w:val="340"/>
        </w:trPr>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5DA5BA52" w14:textId="77777777" w:rsidR="005E4128" w:rsidRPr="005060E0" w:rsidRDefault="005E4128" w:rsidP="005E4128">
            <w:pPr>
              <w:spacing w:after="0" w:line="240" w:lineRule="auto"/>
              <w:rPr>
                <w:sz w:val="16"/>
                <w:szCs w:val="16"/>
              </w:rPr>
            </w:pPr>
            <w:r w:rsidRPr="005060E0">
              <w:rPr>
                <w:sz w:val="16"/>
                <w:szCs w:val="16"/>
              </w:rPr>
              <w:t>SA</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39E9D4B9" w14:textId="44F31A3E" w:rsidR="005E4128" w:rsidRPr="005060E0" w:rsidRDefault="005E4128" w:rsidP="00E20C55">
            <w:pPr>
              <w:spacing w:after="0" w:line="240" w:lineRule="auto"/>
              <w:ind w:right="599" w:firstLine="603"/>
              <w:jc w:val="center"/>
              <w:rPr>
                <w:sz w:val="16"/>
                <w:szCs w:val="16"/>
              </w:rPr>
            </w:pPr>
            <w:r w:rsidRPr="005060E0">
              <w:rPr>
                <w:sz w:val="16"/>
                <w:szCs w:val="16"/>
              </w:rPr>
              <w:t>$0</w:t>
            </w:r>
            <w:r w:rsidR="00F91743" w:rsidRPr="005060E0">
              <w:rPr>
                <w:sz w:val="16"/>
                <w:szCs w:val="16"/>
              </w:rPr>
              <w:t xml:space="preserve"> m</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5A929D7D" w14:textId="21F64756" w:rsidR="005E4128" w:rsidRPr="005060E0" w:rsidRDefault="005E4128" w:rsidP="00E20C55">
            <w:pPr>
              <w:spacing w:after="0" w:line="240" w:lineRule="auto"/>
              <w:ind w:right="604" w:firstLine="603"/>
              <w:jc w:val="center"/>
              <w:rPr>
                <w:sz w:val="16"/>
                <w:szCs w:val="16"/>
              </w:rPr>
            </w:pPr>
            <w:r w:rsidRPr="005060E0">
              <w:rPr>
                <w:sz w:val="16"/>
                <w:szCs w:val="16"/>
              </w:rPr>
              <w:t>$2,1</w:t>
            </w:r>
            <w:r w:rsidR="006428E7" w:rsidRPr="005060E0">
              <w:rPr>
                <w:sz w:val="16"/>
                <w:szCs w:val="16"/>
              </w:rPr>
              <w:t>25</w:t>
            </w:r>
            <w:r w:rsidR="00F91743" w:rsidRPr="005060E0">
              <w:rPr>
                <w:sz w:val="16"/>
                <w:szCs w:val="16"/>
              </w:rPr>
              <w:t xml:space="preserve"> m</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45B0ADE9" w14:textId="799FFEB0" w:rsidR="005E4128" w:rsidRPr="005060E0" w:rsidRDefault="005E4128" w:rsidP="00E20C55">
            <w:pPr>
              <w:spacing w:after="0" w:line="240" w:lineRule="auto"/>
              <w:ind w:right="737" w:firstLine="603"/>
              <w:jc w:val="center"/>
              <w:rPr>
                <w:sz w:val="16"/>
                <w:szCs w:val="16"/>
              </w:rPr>
            </w:pPr>
            <w:r w:rsidRPr="005060E0">
              <w:rPr>
                <w:sz w:val="16"/>
                <w:szCs w:val="16"/>
              </w:rPr>
              <w:t>$38</w:t>
            </w:r>
            <w:r w:rsidR="00F91743" w:rsidRPr="005060E0">
              <w:rPr>
                <w:sz w:val="16"/>
                <w:szCs w:val="16"/>
              </w:rPr>
              <w:t xml:space="preserve"> m</w:t>
            </w:r>
          </w:p>
        </w:tc>
      </w:tr>
      <w:tr w:rsidR="005E4128" w:rsidRPr="005060E0" w14:paraId="2DD75CC7" w14:textId="77777777" w:rsidTr="007C5231">
        <w:trPr>
          <w:trHeight w:hRule="exact" w:val="340"/>
        </w:trPr>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4B928046" w14:textId="77777777" w:rsidR="005E4128" w:rsidRPr="005060E0" w:rsidRDefault="005E4128" w:rsidP="005E4128">
            <w:pPr>
              <w:spacing w:after="0" w:line="240" w:lineRule="auto"/>
              <w:rPr>
                <w:sz w:val="16"/>
                <w:szCs w:val="16"/>
              </w:rPr>
            </w:pPr>
            <w:r w:rsidRPr="005060E0">
              <w:rPr>
                <w:sz w:val="16"/>
                <w:szCs w:val="16"/>
              </w:rPr>
              <w:t>VIC</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4E4FCD3A" w14:textId="717233AC" w:rsidR="005E4128" w:rsidRPr="005060E0" w:rsidRDefault="005E4128" w:rsidP="00E20C55">
            <w:pPr>
              <w:spacing w:after="0" w:line="240" w:lineRule="auto"/>
              <w:ind w:right="599" w:firstLine="603"/>
              <w:jc w:val="center"/>
              <w:rPr>
                <w:sz w:val="16"/>
                <w:szCs w:val="16"/>
              </w:rPr>
            </w:pPr>
            <w:r w:rsidRPr="005060E0">
              <w:rPr>
                <w:sz w:val="16"/>
                <w:szCs w:val="16"/>
              </w:rPr>
              <w:t>$9,937</w:t>
            </w:r>
            <w:r w:rsidR="00F91743" w:rsidRPr="005060E0">
              <w:rPr>
                <w:sz w:val="16"/>
                <w:szCs w:val="16"/>
              </w:rPr>
              <w:t xml:space="preserve"> m</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66811511" w14:textId="34E016AD" w:rsidR="005E4128" w:rsidRPr="005060E0" w:rsidRDefault="005E4128" w:rsidP="00E20C55">
            <w:pPr>
              <w:spacing w:after="0" w:line="240" w:lineRule="auto"/>
              <w:ind w:right="604" w:firstLine="603"/>
              <w:jc w:val="center"/>
              <w:rPr>
                <w:sz w:val="16"/>
                <w:szCs w:val="16"/>
              </w:rPr>
            </w:pPr>
            <w:r w:rsidRPr="005060E0">
              <w:rPr>
                <w:sz w:val="16"/>
                <w:szCs w:val="16"/>
              </w:rPr>
              <w:t>$7,032</w:t>
            </w:r>
            <w:r w:rsidR="00F91743" w:rsidRPr="005060E0">
              <w:rPr>
                <w:sz w:val="16"/>
                <w:szCs w:val="16"/>
              </w:rPr>
              <w:t xml:space="preserve"> m</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011215B4" w14:textId="085BF872" w:rsidR="005E4128" w:rsidRPr="005060E0" w:rsidRDefault="005E4128" w:rsidP="00E20C55">
            <w:pPr>
              <w:spacing w:after="0" w:line="240" w:lineRule="auto"/>
              <w:ind w:right="737" w:firstLine="603"/>
              <w:jc w:val="center"/>
              <w:rPr>
                <w:sz w:val="16"/>
                <w:szCs w:val="16"/>
              </w:rPr>
            </w:pPr>
            <w:r w:rsidRPr="005060E0">
              <w:rPr>
                <w:sz w:val="16"/>
                <w:szCs w:val="16"/>
              </w:rPr>
              <w:t>$102</w:t>
            </w:r>
            <w:r w:rsidR="00F91743" w:rsidRPr="005060E0">
              <w:rPr>
                <w:sz w:val="16"/>
                <w:szCs w:val="16"/>
              </w:rPr>
              <w:t xml:space="preserve"> m</w:t>
            </w:r>
          </w:p>
        </w:tc>
      </w:tr>
      <w:tr w:rsidR="005E4128" w:rsidRPr="005060E0" w14:paraId="0064B7D6" w14:textId="77777777" w:rsidTr="007C5231">
        <w:trPr>
          <w:trHeight w:hRule="exact" w:val="340"/>
        </w:trPr>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3A0F1596" w14:textId="77777777" w:rsidR="005E4128" w:rsidRPr="005060E0" w:rsidRDefault="005E4128" w:rsidP="005E4128">
            <w:pPr>
              <w:spacing w:after="0" w:line="240" w:lineRule="auto"/>
              <w:rPr>
                <w:sz w:val="16"/>
                <w:szCs w:val="16"/>
              </w:rPr>
            </w:pPr>
            <w:r w:rsidRPr="005060E0">
              <w:rPr>
                <w:sz w:val="16"/>
                <w:szCs w:val="16"/>
              </w:rPr>
              <w:t>WA</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6FBBF1EB" w14:textId="07D6F6E9" w:rsidR="005E4128" w:rsidRPr="005060E0" w:rsidRDefault="005E4128" w:rsidP="00E20C55">
            <w:pPr>
              <w:spacing w:after="0" w:line="240" w:lineRule="auto"/>
              <w:ind w:right="599" w:firstLine="603"/>
              <w:jc w:val="center"/>
              <w:rPr>
                <w:sz w:val="16"/>
                <w:szCs w:val="16"/>
              </w:rPr>
            </w:pPr>
            <w:r w:rsidRPr="005060E0">
              <w:rPr>
                <w:sz w:val="16"/>
                <w:szCs w:val="16"/>
              </w:rPr>
              <w:t>$23</w:t>
            </w:r>
            <w:r w:rsidR="00F91743" w:rsidRPr="005060E0">
              <w:rPr>
                <w:sz w:val="16"/>
                <w:szCs w:val="16"/>
              </w:rPr>
              <w:t xml:space="preserve"> m</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183CC566" w14:textId="3E61CAED" w:rsidR="005E4128" w:rsidRPr="005060E0" w:rsidRDefault="005E4128" w:rsidP="00E20C55">
            <w:pPr>
              <w:spacing w:after="0" w:line="240" w:lineRule="auto"/>
              <w:ind w:right="604" w:firstLine="603"/>
              <w:jc w:val="center"/>
              <w:rPr>
                <w:sz w:val="16"/>
                <w:szCs w:val="16"/>
              </w:rPr>
            </w:pPr>
            <w:r w:rsidRPr="005060E0">
              <w:rPr>
                <w:sz w:val="16"/>
                <w:szCs w:val="16"/>
              </w:rPr>
              <w:t>$1,949</w:t>
            </w:r>
            <w:r w:rsidR="00F91743" w:rsidRPr="005060E0">
              <w:rPr>
                <w:sz w:val="16"/>
                <w:szCs w:val="16"/>
              </w:rPr>
              <w:t xml:space="preserve"> m</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6E6DABCD" w14:textId="7D4B1284" w:rsidR="005E4128" w:rsidRPr="005060E0" w:rsidRDefault="005E4128" w:rsidP="00E20C55">
            <w:pPr>
              <w:spacing w:after="0" w:line="240" w:lineRule="auto"/>
              <w:ind w:right="737" w:firstLine="603"/>
              <w:jc w:val="center"/>
              <w:rPr>
                <w:sz w:val="16"/>
                <w:szCs w:val="16"/>
              </w:rPr>
            </w:pPr>
            <w:r w:rsidRPr="005060E0">
              <w:rPr>
                <w:sz w:val="16"/>
                <w:szCs w:val="16"/>
              </w:rPr>
              <w:t>$75</w:t>
            </w:r>
            <w:r w:rsidR="00F91743" w:rsidRPr="005060E0">
              <w:rPr>
                <w:sz w:val="16"/>
                <w:szCs w:val="16"/>
              </w:rPr>
              <w:t xml:space="preserve"> m</w:t>
            </w:r>
          </w:p>
        </w:tc>
      </w:tr>
      <w:tr w:rsidR="005E4128" w:rsidRPr="005060E0" w14:paraId="5DFCB2AC" w14:textId="77777777" w:rsidTr="007C5231">
        <w:trPr>
          <w:trHeight w:hRule="exact" w:val="340"/>
        </w:trPr>
        <w:tc>
          <w:tcPr>
            <w:tcW w:w="1250" w:type="pct"/>
            <w:tcBorders>
              <w:top w:val="dotted" w:sz="4" w:space="0" w:color="606372" w:themeColor="text2"/>
              <w:left w:val="single" w:sz="4" w:space="0" w:color="606072"/>
              <w:bottom w:val="single" w:sz="4" w:space="0" w:color="606072"/>
              <w:right w:val="single" w:sz="4" w:space="0" w:color="606072"/>
            </w:tcBorders>
            <w:vAlign w:val="center"/>
          </w:tcPr>
          <w:p w14:paraId="32ED30A2" w14:textId="77777777" w:rsidR="005E4128" w:rsidRPr="005060E0" w:rsidRDefault="005E4128" w:rsidP="005E4128">
            <w:pPr>
              <w:spacing w:after="0" w:line="240" w:lineRule="auto"/>
              <w:rPr>
                <w:b/>
                <w:sz w:val="16"/>
                <w:szCs w:val="16"/>
              </w:rPr>
            </w:pPr>
            <w:r w:rsidRPr="005060E0">
              <w:rPr>
                <w:b/>
                <w:sz w:val="16"/>
                <w:szCs w:val="16"/>
              </w:rPr>
              <w:t>Total</w:t>
            </w:r>
          </w:p>
        </w:tc>
        <w:tc>
          <w:tcPr>
            <w:tcW w:w="1250" w:type="pct"/>
            <w:tcBorders>
              <w:top w:val="dotted" w:sz="4" w:space="0" w:color="606372" w:themeColor="text2"/>
              <w:left w:val="single" w:sz="4" w:space="0" w:color="606072"/>
              <w:bottom w:val="single" w:sz="4" w:space="0" w:color="606072"/>
              <w:right w:val="single" w:sz="4" w:space="0" w:color="606072"/>
            </w:tcBorders>
            <w:vAlign w:val="center"/>
          </w:tcPr>
          <w:p w14:paraId="506F90EB" w14:textId="592B0C5E" w:rsidR="005E4128" w:rsidRPr="005060E0" w:rsidRDefault="005E4128" w:rsidP="00E20C55">
            <w:pPr>
              <w:spacing w:after="0" w:line="240" w:lineRule="auto"/>
              <w:ind w:right="599" w:firstLine="603"/>
              <w:jc w:val="center"/>
              <w:rPr>
                <w:b/>
                <w:sz w:val="16"/>
                <w:szCs w:val="16"/>
              </w:rPr>
            </w:pPr>
            <w:r w:rsidRPr="005060E0">
              <w:rPr>
                <w:b/>
                <w:sz w:val="16"/>
                <w:szCs w:val="16"/>
              </w:rPr>
              <w:t>$24,409</w:t>
            </w:r>
            <w:r w:rsidR="00F91743" w:rsidRPr="005060E0">
              <w:rPr>
                <w:sz w:val="16"/>
                <w:szCs w:val="16"/>
              </w:rPr>
              <w:t xml:space="preserve"> </w:t>
            </w:r>
            <w:r w:rsidR="00F91743" w:rsidRPr="005060E0">
              <w:rPr>
                <w:b/>
                <w:sz w:val="16"/>
                <w:szCs w:val="16"/>
              </w:rPr>
              <w:t>m</w:t>
            </w:r>
          </w:p>
        </w:tc>
        <w:tc>
          <w:tcPr>
            <w:tcW w:w="1250" w:type="pct"/>
            <w:tcBorders>
              <w:top w:val="dotted" w:sz="4" w:space="0" w:color="606372" w:themeColor="text2"/>
              <w:left w:val="single" w:sz="4" w:space="0" w:color="606072"/>
              <w:bottom w:val="single" w:sz="4" w:space="0" w:color="606072"/>
              <w:right w:val="single" w:sz="4" w:space="0" w:color="606072"/>
            </w:tcBorders>
            <w:vAlign w:val="center"/>
          </w:tcPr>
          <w:p w14:paraId="631755F8" w14:textId="38DC1AD9" w:rsidR="005E4128" w:rsidRPr="005060E0" w:rsidRDefault="005E4128" w:rsidP="00E20C55">
            <w:pPr>
              <w:spacing w:after="0" w:line="240" w:lineRule="auto"/>
              <w:ind w:right="604" w:firstLine="603"/>
              <w:jc w:val="center"/>
              <w:rPr>
                <w:b/>
                <w:sz w:val="16"/>
                <w:szCs w:val="16"/>
              </w:rPr>
            </w:pPr>
            <w:r w:rsidRPr="005060E0">
              <w:rPr>
                <w:b/>
                <w:sz w:val="16"/>
                <w:szCs w:val="16"/>
              </w:rPr>
              <w:t>$24,</w:t>
            </w:r>
            <w:r w:rsidR="006428E7" w:rsidRPr="005060E0">
              <w:rPr>
                <w:b/>
                <w:sz w:val="16"/>
                <w:szCs w:val="16"/>
              </w:rPr>
              <w:t>369</w:t>
            </w:r>
            <w:r w:rsidR="00F91743" w:rsidRPr="005060E0">
              <w:rPr>
                <w:sz w:val="16"/>
                <w:szCs w:val="16"/>
              </w:rPr>
              <w:t xml:space="preserve"> </w:t>
            </w:r>
            <w:r w:rsidR="00F91743" w:rsidRPr="005060E0">
              <w:rPr>
                <w:b/>
                <w:sz w:val="16"/>
                <w:szCs w:val="16"/>
              </w:rPr>
              <w:t>m</w:t>
            </w:r>
          </w:p>
        </w:tc>
        <w:tc>
          <w:tcPr>
            <w:tcW w:w="1250" w:type="pct"/>
            <w:tcBorders>
              <w:top w:val="dotted" w:sz="4" w:space="0" w:color="606372" w:themeColor="text2"/>
              <w:left w:val="single" w:sz="4" w:space="0" w:color="606072"/>
              <w:bottom w:val="single" w:sz="4" w:space="0" w:color="606072"/>
              <w:right w:val="single" w:sz="4" w:space="0" w:color="606072"/>
            </w:tcBorders>
            <w:vAlign w:val="center"/>
          </w:tcPr>
          <w:p w14:paraId="1149F9B1" w14:textId="5C70118E" w:rsidR="005E4128" w:rsidRPr="005060E0" w:rsidRDefault="005E4128" w:rsidP="00E20C55">
            <w:pPr>
              <w:spacing w:after="0" w:line="240" w:lineRule="auto"/>
              <w:ind w:right="737" w:firstLine="603"/>
              <w:jc w:val="center"/>
              <w:rPr>
                <w:b/>
                <w:sz w:val="16"/>
                <w:szCs w:val="16"/>
              </w:rPr>
            </w:pPr>
            <w:r w:rsidRPr="005060E0">
              <w:rPr>
                <w:b/>
                <w:sz w:val="16"/>
                <w:szCs w:val="16"/>
              </w:rPr>
              <w:t>$430</w:t>
            </w:r>
            <w:r w:rsidR="00F91743" w:rsidRPr="005060E0">
              <w:rPr>
                <w:sz w:val="16"/>
                <w:szCs w:val="16"/>
              </w:rPr>
              <w:t xml:space="preserve"> </w:t>
            </w:r>
            <w:r w:rsidR="00F91743" w:rsidRPr="005060E0">
              <w:rPr>
                <w:b/>
                <w:sz w:val="16"/>
                <w:szCs w:val="16"/>
              </w:rPr>
              <w:t>m</w:t>
            </w:r>
          </w:p>
        </w:tc>
      </w:tr>
      <w:tr w:rsidR="005E4128" w:rsidRPr="005060E0" w14:paraId="5E09346F" w14:textId="77777777" w:rsidTr="006A575B">
        <w:trPr>
          <w:trHeight w:hRule="exact" w:val="340"/>
        </w:trPr>
        <w:tc>
          <w:tcPr>
            <w:tcW w:w="5000" w:type="pct"/>
            <w:gridSpan w:val="4"/>
            <w:tcBorders>
              <w:top w:val="single" w:sz="4" w:space="0" w:color="606072"/>
              <w:left w:val="single" w:sz="4" w:space="0" w:color="606072"/>
              <w:bottom w:val="single" w:sz="4" w:space="0" w:color="606072"/>
              <w:right w:val="single" w:sz="4" w:space="0" w:color="606072"/>
            </w:tcBorders>
            <w:shd w:val="clear" w:color="auto" w:fill="DEDFE3" w:themeFill="text2" w:themeFillTint="33"/>
            <w:vAlign w:val="center"/>
          </w:tcPr>
          <w:p w14:paraId="425F533D" w14:textId="021B548B" w:rsidR="005E4128" w:rsidRPr="005060E0" w:rsidRDefault="005E4128" w:rsidP="005E4128">
            <w:pPr>
              <w:spacing w:after="0" w:line="240" w:lineRule="auto"/>
              <w:rPr>
                <w:b/>
                <w:sz w:val="16"/>
                <w:szCs w:val="16"/>
              </w:rPr>
            </w:pPr>
            <w:r w:rsidRPr="005060E0">
              <w:rPr>
                <w:b/>
                <w:sz w:val="16"/>
                <w:szCs w:val="16"/>
              </w:rPr>
              <w:t>Benefits (</w:t>
            </w:r>
            <w:r w:rsidR="00F91743" w:rsidRPr="005060E0">
              <w:rPr>
                <w:b/>
                <w:sz w:val="16"/>
                <w:szCs w:val="16"/>
              </w:rPr>
              <w:t xml:space="preserve">$, 2016 </w:t>
            </w:r>
            <w:r w:rsidRPr="005060E0">
              <w:rPr>
                <w:b/>
                <w:sz w:val="16"/>
                <w:szCs w:val="16"/>
              </w:rPr>
              <w:t>PV)</w:t>
            </w:r>
            <w:r w:rsidR="00310DD5" w:rsidRPr="005060E0">
              <w:rPr>
                <w:b/>
                <w:sz w:val="16"/>
                <w:szCs w:val="16"/>
                <w:vertAlign w:val="superscript"/>
              </w:rPr>
              <w:t>(</w:t>
            </w:r>
            <w:r w:rsidR="004F3E3D">
              <w:rPr>
                <w:b/>
                <w:sz w:val="16"/>
                <w:szCs w:val="16"/>
                <w:vertAlign w:val="superscript"/>
              </w:rPr>
              <w:t>b</w:t>
            </w:r>
            <w:r w:rsidR="00310DD5" w:rsidRPr="005060E0">
              <w:rPr>
                <w:b/>
                <w:sz w:val="16"/>
                <w:szCs w:val="16"/>
                <w:vertAlign w:val="superscript"/>
              </w:rPr>
              <w:t>)</w:t>
            </w:r>
          </w:p>
        </w:tc>
      </w:tr>
      <w:tr w:rsidR="005E4128" w:rsidRPr="005060E0" w14:paraId="0B490CCF" w14:textId="77777777" w:rsidTr="007C5231">
        <w:trPr>
          <w:trHeight w:hRule="exact" w:val="340"/>
        </w:trPr>
        <w:tc>
          <w:tcPr>
            <w:tcW w:w="1250" w:type="pct"/>
            <w:tcBorders>
              <w:top w:val="single" w:sz="4" w:space="0" w:color="606072"/>
              <w:left w:val="single" w:sz="4" w:space="0" w:color="606072"/>
              <w:bottom w:val="dotted" w:sz="4" w:space="0" w:color="606372" w:themeColor="text2"/>
              <w:right w:val="single" w:sz="4" w:space="0" w:color="606072"/>
            </w:tcBorders>
            <w:vAlign w:val="center"/>
          </w:tcPr>
          <w:p w14:paraId="222D6808" w14:textId="77777777" w:rsidR="005E4128" w:rsidRPr="005060E0" w:rsidRDefault="005E4128" w:rsidP="005E4128">
            <w:pPr>
              <w:spacing w:after="0" w:line="240" w:lineRule="auto"/>
              <w:rPr>
                <w:sz w:val="16"/>
                <w:szCs w:val="16"/>
              </w:rPr>
            </w:pPr>
            <w:r w:rsidRPr="005060E0">
              <w:rPr>
                <w:sz w:val="16"/>
                <w:szCs w:val="16"/>
              </w:rPr>
              <w:t>NSW</w:t>
            </w:r>
          </w:p>
        </w:tc>
        <w:tc>
          <w:tcPr>
            <w:tcW w:w="1250" w:type="pct"/>
            <w:tcBorders>
              <w:top w:val="single" w:sz="4" w:space="0" w:color="606072"/>
              <w:left w:val="single" w:sz="4" w:space="0" w:color="606072"/>
              <w:bottom w:val="dotted" w:sz="4" w:space="0" w:color="606372" w:themeColor="text2"/>
              <w:right w:val="single" w:sz="4" w:space="0" w:color="606072"/>
            </w:tcBorders>
            <w:vAlign w:val="center"/>
          </w:tcPr>
          <w:p w14:paraId="42FCCF5A" w14:textId="48C6E2C6" w:rsidR="005E4128" w:rsidRPr="005060E0" w:rsidRDefault="005E4128" w:rsidP="00E20C55">
            <w:pPr>
              <w:spacing w:after="0" w:line="240" w:lineRule="auto"/>
              <w:ind w:right="599" w:firstLine="603"/>
              <w:jc w:val="center"/>
              <w:rPr>
                <w:sz w:val="16"/>
                <w:szCs w:val="16"/>
              </w:rPr>
            </w:pPr>
            <w:r w:rsidRPr="005060E0">
              <w:rPr>
                <w:sz w:val="16"/>
                <w:szCs w:val="16"/>
              </w:rPr>
              <w:t>$44</w:t>
            </w:r>
            <w:r w:rsidR="00F91743" w:rsidRPr="005060E0">
              <w:rPr>
                <w:sz w:val="16"/>
                <w:szCs w:val="16"/>
              </w:rPr>
              <w:t xml:space="preserve"> m</w:t>
            </w:r>
          </w:p>
        </w:tc>
        <w:tc>
          <w:tcPr>
            <w:tcW w:w="1250" w:type="pct"/>
            <w:tcBorders>
              <w:top w:val="single" w:sz="4" w:space="0" w:color="606072"/>
              <w:left w:val="single" w:sz="4" w:space="0" w:color="606072"/>
              <w:bottom w:val="dotted" w:sz="4" w:space="0" w:color="606372" w:themeColor="text2"/>
              <w:right w:val="single" w:sz="4" w:space="0" w:color="606072"/>
            </w:tcBorders>
            <w:vAlign w:val="center"/>
          </w:tcPr>
          <w:p w14:paraId="77AB7E5E" w14:textId="6EFECBA6" w:rsidR="005E4128" w:rsidRPr="005060E0" w:rsidRDefault="005E4128" w:rsidP="00E20C55">
            <w:pPr>
              <w:spacing w:after="0" w:line="240" w:lineRule="auto"/>
              <w:ind w:right="179" w:firstLine="312"/>
              <w:rPr>
                <w:sz w:val="16"/>
                <w:szCs w:val="16"/>
              </w:rPr>
            </w:pPr>
            <w:r w:rsidRPr="005060E0">
              <w:rPr>
                <w:sz w:val="16"/>
                <w:szCs w:val="16"/>
              </w:rPr>
              <w:t>$</w:t>
            </w:r>
            <w:r w:rsidR="006428E7" w:rsidRPr="005060E0">
              <w:rPr>
                <w:sz w:val="16"/>
                <w:szCs w:val="16"/>
              </w:rPr>
              <w:t>58</w:t>
            </w:r>
            <w:r w:rsidR="00F91743" w:rsidRPr="005060E0">
              <w:rPr>
                <w:sz w:val="16"/>
                <w:szCs w:val="16"/>
              </w:rPr>
              <w:t xml:space="preserve"> m</w:t>
            </w:r>
            <w:r w:rsidR="00111E4C" w:rsidRPr="005060E0">
              <w:rPr>
                <w:sz w:val="16"/>
                <w:szCs w:val="16"/>
              </w:rPr>
              <w:tab/>
              <w:t>(</w:t>
            </w:r>
            <w:r w:rsidR="006428E7" w:rsidRPr="005060E0">
              <w:rPr>
                <w:sz w:val="16"/>
                <w:szCs w:val="16"/>
              </w:rPr>
              <w:t>$1,183 m)</w:t>
            </w:r>
          </w:p>
        </w:tc>
        <w:tc>
          <w:tcPr>
            <w:tcW w:w="1250" w:type="pct"/>
            <w:tcBorders>
              <w:top w:val="single" w:sz="4" w:space="0" w:color="606072"/>
              <w:left w:val="single" w:sz="4" w:space="0" w:color="606072"/>
              <w:bottom w:val="dotted" w:sz="4" w:space="0" w:color="606372" w:themeColor="text2"/>
              <w:right w:val="single" w:sz="4" w:space="0" w:color="606072"/>
            </w:tcBorders>
            <w:vAlign w:val="center"/>
          </w:tcPr>
          <w:p w14:paraId="091BD1B7" w14:textId="271B20C7" w:rsidR="005E4128" w:rsidRPr="005060E0" w:rsidRDefault="005E4128" w:rsidP="00E20C55">
            <w:pPr>
              <w:spacing w:after="0" w:line="240" w:lineRule="auto"/>
              <w:ind w:right="737" w:firstLine="603"/>
              <w:jc w:val="center"/>
              <w:rPr>
                <w:sz w:val="16"/>
                <w:szCs w:val="16"/>
              </w:rPr>
            </w:pPr>
            <w:r w:rsidRPr="005060E0">
              <w:rPr>
                <w:sz w:val="16"/>
                <w:szCs w:val="16"/>
              </w:rPr>
              <w:t>$9</w:t>
            </w:r>
            <w:r w:rsidR="00F91743" w:rsidRPr="005060E0">
              <w:rPr>
                <w:sz w:val="16"/>
                <w:szCs w:val="16"/>
              </w:rPr>
              <w:t xml:space="preserve"> m</w:t>
            </w:r>
          </w:p>
        </w:tc>
      </w:tr>
      <w:tr w:rsidR="005E4128" w:rsidRPr="005060E0" w14:paraId="683A5A02" w14:textId="77777777" w:rsidTr="007C5231">
        <w:trPr>
          <w:trHeight w:hRule="exact" w:val="340"/>
        </w:trPr>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0C7D24F0" w14:textId="77777777" w:rsidR="005E4128" w:rsidRPr="005060E0" w:rsidRDefault="005E4128" w:rsidP="005E4128">
            <w:pPr>
              <w:spacing w:after="0" w:line="240" w:lineRule="auto"/>
              <w:rPr>
                <w:sz w:val="16"/>
                <w:szCs w:val="16"/>
              </w:rPr>
            </w:pPr>
            <w:r w:rsidRPr="005060E0">
              <w:rPr>
                <w:sz w:val="16"/>
                <w:szCs w:val="16"/>
              </w:rPr>
              <w:t>NT</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37FEC675" w14:textId="1F92D6EA" w:rsidR="005E4128" w:rsidRPr="005060E0" w:rsidRDefault="005E4128" w:rsidP="00E20C55">
            <w:pPr>
              <w:spacing w:after="0" w:line="240" w:lineRule="auto"/>
              <w:ind w:right="599" w:firstLine="603"/>
              <w:jc w:val="center"/>
              <w:rPr>
                <w:sz w:val="16"/>
                <w:szCs w:val="16"/>
              </w:rPr>
            </w:pPr>
            <w:r w:rsidRPr="005060E0">
              <w:rPr>
                <w:sz w:val="16"/>
                <w:szCs w:val="16"/>
              </w:rPr>
              <w:t>$0</w:t>
            </w:r>
            <w:r w:rsidR="00F91743" w:rsidRPr="005060E0">
              <w:rPr>
                <w:sz w:val="16"/>
                <w:szCs w:val="16"/>
              </w:rPr>
              <w:t xml:space="preserve"> m</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441043FB" w14:textId="3FD79F35" w:rsidR="005E4128" w:rsidRPr="005060E0" w:rsidRDefault="005E4128" w:rsidP="00E20C55">
            <w:pPr>
              <w:spacing w:after="0" w:line="240" w:lineRule="auto"/>
              <w:ind w:right="179" w:firstLine="312"/>
              <w:rPr>
                <w:sz w:val="16"/>
                <w:szCs w:val="16"/>
              </w:rPr>
            </w:pPr>
            <w:r w:rsidRPr="005060E0">
              <w:rPr>
                <w:sz w:val="16"/>
                <w:szCs w:val="16"/>
              </w:rPr>
              <w:t>$</w:t>
            </w:r>
            <w:r w:rsidR="006428E7" w:rsidRPr="005060E0">
              <w:rPr>
                <w:sz w:val="16"/>
                <w:szCs w:val="16"/>
              </w:rPr>
              <w:t>1</w:t>
            </w:r>
            <w:r w:rsidR="00F91743" w:rsidRPr="005060E0">
              <w:rPr>
                <w:sz w:val="16"/>
                <w:szCs w:val="16"/>
              </w:rPr>
              <w:t xml:space="preserve"> m</w:t>
            </w:r>
            <w:r w:rsidR="006428E7" w:rsidRPr="005060E0">
              <w:rPr>
                <w:sz w:val="16"/>
                <w:szCs w:val="16"/>
              </w:rPr>
              <w:tab/>
              <w:t>($0 m)</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3F0CC6FB" w14:textId="21D15F09" w:rsidR="005E4128" w:rsidRPr="005060E0" w:rsidRDefault="005E4128" w:rsidP="00E20C55">
            <w:pPr>
              <w:spacing w:after="0" w:line="240" w:lineRule="auto"/>
              <w:ind w:right="737" w:firstLine="603"/>
              <w:jc w:val="center"/>
              <w:rPr>
                <w:sz w:val="16"/>
                <w:szCs w:val="16"/>
              </w:rPr>
            </w:pPr>
            <w:r w:rsidRPr="005060E0">
              <w:rPr>
                <w:sz w:val="16"/>
                <w:szCs w:val="16"/>
              </w:rPr>
              <w:t>$0</w:t>
            </w:r>
            <w:r w:rsidR="00F91743" w:rsidRPr="005060E0">
              <w:rPr>
                <w:sz w:val="16"/>
                <w:szCs w:val="16"/>
              </w:rPr>
              <w:t xml:space="preserve"> m</w:t>
            </w:r>
          </w:p>
        </w:tc>
      </w:tr>
      <w:tr w:rsidR="005E4128" w:rsidRPr="005060E0" w14:paraId="5AFA582F" w14:textId="77777777" w:rsidTr="007C5231">
        <w:trPr>
          <w:trHeight w:hRule="exact" w:val="340"/>
        </w:trPr>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219BDBDD" w14:textId="77777777" w:rsidR="005E4128" w:rsidRPr="005060E0" w:rsidRDefault="005E4128" w:rsidP="005E4128">
            <w:pPr>
              <w:spacing w:after="0" w:line="240" w:lineRule="auto"/>
              <w:rPr>
                <w:sz w:val="16"/>
                <w:szCs w:val="16"/>
              </w:rPr>
            </w:pPr>
            <w:r w:rsidRPr="005060E0">
              <w:rPr>
                <w:sz w:val="16"/>
                <w:szCs w:val="16"/>
              </w:rPr>
              <w:t>QLD</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734E7EA8" w14:textId="2D64E4C5" w:rsidR="005E4128" w:rsidRPr="005060E0" w:rsidRDefault="005E4128" w:rsidP="00E20C55">
            <w:pPr>
              <w:spacing w:after="0" w:line="240" w:lineRule="auto"/>
              <w:ind w:right="599" w:firstLine="603"/>
              <w:jc w:val="center"/>
              <w:rPr>
                <w:sz w:val="16"/>
                <w:szCs w:val="16"/>
              </w:rPr>
            </w:pPr>
            <w:r w:rsidRPr="005060E0">
              <w:rPr>
                <w:sz w:val="16"/>
                <w:szCs w:val="16"/>
              </w:rPr>
              <w:t>$36</w:t>
            </w:r>
            <w:r w:rsidR="00F91743" w:rsidRPr="005060E0">
              <w:rPr>
                <w:sz w:val="16"/>
                <w:szCs w:val="16"/>
              </w:rPr>
              <w:t xml:space="preserve"> m</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255DD6EA" w14:textId="66466D59" w:rsidR="005E4128" w:rsidRPr="005060E0" w:rsidRDefault="005E4128" w:rsidP="00E20C55">
            <w:pPr>
              <w:spacing w:after="0" w:line="240" w:lineRule="auto"/>
              <w:ind w:right="179" w:firstLine="312"/>
              <w:rPr>
                <w:sz w:val="16"/>
                <w:szCs w:val="16"/>
              </w:rPr>
            </w:pPr>
            <w:r w:rsidRPr="005060E0">
              <w:rPr>
                <w:sz w:val="16"/>
                <w:szCs w:val="16"/>
              </w:rPr>
              <w:t>$18</w:t>
            </w:r>
            <w:r w:rsidR="00F91743" w:rsidRPr="005060E0">
              <w:rPr>
                <w:sz w:val="16"/>
                <w:szCs w:val="16"/>
              </w:rPr>
              <w:t xml:space="preserve"> m</w:t>
            </w:r>
            <w:r w:rsidR="006428E7" w:rsidRPr="005060E0">
              <w:rPr>
                <w:sz w:val="16"/>
                <w:szCs w:val="16"/>
              </w:rPr>
              <w:tab/>
              <w:t>($0 m)</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1C0A876E" w14:textId="4CE10642" w:rsidR="005E4128" w:rsidRPr="005060E0" w:rsidRDefault="005E4128" w:rsidP="00E20C55">
            <w:pPr>
              <w:spacing w:after="0" w:line="240" w:lineRule="auto"/>
              <w:ind w:right="737" w:firstLine="603"/>
              <w:jc w:val="center"/>
              <w:rPr>
                <w:sz w:val="16"/>
                <w:szCs w:val="16"/>
              </w:rPr>
            </w:pPr>
            <w:r w:rsidRPr="005060E0">
              <w:rPr>
                <w:sz w:val="16"/>
                <w:szCs w:val="16"/>
              </w:rPr>
              <w:t>$0</w:t>
            </w:r>
            <w:r w:rsidR="00F91743" w:rsidRPr="005060E0">
              <w:rPr>
                <w:sz w:val="16"/>
                <w:szCs w:val="16"/>
              </w:rPr>
              <w:t xml:space="preserve"> m</w:t>
            </w:r>
          </w:p>
        </w:tc>
      </w:tr>
      <w:tr w:rsidR="005E4128" w:rsidRPr="005060E0" w14:paraId="48A4108D" w14:textId="77777777" w:rsidTr="007C5231">
        <w:trPr>
          <w:trHeight w:hRule="exact" w:val="340"/>
        </w:trPr>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5115D904" w14:textId="77777777" w:rsidR="005E4128" w:rsidRPr="005060E0" w:rsidRDefault="005E4128" w:rsidP="005E4128">
            <w:pPr>
              <w:spacing w:after="0" w:line="240" w:lineRule="auto"/>
              <w:rPr>
                <w:sz w:val="16"/>
                <w:szCs w:val="16"/>
              </w:rPr>
            </w:pPr>
            <w:r w:rsidRPr="005060E0">
              <w:rPr>
                <w:sz w:val="16"/>
                <w:szCs w:val="16"/>
              </w:rPr>
              <w:t>SA</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4E335567" w14:textId="7DC0A359" w:rsidR="005E4128" w:rsidRPr="005060E0" w:rsidRDefault="005E4128" w:rsidP="00E20C55">
            <w:pPr>
              <w:spacing w:after="0" w:line="240" w:lineRule="auto"/>
              <w:ind w:right="599" w:firstLine="603"/>
              <w:jc w:val="center"/>
              <w:rPr>
                <w:sz w:val="16"/>
                <w:szCs w:val="16"/>
              </w:rPr>
            </w:pPr>
            <w:r w:rsidRPr="005060E0">
              <w:rPr>
                <w:sz w:val="16"/>
                <w:szCs w:val="16"/>
              </w:rPr>
              <w:t>$0</w:t>
            </w:r>
            <w:r w:rsidR="00F91743" w:rsidRPr="005060E0">
              <w:rPr>
                <w:sz w:val="16"/>
                <w:szCs w:val="16"/>
              </w:rPr>
              <w:t xml:space="preserve"> m</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2260404A" w14:textId="36DDCC2B" w:rsidR="005E4128" w:rsidRPr="005060E0" w:rsidRDefault="005E4128" w:rsidP="00E20C55">
            <w:pPr>
              <w:spacing w:after="0" w:line="240" w:lineRule="auto"/>
              <w:ind w:right="179" w:firstLine="312"/>
              <w:rPr>
                <w:sz w:val="16"/>
                <w:szCs w:val="16"/>
              </w:rPr>
            </w:pPr>
            <w:r w:rsidRPr="005060E0">
              <w:rPr>
                <w:sz w:val="16"/>
                <w:szCs w:val="16"/>
              </w:rPr>
              <w:t>$9</w:t>
            </w:r>
            <w:r w:rsidR="00F91743" w:rsidRPr="005060E0">
              <w:rPr>
                <w:sz w:val="16"/>
                <w:szCs w:val="16"/>
              </w:rPr>
              <w:t xml:space="preserve"> m</w:t>
            </w:r>
            <w:r w:rsidR="006428E7" w:rsidRPr="005060E0">
              <w:rPr>
                <w:sz w:val="16"/>
                <w:szCs w:val="16"/>
              </w:rPr>
              <w:tab/>
              <w:t>($0 m)</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618F11A0" w14:textId="05C500C2" w:rsidR="005E4128" w:rsidRPr="005060E0" w:rsidRDefault="005E4128" w:rsidP="00E20C55">
            <w:pPr>
              <w:spacing w:after="0" w:line="240" w:lineRule="auto"/>
              <w:ind w:right="737" w:firstLine="603"/>
              <w:jc w:val="center"/>
              <w:rPr>
                <w:sz w:val="16"/>
                <w:szCs w:val="16"/>
              </w:rPr>
            </w:pPr>
            <w:r w:rsidRPr="005060E0">
              <w:rPr>
                <w:sz w:val="16"/>
                <w:szCs w:val="16"/>
              </w:rPr>
              <w:t>$0</w:t>
            </w:r>
            <w:r w:rsidR="00F91743" w:rsidRPr="005060E0">
              <w:rPr>
                <w:sz w:val="16"/>
                <w:szCs w:val="16"/>
              </w:rPr>
              <w:t xml:space="preserve"> m</w:t>
            </w:r>
          </w:p>
        </w:tc>
      </w:tr>
      <w:tr w:rsidR="005E4128" w:rsidRPr="005060E0" w14:paraId="3FDE9A4A" w14:textId="77777777" w:rsidTr="007C5231">
        <w:trPr>
          <w:trHeight w:hRule="exact" w:val="340"/>
        </w:trPr>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591BBA80" w14:textId="77777777" w:rsidR="005E4128" w:rsidRPr="005060E0" w:rsidRDefault="005E4128" w:rsidP="005E4128">
            <w:pPr>
              <w:spacing w:after="0" w:line="240" w:lineRule="auto"/>
              <w:rPr>
                <w:sz w:val="16"/>
                <w:szCs w:val="16"/>
              </w:rPr>
            </w:pPr>
            <w:r w:rsidRPr="005060E0">
              <w:rPr>
                <w:sz w:val="16"/>
                <w:szCs w:val="16"/>
              </w:rPr>
              <w:t>VIC</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17CEB311" w14:textId="1600FC0E" w:rsidR="005E4128" w:rsidRPr="005060E0" w:rsidRDefault="005E4128" w:rsidP="00E20C55">
            <w:pPr>
              <w:spacing w:after="0" w:line="240" w:lineRule="auto"/>
              <w:ind w:right="599" w:firstLine="603"/>
              <w:jc w:val="center"/>
              <w:rPr>
                <w:sz w:val="16"/>
                <w:szCs w:val="16"/>
              </w:rPr>
            </w:pPr>
            <w:r w:rsidRPr="005060E0">
              <w:rPr>
                <w:sz w:val="16"/>
                <w:szCs w:val="16"/>
              </w:rPr>
              <w:t>$64</w:t>
            </w:r>
            <w:r w:rsidR="00F91743" w:rsidRPr="005060E0">
              <w:rPr>
                <w:sz w:val="16"/>
                <w:szCs w:val="16"/>
              </w:rPr>
              <w:t xml:space="preserve"> m</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6FB86299" w14:textId="4E03907D" w:rsidR="005E4128" w:rsidRPr="005060E0" w:rsidRDefault="005E4128" w:rsidP="00E20C55">
            <w:pPr>
              <w:spacing w:after="0" w:line="240" w:lineRule="auto"/>
              <w:ind w:right="179" w:firstLine="312"/>
              <w:rPr>
                <w:sz w:val="16"/>
                <w:szCs w:val="16"/>
              </w:rPr>
            </w:pPr>
            <w:r w:rsidRPr="005060E0">
              <w:rPr>
                <w:sz w:val="16"/>
                <w:szCs w:val="16"/>
              </w:rPr>
              <w:t>$</w:t>
            </w:r>
            <w:r w:rsidR="006428E7" w:rsidRPr="005060E0">
              <w:rPr>
                <w:sz w:val="16"/>
                <w:szCs w:val="16"/>
              </w:rPr>
              <w:t>26</w:t>
            </w:r>
            <w:r w:rsidR="00F91743" w:rsidRPr="005060E0">
              <w:rPr>
                <w:sz w:val="16"/>
                <w:szCs w:val="16"/>
              </w:rPr>
              <w:t xml:space="preserve"> m</w:t>
            </w:r>
            <w:r w:rsidR="006428E7" w:rsidRPr="005060E0">
              <w:rPr>
                <w:sz w:val="16"/>
                <w:szCs w:val="16"/>
              </w:rPr>
              <w:tab/>
              <w:t>($457 m)</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0FAB761B" w14:textId="5341C384" w:rsidR="005E4128" w:rsidRPr="005060E0" w:rsidRDefault="005E4128" w:rsidP="00E20C55">
            <w:pPr>
              <w:spacing w:after="0" w:line="240" w:lineRule="auto"/>
              <w:ind w:right="737" w:firstLine="603"/>
              <w:jc w:val="center"/>
              <w:rPr>
                <w:sz w:val="16"/>
                <w:szCs w:val="16"/>
              </w:rPr>
            </w:pPr>
            <w:r w:rsidRPr="005060E0">
              <w:rPr>
                <w:sz w:val="16"/>
                <w:szCs w:val="16"/>
              </w:rPr>
              <w:t>$11</w:t>
            </w:r>
            <w:r w:rsidR="00F91743" w:rsidRPr="005060E0">
              <w:rPr>
                <w:sz w:val="16"/>
                <w:szCs w:val="16"/>
              </w:rPr>
              <w:t xml:space="preserve"> m</w:t>
            </w:r>
          </w:p>
        </w:tc>
      </w:tr>
      <w:tr w:rsidR="005E4128" w:rsidRPr="005060E0" w14:paraId="1A98B955" w14:textId="77777777" w:rsidTr="007C5231">
        <w:trPr>
          <w:trHeight w:hRule="exact" w:val="340"/>
        </w:trPr>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59D1D05D" w14:textId="77777777" w:rsidR="005E4128" w:rsidRPr="005060E0" w:rsidRDefault="005E4128" w:rsidP="005E4128">
            <w:pPr>
              <w:spacing w:after="0" w:line="240" w:lineRule="auto"/>
              <w:rPr>
                <w:sz w:val="16"/>
                <w:szCs w:val="16"/>
              </w:rPr>
            </w:pPr>
            <w:r w:rsidRPr="005060E0">
              <w:rPr>
                <w:sz w:val="16"/>
                <w:szCs w:val="16"/>
              </w:rPr>
              <w:t>WA</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61336490" w14:textId="47689BC6" w:rsidR="005E4128" w:rsidRPr="005060E0" w:rsidRDefault="005E4128" w:rsidP="00E20C55">
            <w:pPr>
              <w:spacing w:after="0" w:line="240" w:lineRule="auto"/>
              <w:ind w:right="599" w:firstLine="603"/>
              <w:jc w:val="center"/>
              <w:rPr>
                <w:sz w:val="16"/>
                <w:szCs w:val="16"/>
              </w:rPr>
            </w:pPr>
            <w:r w:rsidRPr="005060E0">
              <w:rPr>
                <w:sz w:val="16"/>
                <w:szCs w:val="16"/>
              </w:rPr>
              <w:t>$52</w:t>
            </w:r>
            <w:r w:rsidR="00F91743" w:rsidRPr="005060E0">
              <w:rPr>
                <w:sz w:val="16"/>
                <w:szCs w:val="16"/>
              </w:rPr>
              <w:t xml:space="preserve"> m</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0BA5CDEB" w14:textId="5651880C" w:rsidR="005E4128" w:rsidRPr="005060E0" w:rsidRDefault="005E4128" w:rsidP="00E20C55">
            <w:pPr>
              <w:spacing w:after="0" w:line="240" w:lineRule="auto"/>
              <w:ind w:right="179" w:firstLine="312"/>
              <w:rPr>
                <w:sz w:val="16"/>
                <w:szCs w:val="16"/>
              </w:rPr>
            </w:pPr>
            <w:r w:rsidRPr="005060E0">
              <w:rPr>
                <w:sz w:val="16"/>
                <w:szCs w:val="16"/>
              </w:rPr>
              <w:t>$20</w:t>
            </w:r>
            <w:r w:rsidR="00F91743" w:rsidRPr="005060E0">
              <w:rPr>
                <w:sz w:val="16"/>
                <w:szCs w:val="16"/>
              </w:rPr>
              <w:t xml:space="preserve"> m</w:t>
            </w:r>
            <w:r w:rsidR="006428E7" w:rsidRPr="005060E0">
              <w:rPr>
                <w:sz w:val="16"/>
                <w:szCs w:val="16"/>
              </w:rPr>
              <w:tab/>
              <w:t>($0 m)</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72D96F88" w14:textId="0D55E60E" w:rsidR="005E4128" w:rsidRPr="005060E0" w:rsidRDefault="005E4128" w:rsidP="00E20C55">
            <w:pPr>
              <w:spacing w:after="0" w:line="240" w:lineRule="auto"/>
              <w:ind w:right="737" w:firstLine="603"/>
              <w:jc w:val="center"/>
              <w:rPr>
                <w:sz w:val="16"/>
                <w:szCs w:val="16"/>
              </w:rPr>
            </w:pPr>
            <w:r w:rsidRPr="005060E0">
              <w:rPr>
                <w:sz w:val="16"/>
                <w:szCs w:val="16"/>
              </w:rPr>
              <w:t>$0</w:t>
            </w:r>
            <w:r w:rsidR="00F91743" w:rsidRPr="005060E0">
              <w:rPr>
                <w:sz w:val="16"/>
                <w:szCs w:val="16"/>
              </w:rPr>
              <w:t xml:space="preserve"> m</w:t>
            </w:r>
          </w:p>
        </w:tc>
      </w:tr>
      <w:tr w:rsidR="005E4128" w:rsidRPr="005060E0" w14:paraId="3A5EB30E" w14:textId="77777777" w:rsidTr="007C5231">
        <w:trPr>
          <w:trHeight w:hRule="exact" w:val="340"/>
        </w:trPr>
        <w:tc>
          <w:tcPr>
            <w:tcW w:w="1250" w:type="pct"/>
            <w:tcBorders>
              <w:top w:val="dotted" w:sz="4" w:space="0" w:color="606372" w:themeColor="text2"/>
              <w:left w:val="single" w:sz="4" w:space="0" w:color="606072"/>
              <w:bottom w:val="single" w:sz="4" w:space="0" w:color="606072"/>
              <w:right w:val="single" w:sz="4" w:space="0" w:color="606072"/>
            </w:tcBorders>
            <w:vAlign w:val="center"/>
          </w:tcPr>
          <w:p w14:paraId="700AAE58" w14:textId="77777777" w:rsidR="005E4128" w:rsidRPr="005060E0" w:rsidRDefault="005E4128" w:rsidP="005E4128">
            <w:pPr>
              <w:spacing w:after="0" w:line="240" w:lineRule="auto"/>
              <w:rPr>
                <w:b/>
                <w:sz w:val="16"/>
                <w:szCs w:val="16"/>
              </w:rPr>
            </w:pPr>
            <w:r w:rsidRPr="005060E0">
              <w:rPr>
                <w:b/>
                <w:sz w:val="16"/>
                <w:szCs w:val="16"/>
              </w:rPr>
              <w:t>Total</w:t>
            </w:r>
          </w:p>
        </w:tc>
        <w:tc>
          <w:tcPr>
            <w:tcW w:w="1250" w:type="pct"/>
            <w:tcBorders>
              <w:top w:val="dotted" w:sz="4" w:space="0" w:color="606372" w:themeColor="text2"/>
              <w:left w:val="single" w:sz="4" w:space="0" w:color="606072"/>
              <w:bottom w:val="single" w:sz="4" w:space="0" w:color="606072"/>
              <w:right w:val="single" w:sz="4" w:space="0" w:color="606072"/>
            </w:tcBorders>
            <w:vAlign w:val="center"/>
          </w:tcPr>
          <w:p w14:paraId="64CF5636" w14:textId="16E99AC6" w:rsidR="005E4128" w:rsidRPr="005060E0" w:rsidRDefault="005E4128" w:rsidP="00E20C55">
            <w:pPr>
              <w:spacing w:after="0" w:line="240" w:lineRule="auto"/>
              <w:ind w:right="599" w:firstLine="603"/>
              <w:jc w:val="center"/>
              <w:rPr>
                <w:b/>
                <w:sz w:val="16"/>
                <w:szCs w:val="16"/>
              </w:rPr>
            </w:pPr>
            <w:r w:rsidRPr="005060E0">
              <w:rPr>
                <w:b/>
                <w:sz w:val="16"/>
                <w:szCs w:val="16"/>
              </w:rPr>
              <w:t>$196</w:t>
            </w:r>
            <w:r w:rsidR="00F91743" w:rsidRPr="005060E0">
              <w:rPr>
                <w:sz w:val="16"/>
                <w:szCs w:val="16"/>
              </w:rPr>
              <w:t xml:space="preserve"> </w:t>
            </w:r>
            <w:r w:rsidR="00F91743" w:rsidRPr="005060E0">
              <w:rPr>
                <w:b/>
                <w:sz w:val="16"/>
                <w:szCs w:val="16"/>
              </w:rPr>
              <w:t>m</w:t>
            </w:r>
          </w:p>
        </w:tc>
        <w:tc>
          <w:tcPr>
            <w:tcW w:w="1250" w:type="pct"/>
            <w:tcBorders>
              <w:top w:val="dotted" w:sz="4" w:space="0" w:color="606372" w:themeColor="text2"/>
              <w:left w:val="single" w:sz="4" w:space="0" w:color="606072"/>
              <w:bottom w:val="single" w:sz="4" w:space="0" w:color="606072"/>
              <w:right w:val="single" w:sz="4" w:space="0" w:color="606072"/>
            </w:tcBorders>
            <w:vAlign w:val="center"/>
          </w:tcPr>
          <w:p w14:paraId="012B335B" w14:textId="79CAFC40" w:rsidR="005E4128" w:rsidRPr="005060E0" w:rsidRDefault="006428E7" w:rsidP="00E20C55">
            <w:pPr>
              <w:spacing w:after="0" w:line="240" w:lineRule="auto"/>
              <w:ind w:right="179" w:firstLine="312"/>
              <w:rPr>
                <w:b/>
                <w:sz w:val="16"/>
                <w:szCs w:val="16"/>
              </w:rPr>
            </w:pPr>
            <w:r w:rsidRPr="005060E0">
              <w:rPr>
                <w:b/>
                <w:sz w:val="16"/>
                <w:szCs w:val="16"/>
              </w:rPr>
              <w:t>$133 m</w:t>
            </w:r>
            <w:r w:rsidRPr="005060E0">
              <w:rPr>
                <w:b/>
                <w:sz w:val="16"/>
                <w:szCs w:val="16"/>
              </w:rPr>
              <w:tab/>
              <w:t>(</w:t>
            </w:r>
            <w:r w:rsidR="005E4128" w:rsidRPr="005060E0">
              <w:rPr>
                <w:b/>
                <w:sz w:val="16"/>
                <w:szCs w:val="16"/>
              </w:rPr>
              <w:t>$1,</w:t>
            </w:r>
            <w:r w:rsidRPr="005060E0">
              <w:rPr>
                <w:b/>
                <w:sz w:val="16"/>
                <w:szCs w:val="16"/>
              </w:rPr>
              <w:t>639</w:t>
            </w:r>
            <w:r w:rsidR="00F91743" w:rsidRPr="005060E0">
              <w:rPr>
                <w:b/>
                <w:sz w:val="16"/>
                <w:szCs w:val="16"/>
              </w:rPr>
              <w:t xml:space="preserve"> m</w:t>
            </w:r>
            <w:r w:rsidRPr="005060E0">
              <w:rPr>
                <w:b/>
                <w:sz w:val="16"/>
                <w:szCs w:val="16"/>
              </w:rPr>
              <w:t>)</w:t>
            </w:r>
          </w:p>
        </w:tc>
        <w:tc>
          <w:tcPr>
            <w:tcW w:w="1250" w:type="pct"/>
            <w:tcBorders>
              <w:top w:val="dotted" w:sz="4" w:space="0" w:color="606372" w:themeColor="text2"/>
              <w:left w:val="single" w:sz="4" w:space="0" w:color="606072"/>
              <w:bottom w:val="single" w:sz="4" w:space="0" w:color="606072"/>
              <w:right w:val="single" w:sz="4" w:space="0" w:color="606072"/>
            </w:tcBorders>
            <w:vAlign w:val="center"/>
          </w:tcPr>
          <w:p w14:paraId="715DE673" w14:textId="07CE0117" w:rsidR="005E4128" w:rsidRPr="005060E0" w:rsidRDefault="005E4128" w:rsidP="00E20C55">
            <w:pPr>
              <w:spacing w:after="0" w:line="240" w:lineRule="auto"/>
              <w:ind w:right="737" w:firstLine="603"/>
              <w:jc w:val="center"/>
              <w:rPr>
                <w:b/>
                <w:sz w:val="16"/>
                <w:szCs w:val="16"/>
              </w:rPr>
            </w:pPr>
            <w:r w:rsidRPr="005060E0">
              <w:rPr>
                <w:b/>
                <w:sz w:val="16"/>
                <w:szCs w:val="16"/>
              </w:rPr>
              <w:t>$20</w:t>
            </w:r>
            <w:r w:rsidR="00F91743" w:rsidRPr="005060E0">
              <w:rPr>
                <w:sz w:val="16"/>
                <w:szCs w:val="16"/>
              </w:rPr>
              <w:t xml:space="preserve"> </w:t>
            </w:r>
            <w:r w:rsidR="00F91743" w:rsidRPr="005060E0">
              <w:rPr>
                <w:b/>
                <w:sz w:val="16"/>
                <w:szCs w:val="16"/>
              </w:rPr>
              <w:t>m</w:t>
            </w:r>
          </w:p>
        </w:tc>
      </w:tr>
      <w:tr w:rsidR="005E4128" w:rsidRPr="005060E0" w14:paraId="70376B5B" w14:textId="77777777" w:rsidTr="006A575B">
        <w:trPr>
          <w:trHeight w:hRule="exact" w:val="340"/>
        </w:trPr>
        <w:tc>
          <w:tcPr>
            <w:tcW w:w="5000" w:type="pct"/>
            <w:gridSpan w:val="4"/>
            <w:tcBorders>
              <w:top w:val="single" w:sz="4" w:space="0" w:color="606072"/>
              <w:left w:val="single" w:sz="4" w:space="0" w:color="606072"/>
              <w:bottom w:val="single" w:sz="4" w:space="0" w:color="606072"/>
              <w:right w:val="single" w:sz="4" w:space="0" w:color="606072"/>
            </w:tcBorders>
            <w:shd w:val="clear" w:color="auto" w:fill="DEDFE3" w:themeFill="text2" w:themeFillTint="33"/>
            <w:vAlign w:val="center"/>
          </w:tcPr>
          <w:p w14:paraId="5E07E70B" w14:textId="7807CB38" w:rsidR="005E4128" w:rsidRPr="005060E0" w:rsidRDefault="005E4128" w:rsidP="005E4128">
            <w:pPr>
              <w:spacing w:after="0" w:line="240" w:lineRule="auto"/>
              <w:rPr>
                <w:b/>
                <w:i/>
                <w:sz w:val="16"/>
                <w:szCs w:val="16"/>
              </w:rPr>
            </w:pPr>
            <w:r w:rsidRPr="005060E0">
              <w:rPr>
                <w:b/>
                <w:i/>
                <w:sz w:val="16"/>
                <w:szCs w:val="16"/>
              </w:rPr>
              <w:t>Benefit</w:t>
            </w:r>
            <w:r w:rsidR="003150A1" w:rsidRPr="005060E0">
              <w:rPr>
                <w:b/>
                <w:i/>
                <w:sz w:val="16"/>
                <w:szCs w:val="16"/>
              </w:rPr>
              <w:t>:</w:t>
            </w:r>
            <w:r w:rsidRPr="005060E0">
              <w:rPr>
                <w:b/>
                <w:i/>
                <w:sz w:val="16"/>
                <w:szCs w:val="16"/>
              </w:rPr>
              <w:t>cost ratio (BCR)</w:t>
            </w:r>
          </w:p>
        </w:tc>
      </w:tr>
      <w:tr w:rsidR="005E4128" w:rsidRPr="005060E0" w14:paraId="64AB29AB" w14:textId="77777777" w:rsidTr="007C5231">
        <w:trPr>
          <w:trHeight w:hRule="exact" w:val="340"/>
        </w:trPr>
        <w:tc>
          <w:tcPr>
            <w:tcW w:w="1250" w:type="pct"/>
            <w:tcBorders>
              <w:top w:val="single" w:sz="4" w:space="0" w:color="606072"/>
              <w:left w:val="single" w:sz="4" w:space="0" w:color="606072"/>
              <w:bottom w:val="dotted" w:sz="4" w:space="0" w:color="606372" w:themeColor="text2"/>
              <w:right w:val="single" w:sz="4" w:space="0" w:color="606072"/>
            </w:tcBorders>
            <w:vAlign w:val="center"/>
          </w:tcPr>
          <w:p w14:paraId="191E8483" w14:textId="77777777" w:rsidR="005E4128" w:rsidRPr="005060E0" w:rsidRDefault="005E4128" w:rsidP="005E4128">
            <w:pPr>
              <w:spacing w:after="0" w:line="240" w:lineRule="auto"/>
              <w:rPr>
                <w:i/>
                <w:sz w:val="16"/>
                <w:szCs w:val="16"/>
              </w:rPr>
            </w:pPr>
            <w:r w:rsidRPr="005060E0">
              <w:rPr>
                <w:i/>
                <w:sz w:val="16"/>
                <w:szCs w:val="16"/>
              </w:rPr>
              <w:t>NSW</w:t>
            </w:r>
          </w:p>
        </w:tc>
        <w:tc>
          <w:tcPr>
            <w:tcW w:w="1250" w:type="pct"/>
            <w:tcBorders>
              <w:top w:val="single" w:sz="4" w:space="0" w:color="606072"/>
              <w:left w:val="single" w:sz="4" w:space="0" w:color="606072"/>
              <w:bottom w:val="dotted" w:sz="4" w:space="0" w:color="606372" w:themeColor="text2"/>
              <w:right w:val="single" w:sz="4" w:space="0" w:color="606072"/>
            </w:tcBorders>
            <w:vAlign w:val="center"/>
          </w:tcPr>
          <w:p w14:paraId="42CE5235" w14:textId="77777777" w:rsidR="005E4128" w:rsidRPr="005060E0" w:rsidRDefault="005E4128" w:rsidP="00E20C55">
            <w:pPr>
              <w:spacing w:after="0" w:line="240" w:lineRule="auto"/>
              <w:ind w:right="599" w:firstLine="603"/>
              <w:jc w:val="center"/>
              <w:rPr>
                <w:i/>
                <w:sz w:val="16"/>
                <w:szCs w:val="16"/>
              </w:rPr>
            </w:pPr>
            <w:r w:rsidRPr="005060E0">
              <w:rPr>
                <w:i/>
                <w:sz w:val="16"/>
                <w:szCs w:val="16"/>
              </w:rPr>
              <w:t>0.0</w:t>
            </w:r>
          </w:p>
        </w:tc>
        <w:tc>
          <w:tcPr>
            <w:tcW w:w="1250" w:type="pct"/>
            <w:tcBorders>
              <w:top w:val="single" w:sz="4" w:space="0" w:color="606072"/>
              <w:left w:val="single" w:sz="4" w:space="0" w:color="606072"/>
              <w:bottom w:val="dotted" w:sz="4" w:space="0" w:color="606372" w:themeColor="text2"/>
              <w:right w:val="single" w:sz="4" w:space="0" w:color="606072"/>
            </w:tcBorders>
            <w:vAlign w:val="center"/>
          </w:tcPr>
          <w:p w14:paraId="00349313" w14:textId="7B3C1237" w:rsidR="005E4128" w:rsidRPr="005060E0" w:rsidRDefault="005E4128" w:rsidP="00E20C55">
            <w:pPr>
              <w:spacing w:after="0" w:line="240" w:lineRule="auto"/>
              <w:ind w:right="604" w:firstLine="603"/>
              <w:jc w:val="center"/>
              <w:rPr>
                <w:i/>
                <w:sz w:val="16"/>
                <w:szCs w:val="16"/>
              </w:rPr>
            </w:pPr>
            <w:r w:rsidRPr="005060E0">
              <w:rPr>
                <w:i/>
                <w:sz w:val="16"/>
                <w:szCs w:val="16"/>
              </w:rPr>
              <w:t>0.</w:t>
            </w:r>
            <w:r w:rsidR="006428E7" w:rsidRPr="005060E0">
              <w:rPr>
                <w:i/>
                <w:sz w:val="16"/>
                <w:szCs w:val="16"/>
              </w:rPr>
              <w:t>1</w:t>
            </w:r>
          </w:p>
        </w:tc>
        <w:tc>
          <w:tcPr>
            <w:tcW w:w="1250" w:type="pct"/>
            <w:tcBorders>
              <w:top w:val="single" w:sz="4" w:space="0" w:color="606072"/>
              <w:left w:val="single" w:sz="4" w:space="0" w:color="606072"/>
              <w:bottom w:val="dotted" w:sz="4" w:space="0" w:color="606372" w:themeColor="text2"/>
              <w:right w:val="single" w:sz="4" w:space="0" w:color="606072"/>
            </w:tcBorders>
            <w:vAlign w:val="center"/>
          </w:tcPr>
          <w:p w14:paraId="7BFAEEE1" w14:textId="77777777" w:rsidR="005E4128" w:rsidRPr="005060E0" w:rsidRDefault="005E4128" w:rsidP="00E20C55">
            <w:pPr>
              <w:spacing w:after="0" w:line="240" w:lineRule="auto"/>
              <w:ind w:right="737" w:firstLine="603"/>
              <w:jc w:val="center"/>
              <w:rPr>
                <w:i/>
                <w:sz w:val="16"/>
                <w:szCs w:val="16"/>
              </w:rPr>
            </w:pPr>
            <w:r w:rsidRPr="005060E0">
              <w:rPr>
                <w:i/>
                <w:sz w:val="16"/>
                <w:szCs w:val="16"/>
              </w:rPr>
              <w:t>0.1</w:t>
            </w:r>
          </w:p>
        </w:tc>
      </w:tr>
      <w:tr w:rsidR="005E4128" w:rsidRPr="005060E0" w14:paraId="0A3D1A4D" w14:textId="77777777" w:rsidTr="007C5231">
        <w:trPr>
          <w:trHeight w:hRule="exact" w:val="340"/>
        </w:trPr>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156A7DFC" w14:textId="77777777" w:rsidR="005E4128" w:rsidRPr="005060E0" w:rsidRDefault="005E4128" w:rsidP="005E4128">
            <w:pPr>
              <w:spacing w:after="0" w:line="240" w:lineRule="auto"/>
              <w:rPr>
                <w:i/>
                <w:sz w:val="16"/>
                <w:szCs w:val="16"/>
              </w:rPr>
            </w:pPr>
            <w:r w:rsidRPr="005060E0">
              <w:rPr>
                <w:i/>
                <w:sz w:val="16"/>
                <w:szCs w:val="16"/>
              </w:rPr>
              <w:t>NT</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316FDF80" w14:textId="77777777" w:rsidR="005E4128" w:rsidRPr="005060E0" w:rsidRDefault="005E4128" w:rsidP="00E20C55">
            <w:pPr>
              <w:spacing w:after="0" w:line="240" w:lineRule="auto"/>
              <w:ind w:right="599" w:firstLine="603"/>
              <w:jc w:val="center"/>
              <w:rPr>
                <w:i/>
                <w:sz w:val="16"/>
                <w:szCs w:val="16"/>
              </w:rPr>
            </w:pPr>
            <w:r w:rsidRPr="005060E0">
              <w:rPr>
                <w:i/>
                <w:sz w:val="16"/>
                <w:szCs w:val="16"/>
              </w:rPr>
              <w:t>0.0</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2BDDF8C2" w14:textId="77777777" w:rsidR="005E4128" w:rsidRPr="005060E0" w:rsidRDefault="005E4128" w:rsidP="00E20C55">
            <w:pPr>
              <w:spacing w:after="0" w:line="240" w:lineRule="auto"/>
              <w:ind w:right="604" w:firstLine="603"/>
              <w:jc w:val="center"/>
              <w:rPr>
                <w:i/>
                <w:sz w:val="16"/>
                <w:szCs w:val="16"/>
              </w:rPr>
            </w:pPr>
            <w:r w:rsidRPr="005060E0">
              <w:rPr>
                <w:i/>
                <w:sz w:val="16"/>
                <w:szCs w:val="16"/>
              </w:rPr>
              <w:t>0.0</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7D9CFA59" w14:textId="77777777" w:rsidR="005E4128" w:rsidRPr="005060E0" w:rsidRDefault="005E4128" w:rsidP="00E20C55">
            <w:pPr>
              <w:spacing w:after="0" w:line="240" w:lineRule="auto"/>
              <w:ind w:right="737" w:firstLine="603"/>
              <w:jc w:val="center"/>
              <w:rPr>
                <w:i/>
                <w:sz w:val="16"/>
                <w:szCs w:val="16"/>
              </w:rPr>
            </w:pPr>
            <w:r w:rsidRPr="005060E0">
              <w:rPr>
                <w:i/>
                <w:sz w:val="16"/>
                <w:szCs w:val="16"/>
              </w:rPr>
              <w:t>0.0</w:t>
            </w:r>
          </w:p>
        </w:tc>
      </w:tr>
      <w:tr w:rsidR="005E4128" w:rsidRPr="005060E0" w14:paraId="629846FB" w14:textId="77777777" w:rsidTr="007C5231">
        <w:trPr>
          <w:trHeight w:hRule="exact" w:val="340"/>
        </w:trPr>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6526BA16" w14:textId="77777777" w:rsidR="005E4128" w:rsidRPr="005060E0" w:rsidRDefault="005E4128" w:rsidP="005E4128">
            <w:pPr>
              <w:spacing w:after="0" w:line="240" w:lineRule="auto"/>
              <w:rPr>
                <w:i/>
                <w:sz w:val="16"/>
                <w:szCs w:val="16"/>
              </w:rPr>
            </w:pPr>
            <w:r w:rsidRPr="005060E0">
              <w:rPr>
                <w:i/>
                <w:sz w:val="16"/>
                <w:szCs w:val="16"/>
              </w:rPr>
              <w:t>QLD</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19BDCE16" w14:textId="77777777" w:rsidR="005E4128" w:rsidRPr="005060E0" w:rsidRDefault="005E4128" w:rsidP="00E20C55">
            <w:pPr>
              <w:spacing w:after="0" w:line="240" w:lineRule="auto"/>
              <w:ind w:right="599" w:firstLine="603"/>
              <w:jc w:val="center"/>
              <w:rPr>
                <w:i/>
                <w:sz w:val="16"/>
                <w:szCs w:val="16"/>
              </w:rPr>
            </w:pPr>
            <w:r w:rsidRPr="005060E0">
              <w:rPr>
                <w:i/>
                <w:sz w:val="16"/>
                <w:szCs w:val="16"/>
              </w:rPr>
              <w:t>1.9</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2197F1A5" w14:textId="77777777" w:rsidR="005E4128" w:rsidRPr="005060E0" w:rsidRDefault="005E4128" w:rsidP="00E20C55">
            <w:pPr>
              <w:spacing w:after="0" w:line="240" w:lineRule="auto"/>
              <w:ind w:right="604" w:firstLine="603"/>
              <w:jc w:val="center"/>
              <w:rPr>
                <w:i/>
                <w:sz w:val="16"/>
                <w:szCs w:val="16"/>
              </w:rPr>
            </w:pPr>
            <w:r w:rsidRPr="005060E0">
              <w:rPr>
                <w:i/>
                <w:sz w:val="16"/>
                <w:szCs w:val="16"/>
              </w:rPr>
              <w:t>0.0</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5D1DFDA3" w14:textId="77777777" w:rsidR="005E4128" w:rsidRPr="005060E0" w:rsidRDefault="005E4128" w:rsidP="00E20C55">
            <w:pPr>
              <w:spacing w:after="0" w:line="240" w:lineRule="auto"/>
              <w:ind w:right="737" w:firstLine="603"/>
              <w:jc w:val="center"/>
              <w:rPr>
                <w:i/>
                <w:sz w:val="16"/>
                <w:szCs w:val="16"/>
              </w:rPr>
            </w:pPr>
            <w:r w:rsidRPr="005060E0">
              <w:rPr>
                <w:i/>
                <w:sz w:val="16"/>
                <w:szCs w:val="16"/>
              </w:rPr>
              <w:t>0.0</w:t>
            </w:r>
          </w:p>
        </w:tc>
      </w:tr>
      <w:tr w:rsidR="005E4128" w:rsidRPr="005060E0" w14:paraId="294AB357" w14:textId="77777777" w:rsidTr="007C5231">
        <w:trPr>
          <w:trHeight w:hRule="exact" w:val="340"/>
        </w:trPr>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06E7F330" w14:textId="77777777" w:rsidR="005E4128" w:rsidRPr="005060E0" w:rsidRDefault="005E4128" w:rsidP="005E4128">
            <w:pPr>
              <w:spacing w:after="0" w:line="240" w:lineRule="auto"/>
              <w:rPr>
                <w:i/>
                <w:sz w:val="16"/>
                <w:szCs w:val="16"/>
              </w:rPr>
            </w:pPr>
            <w:r w:rsidRPr="005060E0">
              <w:rPr>
                <w:i/>
                <w:sz w:val="16"/>
                <w:szCs w:val="16"/>
              </w:rPr>
              <w:t>SA</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0B69306A" w14:textId="77777777" w:rsidR="005E4128" w:rsidRPr="005060E0" w:rsidRDefault="005E4128" w:rsidP="00E20C55">
            <w:pPr>
              <w:spacing w:after="0" w:line="240" w:lineRule="auto"/>
              <w:ind w:right="599" w:firstLine="603"/>
              <w:jc w:val="center"/>
              <w:rPr>
                <w:i/>
                <w:sz w:val="16"/>
                <w:szCs w:val="16"/>
              </w:rPr>
            </w:pPr>
            <w:r w:rsidRPr="005060E0">
              <w:rPr>
                <w:i/>
                <w:sz w:val="16"/>
                <w:szCs w:val="16"/>
              </w:rPr>
              <w:t>n/a</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5D72F9EB" w14:textId="77777777" w:rsidR="005E4128" w:rsidRPr="005060E0" w:rsidRDefault="005E4128" w:rsidP="00E20C55">
            <w:pPr>
              <w:spacing w:after="0" w:line="240" w:lineRule="auto"/>
              <w:ind w:right="604" w:firstLine="603"/>
              <w:jc w:val="center"/>
              <w:rPr>
                <w:i/>
                <w:sz w:val="16"/>
                <w:szCs w:val="16"/>
              </w:rPr>
            </w:pPr>
            <w:r w:rsidRPr="005060E0">
              <w:rPr>
                <w:i/>
                <w:sz w:val="16"/>
                <w:szCs w:val="16"/>
              </w:rPr>
              <w:t>0.0</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1EEA9B0B" w14:textId="77777777" w:rsidR="005E4128" w:rsidRPr="005060E0" w:rsidRDefault="005E4128" w:rsidP="00E20C55">
            <w:pPr>
              <w:spacing w:after="0" w:line="240" w:lineRule="auto"/>
              <w:ind w:right="737" w:firstLine="603"/>
              <w:jc w:val="center"/>
              <w:rPr>
                <w:i/>
                <w:sz w:val="16"/>
                <w:szCs w:val="16"/>
              </w:rPr>
            </w:pPr>
            <w:r w:rsidRPr="005060E0">
              <w:rPr>
                <w:i/>
                <w:sz w:val="16"/>
                <w:szCs w:val="16"/>
              </w:rPr>
              <w:t>0.0</w:t>
            </w:r>
          </w:p>
        </w:tc>
      </w:tr>
      <w:tr w:rsidR="005E4128" w:rsidRPr="005060E0" w14:paraId="285CAE76" w14:textId="77777777" w:rsidTr="007C5231">
        <w:trPr>
          <w:trHeight w:hRule="exact" w:val="340"/>
        </w:trPr>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31CEC8E1" w14:textId="77777777" w:rsidR="005E4128" w:rsidRPr="005060E0" w:rsidRDefault="005E4128" w:rsidP="005E4128">
            <w:pPr>
              <w:spacing w:after="0" w:line="240" w:lineRule="auto"/>
              <w:rPr>
                <w:i/>
                <w:sz w:val="16"/>
                <w:szCs w:val="16"/>
              </w:rPr>
            </w:pPr>
            <w:r w:rsidRPr="005060E0">
              <w:rPr>
                <w:i/>
                <w:sz w:val="16"/>
                <w:szCs w:val="16"/>
              </w:rPr>
              <w:t>VIC</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64FD2306" w14:textId="77777777" w:rsidR="005E4128" w:rsidRPr="005060E0" w:rsidRDefault="005E4128" w:rsidP="00E20C55">
            <w:pPr>
              <w:spacing w:after="0" w:line="240" w:lineRule="auto"/>
              <w:ind w:right="599" w:firstLine="603"/>
              <w:jc w:val="center"/>
              <w:rPr>
                <w:i/>
                <w:sz w:val="16"/>
                <w:szCs w:val="16"/>
              </w:rPr>
            </w:pPr>
            <w:r w:rsidRPr="005060E0">
              <w:rPr>
                <w:i/>
                <w:sz w:val="16"/>
                <w:szCs w:val="16"/>
              </w:rPr>
              <w:t>0.0</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5E357B5D" w14:textId="4A93C8A2" w:rsidR="005E4128" w:rsidRPr="005060E0" w:rsidRDefault="005E4128" w:rsidP="00E20C55">
            <w:pPr>
              <w:spacing w:after="0" w:line="240" w:lineRule="auto"/>
              <w:ind w:right="604" w:firstLine="603"/>
              <w:jc w:val="center"/>
              <w:rPr>
                <w:i/>
                <w:sz w:val="16"/>
                <w:szCs w:val="16"/>
              </w:rPr>
            </w:pPr>
            <w:r w:rsidRPr="005060E0">
              <w:rPr>
                <w:i/>
                <w:sz w:val="16"/>
                <w:szCs w:val="16"/>
              </w:rPr>
              <w:t>0.</w:t>
            </w:r>
            <w:r w:rsidR="006428E7" w:rsidRPr="005060E0">
              <w:rPr>
                <w:i/>
                <w:sz w:val="16"/>
                <w:szCs w:val="16"/>
              </w:rPr>
              <w:t>1</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44CA84FD" w14:textId="77777777" w:rsidR="005E4128" w:rsidRPr="005060E0" w:rsidRDefault="005E4128" w:rsidP="00E20C55">
            <w:pPr>
              <w:spacing w:after="0" w:line="240" w:lineRule="auto"/>
              <w:ind w:right="737" w:firstLine="603"/>
              <w:jc w:val="center"/>
              <w:rPr>
                <w:i/>
                <w:sz w:val="16"/>
                <w:szCs w:val="16"/>
              </w:rPr>
            </w:pPr>
            <w:r w:rsidRPr="005060E0">
              <w:rPr>
                <w:i/>
                <w:sz w:val="16"/>
                <w:szCs w:val="16"/>
              </w:rPr>
              <w:t>0.1</w:t>
            </w:r>
          </w:p>
        </w:tc>
      </w:tr>
      <w:tr w:rsidR="005E4128" w:rsidRPr="005060E0" w14:paraId="651AA95B" w14:textId="77777777" w:rsidTr="007C5231">
        <w:trPr>
          <w:trHeight w:hRule="exact" w:val="340"/>
        </w:trPr>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069DA276" w14:textId="77777777" w:rsidR="005E4128" w:rsidRPr="005060E0" w:rsidRDefault="005E4128" w:rsidP="005E4128">
            <w:pPr>
              <w:spacing w:after="0" w:line="240" w:lineRule="auto"/>
              <w:rPr>
                <w:i/>
                <w:sz w:val="16"/>
                <w:szCs w:val="16"/>
              </w:rPr>
            </w:pPr>
            <w:r w:rsidRPr="005060E0">
              <w:rPr>
                <w:i/>
                <w:sz w:val="16"/>
                <w:szCs w:val="16"/>
              </w:rPr>
              <w:t>WA</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686E482E" w14:textId="77777777" w:rsidR="005E4128" w:rsidRPr="005060E0" w:rsidRDefault="005E4128" w:rsidP="00E20C55">
            <w:pPr>
              <w:spacing w:after="0" w:line="240" w:lineRule="auto"/>
              <w:ind w:right="599" w:firstLine="603"/>
              <w:jc w:val="center"/>
              <w:rPr>
                <w:i/>
                <w:sz w:val="16"/>
                <w:szCs w:val="16"/>
              </w:rPr>
            </w:pPr>
            <w:r w:rsidRPr="005060E0">
              <w:rPr>
                <w:i/>
                <w:sz w:val="16"/>
                <w:szCs w:val="16"/>
              </w:rPr>
              <w:t>2.3</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69D3F934" w14:textId="77777777" w:rsidR="005E4128" w:rsidRPr="005060E0" w:rsidRDefault="005E4128" w:rsidP="00E20C55">
            <w:pPr>
              <w:spacing w:after="0" w:line="240" w:lineRule="auto"/>
              <w:ind w:right="604" w:firstLine="603"/>
              <w:jc w:val="center"/>
              <w:rPr>
                <w:i/>
                <w:sz w:val="16"/>
                <w:szCs w:val="16"/>
              </w:rPr>
            </w:pPr>
            <w:r w:rsidRPr="005060E0">
              <w:rPr>
                <w:i/>
                <w:sz w:val="16"/>
                <w:szCs w:val="16"/>
              </w:rPr>
              <w:t>0.0</w:t>
            </w:r>
          </w:p>
        </w:tc>
        <w:tc>
          <w:tcPr>
            <w:tcW w:w="1250" w:type="pct"/>
            <w:tcBorders>
              <w:top w:val="dotted" w:sz="4" w:space="0" w:color="606372" w:themeColor="text2"/>
              <w:left w:val="single" w:sz="4" w:space="0" w:color="606072"/>
              <w:bottom w:val="dotted" w:sz="4" w:space="0" w:color="606372" w:themeColor="text2"/>
              <w:right w:val="single" w:sz="4" w:space="0" w:color="606072"/>
            </w:tcBorders>
            <w:vAlign w:val="center"/>
          </w:tcPr>
          <w:p w14:paraId="040C40B2" w14:textId="77777777" w:rsidR="005E4128" w:rsidRPr="005060E0" w:rsidRDefault="005E4128" w:rsidP="00E20C55">
            <w:pPr>
              <w:spacing w:after="0" w:line="240" w:lineRule="auto"/>
              <w:ind w:right="737" w:firstLine="603"/>
              <w:jc w:val="center"/>
              <w:rPr>
                <w:i/>
                <w:sz w:val="16"/>
                <w:szCs w:val="16"/>
              </w:rPr>
            </w:pPr>
            <w:r w:rsidRPr="005060E0">
              <w:rPr>
                <w:i/>
                <w:sz w:val="16"/>
                <w:szCs w:val="16"/>
              </w:rPr>
              <w:t>0.0</w:t>
            </w:r>
          </w:p>
        </w:tc>
      </w:tr>
      <w:tr w:rsidR="005E4128" w:rsidRPr="005060E0" w14:paraId="4A36CBD3" w14:textId="77777777" w:rsidTr="0081720A">
        <w:trPr>
          <w:trHeight w:hRule="exact" w:val="340"/>
        </w:trPr>
        <w:tc>
          <w:tcPr>
            <w:tcW w:w="1250" w:type="pct"/>
            <w:tcBorders>
              <w:top w:val="dotted" w:sz="4" w:space="0" w:color="606372" w:themeColor="text2"/>
              <w:left w:val="single" w:sz="4" w:space="0" w:color="606072"/>
              <w:bottom w:val="single" w:sz="4" w:space="0" w:color="606372" w:themeColor="text2"/>
              <w:right w:val="single" w:sz="4" w:space="0" w:color="606072"/>
            </w:tcBorders>
            <w:vAlign w:val="center"/>
          </w:tcPr>
          <w:p w14:paraId="4ADFE6D8" w14:textId="0D2A9B30" w:rsidR="005E4128" w:rsidRPr="005060E0" w:rsidRDefault="00F91743" w:rsidP="005E4128">
            <w:pPr>
              <w:spacing w:after="0" w:line="240" w:lineRule="auto"/>
              <w:rPr>
                <w:b/>
                <w:i/>
                <w:sz w:val="16"/>
                <w:szCs w:val="16"/>
              </w:rPr>
            </w:pPr>
            <w:r w:rsidRPr="005060E0">
              <w:rPr>
                <w:b/>
                <w:i/>
                <w:sz w:val="16"/>
                <w:szCs w:val="16"/>
              </w:rPr>
              <w:t>National</w:t>
            </w:r>
          </w:p>
        </w:tc>
        <w:tc>
          <w:tcPr>
            <w:tcW w:w="1250" w:type="pct"/>
            <w:tcBorders>
              <w:top w:val="dotted" w:sz="4" w:space="0" w:color="606372" w:themeColor="text2"/>
              <w:left w:val="single" w:sz="4" w:space="0" w:color="606072"/>
              <w:bottom w:val="single" w:sz="4" w:space="0" w:color="606372" w:themeColor="text2"/>
              <w:right w:val="single" w:sz="4" w:space="0" w:color="606072"/>
            </w:tcBorders>
            <w:vAlign w:val="center"/>
          </w:tcPr>
          <w:p w14:paraId="0AA7BDB2" w14:textId="77777777" w:rsidR="005E4128" w:rsidRPr="005060E0" w:rsidRDefault="005E4128" w:rsidP="00E20C55">
            <w:pPr>
              <w:spacing w:after="0" w:line="240" w:lineRule="auto"/>
              <w:ind w:right="599" w:firstLine="603"/>
              <w:jc w:val="center"/>
              <w:rPr>
                <w:b/>
                <w:i/>
                <w:sz w:val="16"/>
                <w:szCs w:val="16"/>
              </w:rPr>
            </w:pPr>
            <w:r w:rsidRPr="005060E0">
              <w:rPr>
                <w:b/>
                <w:i/>
                <w:sz w:val="16"/>
                <w:szCs w:val="16"/>
              </w:rPr>
              <w:t>0.01</w:t>
            </w:r>
          </w:p>
        </w:tc>
        <w:tc>
          <w:tcPr>
            <w:tcW w:w="1250" w:type="pct"/>
            <w:tcBorders>
              <w:top w:val="dotted" w:sz="4" w:space="0" w:color="606372" w:themeColor="text2"/>
              <w:left w:val="single" w:sz="4" w:space="0" w:color="606072"/>
              <w:bottom w:val="single" w:sz="4" w:space="0" w:color="606372" w:themeColor="text2"/>
              <w:right w:val="single" w:sz="4" w:space="0" w:color="606072"/>
            </w:tcBorders>
            <w:vAlign w:val="center"/>
          </w:tcPr>
          <w:p w14:paraId="6025053E" w14:textId="2284C40C" w:rsidR="005E4128" w:rsidRPr="005060E0" w:rsidRDefault="005E4128" w:rsidP="00E20C55">
            <w:pPr>
              <w:spacing w:after="0" w:line="240" w:lineRule="auto"/>
              <w:ind w:right="604" w:firstLine="603"/>
              <w:jc w:val="center"/>
              <w:rPr>
                <w:b/>
                <w:i/>
                <w:sz w:val="16"/>
                <w:szCs w:val="16"/>
              </w:rPr>
            </w:pPr>
            <w:r w:rsidRPr="005060E0">
              <w:rPr>
                <w:b/>
                <w:i/>
                <w:sz w:val="16"/>
                <w:szCs w:val="16"/>
              </w:rPr>
              <w:t>0.0</w:t>
            </w:r>
            <w:r w:rsidR="006428E7" w:rsidRPr="005060E0">
              <w:rPr>
                <w:b/>
                <w:i/>
                <w:sz w:val="16"/>
                <w:szCs w:val="16"/>
              </w:rPr>
              <w:t>7</w:t>
            </w:r>
          </w:p>
        </w:tc>
        <w:tc>
          <w:tcPr>
            <w:tcW w:w="1250" w:type="pct"/>
            <w:tcBorders>
              <w:top w:val="dotted" w:sz="4" w:space="0" w:color="606372" w:themeColor="text2"/>
              <w:left w:val="single" w:sz="4" w:space="0" w:color="606072"/>
              <w:bottom w:val="single" w:sz="4" w:space="0" w:color="606372" w:themeColor="text2"/>
              <w:right w:val="single" w:sz="4" w:space="0" w:color="606072"/>
            </w:tcBorders>
            <w:vAlign w:val="center"/>
          </w:tcPr>
          <w:p w14:paraId="0747027B" w14:textId="77777777" w:rsidR="005E4128" w:rsidRPr="005060E0" w:rsidRDefault="005E4128" w:rsidP="00E20C55">
            <w:pPr>
              <w:spacing w:after="0" w:line="240" w:lineRule="auto"/>
              <w:ind w:right="737" w:firstLine="603"/>
              <w:jc w:val="center"/>
              <w:rPr>
                <w:b/>
                <w:i/>
                <w:sz w:val="16"/>
                <w:szCs w:val="16"/>
              </w:rPr>
            </w:pPr>
            <w:r w:rsidRPr="005060E0">
              <w:rPr>
                <w:b/>
                <w:i/>
                <w:sz w:val="16"/>
                <w:szCs w:val="16"/>
              </w:rPr>
              <w:t>0.05</w:t>
            </w:r>
          </w:p>
        </w:tc>
      </w:tr>
      <w:tr w:rsidR="0081720A" w:rsidRPr="005060E0" w14:paraId="23D1D580" w14:textId="77777777" w:rsidTr="0081720A">
        <w:trPr>
          <w:trHeight w:hRule="exact" w:val="340"/>
        </w:trPr>
        <w:tc>
          <w:tcPr>
            <w:tcW w:w="5000" w:type="pct"/>
            <w:gridSpan w:val="4"/>
            <w:tcBorders>
              <w:top w:val="single" w:sz="4" w:space="0" w:color="606372" w:themeColor="text2"/>
              <w:left w:val="single" w:sz="4" w:space="0" w:color="606072"/>
              <w:bottom w:val="single" w:sz="4" w:space="0" w:color="606372" w:themeColor="text2"/>
              <w:right w:val="single" w:sz="4" w:space="0" w:color="606072"/>
            </w:tcBorders>
            <w:shd w:val="clear" w:color="auto" w:fill="DEDFE3" w:themeFill="text2" w:themeFillTint="33"/>
            <w:vAlign w:val="center"/>
          </w:tcPr>
          <w:p w14:paraId="02E845FE" w14:textId="7793F0EB" w:rsidR="0081720A" w:rsidRPr="005060E0" w:rsidRDefault="0081720A" w:rsidP="0081720A">
            <w:pPr>
              <w:spacing w:after="0" w:line="240" w:lineRule="auto"/>
              <w:ind w:right="737"/>
              <w:rPr>
                <w:b/>
                <w:i/>
                <w:sz w:val="16"/>
                <w:szCs w:val="16"/>
              </w:rPr>
            </w:pPr>
            <w:r w:rsidRPr="005060E0">
              <w:rPr>
                <w:b/>
                <w:sz w:val="16"/>
                <w:szCs w:val="16"/>
              </w:rPr>
              <w:t>Net present value ($, 2016)</w:t>
            </w:r>
          </w:p>
        </w:tc>
      </w:tr>
      <w:tr w:rsidR="0081720A" w:rsidRPr="005060E0" w14:paraId="0987DC2C" w14:textId="77777777" w:rsidTr="0081720A">
        <w:trPr>
          <w:trHeight w:hRule="exact" w:val="340"/>
        </w:trPr>
        <w:tc>
          <w:tcPr>
            <w:tcW w:w="1250" w:type="pct"/>
            <w:tcBorders>
              <w:top w:val="single" w:sz="4" w:space="0" w:color="606372" w:themeColor="text2"/>
              <w:left w:val="single" w:sz="4" w:space="0" w:color="606072"/>
              <w:bottom w:val="single" w:sz="4" w:space="0" w:color="606072"/>
              <w:right w:val="single" w:sz="4" w:space="0" w:color="606072"/>
            </w:tcBorders>
            <w:vAlign w:val="center"/>
          </w:tcPr>
          <w:p w14:paraId="7C9BECF4" w14:textId="6B3F9A06" w:rsidR="0081720A" w:rsidRPr="005060E0" w:rsidRDefault="0081720A" w:rsidP="0081720A">
            <w:pPr>
              <w:spacing w:after="0" w:line="240" w:lineRule="auto"/>
              <w:rPr>
                <w:b/>
                <w:i/>
                <w:sz w:val="16"/>
                <w:szCs w:val="16"/>
              </w:rPr>
            </w:pPr>
            <w:r w:rsidRPr="005060E0">
              <w:rPr>
                <w:b/>
                <w:sz w:val="16"/>
                <w:szCs w:val="16"/>
              </w:rPr>
              <w:t>National total</w:t>
            </w:r>
          </w:p>
        </w:tc>
        <w:tc>
          <w:tcPr>
            <w:tcW w:w="1250" w:type="pct"/>
            <w:tcBorders>
              <w:top w:val="single" w:sz="4" w:space="0" w:color="606372" w:themeColor="text2"/>
              <w:left w:val="single" w:sz="4" w:space="0" w:color="606072"/>
              <w:bottom w:val="single" w:sz="4" w:space="0" w:color="606072"/>
              <w:right w:val="single" w:sz="4" w:space="0" w:color="606072"/>
            </w:tcBorders>
            <w:vAlign w:val="center"/>
          </w:tcPr>
          <w:p w14:paraId="04DE3B3D" w14:textId="6D870740" w:rsidR="0081720A" w:rsidRPr="005060E0" w:rsidRDefault="004F3E3D" w:rsidP="00E20C55">
            <w:pPr>
              <w:spacing w:after="0" w:line="240" w:lineRule="auto"/>
              <w:ind w:right="599" w:firstLine="603"/>
              <w:jc w:val="center"/>
              <w:rPr>
                <w:b/>
                <w:i/>
                <w:sz w:val="16"/>
                <w:szCs w:val="16"/>
              </w:rPr>
            </w:pPr>
            <w:r>
              <w:rPr>
                <w:rFonts w:cs="Arial"/>
                <w:b/>
                <w:sz w:val="16"/>
                <w:szCs w:val="16"/>
              </w:rPr>
              <w:t>–</w:t>
            </w:r>
            <w:r w:rsidR="0081720A" w:rsidRPr="005060E0">
              <w:rPr>
                <w:b/>
                <w:sz w:val="16"/>
                <w:szCs w:val="16"/>
              </w:rPr>
              <w:t>$24,213</w:t>
            </w:r>
            <w:r w:rsidR="0081720A" w:rsidRPr="005060E0">
              <w:rPr>
                <w:sz w:val="16"/>
                <w:szCs w:val="16"/>
              </w:rPr>
              <w:t xml:space="preserve"> </w:t>
            </w:r>
            <w:r w:rsidR="0081720A" w:rsidRPr="005060E0">
              <w:rPr>
                <w:b/>
                <w:sz w:val="16"/>
                <w:szCs w:val="16"/>
              </w:rPr>
              <w:t>m</w:t>
            </w:r>
          </w:p>
        </w:tc>
        <w:tc>
          <w:tcPr>
            <w:tcW w:w="1250" w:type="pct"/>
            <w:tcBorders>
              <w:top w:val="single" w:sz="4" w:space="0" w:color="606372" w:themeColor="text2"/>
              <w:left w:val="single" w:sz="4" w:space="0" w:color="606072"/>
              <w:bottom w:val="single" w:sz="4" w:space="0" w:color="606072"/>
              <w:right w:val="single" w:sz="4" w:space="0" w:color="606072"/>
            </w:tcBorders>
            <w:vAlign w:val="center"/>
          </w:tcPr>
          <w:p w14:paraId="5C934A88" w14:textId="702E0947" w:rsidR="0081720A" w:rsidRPr="005060E0" w:rsidRDefault="004F3E3D" w:rsidP="00E20C55">
            <w:pPr>
              <w:spacing w:after="0" w:line="240" w:lineRule="auto"/>
              <w:ind w:right="604" w:firstLine="603"/>
              <w:jc w:val="center"/>
              <w:rPr>
                <w:b/>
                <w:i/>
                <w:sz w:val="16"/>
                <w:szCs w:val="16"/>
              </w:rPr>
            </w:pPr>
            <w:r>
              <w:rPr>
                <w:rFonts w:cs="Arial"/>
                <w:b/>
                <w:sz w:val="16"/>
                <w:szCs w:val="16"/>
              </w:rPr>
              <w:t>–</w:t>
            </w:r>
            <w:r w:rsidR="0081720A" w:rsidRPr="005060E0">
              <w:rPr>
                <w:b/>
                <w:sz w:val="16"/>
                <w:szCs w:val="16"/>
              </w:rPr>
              <w:t>$2</w:t>
            </w:r>
            <w:r w:rsidR="006428E7" w:rsidRPr="005060E0">
              <w:rPr>
                <w:b/>
                <w:sz w:val="16"/>
                <w:szCs w:val="16"/>
              </w:rPr>
              <w:t>2</w:t>
            </w:r>
            <w:r w:rsidR="0081720A" w:rsidRPr="005060E0">
              <w:rPr>
                <w:b/>
                <w:sz w:val="16"/>
                <w:szCs w:val="16"/>
              </w:rPr>
              <w:t>,5</w:t>
            </w:r>
            <w:r w:rsidR="006428E7" w:rsidRPr="005060E0">
              <w:rPr>
                <w:b/>
                <w:sz w:val="16"/>
                <w:szCs w:val="16"/>
              </w:rPr>
              <w:t>97</w:t>
            </w:r>
            <w:r w:rsidR="0081720A" w:rsidRPr="005060E0">
              <w:rPr>
                <w:sz w:val="16"/>
                <w:szCs w:val="16"/>
              </w:rPr>
              <w:t xml:space="preserve"> </w:t>
            </w:r>
            <w:r w:rsidR="0081720A" w:rsidRPr="005060E0">
              <w:rPr>
                <w:b/>
                <w:sz w:val="16"/>
                <w:szCs w:val="16"/>
              </w:rPr>
              <w:t>m</w:t>
            </w:r>
          </w:p>
        </w:tc>
        <w:tc>
          <w:tcPr>
            <w:tcW w:w="1250" w:type="pct"/>
            <w:tcBorders>
              <w:top w:val="single" w:sz="4" w:space="0" w:color="606372" w:themeColor="text2"/>
              <w:left w:val="single" w:sz="4" w:space="0" w:color="606072"/>
              <w:bottom w:val="single" w:sz="4" w:space="0" w:color="606072"/>
              <w:right w:val="single" w:sz="4" w:space="0" w:color="606072"/>
            </w:tcBorders>
            <w:vAlign w:val="center"/>
          </w:tcPr>
          <w:p w14:paraId="199F262A" w14:textId="3126D045" w:rsidR="0081720A" w:rsidRPr="005060E0" w:rsidRDefault="004F3E3D" w:rsidP="00E20C55">
            <w:pPr>
              <w:spacing w:after="0" w:line="240" w:lineRule="auto"/>
              <w:ind w:right="737" w:firstLine="603"/>
              <w:jc w:val="center"/>
              <w:rPr>
                <w:b/>
                <w:i/>
                <w:sz w:val="16"/>
                <w:szCs w:val="16"/>
              </w:rPr>
            </w:pPr>
            <w:r>
              <w:rPr>
                <w:rFonts w:cs="Arial"/>
                <w:b/>
                <w:sz w:val="16"/>
                <w:szCs w:val="16"/>
              </w:rPr>
              <w:t>–</w:t>
            </w:r>
            <w:r w:rsidR="0081720A" w:rsidRPr="005060E0">
              <w:rPr>
                <w:b/>
                <w:sz w:val="16"/>
                <w:szCs w:val="16"/>
              </w:rPr>
              <w:t>$410</w:t>
            </w:r>
            <w:r w:rsidR="0081720A" w:rsidRPr="005060E0">
              <w:rPr>
                <w:sz w:val="16"/>
                <w:szCs w:val="16"/>
              </w:rPr>
              <w:t xml:space="preserve"> </w:t>
            </w:r>
            <w:r w:rsidR="0081720A" w:rsidRPr="005060E0">
              <w:rPr>
                <w:b/>
                <w:sz w:val="16"/>
                <w:szCs w:val="16"/>
              </w:rPr>
              <w:t>m</w:t>
            </w:r>
          </w:p>
        </w:tc>
      </w:tr>
    </w:tbl>
    <w:p w14:paraId="33363EC3" w14:textId="2727357A" w:rsidR="005E4128" w:rsidRPr="005060E0" w:rsidRDefault="006428E7" w:rsidP="00A220B1">
      <w:pPr>
        <w:pStyle w:val="BodyText"/>
        <w:numPr>
          <w:ilvl w:val="0"/>
          <w:numId w:val="88"/>
        </w:numPr>
        <w:spacing w:before="60" w:after="0" w:line="240" w:lineRule="auto"/>
        <w:ind w:left="567" w:hanging="425"/>
        <w:rPr>
          <w:sz w:val="16"/>
          <w:szCs w:val="16"/>
        </w:rPr>
      </w:pPr>
      <w:r w:rsidRPr="005060E0">
        <w:rPr>
          <w:sz w:val="16"/>
          <w:szCs w:val="16"/>
        </w:rPr>
        <w:t>B</w:t>
      </w:r>
      <w:r w:rsidR="00440C9D" w:rsidRPr="005060E0">
        <w:rPr>
          <w:sz w:val="16"/>
          <w:szCs w:val="16"/>
        </w:rPr>
        <w:t>enefits from reductions in PM</w:t>
      </w:r>
      <w:r w:rsidR="00440C9D" w:rsidRPr="004F3E3D">
        <w:rPr>
          <w:sz w:val="16"/>
          <w:szCs w:val="16"/>
          <w:vertAlign w:val="subscript"/>
        </w:rPr>
        <w:t>2.5</w:t>
      </w:r>
      <w:r w:rsidR="00440C9D" w:rsidRPr="005060E0">
        <w:rPr>
          <w:sz w:val="16"/>
          <w:szCs w:val="16"/>
        </w:rPr>
        <w:t xml:space="preserve"> emissions</w:t>
      </w:r>
      <w:r w:rsidRPr="005060E0">
        <w:rPr>
          <w:sz w:val="16"/>
          <w:szCs w:val="16"/>
        </w:rPr>
        <w:t xml:space="preserve"> are displayed in brackets</w:t>
      </w:r>
      <w:r w:rsidR="00440C9D" w:rsidRPr="005060E0">
        <w:rPr>
          <w:sz w:val="16"/>
          <w:szCs w:val="16"/>
        </w:rPr>
        <w:t>.</w:t>
      </w:r>
    </w:p>
    <w:p w14:paraId="6E604C89" w14:textId="09106140" w:rsidR="00310DD5" w:rsidRPr="005060E0" w:rsidRDefault="00310DD5" w:rsidP="00A220B1">
      <w:pPr>
        <w:pStyle w:val="BodyText"/>
        <w:numPr>
          <w:ilvl w:val="0"/>
          <w:numId w:val="88"/>
        </w:numPr>
        <w:spacing w:before="60" w:after="0" w:line="240" w:lineRule="auto"/>
        <w:ind w:left="567" w:hanging="425"/>
        <w:rPr>
          <w:sz w:val="16"/>
          <w:szCs w:val="16"/>
        </w:rPr>
      </w:pPr>
      <w:r w:rsidRPr="005060E0">
        <w:rPr>
          <w:sz w:val="16"/>
          <w:szCs w:val="16"/>
        </w:rPr>
        <w:t>The estimation of monetised health benefits over the period 2021</w:t>
      </w:r>
      <w:r w:rsidR="00DF4D3A" w:rsidRPr="005060E0">
        <w:rPr>
          <w:sz w:val="16"/>
          <w:szCs w:val="16"/>
        </w:rPr>
        <w:t>–20</w:t>
      </w:r>
      <w:r w:rsidRPr="005060E0">
        <w:rPr>
          <w:sz w:val="16"/>
          <w:szCs w:val="16"/>
        </w:rPr>
        <w:t>40 did not include any ‘uplift’ factor to account for the expected growth in willingness to pay to avoid health outcomes. This was because of uncertainty in the outlook for real income growth at the time of writing. This assumption resulted in a conservative estimate of future health benefits.</w:t>
      </w:r>
    </w:p>
    <w:p w14:paraId="7E55700A" w14:textId="77777777" w:rsidR="00440C9D" w:rsidRPr="005060E0" w:rsidRDefault="00440C9D" w:rsidP="005E4128">
      <w:pPr>
        <w:pStyle w:val="BodyText"/>
      </w:pPr>
    </w:p>
    <w:p w14:paraId="40AD9B14" w14:textId="2D0D7A78" w:rsidR="006A575B" w:rsidRPr="005060E0" w:rsidRDefault="006A575B" w:rsidP="006A575B"/>
    <w:p w14:paraId="74BFA63C" w14:textId="061FA9ED" w:rsidR="00A11B8F" w:rsidRPr="005060E0" w:rsidRDefault="00A11B8F">
      <w:pPr>
        <w:spacing w:after="160" w:line="259" w:lineRule="auto"/>
      </w:pPr>
      <w:r w:rsidRPr="005060E0">
        <w:br w:type="page"/>
      </w:r>
    </w:p>
    <w:p w14:paraId="76C30AB2" w14:textId="77777777" w:rsidR="00CD13FB" w:rsidRPr="005060E0" w:rsidRDefault="00A11B8F">
      <w:pPr>
        <w:spacing w:after="160" w:line="259" w:lineRule="auto"/>
      </w:pPr>
      <w:r w:rsidRPr="005060E0">
        <w:rPr>
          <w:noProof/>
          <w:color w:val="FF0000"/>
          <w:szCs w:val="20"/>
          <w:lang w:eastAsia="en-AU"/>
        </w:rPr>
        <mc:AlternateContent>
          <mc:Choice Requires="wps">
            <w:drawing>
              <wp:inline distT="0" distB="0" distL="0" distR="0" wp14:anchorId="41DBB7DF" wp14:editId="6B979E17">
                <wp:extent cx="6080125" cy="4500748"/>
                <wp:effectExtent l="0" t="0" r="15875" b="14605"/>
                <wp:docPr id="469" name="Text Box 469"/>
                <wp:cNvGraphicFramePr/>
                <a:graphic xmlns:a="http://schemas.openxmlformats.org/drawingml/2006/main">
                  <a:graphicData uri="http://schemas.microsoft.com/office/word/2010/wordprocessingShape">
                    <wps:wsp>
                      <wps:cNvSpPr txBox="1"/>
                      <wps:spPr>
                        <a:xfrm>
                          <a:off x="0" y="0"/>
                          <a:ext cx="6080125" cy="4500748"/>
                        </a:xfrm>
                        <a:prstGeom prst="rect">
                          <a:avLst/>
                        </a:prstGeom>
                        <a:ln>
                          <a:solidFill>
                            <a:schemeClr val="accent1">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386C7834" w14:textId="14615ACE" w:rsidR="00B246FA" w:rsidRDefault="00B246FA" w:rsidP="00A11B8F">
                            <w:pPr>
                              <w:rPr>
                                <w:b/>
                                <w:sz w:val="24"/>
                              </w:rPr>
                            </w:pPr>
                            <w:r w:rsidRPr="00C11F36">
                              <w:rPr>
                                <w:b/>
                                <w:sz w:val="24"/>
                              </w:rPr>
                              <w:t xml:space="preserve">Chapter </w:t>
                            </w:r>
                            <w:r>
                              <w:rPr>
                                <w:b/>
                                <w:sz w:val="24"/>
                              </w:rPr>
                              <w:t>9</w:t>
                            </w:r>
                            <w:r w:rsidRPr="001F66C0">
                              <w:rPr>
                                <w:b/>
                                <w:sz w:val="24"/>
                              </w:rPr>
                              <w:t xml:space="preserve"> – Key </w:t>
                            </w:r>
                            <w:r>
                              <w:rPr>
                                <w:b/>
                                <w:sz w:val="24"/>
                              </w:rPr>
                              <w:t>p</w:t>
                            </w:r>
                            <w:r w:rsidRPr="001F66C0">
                              <w:rPr>
                                <w:b/>
                                <w:sz w:val="24"/>
                              </w:rPr>
                              <w:t>oints</w:t>
                            </w:r>
                          </w:p>
                          <w:p w14:paraId="17F84990" w14:textId="15F3D44D" w:rsidR="00B246FA" w:rsidRDefault="00B246FA" w:rsidP="00B81325">
                            <w:pPr>
                              <w:pStyle w:val="ListBullet"/>
                              <w:numPr>
                                <w:ilvl w:val="0"/>
                                <w:numId w:val="72"/>
                              </w:numPr>
                            </w:pPr>
                            <w:r>
                              <w:t>The cost</w:t>
                            </w:r>
                            <w:r>
                              <w:rPr>
                                <w:rFonts w:cs="Arial"/>
                              </w:rPr>
                              <w:t>–</w:t>
                            </w:r>
                            <w:r>
                              <w:t>benefit analysis (CBA) estimates the:</w:t>
                            </w:r>
                          </w:p>
                          <w:p w14:paraId="2B2ACAFE" w14:textId="78A4C24C" w:rsidR="00B246FA" w:rsidRDefault="00B246FA" w:rsidP="00B81325">
                            <w:pPr>
                              <w:pStyle w:val="ListBullet"/>
                              <w:numPr>
                                <w:ilvl w:val="1"/>
                                <w:numId w:val="72"/>
                              </w:numPr>
                            </w:pPr>
                            <w:r>
                              <w:t>cost of the existing health burden for SO</w:t>
                            </w:r>
                            <w:r w:rsidRPr="001F66C0">
                              <w:rPr>
                                <w:vertAlign w:val="subscript"/>
                              </w:rPr>
                              <w:t>2</w:t>
                            </w:r>
                            <w:r>
                              <w:t>, NO</w:t>
                            </w:r>
                            <w:r w:rsidRPr="001F66C0">
                              <w:rPr>
                                <w:vertAlign w:val="subscript"/>
                              </w:rPr>
                              <w:t>2</w:t>
                            </w:r>
                            <w:r>
                              <w:t xml:space="preserve"> and O</w:t>
                            </w:r>
                            <w:r w:rsidRPr="001F66C0">
                              <w:rPr>
                                <w:vertAlign w:val="subscript"/>
                              </w:rPr>
                              <w:t>3</w:t>
                            </w:r>
                            <w:r>
                              <w:t xml:space="preserve"> in present value (PV) terms and 2016 dollars, based on the HRA data for 2010–2014</w:t>
                            </w:r>
                          </w:p>
                          <w:p w14:paraId="23BA3629" w14:textId="63BEE647" w:rsidR="00B246FA" w:rsidRDefault="00B246FA" w:rsidP="00B81325">
                            <w:pPr>
                              <w:pStyle w:val="ListBullet"/>
                              <w:numPr>
                                <w:ilvl w:val="1"/>
                                <w:numId w:val="72"/>
                              </w:numPr>
                            </w:pPr>
                            <w:r>
                              <w:t>costs and benefits of the Abatement Package scenario.</w:t>
                            </w:r>
                          </w:p>
                          <w:p w14:paraId="39BC8C1A" w14:textId="687796FE" w:rsidR="00B246FA" w:rsidRDefault="00B246FA" w:rsidP="00B81325">
                            <w:pPr>
                              <w:pStyle w:val="ListBullet"/>
                              <w:numPr>
                                <w:ilvl w:val="0"/>
                                <w:numId w:val="72"/>
                              </w:numPr>
                            </w:pPr>
                            <w:r>
                              <w:t>This Impact Statement has found there are health effects arising from exposure to SO</w:t>
                            </w:r>
                            <w:r w:rsidRPr="001F66C0">
                              <w:rPr>
                                <w:vertAlign w:val="subscript"/>
                              </w:rPr>
                              <w:t>2</w:t>
                            </w:r>
                            <w:r>
                              <w:t>, NO</w:t>
                            </w:r>
                            <w:r w:rsidRPr="001F66C0">
                              <w:rPr>
                                <w:vertAlign w:val="subscript"/>
                              </w:rPr>
                              <w:t>2</w:t>
                            </w:r>
                            <w:r>
                              <w:t xml:space="preserve"> and O</w:t>
                            </w:r>
                            <w:r w:rsidRPr="001F66C0">
                              <w:rPr>
                                <w:vertAlign w:val="subscript"/>
                              </w:rPr>
                              <w:t>3</w:t>
                            </w:r>
                            <w:r>
                              <w:t xml:space="preserve"> in Australian cities at the current levels. The associated combined health costs due to mortality and hospitalisation over the period 2010–2014 were in the order of $562 million to $2,405 million, based on the different concentration-response function groups from the sensitivity tests.</w:t>
                            </w:r>
                          </w:p>
                          <w:p w14:paraId="115786AF" w14:textId="77777777" w:rsidR="00B246FA" w:rsidRDefault="00B246FA" w:rsidP="00B81325">
                            <w:pPr>
                              <w:pStyle w:val="ListBullet"/>
                              <w:numPr>
                                <w:ilvl w:val="0"/>
                                <w:numId w:val="72"/>
                              </w:numPr>
                            </w:pPr>
                            <w:r>
                              <w:t>The Abatement Package was developed following a multi-criteria analysis of potential abatement options that gave the highest weighting to quantum of abatement, cost and (to a lesser degree) health benefits.</w:t>
                            </w:r>
                          </w:p>
                          <w:p w14:paraId="65D694C1" w14:textId="77777777" w:rsidR="00B246FA" w:rsidRDefault="00B246FA" w:rsidP="00B81325">
                            <w:pPr>
                              <w:pStyle w:val="ListBullet"/>
                              <w:numPr>
                                <w:ilvl w:val="0"/>
                                <w:numId w:val="72"/>
                              </w:numPr>
                            </w:pPr>
                            <w:r>
                              <w:t xml:space="preserve">The Abatement Package scenario modelled as part of this review has been shown to not be cost-effective in achieving reductions in pollutant levels. </w:t>
                            </w:r>
                          </w:p>
                          <w:p w14:paraId="74159E41" w14:textId="287636F8" w:rsidR="00B246FA" w:rsidRDefault="00B246FA" w:rsidP="00B81325">
                            <w:pPr>
                              <w:pStyle w:val="ListBullet"/>
                              <w:numPr>
                                <w:ilvl w:val="0"/>
                                <w:numId w:val="72"/>
                              </w:numPr>
                            </w:pPr>
                            <w:r>
                              <w:t xml:space="preserve">Consideration should be given to alternative abatements that may achieve a larger impact across whole populations, such as those associated with motor vehicles and transport options. </w:t>
                            </w:r>
                          </w:p>
                          <w:p w14:paraId="3568A9AA" w14:textId="57E5F302" w:rsidR="00B246FA" w:rsidRPr="00836815" w:rsidRDefault="00B246FA" w:rsidP="00B81325">
                            <w:pPr>
                              <w:pStyle w:val="ListBullet"/>
                              <w:numPr>
                                <w:ilvl w:val="0"/>
                                <w:numId w:val="72"/>
                              </w:numPr>
                            </w:pPr>
                            <w:r>
                              <w:t>In many cases additional abatements are not required to meet the proposed standards and the health benefit gained is substantial.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DBB7DF" id="Text Box 469" o:spid="_x0000_s1054" type="#_x0000_t202" style="width:478.75pt;height:35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wTpgIAALAFAAAOAAAAZHJzL2Uyb0RvYy54bWysVFtP2zAUfp+0/2D5fSStQoGKFHUgpkkM&#10;0GDi2XVsGs328Wy3TffrObaTUDGkSdPy4NjnfvnOOb/otCJb4XwLpqaTo5ISYTg0rXmu6Y/H60+n&#10;lPjATMMUGFHTvfD0YvHxw/nOzsUU1qAa4QgaMX6+szVdh2DnReH5Wmjmj8AKg0wJTrOAT/dcNI7t&#10;0LpWxbQsZ8UOXGMdcOE9Uq8yky6SfSkFD3dSehGIqinGFtLp0rmKZ7E4Z/Nnx+y65X0Y7B+i0Kw1&#10;6HQ0dcUCIxvX/mFKt9yBBxmOOOgCpGy5SDlgNpPyTTYPa2ZFygWL4+1YJv//zPLb7b0jbVPTanZG&#10;iWEam/QoukA+Q0ciDSu0s36Ogg8WRUOHDOz0QPdIjIl30un4x5QI8rHW+7G+0RxH4qw8LSfTY0o4&#10;8qrjsjypTqOd4lXdOh++CNAkXmrqsIGprmx740MWHUSiN2Xi6UG1zXWrVHpE6IhL5ciWYdMZ58KE&#10;STKiNvobNJk+K/HL7UcygiSTq4GMMSUQRkspwgMnyIuOi1iXnH+6hb0SOajvQmJNMeNp8jsaOgxp&#10;1meuDEpHNYkJjIo54DeKCvPINehlo5pIKB8Vy797HDWSVzBhVNatAfeegebn6DnLD9nnnGP6oVt1&#10;CUjT1NNIWkGzR8g4yGPnLb9usa03zId75nDOECW4O8IdHlLBrqbQ3yhZg/v9Hj3KI/yRS8kO57am&#10;/teGOUGJ+mpwMM4mVRUHPT2q45MpPtwhZ3XIMRt9CYiSCW4py9M1ygc1XKUD/YQrZhm9IosZjr5r&#10;GobrZcjbBFcUF8tlEsLRtizcmAfLo+lY5gjax+6JOdsjO+BQ3MIw4Wz+BuBZNmoaWG4CyDah/7Wq&#10;fQNwLSR09iss7p3Dd5J6XbSLFwAAAP//AwBQSwMEFAAGAAgAAAAhAEBlZ3fcAAAABQEAAA8AAABk&#10;cnMvZG93bnJldi54bWxMj09LAzEQxe+C3yGM4M1mFWq362ZL8Q8IYqG13qebdDeYTJYkbbff3tGL&#10;Xh4Mb3jv9+rF6J04mphsIAW3kwKEoTZoS52C7cfLTQkiZSSNLpBRcDYJFs3lRY2VDidam+Mmd4JD&#10;KFWooM95qKRMbW88pkkYDLG3D9Fj5jN2Ukc8cbh38q4o7qVHS9zQ42Aee9N+bQ6eS87t23K+/3Tv&#10;uF1H+2pXT+F5pdT11bh8AJHNmP+e4Qef0aFhpl04kE7CKeAh+VfZm09nUxA7BbOiLEE2tfxP33wD&#10;AAD//wMAUEsBAi0AFAAGAAgAAAAhALaDOJL+AAAA4QEAABMAAAAAAAAAAAAAAAAAAAAAAFtDb250&#10;ZW50X1R5cGVzXS54bWxQSwECLQAUAAYACAAAACEAOP0h/9YAAACUAQAACwAAAAAAAAAAAAAAAAAv&#10;AQAAX3JlbHMvLnJlbHNQSwECLQAUAAYACAAAACEAyEDsE6YCAACwBQAADgAAAAAAAAAAAAAAAAAu&#10;AgAAZHJzL2Uyb0RvYy54bWxQSwECLQAUAAYACAAAACEAQGVnd9wAAAAFAQAADwAAAAAAAAAAAAAA&#10;AAAABQAAZHJzL2Rvd25yZXYueG1sUEsFBgAAAAAEAAQA8wAAAAkGAAAAAA==&#10;" fillcolor="white [3201]" strokecolor="#40b4ff [1940]" strokeweight="2pt">
                <v:textbox>
                  <w:txbxContent>
                    <w:p w14:paraId="386C7834" w14:textId="14615ACE" w:rsidR="00B246FA" w:rsidRDefault="00B246FA" w:rsidP="00A11B8F">
                      <w:pPr>
                        <w:rPr>
                          <w:b/>
                          <w:sz w:val="24"/>
                        </w:rPr>
                      </w:pPr>
                      <w:r w:rsidRPr="00C11F36">
                        <w:rPr>
                          <w:b/>
                          <w:sz w:val="24"/>
                        </w:rPr>
                        <w:t xml:space="preserve">Chapter </w:t>
                      </w:r>
                      <w:r>
                        <w:rPr>
                          <w:b/>
                          <w:sz w:val="24"/>
                        </w:rPr>
                        <w:t>9</w:t>
                      </w:r>
                      <w:r w:rsidRPr="001F66C0">
                        <w:rPr>
                          <w:b/>
                          <w:sz w:val="24"/>
                        </w:rPr>
                        <w:t xml:space="preserve"> – Key </w:t>
                      </w:r>
                      <w:r>
                        <w:rPr>
                          <w:b/>
                          <w:sz w:val="24"/>
                        </w:rPr>
                        <w:t>p</w:t>
                      </w:r>
                      <w:r w:rsidRPr="001F66C0">
                        <w:rPr>
                          <w:b/>
                          <w:sz w:val="24"/>
                        </w:rPr>
                        <w:t>oints</w:t>
                      </w:r>
                    </w:p>
                    <w:p w14:paraId="17F84990" w14:textId="15F3D44D" w:rsidR="00B246FA" w:rsidRDefault="00B246FA" w:rsidP="00B81325">
                      <w:pPr>
                        <w:pStyle w:val="ListBullet"/>
                        <w:numPr>
                          <w:ilvl w:val="0"/>
                          <w:numId w:val="72"/>
                        </w:numPr>
                      </w:pPr>
                      <w:r>
                        <w:t>The cost</w:t>
                      </w:r>
                      <w:r>
                        <w:rPr>
                          <w:rFonts w:cs="Arial"/>
                        </w:rPr>
                        <w:t>–</w:t>
                      </w:r>
                      <w:r>
                        <w:t>benefit analysis (CBA) estimates the:</w:t>
                      </w:r>
                    </w:p>
                    <w:p w14:paraId="2B2ACAFE" w14:textId="78A4C24C" w:rsidR="00B246FA" w:rsidRDefault="00B246FA" w:rsidP="00B81325">
                      <w:pPr>
                        <w:pStyle w:val="ListBullet"/>
                        <w:numPr>
                          <w:ilvl w:val="1"/>
                          <w:numId w:val="72"/>
                        </w:numPr>
                      </w:pPr>
                      <w:r>
                        <w:t>cost of the existing health burden for SO</w:t>
                      </w:r>
                      <w:r w:rsidRPr="001F66C0">
                        <w:rPr>
                          <w:vertAlign w:val="subscript"/>
                        </w:rPr>
                        <w:t>2</w:t>
                      </w:r>
                      <w:r>
                        <w:t>, NO</w:t>
                      </w:r>
                      <w:r w:rsidRPr="001F66C0">
                        <w:rPr>
                          <w:vertAlign w:val="subscript"/>
                        </w:rPr>
                        <w:t>2</w:t>
                      </w:r>
                      <w:r>
                        <w:t xml:space="preserve"> and O</w:t>
                      </w:r>
                      <w:r w:rsidRPr="001F66C0">
                        <w:rPr>
                          <w:vertAlign w:val="subscript"/>
                        </w:rPr>
                        <w:t>3</w:t>
                      </w:r>
                      <w:r>
                        <w:t xml:space="preserve"> in present value (PV) terms and 2016 dollars, based on the HRA data for 2010–2014</w:t>
                      </w:r>
                    </w:p>
                    <w:p w14:paraId="23BA3629" w14:textId="63BEE647" w:rsidR="00B246FA" w:rsidRDefault="00B246FA" w:rsidP="00B81325">
                      <w:pPr>
                        <w:pStyle w:val="ListBullet"/>
                        <w:numPr>
                          <w:ilvl w:val="1"/>
                          <w:numId w:val="72"/>
                        </w:numPr>
                      </w:pPr>
                      <w:r>
                        <w:t>costs and benefits of the Abatement Package scenario.</w:t>
                      </w:r>
                    </w:p>
                    <w:p w14:paraId="39BC8C1A" w14:textId="687796FE" w:rsidR="00B246FA" w:rsidRDefault="00B246FA" w:rsidP="00B81325">
                      <w:pPr>
                        <w:pStyle w:val="ListBullet"/>
                        <w:numPr>
                          <w:ilvl w:val="0"/>
                          <w:numId w:val="72"/>
                        </w:numPr>
                      </w:pPr>
                      <w:r>
                        <w:t>This Impact Statement has found there are health effects arising from exposure to SO</w:t>
                      </w:r>
                      <w:r w:rsidRPr="001F66C0">
                        <w:rPr>
                          <w:vertAlign w:val="subscript"/>
                        </w:rPr>
                        <w:t>2</w:t>
                      </w:r>
                      <w:r>
                        <w:t>, NO</w:t>
                      </w:r>
                      <w:r w:rsidRPr="001F66C0">
                        <w:rPr>
                          <w:vertAlign w:val="subscript"/>
                        </w:rPr>
                        <w:t>2</w:t>
                      </w:r>
                      <w:r>
                        <w:t xml:space="preserve"> and O</w:t>
                      </w:r>
                      <w:r w:rsidRPr="001F66C0">
                        <w:rPr>
                          <w:vertAlign w:val="subscript"/>
                        </w:rPr>
                        <w:t>3</w:t>
                      </w:r>
                      <w:r>
                        <w:t xml:space="preserve"> in Australian cities at the current levels. The associated combined health costs due to mortality and hospitalisation over the period 2010–2014 were in the order of $562 million to $2,405 million, based on the different concentration-response function groups from the sensitivity tests.</w:t>
                      </w:r>
                    </w:p>
                    <w:p w14:paraId="115786AF" w14:textId="77777777" w:rsidR="00B246FA" w:rsidRDefault="00B246FA" w:rsidP="00B81325">
                      <w:pPr>
                        <w:pStyle w:val="ListBullet"/>
                        <w:numPr>
                          <w:ilvl w:val="0"/>
                          <w:numId w:val="72"/>
                        </w:numPr>
                      </w:pPr>
                      <w:r>
                        <w:t>The Abatement Package was developed following a multi-criteria analysis of potential abatement options that gave the highest weighting to quantum of abatement, cost and (to a lesser degree) health benefits.</w:t>
                      </w:r>
                    </w:p>
                    <w:p w14:paraId="65D694C1" w14:textId="77777777" w:rsidR="00B246FA" w:rsidRDefault="00B246FA" w:rsidP="00B81325">
                      <w:pPr>
                        <w:pStyle w:val="ListBullet"/>
                        <w:numPr>
                          <w:ilvl w:val="0"/>
                          <w:numId w:val="72"/>
                        </w:numPr>
                      </w:pPr>
                      <w:r>
                        <w:t xml:space="preserve">The Abatement Package scenario modelled as part of this review has been shown to not be cost-effective in achieving reductions in pollutant levels. </w:t>
                      </w:r>
                    </w:p>
                    <w:p w14:paraId="74159E41" w14:textId="287636F8" w:rsidR="00B246FA" w:rsidRDefault="00B246FA" w:rsidP="00B81325">
                      <w:pPr>
                        <w:pStyle w:val="ListBullet"/>
                        <w:numPr>
                          <w:ilvl w:val="0"/>
                          <w:numId w:val="72"/>
                        </w:numPr>
                      </w:pPr>
                      <w:r>
                        <w:t xml:space="preserve">Consideration should be given to alternative abatements that may achieve a larger impact across whole populations, such as those associated with motor vehicles and transport options. </w:t>
                      </w:r>
                    </w:p>
                    <w:p w14:paraId="3568A9AA" w14:textId="57E5F302" w:rsidR="00B246FA" w:rsidRPr="00836815" w:rsidRDefault="00B246FA" w:rsidP="00B81325">
                      <w:pPr>
                        <w:pStyle w:val="ListBullet"/>
                        <w:numPr>
                          <w:ilvl w:val="0"/>
                          <w:numId w:val="72"/>
                        </w:numPr>
                      </w:pPr>
                      <w:r>
                        <w:t>In many cases additional abatements are not required to meet the proposed standards and the health benefit gained is substantial.</w:t>
                      </w:r>
                    </w:p>
                  </w:txbxContent>
                </v:textbox>
                <w10:anchorlock/>
              </v:shape>
            </w:pict>
          </mc:Fallback>
        </mc:AlternateContent>
      </w:r>
    </w:p>
    <w:p w14:paraId="07C69143" w14:textId="25B8D547" w:rsidR="00A11B8F" w:rsidRPr="005060E0" w:rsidRDefault="00A11B8F">
      <w:pPr>
        <w:spacing w:after="160" w:line="259" w:lineRule="auto"/>
      </w:pPr>
    </w:p>
    <w:p w14:paraId="65F29130" w14:textId="77777777" w:rsidR="00CD13FB" w:rsidRPr="005060E0" w:rsidRDefault="00CD13FB" w:rsidP="0043533F">
      <w:pPr>
        <w:pStyle w:val="Heading1"/>
        <w:sectPr w:rsidR="00CD13FB" w:rsidRPr="005060E0" w:rsidSect="00F30B35">
          <w:headerReference w:type="default" r:id="rId46"/>
          <w:pgSz w:w="11906" w:h="16838" w:code="9"/>
          <w:pgMar w:top="1440" w:right="1133" w:bottom="1843" w:left="1134" w:header="680" w:footer="170" w:gutter="0"/>
          <w:cols w:space="708"/>
          <w:docGrid w:linePitch="360"/>
        </w:sectPr>
      </w:pPr>
    </w:p>
    <w:p w14:paraId="7319D7FD" w14:textId="1E9C1C33" w:rsidR="003E2A3B" w:rsidRPr="005060E0" w:rsidRDefault="00BD39EA" w:rsidP="0043533F">
      <w:pPr>
        <w:pStyle w:val="Heading1"/>
      </w:pPr>
      <w:bookmarkStart w:id="254" w:name="_Toc3278993"/>
      <w:r w:rsidRPr="005060E0">
        <w:t>Overall summary and r</w:t>
      </w:r>
      <w:r w:rsidR="00245AA9" w:rsidRPr="005060E0">
        <w:t>ecommendations</w:t>
      </w:r>
      <w:bookmarkEnd w:id="254"/>
    </w:p>
    <w:p w14:paraId="42723329" w14:textId="325923CD" w:rsidR="00BD39EA" w:rsidRPr="005060E0" w:rsidRDefault="00BD39EA" w:rsidP="00BD39EA">
      <w:pPr>
        <w:pStyle w:val="Heading2"/>
      </w:pPr>
      <w:bookmarkStart w:id="255" w:name="_Toc3278994"/>
      <w:r w:rsidRPr="005060E0">
        <w:t>Overview</w:t>
      </w:r>
      <w:bookmarkEnd w:id="255"/>
    </w:p>
    <w:p w14:paraId="66F30E18" w14:textId="595E97EC" w:rsidR="00686979" w:rsidRPr="005060E0" w:rsidRDefault="00245AA9" w:rsidP="00686979">
      <w:r w:rsidRPr="005060E0">
        <w:rPr>
          <w:szCs w:val="20"/>
        </w:rPr>
        <w:t>Thi</w:t>
      </w:r>
      <w:r w:rsidR="00353567" w:rsidRPr="005060E0">
        <w:rPr>
          <w:szCs w:val="20"/>
        </w:rPr>
        <w:t xml:space="preserve">s </w:t>
      </w:r>
      <w:r w:rsidR="00DF05A9" w:rsidRPr="005060E0">
        <w:rPr>
          <w:szCs w:val="20"/>
        </w:rPr>
        <w:t>Impact Statement</w:t>
      </w:r>
      <w:r w:rsidRPr="005060E0">
        <w:rPr>
          <w:szCs w:val="20"/>
        </w:rPr>
        <w:t xml:space="preserve"> has f</w:t>
      </w:r>
      <w:r w:rsidR="00704BAC" w:rsidRPr="005060E0">
        <w:rPr>
          <w:szCs w:val="20"/>
        </w:rPr>
        <w:t xml:space="preserve">ound there are </w:t>
      </w:r>
      <w:r w:rsidRPr="005060E0">
        <w:rPr>
          <w:szCs w:val="20"/>
        </w:rPr>
        <w:t>health effects arising from exposure to the pollutants under consideration, O</w:t>
      </w:r>
      <w:r w:rsidRPr="005060E0">
        <w:rPr>
          <w:szCs w:val="20"/>
          <w:vertAlign w:val="subscript"/>
        </w:rPr>
        <w:t>3</w:t>
      </w:r>
      <w:r w:rsidRPr="005060E0">
        <w:rPr>
          <w:szCs w:val="20"/>
        </w:rPr>
        <w:t>, NO</w:t>
      </w:r>
      <w:r w:rsidRPr="005060E0">
        <w:rPr>
          <w:szCs w:val="20"/>
          <w:vertAlign w:val="subscript"/>
        </w:rPr>
        <w:t>2</w:t>
      </w:r>
      <w:r w:rsidRPr="005060E0">
        <w:rPr>
          <w:szCs w:val="20"/>
        </w:rPr>
        <w:t xml:space="preserve"> and SO</w:t>
      </w:r>
      <w:r w:rsidRPr="005060E0">
        <w:rPr>
          <w:szCs w:val="20"/>
          <w:vertAlign w:val="subscript"/>
        </w:rPr>
        <w:t>2</w:t>
      </w:r>
      <w:r w:rsidRPr="005060E0">
        <w:rPr>
          <w:szCs w:val="20"/>
        </w:rPr>
        <w:t>, in Australian cities at the curre</w:t>
      </w:r>
      <w:r w:rsidR="00541EE3" w:rsidRPr="005060E0">
        <w:rPr>
          <w:szCs w:val="20"/>
        </w:rPr>
        <w:t xml:space="preserve">nt levels of these pollutants. </w:t>
      </w:r>
      <w:r w:rsidR="00686979" w:rsidRPr="005060E0">
        <w:t>The associated combined health costs due to mortality and hospitalisation over the period 2010</w:t>
      </w:r>
      <w:r w:rsidR="00DF4D3A" w:rsidRPr="005060E0">
        <w:t>–20</w:t>
      </w:r>
      <w:r w:rsidR="00686979" w:rsidRPr="005060E0">
        <w:t xml:space="preserve">14 were of the order of $562 million to $2,405 million, </w:t>
      </w:r>
      <w:r w:rsidR="00686979" w:rsidRPr="005060E0">
        <w:rPr>
          <w:szCs w:val="20"/>
        </w:rPr>
        <w:t>based on the different CRF groups from the sensitivity tests.</w:t>
      </w:r>
      <w:r w:rsidR="00686979" w:rsidRPr="005060E0">
        <w:t xml:space="preserve"> However, </w:t>
      </w:r>
      <w:r w:rsidR="00213DDF" w:rsidRPr="005060E0">
        <w:t xml:space="preserve">when considering the full CBA, </w:t>
      </w:r>
      <w:r w:rsidR="00686979" w:rsidRPr="005060E0">
        <w:t>the application of the different CRF groups did not change</w:t>
      </w:r>
      <w:r w:rsidR="00213DDF" w:rsidRPr="005060E0">
        <w:t xml:space="preserve"> the overall outcome</w:t>
      </w:r>
      <w:r w:rsidR="00686979" w:rsidRPr="005060E0">
        <w:t xml:space="preserve">, which was a </w:t>
      </w:r>
      <w:r w:rsidR="00F61D32" w:rsidRPr="005060E0">
        <w:t>negative NPV to society</w:t>
      </w:r>
      <w:r w:rsidR="00686979" w:rsidRPr="005060E0">
        <w:t>.</w:t>
      </w:r>
    </w:p>
    <w:p w14:paraId="2E04253A" w14:textId="1CF73160" w:rsidR="00353567" w:rsidRPr="005060E0" w:rsidRDefault="00245AA9" w:rsidP="00245AA9">
      <w:pPr>
        <w:rPr>
          <w:szCs w:val="20"/>
        </w:rPr>
      </w:pPr>
      <w:r w:rsidRPr="005060E0">
        <w:rPr>
          <w:szCs w:val="20"/>
        </w:rPr>
        <w:t>Other non-quantified costs include increased medication usage, work loss d</w:t>
      </w:r>
      <w:r w:rsidR="009728E2" w:rsidRPr="005060E0">
        <w:rPr>
          <w:szCs w:val="20"/>
        </w:rPr>
        <w:t xml:space="preserve">ays and absences from schools. </w:t>
      </w:r>
      <w:r w:rsidRPr="005060E0">
        <w:rPr>
          <w:szCs w:val="20"/>
        </w:rPr>
        <w:t>Loss of productivity cost</w:t>
      </w:r>
      <w:r w:rsidR="009728E2" w:rsidRPr="005060E0">
        <w:rPr>
          <w:szCs w:val="20"/>
        </w:rPr>
        <w:t>s are likely to be significant.</w:t>
      </w:r>
      <w:r w:rsidRPr="005060E0">
        <w:rPr>
          <w:szCs w:val="20"/>
        </w:rPr>
        <w:t xml:space="preserve"> With the predicted population growth in Australian cities and regional areas, the number of people </w:t>
      </w:r>
      <w:r w:rsidR="008C3CDA">
        <w:rPr>
          <w:szCs w:val="20"/>
        </w:rPr>
        <w:t>who</w:t>
      </w:r>
      <w:r w:rsidR="008C3CDA" w:rsidRPr="005060E0">
        <w:rPr>
          <w:szCs w:val="20"/>
        </w:rPr>
        <w:t xml:space="preserve"> </w:t>
      </w:r>
      <w:r w:rsidRPr="005060E0">
        <w:rPr>
          <w:szCs w:val="20"/>
        </w:rPr>
        <w:t>are exposed to air pollution will also increase</w:t>
      </w:r>
      <w:r w:rsidR="008C3CDA">
        <w:rPr>
          <w:szCs w:val="20"/>
        </w:rPr>
        <w:t>,</w:t>
      </w:r>
      <w:r w:rsidRPr="005060E0">
        <w:rPr>
          <w:szCs w:val="20"/>
        </w:rPr>
        <w:t xml:space="preserve"> leading </w:t>
      </w:r>
      <w:r w:rsidR="00353567" w:rsidRPr="005060E0">
        <w:rPr>
          <w:szCs w:val="20"/>
        </w:rPr>
        <w:t>to an increased health burden.</w:t>
      </w:r>
    </w:p>
    <w:p w14:paraId="640A09A3" w14:textId="41B5CBEC" w:rsidR="00245AA9" w:rsidRPr="005060E0" w:rsidRDefault="00353567" w:rsidP="00245AA9">
      <w:pPr>
        <w:rPr>
          <w:szCs w:val="20"/>
        </w:rPr>
      </w:pPr>
      <w:r w:rsidRPr="005060E0">
        <w:rPr>
          <w:szCs w:val="20"/>
        </w:rPr>
        <w:t xml:space="preserve">The analysis presented in this </w:t>
      </w:r>
      <w:r w:rsidR="00DF05A9" w:rsidRPr="005060E0">
        <w:rPr>
          <w:szCs w:val="20"/>
        </w:rPr>
        <w:t>Impact Statement</w:t>
      </w:r>
      <w:r w:rsidR="00245AA9" w:rsidRPr="005060E0">
        <w:rPr>
          <w:szCs w:val="20"/>
        </w:rPr>
        <w:t xml:space="preserve"> has </w:t>
      </w:r>
      <w:r w:rsidR="00704BAC" w:rsidRPr="005060E0">
        <w:rPr>
          <w:szCs w:val="20"/>
        </w:rPr>
        <w:t>shown there are material</w:t>
      </w:r>
      <w:r w:rsidR="00245AA9" w:rsidRPr="005060E0">
        <w:rPr>
          <w:szCs w:val="20"/>
        </w:rPr>
        <w:t xml:space="preserve"> health benefits associated with meeting the standards that have</w:t>
      </w:r>
      <w:r w:rsidRPr="005060E0">
        <w:rPr>
          <w:szCs w:val="20"/>
        </w:rPr>
        <w:t xml:space="preserve"> been proposed for this review. </w:t>
      </w:r>
      <w:r w:rsidR="00245AA9" w:rsidRPr="005060E0">
        <w:rPr>
          <w:szCs w:val="20"/>
        </w:rPr>
        <w:t>Air quali</w:t>
      </w:r>
      <w:r w:rsidRPr="005060E0">
        <w:rPr>
          <w:szCs w:val="20"/>
        </w:rPr>
        <w:t>ty modelling has shown that some</w:t>
      </w:r>
      <w:r w:rsidR="00245AA9" w:rsidRPr="005060E0">
        <w:rPr>
          <w:szCs w:val="20"/>
        </w:rPr>
        <w:t xml:space="preserve"> of these s</w:t>
      </w:r>
      <w:r w:rsidRPr="005060E0">
        <w:rPr>
          <w:szCs w:val="20"/>
        </w:rPr>
        <w:t xml:space="preserve">tandards can be met by 2040. </w:t>
      </w:r>
      <w:r w:rsidR="00245AA9" w:rsidRPr="005060E0">
        <w:rPr>
          <w:szCs w:val="20"/>
        </w:rPr>
        <w:t xml:space="preserve">There will be challenges to meet </w:t>
      </w:r>
      <w:r w:rsidRPr="005060E0">
        <w:rPr>
          <w:szCs w:val="20"/>
        </w:rPr>
        <w:t xml:space="preserve">some of </w:t>
      </w:r>
      <w:r w:rsidR="00245AA9" w:rsidRPr="005060E0">
        <w:rPr>
          <w:szCs w:val="20"/>
        </w:rPr>
        <w:t>the strictest proposed standards for O</w:t>
      </w:r>
      <w:r w:rsidR="00245AA9" w:rsidRPr="005060E0">
        <w:rPr>
          <w:szCs w:val="20"/>
          <w:vertAlign w:val="subscript"/>
        </w:rPr>
        <w:t>3</w:t>
      </w:r>
      <w:r w:rsidR="00CF27C0" w:rsidRPr="005060E0">
        <w:rPr>
          <w:szCs w:val="20"/>
        </w:rPr>
        <w:t xml:space="preserve"> in many jurisdictions</w:t>
      </w:r>
      <w:r w:rsidR="008C3CDA">
        <w:rPr>
          <w:szCs w:val="20"/>
        </w:rPr>
        <w:t>;</w:t>
      </w:r>
      <w:r w:rsidR="00CF27C0" w:rsidRPr="005060E0">
        <w:rPr>
          <w:szCs w:val="20"/>
        </w:rPr>
        <w:t xml:space="preserve"> </w:t>
      </w:r>
      <w:r w:rsidR="008C3CDA">
        <w:rPr>
          <w:szCs w:val="20"/>
        </w:rPr>
        <w:t>h</w:t>
      </w:r>
      <w:r w:rsidR="00245AA9" w:rsidRPr="005060E0">
        <w:rPr>
          <w:szCs w:val="20"/>
        </w:rPr>
        <w:t>owever</w:t>
      </w:r>
      <w:r w:rsidR="00CF27C0" w:rsidRPr="005060E0">
        <w:rPr>
          <w:szCs w:val="20"/>
        </w:rPr>
        <w:t>, consideration</w:t>
      </w:r>
      <w:r w:rsidR="009B7316" w:rsidRPr="005060E0">
        <w:rPr>
          <w:szCs w:val="20"/>
        </w:rPr>
        <w:t xml:space="preserve"> of an exposure-reduction framework</w:t>
      </w:r>
      <w:r w:rsidR="008C3CDA">
        <w:rPr>
          <w:szCs w:val="20"/>
        </w:rPr>
        <w:t>,</w:t>
      </w:r>
      <w:r w:rsidR="00245AA9" w:rsidRPr="005060E0">
        <w:rPr>
          <w:szCs w:val="20"/>
        </w:rPr>
        <w:t xml:space="preserve"> which is </w:t>
      </w:r>
      <w:r w:rsidR="001E68FB" w:rsidRPr="005060E0">
        <w:rPr>
          <w:szCs w:val="20"/>
        </w:rPr>
        <w:t>focuse</w:t>
      </w:r>
      <w:r w:rsidR="00011D4A">
        <w:rPr>
          <w:szCs w:val="20"/>
        </w:rPr>
        <w:t>s</w:t>
      </w:r>
      <w:r w:rsidR="001E68FB" w:rsidRPr="005060E0">
        <w:rPr>
          <w:szCs w:val="20"/>
        </w:rPr>
        <w:t xml:space="preserve"> </w:t>
      </w:r>
      <w:r w:rsidR="00245AA9" w:rsidRPr="005060E0">
        <w:rPr>
          <w:szCs w:val="20"/>
        </w:rPr>
        <w:t xml:space="preserve">on reducing </w:t>
      </w:r>
      <w:r w:rsidR="00CF27C0" w:rsidRPr="005060E0">
        <w:rPr>
          <w:szCs w:val="20"/>
        </w:rPr>
        <w:t xml:space="preserve">the </w:t>
      </w:r>
      <w:r w:rsidR="00245AA9" w:rsidRPr="005060E0">
        <w:rPr>
          <w:szCs w:val="20"/>
        </w:rPr>
        <w:t xml:space="preserve">exposure of the population and thereby reducing the risk to their health, provides a mechanism whereby </w:t>
      </w:r>
      <w:r w:rsidRPr="005060E0">
        <w:rPr>
          <w:szCs w:val="20"/>
        </w:rPr>
        <w:t xml:space="preserve">continual </w:t>
      </w:r>
      <w:r w:rsidR="00245AA9" w:rsidRPr="005060E0">
        <w:rPr>
          <w:szCs w:val="20"/>
        </w:rPr>
        <w:t>improvements in air quality can be demonstrated even if there are exceedances of the standards.</w:t>
      </w:r>
    </w:p>
    <w:p w14:paraId="70208B60" w14:textId="08E450E2" w:rsidR="00245AA9" w:rsidRPr="005060E0" w:rsidRDefault="00245AA9" w:rsidP="00245AA9">
      <w:pPr>
        <w:rPr>
          <w:szCs w:val="20"/>
        </w:rPr>
      </w:pPr>
      <w:r w:rsidRPr="005060E0">
        <w:rPr>
          <w:szCs w:val="20"/>
        </w:rPr>
        <w:t xml:space="preserve">The </w:t>
      </w:r>
      <w:r w:rsidR="003147E2" w:rsidRPr="005060E0">
        <w:rPr>
          <w:szCs w:val="20"/>
        </w:rPr>
        <w:t>Abatement P</w:t>
      </w:r>
      <w:r w:rsidRPr="005060E0">
        <w:rPr>
          <w:szCs w:val="20"/>
        </w:rPr>
        <w:t>ackage</w:t>
      </w:r>
      <w:r w:rsidR="003147E2" w:rsidRPr="005060E0">
        <w:rPr>
          <w:szCs w:val="20"/>
        </w:rPr>
        <w:t xml:space="preserve"> scenario</w:t>
      </w:r>
      <w:r w:rsidRPr="005060E0">
        <w:rPr>
          <w:szCs w:val="20"/>
        </w:rPr>
        <w:t xml:space="preserve"> modelled as part of this review has been shown to not be cost-effective in achieving r</w:t>
      </w:r>
      <w:r w:rsidR="009728E2" w:rsidRPr="005060E0">
        <w:rPr>
          <w:szCs w:val="20"/>
        </w:rPr>
        <w:t xml:space="preserve">eductions in pollutant levels. </w:t>
      </w:r>
      <w:r w:rsidRPr="005060E0">
        <w:rPr>
          <w:szCs w:val="20"/>
        </w:rPr>
        <w:t>Consideration should be given to alternative abatements that may achieve a larger impact across whole populations</w:t>
      </w:r>
      <w:r w:rsidR="008C3CDA">
        <w:rPr>
          <w:szCs w:val="20"/>
        </w:rPr>
        <w:t>,</w:t>
      </w:r>
      <w:r w:rsidRPr="005060E0">
        <w:rPr>
          <w:szCs w:val="20"/>
        </w:rPr>
        <w:t xml:space="preserve"> such as those associated with motor vehicles and transport options</w:t>
      </w:r>
      <w:r w:rsidR="00B00321" w:rsidRPr="005060E0">
        <w:rPr>
          <w:szCs w:val="20"/>
        </w:rPr>
        <w:t xml:space="preserve">. </w:t>
      </w:r>
      <w:r w:rsidRPr="005060E0">
        <w:rPr>
          <w:szCs w:val="20"/>
        </w:rPr>
        <w:t>However, as discussed above</w:t>
      </w:r>
      <w:r w:rsidR="008C3CDA">
        <w:rPr>
          <w:szCs w:val="20"/>
        </w:rPr>
        <w:t>,</w:t>
      </w:r>
      <w:r w:rsidRPr="005060E0">
        <w:rPr>
          <w:szCs w:val="20"/>
        </w:rPr>
        <w:t xml:space="preserve"> in many cases additional abatements are not required to meet the proposed standards and the heal</w:t>
      </w:r>
      <w:r w:rsidR="00704BAC" w:rsidRPr="005060E0">
        <w:rPr>
          <w:szCs w:val="20"/>
        </w:rPr>
        <w:t>th benefit gained is substantial</w:t>
      </w:r>
      <w:r w:rsidRPr="005060E0">
        <w:rPr>
          <w:szCs w:val="20"/>
        </w:rPr>
        <w:t>.</w:t>
      </w:r>
    </w:p>
    <w:p w14:paraId="30235D83" w14:textId="6A60D777" w:rsidR="00BD39EA" w:rsidRPr="005060E0" w:rsidRDefault="00BD39EA" w:rsidP="00263545">
      <w:pPr>
        <w:pStyle w:val="Heading2"/>
      </w:pPr>
      <w:bookmarkStart w:id="256" w:name="_Toc3278995"/>
      <w:r w:rsidRPr="005060E0">
        <w:t>Recommendations</w:t>
      </w:r>
      <w:r w:rsidR="00263545" w:rsidRPr="005060E0">
        <w:t xml:space="preserve"> for the National Environment Protection (Ambient Air Quality) Measure</w:t>
      </w:r>
      <w:bookmarkEnd w:id="256"/>
    </w:p>
    <w:p w14:paraId="049ADA68" w14:textId="6F641548" w:rsidR="00BD39EA" w:rsidRPr="005060E0" w:rsidRDefault="00930DE1" w:rsidP="00930DE1">
      <w:pPr>
        <w:pStyle w:val="Heading3"/>
      </w:pPr>
      <w:r w:rsidRPr="005060E0">
        <w:t>Desired environmental outcome and goal</w:t>
      </w:r>
    </w:p>
    <w:p w14:paraId="4EB5688C" w14:textId="6BD07CE5" w:rsidR="00353567" w:rsidRPr="005060E0" w:rsidRDefault="00353567" w:rsidP="00D76146">
      <w:pPr>
        <w:pStyle w:val="ListBullet"/>
        <w:tabs>
          <w:tab w:val="left" w:pos="709"/>
        </w:tabs>
        <w:ind w:left="2694" w:hanging="2337"/>
      </w:pPr>
      <w:r w:rsidRPr="005060E0">
        <w:t>Recommen</w:t>
      </w:r>
      <w:r w:rsidR="00D76146" w:rsidRPr="005060E0">
        <w:t>dation 1:</w:t>
      </w:r>
      <w:r w:rsidR="00D76146" w:rsidRPr="005060E0">
        <w:tab/>
      </w:r>
      <w:r w:rsidRPr="005060E0">
        <w:t>The desired environmental outcome of the AAQ NEPM should be re</w:t>
      </w:r>
      <w:r w:rsidR="00AA287D" w:rsidRPr="005060E0">
        <w:t>vised to ‘minimise the risk of</w:t>
      </w:r>
      <w:r w:rsidRPr="005060E0">
        <w:t xml:space="preserve"> adverse health impacts from exposure to air pollution for all people, wherever they may live’.</w:t>
      </w:r>
    </w:p>
    <w:p w14:paraId="09DD5EC3" w14:textId="1862EE41" w:rsidR="00353567" w:rsidRPr="005060E0" w:rsidRDefault="00D76146" w:rsidP="00D76146">
      <w:pPr>
        <w:pStyle w:val="ListBullet"/>
        <w:tabs>
          <w:tab w:val="left" w:pos="709"/>
        </w:tabs>
        <w:ind w:left="2694" w:hanging="2337"/>
      </w:pPr>
      <w:r w:rsidRPr="005060E0">
        <w:t>Recommendation 2:</w:t>
      </w:r>
      <w:r w:rsidRPr="005060E0">
        <w:tab/>
      </w:r>
      <w:r w:rsidR="00353567" w:rsidRPr="005060E0">
        <w:t>The goal of the AAQ NEPM should be revised to make reference to the air quality standards and incorporation of exposure-reduction targets for priority pollutants.</w:t>
      </w:r>
    </w:p>
    <w:p w14:paraId="4C6EFFE6" w14:textId="4412C18D" w:rsidR="00930DE1" w:rsidRPr="005060E0" w:rsidRDefault="00682AE2" w:rsidP="00930DE1">
      <w:pPr>
        <w:pStyle w:val="Heading3"/>
      </w:pPr>
      <w:r w:rsidRPr="005060E0">
        <w:t>Sulfur dioxide</w:t>
      </w:r>
    </w:p>
    <w:p w14:paraId="6B5365DD" w14:textId="575CC427" w:rsidR="00353567" w:rsidRPr="005060E0" w:rsidRDefault="00D76146" w:rsidP="00D76146">
      <w:pPr>
        <w:pStyle w:val="ListBullet"/>
        <w:tabs>
          <w:tab w:val="left" w:pos="709"/>
        </w:tabs>
        <w:ind w:left="2694" w:hanging="2337"/>
      </w:pPr>
      <w:r w:rsidRPr="005060E0">
        <w:t>Recommendation 3:</w:t>
      </w:r>
      <w:r w:rsidRPr="005060E0">
        <w:tab/>
      </w:r>
      <w:r w:rsidR="00353567" w:rsidRPr="005060E0">
        <w:t>The status quo should be maintained</w:t>
      </w:r>
      <w:r w:rsidR="006A2CE0" w:rsidRPr="005060E0">
        <w:t xml:space="preserve"> of not including</w:t>
      </w:r>
      <w:r w:rsidR="00353567" w:rsidRPr="005060E0">
        <w:t xml:space="preserve"> a 10-minute SO</w:t>
      </w:r>
      <w:r w:rsidR="00353567" w:rsidRPr="005060E0">
        <w:rPr>
          <w:vertAlign w:val="subscript"/>
        </w:rPr>
        <w:t>2</w:t>
      </w:r>
      <w:r w:rsidR="00353567" w:rsidRPr="005060E0">
        <w:t xml:space="preserve"> standard in the AAQ NEPM.</w:t>
      </w:r>
    </w:p>
    <w:p w14:paraId="2526968A" w14:textId="4FD2EE03" w:rsidR="00353567" w:rsidRPr="005060E0" w:rsidRDefault="00D76146" w:rsidP="00D76146">
      <w:pPr>
        <w:pStyle w:val="ListBullet"/>
        <w:tabs>
          <w:tab w:val="left" w:pos="709"/>
        </w:tabs>
        <w:ind w:left="2694" w:hanging="2337"/>
      </w:pPr>
      <w:r w:rsidRPr="005060E0">
        <w:t>Recommendation 4:</w:t>
      </w:r>
      <w:r w:rsidRPr="005060E0">
        <w:tab/>
      </w:r>
      <w:r w:rsidR="00353567" w:rsidRPr="005060E0">
        <w:t>The 1-hour standard for SO</w:t>
      </w:r>
      <w:r w:rsidR="00353567" w:rsidRPr="005060E0">
        <w:rPr>
          <w:vertAlign w:val="subscript"/>
        </w:rPr>
        <w:t>2</w:t>
      </w:r>
      <w:r w:rsidR="00353567" w:rsidRPr="005060E0">
        <w:t xml:space="preserve"> in the AAQ NEPM should be retained, and the numerical value of the standard should be reduced to 100 ppb.</w:t>
      </w:r>
    </w:p>
    <w:p w14:paraId="3D49471B" w14:textId="607D77AF" w:rsidR="00353567" w:rsidRPr="005060E0" w:rsidRDefault="00D76146" w:rsidP="00D76146">
      <w:pPr>
        <w:pStyle w:val="ListBullet"/>
        <w:tabs>
          <w:tab w:val="left" w:pos="709"/>
        </w:tabs>
        <w:ind w:left="2694" w:hanging="2337"/>
      </w:pPr>
      <w:r w:rsidRPr="005060E0">
        <w:t>Recommendation 5:</w:t>
      </w:r>
      <w:r w:rsidRPr="005060E0">
        <w:tab/>
      </w:r>
      <w:r w:rsidR="00353567" w:rsidRPr="005060E0">
        <w:t xml:space="preserve">A future </w:t>
      </w:r>
      <w:r w:rsidR="00DB3202" w:rsidRPr="005060E0">
        <w:t>1-hour SO</w:t>
      </w:r>
      <w:r w:rsidR="00DB3202" w:rsidRPr="005060E0">
        <w:rPr>
          <w:vertAlign w:val="subscript"/>
        </w:rPr>
        <w:t>2</w:t>
      </w:r>
      <w:r w:rsidR="00DB3202" w:rsidRPr="005060E0">
        <w:t xml:space="preserve"> standard </w:t>
      </w:r>
      <w:r w:rsidR="00353567" w:rsidRPr="005060E0">
        <w:t xml:space="preserve">of 75 ppb is recommended for implementation </w:t>
      </w:r>
      <w:r w:rsidR="0027306C" w:rsidRPr="005060E0">
        <w:t>from</w:t>
      </w:r>
      <w:r w:rsidR="00353567" w:rsidRPr="005060E0">
        <w:t xml:space="preserve"> 2025 (this timeframe is consistent with the goals for PM</w:t>
      </w:r>
      <w:r w:rsidR="00353567" w:rsidRPr="005060E0">
        <w:rPr>
          <w:vertAlign w:val="subscript"/>
        </w:rPr>
        <w:t>2.5</w:t>
      </w:r>
      <w:r w:rsidR="00353567" w:rsidRPr="005060E0">
        <w:t xml:space="preserve"> in the AAQ NEPM).</w:t>
      </w:r>
    </w:p>
    <w:p w14:paraId="2E6DF50F" w14:textId="4865590E" w:rsidR="00353567" w:rsidRPr="005060E0" w:rsidRDefault="00D76146" w:rsidP="00D76146">
      <w:pPr>
        <w:pStyle w:val="ListBullet"/>
        <w:tabs>
          <w:tab w:val="left" w:pos="709"/>
        </w:tabs>
        <w:ind w:left="2694" w:hanging="2337"/>
      </w:pPr>
      <w:r w:rsidRPr="005060E0">
        <w:t>Recommendation 6:</w:t>
      </w:r>
      <w:r w:rsidRPr="005060E0">
        <w:tab/>
      </w:r>
      <w:r w:rsidR="00353567" w:rsidRPr="005060E0">
        <w:t>The 24-hour standard for SO</w:t>
      </w:r>
      <w:r w:rsidR="00353567" w:rsidRPr="005060E0">
        <w:rPr>
          <w:vertAlign w:val="subscript"/>
        </w:rPr>
        <w:t>2</w:t>
      </w:r>
      <w:r w:rsidR="00353567" w:rsidRPr="005060E0">
        <w:t xml:space="preserve"> in the AAQ NEPM should be retained, and the numerical value of the standard should be reduced to 20 ppb.</w:t>
      </w:r>
    </w:p>
    <w:p w14:paraId="5C1BFE20" w14:textId="77777777" w:rsidR="00D76146" w:rsidRPr="005060E0" w:rsidRDefault="00D76146" w:rsidP="00D76146">
      <w:pPr>
        <w:pStyle w:val="ListBullet"/>
        <w:tabs>
          <w:tab w:val="left" w:pos="709"/>
        </w:tabs>
        <w:ind w:left="2694" w:hanging="2337"/>
      </w:pPr>
      <w:r w:rsidRPr="005060E0">
        <w:t>Recommendation 7:</w:t>
      </w:r>
      <w:r w:rsidRPr="005060E0">
        <w:tab/>
      </w:r>
      <w:r w:rsidR="00353567" w:rsidRPr="005060E0">
        <w:t>No future target for 24-hour average SO</w:t>
      </w:r>
      <w:r w:rsidR="00353567" w:rsidRPr="005060E0">
        <w:rPr>
          <w:vertAlign w:val="subscript"/>
        </w:rPr>
        <w:t>2</w:t>
      </w:r>
      <w:r w:rsidR="00353567" w:rsidRPr="005060E0">
        <w:t xml:space="preserve"> concentrations is recommended at this stage.</w:t>
      </w:r>
    </w:p>
    <w:p w14:paraId="53F56D0D" w14:textId="731637D0" w:rsidR="00353567" w:rsidRPr="005060E0" w:rsidRDefault="00D76146" w:rsidP="00D76146">
      <w:pPr>
        <w:pStyle w:val="ListBullet"/>
        <w:tabs>
          <w:tab w:val="left" w:pos="709"/>
        </w:tabs>
        <w:ind w:left="2694" w:hanging="2337"/>
        <w:rPr>
          <w:rStyle w:val="ListBulletChar"/>
          <w:color w:val="auto"/>
        </w:rPr>
      </w:pPr>
      <w:r w:rsidRPr="005060E0">
        <w:rPr>
          <w:rStyle w:val="ListBulletChar"/>
        </w:rPr>
        <w:t>Recommendation 8:</w:t>
      </w:r>
      <w:r w:rsidRPr="005060E0">
        <w:rPr>
          <w:rStyle w:val="ListBulletChar"/>
        </w:rPr>
        <w:tab/>
      </w:r>
      <w:r w:rsidR="00353567" w:rsidRPr="005060E0">
        <w:rPr>
          <w:rStyle w:val="ListBulletChar"/>
        </w:rPr>
        <w:t>The current annual mean standard for SO</w:t>
      </w:r>
      <w:r w:rsidR="00353567" w:rsidRPr="005060E0">
        <w:rPr>
          <w:rStyle w:val="ListBulletChar"/>
          <w:color w:val="auto"/>
          <w:vertAlign w:val="subscript"/>
        </w:rPr>
        <w:t>2</w:t>
      </w:r>
      <w:r w:rsidR="00353567" w:rsidRPr="005060E0">
        <w:rPr>
          <w:rStyle w:val="ListBulletChar"/>
        </w:rPr>
        <w:t xml:space="preserve"> shoul</w:t>
      </w:r>
      <w:r w:rsidR="00930DE1" w:rsidRPr="005060E0">
        <w:rPr>
          <w:rStyle w:val="ListBulletChar"/>
        </w:rPr>
        <w:t>d be removed from the AAQ</w:t>
      </w:r>
      <w:r w:rsidR="002703FD" w:rsidRPr="005060E0">
        <w:rPr>
          <w:rStyle w:val="ListBulletChar"/>
        </w:rPr>
        <w:t> </w:t>
      </w:r>
      <w:r w:rsidR="00930DE1" w:rsidRPr="005060E0">
        <w:rPr>
          <w:rStyle w:val="ListBulletChar"/>
        </w:rPr>
        <w:t>NEPM.</w:t>
      </w:r>
    </w:p>
    <w:p w14:paraId="36681C93" w14:textId="5167D9BD" w:rsidR="00F1528A" w:rsidRPr="005060E0" w:rsidRDefault="00F1528A" w:rsidP="00D76146">
      <w:pPr>
        <w:pStyle w:val="ListBullet"/>
        <w:tabs>
          <w:tab w:val="left" w:pos="709"/>
        </w:tabs>
        <w:ind w:left="2694" w:hanging="2337"/>
      </w:pPr>
      <w:r w:rsidRPr="005060E0">
        <w:t>Recommendation 9:</w:t>
      </w:r>
      <w:r w:rsidRPr="005060E0">
        <w:tab/>
        <w:t>The form of both the 1-hour and 24-hour SO</w:t>
      </w:r>
      <w:r w:rsidRPr="005060E0">
        <w:rPr>
          <w:vertAlign w:val="subscript"/>
        </w:rPr>
        <w:t>2</w:t>
      </w:r>
      <w:r w:rsidRPr="005060E0">
        <w:t xml:space="preserve"> standards should be the maximum value with no allowable exceedances.</w:t>
      </w:r>
    </w:p>
    <w:p w14:paraId="2BAB19D5" w14:textId="5499D2D8" w:rsidR="00930DE1" w:rsidRPr="005060E0" w:rsidRDefault="00930DE1" w:rsidP="00930DE1">
      <w:pPr>
        <w:pStyle w:val="Heading3"/>
      </w:pPr>
      <w:r w:rsidRPr="005060E0">
        <w:t>N</w:t>
      </w:r>
      <w:r w:rsidR="00682AE2" w:rsidRPr="005060E0">
        <w:t>itrogen dioxide</w:t>
      </w:r>
    </w:p>
    <w:p w14:paraId="2A7FF770" w14:textId="667ED92B" w:rsidR="00353567" w:rsidRPr="005060E0" w:rsidRDefault="00D76146" w:rsidP="00D76146">
      <w:pPr>
        <w:pStyle w:val="ListBullet"/>
        <w:tabs>
          <w:tab w:val="left" w:pos="709"/>
        </w:tabs>
        <w:ind w:left="2694" w:hanging="2337"/>
      </w:pPr>
      <w:r w:rsidRPr="005060E0">
        <w:t xml:space="preserve">Recommendation </w:t>
      </w:r>
      <w:r w:rsidR="00F1528A" w:rsidRPr="005060E0">
        <w:t>10</w:t>
      </w:r>
      <w:r w:rsidRPr="005060E0">
        <w:t>:</w:t>
      </w:r>
      <w:r w:rsidRPr="005060E0">
        <w:tab/>
      </w:r>
      <w:r w:rsidR="00353567" w:rsidRPr="005060E0">
        <w:t>The 1-hour standard for NO</w:t>
      </w:r>
      <w:r w:rsidR="00353567" w:rsidRPr="005060E0">
        <w:rPr>
          <w:vertAlign w:val="subscript"/>
        </w:rPr>
        <w:t>2</w:t>
      </w:r>
      <w:r w:rsidR="00353567" w:rsidRPr="005060E0">
        <w:t xml:space="preserve"> in the AAQ NEPM should be retained, and the numerical value of the standard should be reduced to 90 ppb. </w:t>
      </w:r>
    </w:p>
    <w:p w14:paraId="777DD4C6" w14:textId="77777777" w:rsidR="00F1528A" w:rsidRPr="005060E0" w:rsidRDefault="00353567" w:rsidP="00D76146">
      <w:pPr>
        <w:pStyle w:val="ListBullet"/>
        <w:tabs>
          <w:tab w:val="left" w:pos="709"/>
        </w:tabs>
        <w:ind w:left="2694" w:hanging="2337"/>
      </w:pPr>
      <w:r w:rsidRPr="005060E0">
        <w:t xml:space="preserve">Recommendation </w:t>
      </w:r>
      <w:r w:rsidR="00F1528A" w:rsidRPr="005060E0">
        <w:t>11</w:t>
      </w:r>
      <w:r w:rsidR="00D76146" w:rsidRPr="005060E0">
        <w:t>:</w:t>
      </w:r>
      <w:r w:rsidR="00D76146" w:rsidRPr="005060E0">
        <w:tab/>
      </w:r>
      <w:r w:rsidR="00E55616" w:rsidRPr="005060E0">
        <w:t>The annual standard for NO</w:t>
      </w:r>
      <w:r w:rsidR="00E55616" w:rsidRPr="005060E0">
        <w:rPr>
          <w:vertAlign w:val="subscript"/>
        </w:rPr>
        <w:t>2</w:t>
      </w:r>
      <w:r w:rsidR="00E55616" w:rsidRPr="005060E0">
        <w:t xml:space="preserve"> in the AAQ NEPM should be retained, and the numerical value of the standard should be reduced to 19 ppb.</w:t>
      </w:r>
    </w:p>
    <w:p w14:paraId="24A315E8" w14:textId="38453FAD" w:rsidR="00353567" w:rsidRPr="005060E0" w:rsidRDefault="00F1528A" w:rsidP="00D76146">
      <w:pPr>
        <w:pStyle w:val="ListBullet"/>
        <w:tabs>
          <w:tab w:val="left" w:pos="709"/>
        </w:tabs>
        <w:ind w:left="2694" w:hanging="2337"/>
      </w:pPr>
      <w:r w:rsidRPr="005060E0">
        <w:t>Recommendation 12:</w:t>
      </w:r>
      <w:r w:rsidRPr="005060E0">
        <w:tab/>
        <w:t>The form of both the 1-hour and annual NO</w:t>
      </w:r>
      <w:r w:rsidRPr="005060E0">
        <w:rPr>
          <w:vertAlign w:val="subscript"/>
        </w:rPr>
        <w:t>2</w:t>
      </w:r>
      <w:r w:rsidRPr="005060E0">
        <w:t xml:space="preserve"> standards should be the maximum value with no allowable exceedances</w:t>
      </w:r>
      <w:r w:rsidR="00B00321" w:rsidRPr="005060E0">
        <w:t xml:space="preserve">. </w:t>
      </w:r>
    </w:p>
    <w:p w14:paraId="17DEF196" w14:textId="256A7EFA" w:rsidR="00E55616" w:rsidRPr="005060E0" w:rsidRDefault="00E55616" w:rsidP="00E55616">
      <w:pPr>
        <w:pStyle w:val="ListBullet"/>
        <w:tabs>
          <w:tab w:val="left" w:pos="709"/>
        </w:tabs>
        <w:ind w:left="2694" w:hanging="2337"/>
      </w:pPr>
      <w:r w:rsidRPr="005060E0">
        <w:t xml:space="preserve">Recommendation </w:t>
      </w:r>
      <w:r w:rsidR="00F1528A" w:rsidRPr="005060E0">
        <w:t>13</w:t>
      </w:r>
      <w:r w:rsidRPr="005060E0">
        <w:t>:</w:t>
      </w:r>
      <w:r w:rsidRPr="005060E0">
        <w:tab/>
        <w:t>An exposure-reduction framework</w:t>
      </w:r>
      <w:r w:rsidR="00550439" w:rsidRPr="005060E0">
        <w:t>, in the form of a long-term</w:t>
      </w:r>
      <w:r w:rsidRPr="005060E0">
        <w:t xml:space="preserve"> </w:t>
      </w:r>
      <w:r w:rsidR="00991C1D" w:rsidRPr="005060E0">
        <w:t>goal</w:t>
      </w:r>
      <w:r w:rsidRPr="005060E0">
        <w:t xml:space="preserve"> for NO</w:t>
      </w:r>
      <w:r w:rsidRPr="005060E0">
        <w:rPr>
          <w:vertAlign w:val="subscript"/>
        </w:rPr>
        <w:t>2</w:t>
      </w:r>
      <w:r w:rsidR="00550439" w:rsidRPr="005060E0">
        <w:t>,</w:t>
      </w:r>
      <w:r w:rsidRPr="005060E0">
        <w:t xml:space="preserve"> should be established to reduce population exposure and associated health risk.</w:t>
      </w:r>
    </w:p>
    <w:p w14:paraId="37470193" w14:textId="43537D48" w:rsidR="00353567" w:rsidRPr="005060E0" w:rsidRDefault="00D76146" w:rsidP="00D76146">
      <w:pPr>
        <w:pStyle w:val="ListBullet"/>
        <w:tabs>
          <w:tab w:val="left" w:pos="709"/>
        </w:tabs>
        <w:ind w:left="2694" w:hanging="2337"/>
      </w:pPr>
      <w:r w:rsidRPr="005060E0">
        <w:t xml:space="preserve">Recommendation </w:t>
      </w:r>
      <w:r w:rsidR="00F1528A" w:rsidRPr="005060E0">
        <w:t>14</w:t>
      </w:r>
      <w:r w:rsidRPr="005060E0">
        <w:t>:</w:t>
      </w:r>
      <w:r w:rsidRPr="005060E0">
        <w:tab/>
      </w:r>
      <w:r w:rsidR="00E55616" w:rsidRPr="005060E0">
        <w:t xml:space="preserve">A </w:t>
      </w:r>
      <w:r w:rsidR="00A056E7" w:rsidRPr="005060E0">
        <w:t>future 1-hour NO</w:t>
      </w:r>
      <w:r w:rsidR="00A056E7" w:rsidRPr="005060E0">
        <w:rPr>
          <w:vertAlign w:val="subscript"/>
        </w:rPr>
        <w:t>2</w:t>
      </w:r>
      <w:r w:rsidR="00A056E7" w:rsidRPr="005060E0">
        <w:t xml:space="preserve"> standard </w:t>
      </w:r>
      <w:r w:rsidR="00E55616" w:rsidRPr="005060E0">
        <w:t xml:space="preserve">of 80 ppb is recommended for implementation </w:t>
      </w:r>
      <w:r w:rsidR="0027306C" w:rsidRPr="005060E0">
        <w:t>from</w:t>
      </w:r>
      <w:r w:rsidR="00E55616" w:rsidRPr="005060E0">
        <w:t xml:space="preserve"> 2025</w:t>
      </w:r>
      <w:r w:rsidR="0087445D" w:rsidRPr="005060E0">
        <w:rPr>
          <w:rFonts w:cs="Arial"/>
          <w:sz w:val="16"/>
          <w:szCs w:val="16"/>
        </w:rPr>
        <w:t xml:space="preserve"> </w:t>
      </w:r>
      <w:r w:rsidR="0087445D" w:rsidRPr="005060E0">
        <w:t>as part of an exposure-reduction framework</w:t>
      </w:r>
      <w:r w:rsidR="00E55616" w:rsidRPr="005060E0">
        <w:t xml:space="preserve"> (this timeframe is consistent with the goals for PM</w:t>
      </w:r>
      <w:r w:rsidR="00E55616" w:rsidRPr="005060E0">
        <w:rPr>
          <w:vertAlign w:val="subscript"/>
        </w:rPr>
        <w:t>2.5</w:t>
      </w:r>
      <w:r w:rsidR="00E55616" w:rsidRPr="005060E0">
        <w:t xml:space="preserve"> in the AAQ NEPM).</w:t>
      </w:r>
    </w:p>
    <w:p w14:paraId="3D66F10E" w14:textId="461301AC" w:rsidR="00353567" w:rsidRPr="005060E0" w:rsidRDefault="00D76146" w:rsidP="00D76146">
      <w:pPr>
        <w:pStyle w:val="ListBullet"/>
        <w:tabs>
          <w:tab w:val="left" w:pos="709"/>
        </w:tabs>
        <w:ind w:left="2694" w:hanging="2337"/>
      </w:pPr>
      <w:r w:rsidRPr="005060E0">
        <w:t xml:space="preserve">Recommendation </w:t>
      </w:r>
      <w:r w:rsidR="00F1528A" w:rsidRPr="005060E0">
        <w:t>15</w:t>
      </w:r>
      <w:r w:rsidRPr="005060E0">
        <w:t>:</w:t>
      </w:r>
      <w:r w:rsidRPr="005060E0">
        <w:tab/>
      </w:r>
      <w:r w:rsidR="00353567" w:rsidRPr="005060E0">
        <w:t xml:space="preserve">A </w:t>
      </w:r>
      <w:r w:rsidR="00A056E7" w:rsidRPr="005060E0">
        <w:t>future annual NO</w:t>
      </w:r>
      <w:r w:rsidR="00A056E7" w:rsidRPr="005060E0">
        <w:rPr>
          <w:vertAlign w:val="subscript"/>
        </w:rPr>
        <w:t>2</w:t>
      </w:r>
      <w:r w:rsidR="00A056E7" w:rsidRPr="005060E0">
        <w:t xml:space="preserve"> standard </w:t>
      </w:r>
      <w:r w:rsidR="00353567" w:rsidRPr="005060E0">
        <w:t xml:space="preserve">of 15 ppb is recommended for implementation </w:t>
      </w:r>
      <w:r w:rsidR="0027306C" w:rsidRPr="005060E0">
        <w:t>from</w:t>
      </w:r>
      <w:r w:rsidR="00353567" w:rsidRPr="005060E0">
        <w:t xml:space="preserve"> 2025 </w:t>
      </w:r>
      <w:r w:rsidR="0087445D" w:rsidRPr="005060E0">
        <w:t xml:space="preserve">as part of an exposure-reduction framework </w:t>
      </w:r>
      <w:r w:rsidR="00353567" w:rsidRPr="005060E0">
        <w:t>(this timeframe is consistent with the goals for PM</w:t>
      </w:r>
      <w:r w:rsidR="00353567" w:rsidRPr="005060E0">
        <w:rPr>
          <w:vertAlign w:val="subscript"/>
        </w:rPr>
        <w:t>2.5</w:t>
      </w:r>
      <w:r w:rsidR="00353567" w:rsidRPr="005060E0">
        <w:t xml:space="preserve"> in the AAQ NEPM).</w:t>
      </w:r>
    </w:p>
    <w:p w14:paraId="26739A3B" w14:textId="3B0445C8" w:rsidR="00E55616" w:rsidRPr="005060E0" w:rsidRDefault="00E55616" w:rsidP="00D76146">
      <w:pPr>
        <w:pStyle w:val="ListBullet"/>
        <w:tabs>
          <w:tab w:val="left" w:pos="709"/>
        </w:tabs>
        <w:ind w:left="2694" w:hanging="2337"/>
      </w:pPr>
      <w:r w:rsidRPr="005060E0">
        <w:t xml:space="preserve">Recommendation </w:t>
      </w:r>
      <w:r w:rsidR="001316BD" w:rsidRPr="005060E0">
        <w:t>16</w:t>
      </w:r>
      <w:r w:rsidRPr="005060E0">
        <w:t xml:space="preserve">: Jurisdictions should also commence </w:t>
      </w:r>
      <w:r w:rsidR="00D41AAE">
        <w:t xml:space="preserve">annual </w:t>
      </w:r>
      <w:r w:rsidRPr="005060E0">
        <w:t>reporting on population exposure to NO</w:t>
      </w:r>
      <w:r w:rsidRPr="005060E0">
        <w:rPr>
          <w:vertAlign w:val="subscript"/>
        </w:rPr>
        <w:t>2</w:t>
      </w:r>
      <w:r w:rsidRPr="005060E0">
        <w:t xml:space="preserve"> from the commencement of a varied AAQ NEPM.</w:t>
      </w:r>
    </w:p>
    <w:p w14:paraId="4E9B2914" w14:textId="1799C967" w:rsidR="00930DE1" w:rsidRPr="005060E0" w:rsidRDefault="00682AE2" w:rsidP="00930DE1">
      <w:pPr>
        <w:pStyle w:val="Heading3"/>
      </w:pPr>
      <w:r w:rsidRPr="005060E0">
        <w:t>Ozone</w:t>
      </w:r>
    </w:p>
    <w:p w14:paraId="6DE531BE" w14:textId="02F43263" w:rsidR="00353567" w:rsidRPr="005060E0" w:rsidRDefault="00797EC8" w:rsidP="00E20C55">
      <w:pPr>
        <w:pStyle w:val="ListBullet"/>
        <w:tabs>
          <w:tab w:val="left" w:pos="709"/>
        </w:tabs>
        <w:ind w:left="2694" w:hanging="2337"/>
        <w:rPr>
          <w:rStyle w:val="ListBulletChar"/>
        </w:rPr>
      </w:pPr>
      <w:r w:rsidRPr="005060E0">
        <w:rPr>
          <w:rStyle w:val="ListBulletChar"/>
        </w:rPr>
        <w:t xml:space="preserve">Recommendation </w:t>
      </w:r>
      <w:r w:rsidR="001316BD" w:rsidRPr="005060E0">
        <w:rPr>
          <w:rStyle w:val="ListBulletChar"/>
        </w:rPr>
        <w:t>17</w:t>
      </w:r>
      <w:r w:rsidR="0096068B" w:rsidRPr="005060E0">
        <w:rPr>
          <w:rStyle w:val="ListBulletChar"/>
        </w:rPr>
        <w:t>:</w:t>
      </w:r>
      <w:r w:rsidR="0096068B" w:rsidRPr="005060E0">
        <w:rPr>
          <w:rStyle w:val="ListBulletChar"/>
        </w:rPr>
        <w:tab/>
      </w:r>
      <w:r w:rsidR="00353567" w:rsidRPr="005060E0">
        <w:rPr>
          <w:rStyle w:val="ListBulletChar"/>
        </w:rPr>
        <w:t xml:space="preserve">The current 1-hour and 4-hour standards for </w:t>
      </w:r>
      <w:r w:rsidR="00991C1D" w:rsidRPr="005060E0">
        <w:rPr>
          <w:rStyle w:val="ListBulletChar"/>
        </w:rPr>
        <w:t>O</w:t>
      </w:r>
      <w:r w:rsidR="00991C1D" w:rsidRPr="005060E0">
        <w:rPr>
          <w:rStyle w:val="ListBulletChar"/>
          <w:color w:val="auto"/>
          <w:vertAlign w:val="subscript"/>
        </w:rPr>
        <w:t>3</w:t>
      </w:r>
      <w:r w:rsidR="00991C1D" w:rsidRPr="005060E0">
        <w:rPr>
          <w:rStyle w:val="ListBulletChar"/>
        </w:rPr>
        <w:t xml:space="preserve"> </w:t>
      </w:r>
      <w:r w:rsidR="00353567" w:rsidRPr="005060E0">
        <w:rPr>
          <w:rStyle w:val="ListBulletChar"/>
        </w:rPr>
        <w:t>shoul</w:t>
      </w:r>
      <w:r w:rsidR="00930DE1" w:rsidRPr="005060E0">
        <w:rPr>
          <w:rStyle w:val="ListBulletChar"/>
        </w:rPr>
        <w:t>d be removed from the AAQ NEPM.</w:t>
      </w:r>
    </w:p>
    <w:p w14:paraId="6FDD1B85" w14:textId="3EB29D47" w:rsidR="007B6FA0" w:rsidRPr="005060E0" w:rsidRDefault="007B6FA0" w:rsidP="00E55616">
      <w:pPr>
        <w:pStyle w:val="ListBullet"/>
        <w:tabs>
          <w:tab w:val="left" w:pos="709"/>
        </w:tabs>
        <w:ind w:left="2694" w:hanging="2337"/>
        <w:rPr>
          <w:rStyle w:val="ListBulletChar"/>
        </w:rPr>
      </w:pPr>
      <w:r w:rsidRPr="005060E0">
        <w:rPr>
          <w:rStyle w:val="ListBulletChar"/>
        </w:rPr>
        <w:t xml:space="preserve">Recommendation </w:t>
      </w:r>
      <w:r w:rsidR="001316BD" w:rsidRPr="005060E0">
        <w:rPr>
          <w:rStyle w:val="ListBulletChar"/>
        </w:rPr>
        <w:t>18</w:t>
      </w:r>
      <w:r w:rsidRPr="005060E0">
        <w:rPr>
          <w:rStyle w:val="ListBulletChar"/>
        </w:rPr>
        <w:t>: Jurisdictions should continue to record and report 1-hour O</w:t>
      </w:r>
      <w:r w:rsidRPr="005060E0">
        <w:rPr>
          <w:rStyle w:val="ListBulletChar"/>
          <w:color w:val="auto"/>
          <w:vertAlign w:val="subscript"/>
        </w:rPr>
        <w:t>3</w:t>
      </w:r>
      <w:r w:rsidRPr="005060E0">
        <w:rPr>
          <w:rStyle w:val="ListBulletChar"/>
        </w:rPr>
        <w:t xml:space="preserve"> concentrations.</w:t>
      </w:r>
    </w:p>
    <w:p w14:paraId="49B5AD9E" w14:textId="755752E2" w:rsidR="00353567" w:rsidRPr="005060E0" w:rsidRDefault="00797EC8" w:rsidP="00E20C55">
      <w:pPr>
        <w:pStyle w:val="ListBullet"/>
        <w:tabs>
          <w:tab w:val="left" w:pos="709"/>
        </w:tabs>
        <w:ind w:left="2694" w:hanging="2337"/>
        <w:rPr>
          <w:rStyle w:val="ListBulletChar"/>
        </w:rPr>
      </w:pPr>
      <w:r w:rsidRPr="005060E0">
        <w:rPr>
          <w:rStyle w:val="ListBulletChar"/>
        </w:rPr>
        <w:t xml:space="preserve">Recommendation </w:t>
      </w:r>
      <w:r w:rsidR="001316BD" w:rsidRPr="005060E0">
        <w:rPr>
          <w:rStyle w:val="ListBulletChar"/>
        </w:rPr>
        <w:t>19</w:t>
      </w:r>
      <w:r w:rsidR="0096068B" w:rsidRPr="005060E0">
        <w:rPr>
          <w:rStyle w:val="ListBulletChar"/>
        </w:rPr>
        <w:t>:</w:t>
      </w:r>
      <w:r w:rsidR="0096068B" w:rsidRPr="005060E0">
        <w:rPr>
          <w:rStyle w:val="ListBulletChar"/>
        </w:rPr>
        <w:tab/>
      </w:r>
      <w:r w:rsidR="0087445D" w:rsidRPr="005060E0">
        <w:rPr>
          <w:rStyle w:val="ListBulletChar"/>
        </w:rPr>
        <w:t xml:space="preserve">A </w:t>
      </w:r>
      <w:r w:rsidR="00353567" w:rsidRPr="005060E0">
        <w:rPr>
          <w:rStyle w:val="ListBulletChar"/>
        </w:rPr>
        <w:t>rolling 8-hour standard for O</w:t>
      </w:r>
      <w:r w:rsidR="00353567" w:rsidRPr="005060E0">
        <w:rPr>
          <w:rStyle w:val="ListBulletChar"/>
          <w:color w:val="auto"/>
          <w:vertAlign w:val="subscript"/>
        </w:rPr>
        <w:t>3</w:t>
      </w:r>
      <w:r w:rsidR="00353567" w:rsidRPr="005060E0">
        <w:rPr>
          <w:rStyle w:val="ListBulletChar"/>
        </w:rPr>
        <w:t xml:space="preserve"> in the AAQ NEPM should be </w:t>
      </w:r>
      <w:r w:rsidR="0087445D" w:rsidRPr="005060E0">
        <w:rPr>
          <w:rStyle w:val="ListBulletChar"/>
        </w:rPr>
        <w:t>introduced</w:t>
      </w:r>
      <w:r w:rsidR="00353567" w:rsidRPr="005060E0">
        <w:rPr>
          <w:rStyle w:val="ListBulletChar"/>
        </w:rPr>
        <w:t>, and the numerical value of the standard should be 65 ppb.</w:t>
      </w:r>
    </w:p>
    <w:p w14:paraId="4E07F2B2" w14:textId="52F9A691" w:rsidR="00353567" w:rsidRPr="005060E0" w:rsidRDefault="00797EC8" w:rsidP="00E20C55">
      <w:pPr>
        <w:pStyle w:val="ListBullet"/>
        <w:tabs>
          <w:tab w:val="left" w:pos="709"/>
        </w:tabs>
        <w:ind w:left="2694" w:hanging="2337"/>
        <w:rPr>
          <w:rStyle w:val="ListBulletChar"/>
        </w:rPr>
      </w:pPr>
      <w:r w:rsidRPr="005060E0">
        <w:rPr>
          <w:rStyle w:val="ListBulletChar"/>
        </w:rPr>
        <w:t xml:space="preserve">Recommendation </w:t>
      </w:r>
      <w:r w:rsidR="001316BD" w:rsidRPr="005060E0">
        <w:rPr>
          <w:rStyle w:val="ListBulletChar"/>
        </w:rPr>
        <w:t>20</w:t>
      </w:r>
      <w:r w:rsidR="0096068B" w:rsidRPr="005060E0">
        <w:rPr>
          <w:rStyle w:val="ListBulletChar"/>
        </w:rPr>
        <w:t>:</w:t>
      </w:r>
      <w:r w:rsidR="0096068B" w:rsidRPr="005060E0">
        <w:rPr>
          <w:rStyle w:val="ListBulletChar"/>
        </w:rPr>
        <w:tab/>
      </w:r>
      <w:r w:rsidR="00353567" w:rsidRPr="005060E0">
        <w:rPr>
          <w:rStyle w:val="ListBulletChar"/>
        </w:rPr>
        <w:t>The 8-hour standard should be reviewed in 2025, with the option of reducing it once there is a better understanding of O</w:t>
      </w:r>
      <w:r w:rsidR="00353567" w:rsidRPr="005060E0">
        <w:rPr>
          <w:rStyle w:val="ListBulletChar"/>
          <w:color w:val="auto"/>
          <w:vertAlign w:val="subscript"/>
        </w:rPr>
        <w:t>3</w:t>
      </w:r>
      <w:r w:rsidR="00353567" w:rsidRPr="005060E0">
        <w:rPr>
          <w:rStyle w:val="ListBulletChar"/>
        </w:rPr>
        <w:t xml:space="preserve"> generation in capital city airsheds.</w:t>
      </w:r>
    </w:p>
    <w:p w14:paraId="4C9BDC94" w14:textId="23C4C41B" w:rsidR="00353567" w:rsidRPr="005060E0" w:rsidRDefault="00797EC8" w:rsidP="00E20C55">
      <w:pPr>
        <w:pStyle w:val="ListBullet"/>
        <w:tabs>
          <w:tab w:val="left" w:pos="709"/>
        </w:tabs>
        <w:ind w:left="2694" w:hanging="2337"/>
        <w:rPr>
          <w:rStyle w:val="ListBulletChar"/>
        </w:rPr>
      </w:pPr>
      <w:r w:rsidRPr="005060E0">
        <w:rPr>
          <w:rStyle w:val="ListBulletChar"/>
        </w:rPr>
        <w:t xml:space="preserve">Recommendation </w:t>
      </w:r>
      <w:r w:rsidR="001316BD" w:rsidRPr="005060E0">
        <w:rPr>
          <w:rStyle w:val="ListBulletChar"/>
        </w:rPr>
        <w:t>21</w:t>
      </w:r>
      <w:r w:rsidR="0096068B" w:rsidRPr="005060E0">
        <w:rPr>
          <w:rStyle w:val="ListBulletChar"/>
        </w:rPr>
        <w:t>:</w:t>
      </w:r>
      <w:r w:rsidR="0096068B" w:rsidRPr="005060E0">
        <w:rPr>
          <w:rStyle w:val="ListBulletChar"/>
        </w:rPr>
        <w:tab/>
      </w:r>
      <w:r w:rsidR="00353567" w:rsidRPr="005060E0">
        <w:rPr>
          <w:rStyle w:val="ListBulletChar"/>
        </w:rPr>
        <w:t>The form of the 8-hour standard for O</w:t>
      </w:r>
      <w:r w:rsidR="00353567" w:rsidRPr="005060E0">
        <w:rPr>
          <w:rStyle w:val="ListBulletChar"/>
          <w:color w:val="auto"/>
          <w:vertAlign w:val="subscript"/>
        </w:rPr>
        <w:t>3</w:t>
      </w:r>
      <w:r w:rsidR="00353567" w:rsidRPr="005060E0">
        <w:rPr>
          <w:rStyle w:val="ListBulletChar"/>
        </w:rPr>
        <w:t xml:space="preserve"> should be the maximum value with no allowable exceedances (excluding exceptional events).</w:t>
      </w:r>
    </w:p>
    <w:p w14:paraId="015B409D" w14:textId="032117D9" w:rsidR="00353567" w:rsidRPr="005060E0" w:rsidRDefault="00797EC8" w:rsidP="00E20C55">
      <w:pPr>
        <w:pStyle w:val="ListBullet"/>
        <w:tabs>
          <w:tab w:val="left" w:pos="709"/>
        </w:tabs>
        <w:ind w:left="2694" w:hanging="2337"/>
        <w:rPr>
          <w:rStyle w:val="ListBulletChar"/>
        </w:rPr>
      </w:pPr>
      <w:r w:rsidRPr="005060E0">
        <w:rPr>
          <w:rStyle w:val="ListBulletChar"/>
        </w:rPr>
        <w:t xml:space="preserve">Recommendation </w:t>
      </w:r>
      <w:r w:rsidR="001316BD" w:rsidRPr="005060E0">
        <w:rPr>
          <w:rStyle w:val="ListBulletChar"/>
        </w:rPr>
        <w:t>22</w:t>
      </w:r>
      <w:r w:rsidR="0096068B" w:rsidRPr="005060E0">
        <w:rPr>
          <w:rStyle w:val="ListBulletChar"/>
        </w:rPr>
        <w:t>:</w:t>
      </w:r>
      <w:r w:rsidR="0096068B" w:rsidRPr="005060E0">
        <w:rPr>
          <w:rStyle w:val="ListBulletChar"/>
        </w:rPr>
        <w:tab/>
      </w:r>
      <w:r w:rsidR="00353567" w:rsidRPr="005060E0">
        <w:rPr>
          <w:rStyle w:val="ListBulletChar"/>
        </w:rPr>
        <w:t>An exceptional event rule should be implemented for O</w:t>
      </w:r>
      <w:r w:rsidR="00353567" w:rsidRPr="005060E0">
        <w:rPr>
          <w:rStyle w:val="ListBulletChar"/>
          <w:color w:val="auto"/>
          <w:vertAlign w:val="subscript"/>
        </w:rPr>
        <w:t>3</w:t>
      </w:r>
      <w:r w:rsidR="00353567" w:rsidRPr="005060E0">
        <w:rPr>
          <w:rStyle w:val="ListBulletChar"/>
        </w:rPr>
        <w:t>, defined in a way that is consistent with the approach for PM</w:t>
      </w:r>
      <w:r w:rsidR="00353567" w:rsidRPr="005060E0">
        <w:rPr>
          <w:rStyle w:val="ListBulletChar"/>
          <w:color w:val="auto"/>
          <w:vertAlign w:val="subscript"/>
        </w:rPr>
        <w:t>10</w:t>
      </w:r>
      <w:r w:rsidR="00353567" w:rsidRPr="005060E0">
        <w:rPr>
          <w:rStyle w:val="ListBulletChar"/>
        </w:rPr>
        <w:t xml:space="preserve"> and PM</w:t>
      </w:r>
      <w:r w:rsidR="00353567" w:rsidRPr="005060E0">
        <w:rPr>
          <w:rStyle w:val="ListBulletChar"/>
          <w:color w:val="auto"/>
          <w:vertAlign w:val="subscript"/>
        </w:rPr>
        <w:t>2.5</w:t>
      </w:r>
      <w:r w:rsidR="00353567" w:rsidRPr="005060E0">
        <w:rPr>
          <w:rStyle w:val="ListBulletChar"/>
        </w:rPr>
        <w:t xml:space="preserve"> in the AAQ NEPM.</w:t>
      </w:r>
    </w:p>
    <w:p w14:paraId="46C67890" w14:textId="51D25311" w:rsidR="00682AE2" w:rsidRPr="005060E0" w:rsidRDefault="0096068B" w:rsidP="00E55616">
      <w:pPr>
        <w:pStyle w:val="ListBullet"/>
        <w:tabs>
          <w:tab w:val="left" w:pos="709"/>
        </w:tabs>
        <w:ind w:left="2694" w:hanging="2337"/>
        <w:rPr>
          <w:rStyle w:val="ListBulletChar"/>
        </w:rPr>
      </w:pPr>
      <w:r w:rsidRPr="005060E0">
        <w:rPr>
          <w:rStyle w:val="ListBulletChar"/>
        </w:rPr>
        <w:t xml:space="preserve">Recommendation </w:t>
      </w:r>
      <w:r w:rsidR="001316BD" w:rsidRPr="005060E0">
        <w:rPr>
          <w:rStyle w:val="ListBulletChar"/>
        </w:rPr>
        <w:t>23</w:t>
      </w:r>
      <w:r w:rsidRPr="005060E0">
        <w:rPr>
          <w:rStyle w:val="ListBulletChar"/>
        </w:rPr>
        <w:t>:</w:t>
      </w:r>
      <w:r w:rsidRPr="005060E0">
        <w:rPr>
          <w:rStyle w:val="ListBulletChar"/>
        </w:rPr>
        <w:tab/>
      </w:r>
      <w:r w:rsidR="00682AE2" w:rsidRPr="005060E0">
        <w:rPr>
          <w:rStyle w:val="ListBulletChar"/>
        </w:rPr>
        <w:t>An exposure-reduction framework</w:t>
      </w:r>
      <w:r w:rsidR="00550439" w:rsidRPr="005060E0">
        <w:rPr>
          <w:rStyle w:val="ListBulletChar"/>
        </w:rPr>
        <w:t xml:space="preserve">, in the form of a long-term goal </w:t>
      </w:r>
      <w:r w:rsidR="00682AE2" w:rsidRPr="005060E0">
        <w:rPr>
          <w:rStyle w:val="ListBulletChar"/>
        </w:rPr>
        <w:t xml:space="preserve">for </w:t>
      </w:r>
      <w:r w:rsidR="00991C1D" w:rsidRPr="005060E0">
        <w:rPr>
          <w:rStyle w:val="ListBulletChar"/>
        </w:rPr>
        <w:t>O</w:t>
      </w:r>
      <w:r w:rsidR="00991C1D" w:rsidRPr="005060E0">
        <w:rPr>
          <w:rStyle w:val="ListBulletChar"/>
          <w:color w:val="auto"/>
          <w:vertAlign w:val="subscript"/>
        </w:rPr>
        <w:t>3</w:t>
      </w:r>
      <w:r w:rsidR="00550439" w:rsidRPr="005060E0">
        <w:rPr>
          <w:rStyle w:val="ListBulletChar"/>
        </w:rPr>
        <w:t>,</w:t>
      </w:r>
      <w:r w:rsidR="00991C1D" w:rsidRPr="005060E0">
        <w:rPr>
          <w:rStyle w:val="ListBulletChar"/>
        </w:rPr>
        <w:t xml:space="preserve"> </w:t>
      </w:r>
      <w:r w:rsidR="00682AE2" w:rsidRPr="005060E0">
        <w:rPr>
          <w:rStyle w:val="ListBulletChar"/>
        </w:rPr>
        <w:t xml:space="preserve">should be </w:t>
      </w:r>
      <w:r w:rsidR="00E36CDD" w:rsidRPr="005060E0">
        <w:rPr>
          <w:rStyle w:val="ListBulletChar"/>
        </w:rPr>
        <w:t xml:space="preserve">considered </w:t>
      </w:r>
      <w:r w:rsidR="00682AE2" w:rsidRPr="005060E0">
        <w:rPr>
          <w:rStyle w:val="ListBulletChar"/>
        </w:rPr>
        <w:t>to reduce population exposure and associated health risk</w:t>
      </w:r>
      <w:r w:rsidR="0087445D" w:rsidRPr="005060E0">
        <w:rPr>
          <w:szCs w:val="20"/>
        </w:rPr>
        <w:t xml:space="preserve"> </w:t>
      </w:r>
      <w:r w:rsidR="0087445D" w:rsidRPr="005060E0">
        <w:t>once there is a better understanding of O</w:t>
      </w:r>
      <w:r w:rsidR="0087445D" w:rsidRPr="005060E0">
        <w:rPr>
          <w:vertAlign w:val="subscript"/>
        </w:rPr>
        <w:t>3</w:t>
      </w:r>
      <w:r w:rsidR="0087445D" w:rsidRPr="005060E0">
        <w:t xml:space="preserve"> generation in capital city airsheds</w:t>
      </w:r>
      <w:r w:rsidR="00682AE2" w:rsidRPr="005060E0">
        <w:rPr>
          <w:rStyle w:val="ListBulletChar"/>
        </w:rPr>
        <w:t>.</w:t>
      </w:r>
    </w:p>
    <w:p w14:paraId="75A568D0" w14:textId="24E1DD07" w:rsidR="007B6FA0" w:rsidRPr="005060E0" w:rsidRDefault="007B6FA0" w:rsidP="00E20C55">
      <w:pPr>
        <w:pStyle w:val="ListBullet"/>
        <w:tabs>
          <w:tab w:val="left" w:pos="709"/>
        </w:tabs>
        <w:ind w:left="2694" w:hanging="2337"/>
        <w:rPr>
          <w:rStyle w:val="ListBulletChar"/>
        </w:rPr>
      </w:pPr>
      <w:r w:rsidRPr="005060E0">
        <w:rPr>
          <w:rStyle w:val="ListBulletChar"/>
        </w:rPr>
        <w:t xml:space="preserve">Recommendation </w:t>
      </w:r>
      <w:r w:rsidR="001316BD" w:rsidRPr="005060E0">
        <w:rPr>
          <w:rStyle w:val="ListBulletChar"/>
        </w:rPr>
        <w:t>24</w:t>
      </w:r>
      <w:r w:rsidRPr="005060E0">
        <w:rPr>
          <w:rStyle w:val="ListBulletChar"/>
        </w:rPr>
        <w:t xml:space="preserve">: Jurisdictions should commence </w:t>
      </w:r>
      <w:r w:rsidR="00D41AAE">
        <w:rPr>
          <w:rStyle w:val="ListBulletChar"/>
        </w:rPr>
        <w:t xml:space="preserve">annual </w:t>
      </w:r>
      <w:r w:rsidRPr="005060E0">
        <w:rPr>
          <w:rStyle w:val="ListBulletChar"/>
        </w:rPr>
        <w:t>reporting on population exposure to O</w:t>
      </w:r>
      <w:r w:rsidRPr="005060E0">
        <w:rPr>
          <w:rStyle w:val="ListBulletChar"/>
          <w:color w:val="auto"/>
          <w:vertAlign w:val="subscript"/>
        </w:rPr>
        <w:t>3</w:t>
      </w:r>
      <w:r w:rsidRPr="005060E0">
        <w:rPr>
          <w:rStyle w:val="ListBulletChar"/>
        </w:rPr>
        <w:t xml:space="preserve"> from the commencement of a varied AA</w:t>
      </w:r>
      <w:r w:rsidR="00C34BD3" w:rsidRPr="005060E0">
        <w:rPr>
          <w:rStyle w:val="ListBulletChar"/>
        </w:rPr>
        <w:t>Q</w:t>
      </w:r>
      <w:r w:rsidRPr="005060E0">
        <w:rPr>
          <w:rStyle w:val="ListBulletChar"/>
        </w:rPr>
        <w:t xml:space="preserve"> NEPM.</w:t>
      </w:r>
    </w:p>
    <w:p w14:paraId="2910B21B" w14:textId="74CC5D89" w:rsidR="00BD39EA" w:rsidRPr="005060E0" w:rsidRDefault="00BD39EA" w:rsidP="00263545">
      <w:pPr>
        <w:pStyle w:val="Heading2"/>
      </w:pPr>
      <w:bookmarkStart w:id="257" w:name="_Toc3278996"/>
      <w:r w:rsidRPr="005060E0">
        <w:t>Other recommendations</w:t>
      </w:r>
      <w:bookmarkEnd w:id="257"/>
    </w:p>
    <w:p w14:paraId="5166FC99" w14:textId="2509F298" w:rsidR="00263545" w:rsidRPr="005060E0" w:rsidRDefault="00263545" w:rsidP="00245AA9">
      <w:pPr>
        <w:spacing w:after="120"/>
        <w:rPr>
          <w:szCs w:val="20"/>
        </w:rPr>
      </w:pPr>
      <w:r w:rsidRPr="005060E0">
        <w:rPr>
          <w:szCs w:val="20"/>
        </w:rPr>
        <w:t>The following general recommendations have resulted from this work:</w:t>
      </w:r>
    </w:p>
    <w:p w14:paraId="73F43350" w14:textId="1D3E32D7" w:rsidR="00245AA9" w:rsidRPr="005060E0" w:rsidRDefault="00263545" w:rsidP="00263545">
      <w:pPr>
        <w:pStyle w:val="ListBullet"/>
      </w:pPr>
      <w:r w:rsidRPr="005060E0">
        <w:t>T</w:t>
      </w:r>
      <w:r w:rsidR="00245AA9" w:rsidRPr="005060E0">
        <w:t>o assist in the assessment of air quality in the future in all Australian cities, detailed and nationally consistent emission inventories need to be developed to enable air dispersion modelling for all jurisdictions. This will enable cost-effective abatement measures to be identified for each jurisdiction ba</w:t>
      </w:r>
      <w:r w:rsidRPr="005060E0">
        <w:t>sed on an understanding of pollutant</w:t>
      </w:r>
      <w:r w:rsidR="00245AA9" w:rsidRPr="005060E0">
        <w:t xml:space="preserve"> formation in that jurisdiction.</w:t>
      </w:r>
    </w:p>
    <w:p w14:paraId="7A97AB4B" w14:textId="765D045B" w:rsidR="00991C1D" w:rsidRPr="005060E0" w:rsidRDefault="00991C1D" w:rsidP="00991C1D">
      <w:pPr>
        <w:pStyle w:val="ListBullet"/>
      </w:pPr>
      <w:r w:rsidRPr="005060E0">
        <w:t>A 1-hour O</w:t>
      </w:r>
      <w:r w:rsidRPr="005060E0">
        <w:rPr>
          <w:vertAlign w:val="subscript"/>
        </w:rPr>
        <w:t>3</w:t>
      </w:r>
      <w:r w:rsidRPr="005060E0">
        <w:t xml:space="preserve"> community health information value or alternative forecast mechanism </w:t>
      </w:r>
      <w:r w:rsidR="00933F2D">
        <w:t>should be</w:t>
      </w:r>
      <w:r w:rsidRPr="005060E0">
        <w:t xml:space="preserve"> used by states and territories to provide quick community health alerts in conjunction with an 8-hour standard.</w:t>
      </w:r>
    </w:p>
    <w:p w14:paraId="0B18C4FB" w14:textId="697D1F47" w:rsidR="00263545" w:rsidRPr="005060E0" w:rsidRDefault="00263545" w:rsidP="00263545">
      <w:pPr>
        <w:pStyle w:val="ListBullet"/>
      </w:pPr>
      <w:r w:rsidRPr="005060E0">
        <w:t>Given the growing evidence on the long-term effects of O</w:t>
      </w:r>
      <w:r w:rsidRPr="005060E0">
        <w:rPr>
          <w:vertAlign w:val="subscript"/>
        </w:rPr>
        <w:t>3</w:t>
      </w:r>
      <w:r w:rsidRPr="005060E0">
        <w:t xml:space="preserve"> on health, it is recommended that a watching brief be kept on key research and trends in international standards in this area</w:t>
      </w:r>
      <w:r w:rsidR="007B029B">
        <w:t>,</w:t>
      </w:r>
      <w:r w:rsidRPr="005060E0">
        <w:t xml:space="preserve"> with a view to potentially adopting a long-term </w:t>
      </w:r>
      <w:r w:rsidR="00863C65" w:rsidRPr="005060E0">
        <w:t xml:space="preserve">goal </w:t>
      </w:r>
      <w:r w:rsidR="00221414" w:rsidRPr="005060E0">
        <w:t>as part of an exposure</w:t>
      </w:r>
      <w:r w:rsidR="0011733C" w:rsidRPr="005060E0">
        <w:t>-</w:t>
      </w:r>
      <w:r w:rsidR="00221414" w:rsidRPr="005060E0">
        <w:t xml:space="preserve">reduction framework, </w:t>
      </w:r>
      <w:r w:rsidRPr="005060E0">
        <w:t>in the future.</w:t>
      </w:r>
    </w:p>
    <w:p w14:paraId="3A52321C" w14:textId="77777777" w:rsidR="00263545" w:rsidRPr="005060E0" w:rsidRDefault="00263545" w:rsidP="00263545">
      <w:pPr>
        <w:pStyle w:val="ListBullet"/>
      </w:pPr>
      <w:r w:rsidRPr="005060E0">
        <w:t>A watching brief should be kept on the association between SO</w:t>
      </w:r>
      <w:r w:rsidRPr="005060E0">
        <w:rPr>
          <w:vertAlign w:val="subscript"/>
        </w:rPr>
        <w:t>2</w:t>
      </w:r>
      <w:r w:rsidRPr="005060E0">
        <w:t xml:space="preserve"> and low birth weights.</w:t>
      </w:r>
    </w:p>
    <w:p w14:paraId="6631643C" w14:textId="59D67B3C" w:rsidR="00CB5360" w:rsidRPr="005060E0" w:rsidRDefault="00245AA9" w:rsidP="00263545">
      <w:pPr>
        <w:pStyle w:val="ListBullet"/>
      </w:pPr>
      <w:r w:rsidRPr="005060E0">
        <w:rPr>
          <w:szCs w:val="20"/>
        </w:rPr>
        <w:t>Consideration should be given to investigating additional abatement measures that address motor vehicle emissions and broader transport options</w:t>
      </w:r>
      <w:r w:rsidR="007B029B">
        <w:rPr>
          <w:szCs w:val="20"/>
        </w:rPr>
        <w:t>,</w:t>
      </w:r>
      <w:r w:rsidRPr="005060E0">
        <w:rPr>
          <w:szCs w:val="20"/>
        </w:rPr>
        <w:t xml:space="preserve"> given the significant contribution to NO</w:t>
      </w:r>
      <w:r w:rsidRPr="005060E0">
        <w:rPr>
          <w:szCs w:val="20"/>
          <w:vertAlign w:val="subscript"/>
        </w:rPr>
        <w:t>2</w:t>
      </w:r>
      <w:r w:rsidRPr="005060E0">
        <w:rPr>
          <w:szCs w:val="20"/>
        </w:rPr>
        <w:t xml:space="preserve"> levels in Australian cities from these sources.</w:t>
      </w:r>
    </w:p>
    <w:p w14:paraId="19FEFF23" w14:textId="25915E5D" w:rsidR="000E7957" w:rsidRPr="005060E0" w:rsidRDefault="000E7957" w:rsidP="000E7957">
      <w:pPr>
        <w:pStyle w:val="ListBullet"/>
      </w:pPr>
      <w:r w:rsidRPr="005060E0">
        <w:t>Clause 14 in the AAQ NEPM (Number of performance monitoring stations) should be amended to introduce a primary focus on risk as determined by jurisdictions.</w:t>
      </w:r>
    </w:p>
    <w:p w14:paraId="64E09C8C" w14:textId="1442806B" w:rsidR="00850899" w:rsidRPr="005060E0" w:rsidRDefault="000E7957" w:rsidP="00CE0714">
      <w:pPr>
        <w:pStyle w:val="ListBullet"/>
        <w:spacing w:after="120"/>
        <w:rPr>
          <w:szCs w:val="20"/>
        </w:rPr>
      </w:pPr>
      <w:r w:rsidRPr="005060E0">
        <w:t>The allowable exceedances rule should be removed for CO for consistency with the other pollutants in the AAQ NEPM</w:t>
      </w:r>
      <w:r w:rsidR="007B029B">
        <w:t>,</w:t>
      </w:r>
      <w:r w:rsidRPr="005060E0">
        <w:t xml:space="preserve"> and based on the recent historical and likely concentrations of CO in the future.</w:t>
      </w:r>
    </w:p>
    <w:p w14:paraId="6854BB4E" w14:textId="77777777" w:rsidR="006F4BAE" w:rsidRPr="005060E0" w:rsidRDefault="006F4BAE" w:rsidP="00245AA9">
      <w:pPr>
        <w:spacing w:after="120"/>
      </w:pPr>
    </w:p>
    <w:p w14:paraId="3410798F" w14:textId="3EDABB6B" w:rsidR="00CD13FB" w:rsidRPr="005060E0" w:rsidRDefault="00CD13FB" w:rsidP="00245AA9">
      <w:pPr>
        <w:spacing w:after="120"/>
        <w:rPr>
          <w:color w:val="FF0000"/>
          <w:szCs w:val="20"/>
        </w:rPr>
        <w:sectPr w:rsidR="00CD13FB" w:rsidRPr="005060E0" w:rsidSect="00F30B35">
          <w:headerReference w:type="default" r:id="rId47"/>
          <w:pgSz w:w="11906" w:h="16838" w:code="9"/>
          <w:pgMar w:top="1440" w:right="1133" w:bottom="1843" w:left="1134" w:header="680" w:footer="170" w:gutter="0"/>
          <w:cols w:space="708"/>
          <w:docGrid w:linePitch="360"/>
        </w:sectPr>
      </w:pPr>
    </w:p>
    <w:p w14:paraId="0646927C" w14:textId="09506F67" w:rsidR="008E1787" w:rsidRPr="005060E0" w:rsidRDefault="008E1787" w:rsidP="005B73CB">
      <w:pPr>
        <w:pStyle w:val="Heading1"/>
        <w:spacing w:after="360"/>
      </w:pPr>
      <w:bookmarkStart w:id="258" w:name="_Toc478383062"/>
      <w:bookmarkStart w:id="259" w:name="_Toc479201575"/>
      <w:bookmarkStart w:id="260" w:name="_Toc3278997"/>
      <w:r w:rsidRPr="005060E0">
        <w:t>Limitations and uncertainties</w:t>
      </w:r>
      <w:bookmarkEnd w:id="258"/>
      <w:bookmarkEnd w:id="259"/>
      <w:bookmarkEnd w:id="260"/>
    </w:p>
    <w:p w14:paraId="69DA958D" w14:textId="09CA72AC" w:rsidR="00931EBD" w:rsidRPr="005060E0" w:rsidRDefault="00931EBD" w:rsidP="005B73CB">
      <w:pPr>
        <w:pStyle w:val="Heading2"/>
        <w:spacing w:before="320" w:after="200"/>
      </w:pPr>
      <w:bookmarkStart w:id="261" w:name="_Toc3278998"/>
      <w:r w:rsidRPr="005060E0">
        <w:t>Overview</w:t>
      </w:r>
      <w:bookmarkEnd w:id="261"/>
    </w:p>
    <w:p w14:paraId="5C6E615B" w14:textId="5F7EC737" w:rsidR="008E1787" w:rsidRPr="005060E0" w:rsidRDefault="008E1787" w:rsidP="005B73CB">
      <w:pPr>
        <w:spacing w:after="140" w:line="276" w:lineRule="atLeast"/>
        <w:rPr>
          <w:szCs w:val="20"/>
        </w:rPr>
      </w:pPr>
      <w:r w:rsidRPr="005060E0">
        <w:rPr>
          <w:szCs w:val="20"/>
        </w:rPr>
        <w:t>There are a number of limitations and uncertainties arising in respect of the benefits which have been modelled in this analysis that may result in the total quantum of estimated benefit</w:t>
      </w:r>
      <w:r w:rsidR="00931EBD" w:rsidRPr="005060E0">
        <w:rPr>
          <w:szCs w:val="20"/>
        </w:rPr>
        <w:t xml:space="preserve">s being somewhat underestimated. </w:t>
      </w:r>
      <w:r w:rsidRPr="005060E0">
        <w:rPr>
          <w:szCs w:val="20"/>
        </w:rPr>
        <w:t>This largely arises due to a number of benefits no</w:t>
      </w:r>
      <w:r w:rsidR="00931EBD" w:rsidRPr="005060E0">
        <w:rPr>
          <w:szCs w:val="20"/>
        </w:rPr>
        <w:t xml:space="preserve">t being explicitly quantified. </w:t>
      </w:r>
      <w:r w:rsidRPr="005060E0">
        <w:rPr>
          <w:szCs w:val="20"/>
        </w:rPr>
        <w:t>These include:</w:t>
      </w:r>
    </w:p>
    <w:p w14:paraId="1199D6C0" w14:textId="44A94986" w:rsidR="008E1787" w:rsidRPr="005060E0" w:rsidRDefault="001D5B1F" w:rsidP="005B73CB">
      <w:pPr>
        <w:pStyle w:val="ListBullet"/>
        <w:spacing w:after="160" w:line="276" w:lineRule="atLeast"/>
        <w:ind w:left="714" w:hanging="357"/>
      </w:pPr>
      <w:r>
        <w:t>o</w:t>
      </w:r>
      <w:r w:rsidR="008E1787" w:rsidRPr="005060E0">
        <w:t>ther potential health outcomes</w:t>
      </w:r>
    </w:p>
    <w:p w14:paraId="55D02C6F" w14:textId="3182F4AC" w:rsidR="008E1787" w:rsidRPr="005060E0" w:rsidRDefault="001D5B1F" w:rsidP="005B73CB">
      <w:pPr>
        <w:pStyle w:val="ListBullet"/>
        <w:spacing w:after="160" w:line="276" w:lineRule="atLeast"/>
        <w:ind w:left="714" w:hanging="357"/>
      </w:pPr>
      <w:r>
        <w:t>t</w:t>
      </w:r>
      <w:r w:rsidR="008E1787" w:rsidRPr="005060E0">
        <w:t>he locations modelled being confined to large cities and a number of major regional centres</w:t>
      </w:r>
    </w:p>
    <w:p w14:paraId="2E45905E" w14:textId="4D07FF23" w:rsidR="008E1787" w:rsidRPr="005060E0" w:rsidRDefault="001D5B1F" w:rsidP="005B73CB">
      <w:pPr>
        <w:pStyle w:val="ListBullet"/>
        <w:spacing w:after="160" w:line="276" w:lineRule="atLeast"/>
        <w:ind w:left="714" w:hanging="357"/>
      </w:pPr>
      <w:r>
        <w:t>r</w:t>
      </w:r>
      <w:r w:rsidR="008E1787" w:rsidRPr="005060E0">
        <w:t>eductions in other pollutants other than those for which new standards are being proposed (and the co-benefits arising from reductions in PM</w:t>
      </w:r>
      <w:r w:rsidR="008E1787" w:rsidRPr="005060E0">
        <w:rPr>
          <w:vertAlign w:val="subscript"/>
        </w:rPr>
        <w:t>2.5</w:t>
      </w:r>
      <w:r w:rsidR="008E1787" w:rsidRPr="005060E0">
        <w:t>)</w:t>
      </w:r>
    </w:p>
    <w:p w14:paraId="3DC02B28" w14:textId="7F2F193A" w:rsidR="008E1787" w:rsidRPr="005060E0" w:rsidRDefault="001D5B1F" w:rsidP="005B73CB">
      <w:pPr>
        <w:pStyle w:val="ListBullet"/>
        <w:spacing w:after="160" w:line="276" w:lineRule="atLeast"/>
        <w:ind w:left="714" w:hanging="357"/>
      </w:pPr>
      <w:r>
        <w:t>o</w:t>
      </w:r>
      <w:r w:rsidR="008E1787" w:rsidRPr="005060E0">
        <w:t>ther non-health benefits (</w:t>
      </w:r>
      <w:r w:rsidR="00DA4046">
        <w:t>e.g.</w:t>
      </w:r>
      <w:r w:rsidR="008E1787" w:rsidRPr="005060E0">
        <w:t xml:space="preserve"> reduced productivity)</w:t>
      </w:r>
    </w:p>
    <w:p w14:paraId="1044828A" w14:textId="4CE7C2C0" w:rsidR="008E1787" w:rsidRPr="005060E0" w:rsidRDefault="001D5B1F" w:rsidP="005B73CB">
      <w:pPr>
        <w:pStyle w:val="ListBullet"/>
        <w:spacing w:after="160" w:line="276" w:lineRule="atLeast"/>
        <w:ind w:left="714" w:hanging="357"/>
      </w:pPr>
      <w:r>
        <w:t>e</w:t>
      </w:r>
      <w:r w:rsidR="008E1787" w:rsidRPr="005060E0">
        <w:t>nvironmental benefits.</w:t>
      </w:r>
    </w:p>
    <w:p w14:paraId="2F5095EA" w14:textId="04CE014A" w:rsidR="008E1787" w:rsidRPr="005060E0" w:rsidRDefault="008E1787" w:rsidP="005B73CB">
      <w:pPr>
        <w:spacing w:after="160" w:line="276" w:lineRule="atLeast"/>
      </w:pPr>
      <w:r w:rsidRPr="005060E0">
        <w:rPr>
          <w:szCs w:val="20"/>
        </w:rPr>
        <w:t>In addition, there are inherent uncertainties in the use of air dispersion models</w:t>
      </w:r>
      <w:r w:rsidR="00B00321" w:rsidRPr="005060E0">
        <w:rPr>
          <w:szCs w:val="20"/>
        </w:rPr>
        <w:t xml:space="preserve">. </w:t>
      </w:r>
    </w:p>
    <w:p w14:paraId="7A130AEC" w14:textId="7E0CB663" w:rsidR="001E3774" w:rsidRPr="005060E0" w:rsidRDefault="00931EBD" w:rsidP="005B73CB">
      <w:pPr>
        <w:pStyle w:val="Heading2"/>
        <w:spacing w:before="320" w:after="200"/>
      </w:pPr>
      <w:bookmarkStart w:id="262" w:name="_Toc3278999"/>
      <w:r w:rsidRPr="005060E0">
        <w:t>Dispersion modelling</w:t>
      </w:r>
      <w:bookmarkEnd w:id="262"/>
    </w:p>
    <w:p w14:paraId="39890F20" w14:textId="024A1197" w:rsidR="00D44F1A" w:rsidRPr="005060E0" w:rsidRDefault="001E3774" w:rsidP="005B73CB">
      <w:pPr>
        <w:spacing w:after="160" w:line="276" w:lineRule="atLeast"/>
        <w:rPr>
          <w:szCs w:val="20"/>
        </w:rPr>
      </w:pPr>
      <w:r w:rsidRPr="005060E0">
        <w:rPr>
          <w:szCs w:val="20"/>
        </w:rPr>
        <w:t>Studies of this nature involving estimates of emissions, dispersion modelling, photochemistry modelling and monitoring data contain inherent uncertainties. The overall uncertainties could be much smaller than the sum of all the individual uncertainties from a statistical point of view. The USEPA states that dispersion modelling introduces errors of ±10</w:t>
      </w:r>
      <w:r w:rsidR="00C75B58">
        <w:rPr>
          <w:rFonts w:cs="Arial"/>
          <w:szCs w:val="20"/>
        </w:rPr>
        <w:t>–</w:t>
      </w:r>
      <w:r w:rsidRPr="005060E0">
        <w:rPr>
          <w:szCs w:val="20"/>
        </w:rPr>
        <w:t>40</w:t>
      </w:r>
      <w:r w:rsidR="00C75B58">
        <w:rPr>
          <w:szCs w:val="20"/>
        </w:rPr>
        <w:t xml:space="preserve"> per cent</w:t>
      </w:r>
      <w:r w:rsidRPr="005060E0">
        <w:rPr>
          <w:szCs w:val="20"/>
        </w:rPr>
        <w:t xml:space="preserve"> in the calculations (USEPA 2005). A factor-of-two accuracy has been quoted as the general rule of thumb for accepted dispersion modelling performance (</w:t>
      </w:r>
      <w:r w:rsidR="00886AA9" w:rsidRPr="005060E0">
        <w:rPr>
          <w:szCs w:val="20"/>
        </w:rPr>
        <w:t>USEPA 2003</w:t>
      </w:r>
      <w:r w:rsidRPr="005060E0">
        <w:rPr>
          <w:szCs w:val="20"/>
        </w:rPr>
        <w:t>). Model performance analysis shows</w:t>
      </w:r>
      <w:r w:rsidR="005F44A6" w:rsidRPr="005060E0">
        <w:rPr>
          <w:szCs w:val="20"/>
        </w:rPr>
        <w:t xml:space="preserve"> both models used for this </w:t>
      </w:r>
      <w:r w:rsidR="00DF05A9" w:rsidRPr="005060E0">
        <w:rPr>
          <w:szCs w:val="20"/>
        </w:rPr>
        <w:t>Impact Statement</w:t>
      </w:r>
      <w:r w:rsidRPr="005060E0">
        <w:rPr>
          <w:szCs w:val="20"/>
        </w:rPr>
        <w:t xml:space="preserve"> were predicting concentrations within the range of acceptable accuracy.</w:t>
      </w:r>
    </w:p>
    <w:p w14:paraId="533E563C" w14:textId="77777777" w:rsidR="008E1787" w:rsidRPr="005060E0" w:rsidRDefault="008E1787" w:rsidP="005B73CB">
      <w:pPr>
        <w:pStyle w:val="Heading2"/>
        <w:spacing w:before="320" w:after="200"/>
      </w:pPr>
      <w:bookmarkStart w:id="263" w:name="_Toc3279000"/>
      <w:r w:rsidRPr="005060E0">
        <w:t>Health risk assessment</w:t>
      </w:r>
      <w:bookmarkEnd w:id="263"/>
    </w:p>
    <w:p w14:paraId="197F2D04" w14:textId="77777777" w:rsidR="008E1787" w:rsidRPr="005060E0" w:rsidRDefault="008E1787" w:rsidP="005B73CB">
      <w:pPr>
        <w:spacing w:after="140" w:line="276" w:lineRule="atLeast"/>
        <w:rPr>
          <w:szCs w:val="20"/>
        </w:rPr>
      </w:pPr>
      <w:r w:rsidRPr="005060E0">
        <w:rPr>
          <w:szCs w:val="20"/>
        </w:rPr>
        <w:t xml:space="preserve">There were a number of uncertainties in the HRA process. These included: </w:t>
      </w:r>
    </w:p>
    <w:p w14:paraId="3EEEB78A" w14:textId="60E476FD" w:rsidR="008E1787" w:rsidRPr="005060E0" w:rsidRDefault="00DA4046" w:rsidP="005B73CB">
      <w:pPr>
        <w:pStyle w:val="ListBullet"/>
        <w:spacing w:after="160" w:line="276" w:lineRule="atLeast"/>
        <w:ind w:left="714" w:hanging="357"/>
      </w:pPr>
      <w:r>
        <w:t>t</w:t>
      </w:r>
      <w:r w:rsidR="008E1787" w:rsidRPr="005060E0">
        <w:t>he use of current baseline health data for future projections. Changes in age distribution and health status over time may either increase or decrease the predicted risk (which cannot be quantified)</w:t>
      </w:r>
      <w:r w:rsidR="00B00321" w:rsidRPr="005060E0">
        <w:t xml:space="preserve">. </w:t>
      </w:r>
      <w:r w:rsidR="008E1787" w:rsidRPr="005060E0">
        <w:t>The projected ABS population data show an ageing population, with a greater percentage of people over 65 years of age in the future</w:t>
      </w:r>
    </w:p>
    <w:p w14:paraId="6703EEBD" w14:textId="199ED833" w:rsidR="008E1787" w:rsidRPr="005060E0" w:rsidRDefault="00DA4046" w:rsidP="005B73CB">
      <w:pPr>
        <w:pStyle w:val="ListBullet"/>
        <w:spacing w:after="160" w:line="276" w:lineRule="atLeast"/>
        <w:ind w:left="714" w:hanging="357"/>
      </w:pPr>
      <w:r>
        <w:t>u</w:t>
      </w:r>
      <w:r w:rsidR="008E1787" w:rsidRPr="005060E0">
        <w:t>ncertainties in air dispersion modelling may over-predict or under-predict the exposure data used in the HRA, which in turn may over-predict or under-predict health outcomes. As discussed in Appendix A,</w:t>
      </w:r>
      <w:r w:rsidR="00C143F1" w:rsidRPr="005060E0">
        <w:t xml:space="preserve"> analysis of the predicted O</w:t>
      </w:r>
      <w:r w:rsidR="00C143F1" w:rsidRPr="005060E0">
        <w:rPr>
          <w:vertAlign w:val="subscript"/>
        </w:rPr>
        <w:t>3</w:t>
      </w:r>
      <w:r w:rsidR="008E1787" w:rsidRPr="005060E0">
        <w:t xml:space="preserve"> levels in Sydney suggests that the model is under-predicting</w:t>
      </w:r>
      <w:r w:rsidR="00B00321" w:rsidRPr="005060E0">
        <w:t xml:space="preserve">. </w:t>
      </w:r>
      <w:r w:rsidR="008E1787" w:rsidRPr="005060E0">
        <w:t>This means the predicted health effects and avoided health effects if alternative standards were met may also be underestimated</w:t>
      </w:r>
    </w:p>
    <w:p w14:paraId="1CEABF0D" w14:textId="030C5864" w:rsidR="008E1787" w:rsidRPr="005060E0" w:rsidRDefault="00DA4046" w:rsidP="005B73CB">
      <w:pPr>
        <w:pStyle w:val="ListBullet"/>
        <w:spacing w:after="160" w:line="276" w:lineRule="atLeast"/>
        <w:ind w:left="714" w:hanging="357"/>
      </w:pPr>
      <w:r>
        <w:t>t</w:t>
      </w:r>
      <w:r w:rsidR="008E1787" w:rsidRPr="005060E0">
        <w:t>he use of overseas concentration-response data to assess long-term NO</w:t>
      </w:r>
      <w:r w:rsidR="008E1787" w:rsidRPr="005060E0">
        <w:rPr>
          <w:vertAlign w:val="subscript"/>
        </w:rPr>
        <w:t>2</w:t>
      </w:r>
      <w:r w:rsidR="008E1787" w:rsidRPr="005060E0">
        <w:t xml:space="preserve"> impacts may result in uncertainty due to differences in population, air pollution levels, and climatic conditions</w:t>
      </w:r>
      <w:r>
        <w:t>,</w:t>
      </w:r>
      <w:r w:rsidR="008E1787" w:rsidRPr="005060E0">
        <w:t xml:space="preserve"> that may change the risk to the population in Australian cities</w:t>
      </w:r>
      <w:r w:rsidR="00B00321" w:rsidRPr="005060E0">
        <w:t xml:space="preserve">. </w:t>
      </w:r>
      <w:r w:rsidR="008E1787" w:rsidRPr="005060E0">
        <w:t>Results of short-term studies</w:t>
      </w:r>
      <w:r w:rsidRPr="005060E0">
        <w:t xml:space="preserve"> conducted in Australia</w:t>
      </w:r>
      <w:r w:rsidR="008E1787" w:rsidRPr="005060E0">
        <w:t xml:space="preserve"> on the impact of NO</w:t>
      </w:r>
      <w:r w:rsidR="008E1787" w:rsidRPr="005060E0">
        <w:rPr>
          <w:vertAlign w:val="subscript"/>
        </w:rPr>
        <w:t>2</w:t>
      </w:r>
      <w:r w:rsidR="008E1787" w:rsidRPr="005060E0">
        <w:t xml:space="preserve"> on mortality and hospital admissions have found similar results to those obtained in studies in Europe and Canada. On that basis the uncertainty introduced by using the long-term estimates from European studies is likely to be small.</w:t>
      </w:r>
    </w:p>
    <w:p w14:paraId="20523BB8" w14:textId="0BA7A782" w:rsidR="008E1787" w:rsidRPr="005060E0" w:rsidRDefault="00931EBD" w:rsidP="00931EBD">
      <w:pPr>
        <w:pStyle w:val="Heading2"/>
      </w:pPr>
      <w:bookmarkStart w:id="264" w:name="_Toc3279001"/>
      <w:r w:rsidRPr="005060E0">
        <w:t>Cost</w:t>
      </w:r>
      <w:r w:rsidR="00875B93" w:rsidRPr="005060E0">
        <w:t>–</w:t>
      </w:r>
      <w:r w:rsidRPr="005060E0">
        <w:t>benefit analysis</w:t>
      </w:r>
      <w:bookmarkEnd w:id="264"/>
    </w:p>
    <w:p w14:paraId="5DD31228" w14:textId="3337DC27" w:rsidR="00C31A1C" w:rsidRPr="005060E0" w:rsidRDefault="00931EBD" w:rsidP="00C31A1C">
      <w:pPr>
        <w:rPr>
          <w:szCs w:val="20"/>
        </w:rPr>
      </w:pPr>
      <w:r w:rsidRPr="005060E0">
        <w:rPr>
          <w:szCs w:val="20"/>
        </w:rPr>
        <w:t xml:space="preserve">The following are </w:t>
      </w:r>
      <w:r w:rsidR="00C31A1C" w:rsidRPr="005060E0">
        <w:rPr>
          <w:szCs w:val="20"/>
        </w:rPr>
        <w:t>key limitations with respect to the estimation of costs in the CBA:</w:t>
      </w:r>
    </w:p>
    <w:p w14:paraId="056C7B2D" w14:textId="6178114A" w:rsidR="00C31A1C" w:rsidRPr="005060E0" w:rsidRDefault="00C31A1C" w:rsidP="00C31A1C">
      <w:pPr>
        <w:pStyle w:val="ListBullet"/>
      </w:pPr>
      <w:r w:rsidRPr="005060E0">
        <w:t>The costing of the abatement measures was derived from high-level desktop research of p</w:t>
      </w:r>
      <w:r w:rsidR="00931EBD" w:rsidRPr="005060E0">
        <w:t xml:space="preserve">ublicly available information. </w:t>
      </w:r>
      <w:r w:rsidRPr="005060E0">
        <w:t>No consultation with industry was undertaken to determine the feasibility of implementing the abatement measures, to what extent they may have already been partially implemented, or whether there are other mechanisms which could achieve a similar abatement result but at a different cost.</w:t>
      </w:r>
    </w:p>
    <w:p w14:paraId="2DBE1D61" w14:textId="52AAA4AF" w:rsidR="00C31A1C" w:rsidRPr="005060E0" w:rsidRDefault="00C31A1C" w:rsidP="00C31A1C">
      <w:pPr>
        <w:pStyle w:val="ListBullet"/>
      </w:pPr>
      <w:r w:rsidRPr="005060E0">
        <w:t>Whilst some of the abatement measures have previously been the subject of detailed analysis, and so likely accurately reflect the true cost of implementation, other measures have limited cost data availability (either in an Australian context or where implemented overseas) and so should be considered indicative only.</w:t>
      </w:r>
    </w:p>
    <w:p w14:paraId="7179D645" w14:textId="39D1DC07" w:rsidR="00C31A1C" w:rsidRPr="005060E0" w:rsidRDefault="00C31A1C" w:rsidP="00C31A1C">
      <w:pPr>
        <w:rPr>
          <w:szCs w:val="20"/>
        </w:rPr>
      </w:pPr>
      <w:r w:rsidRPr="005060E0">
        <w:rPr>
          <w:szCs w:val="20"/>
        </w:rPr>
        <w:t xml:space="preserve">In addition, the costs associated with a number of abatement measures are highly dependent on a range of detailed implementation </w:t>
      </w:r>
      <w:r w:rsidR="006E615F" w:rsidRPr="005060E0">
        <w:rPr>
          <w:szCs w:val="20"/>
        </w:rPr>
        <w:t>assumptions and</w:t>
      </w:r>
      <w:r w:rsidR="00931EBD" w:rsidRPr="005060E0">
        <w:rPr>
          <w:szCs w:val="20"/>
        </w:rPr>
        <w:t xml:space="preserve"> were only considered at a high</w:t>
      </w:r>
      <w:r w:rsidR="00DA4046">
        <w:rPr>
          <w:szCs w:val="20"/>
        </w:rPr>
        <w:t xml:space="preserve"> </w:t>
      </w:r>
      <w:r w:rsidRPr="005060E0">
        <w:rPr>
          <w:szCs w:val="20"/>
        </w:rPr>
        <w:t>level in the CBA.</w:t>
      </w:r>
    </w:p>
    <w:p w14:paraId="3AFCA00F" w14:textId="65DADC9A" w:rsidR="00931EBD" w:rsidRPr="005060E0" w:rsidRDefault="00931EBD" w:rsidP="00931EBD">
      <w:pPr>
        <w:pStyle w:val="BodyText"/>
      </w:pPr>
      <w:r w:rsidRPr="005060E0">
        <w:t>In relation to benefits:</w:t>
      </w:r>
    </w:p>
    <w:p w14:paraId="08953A91" w14:textId="42F2D30C" w:rsidR="00931EBD" w:rsidRPr="005060E0" w:rsidRDefault="00931EBD" w:rsidP="00931EBD">
      <w:pPr>
        <w:pStyle w:val="ListBullet"/>
      </w:pPr>
      <w:r w:rsidRPr="005060E0">
        <w:t xml:space="preserve">There are a number of benefits </w:t>
      </w:r>
      <w:r w:rsidR="00DA4046">
        <w:t>that</w:t>
      </w:r>
      <w:r w:rsidR="00DA4046" w:rsidRPr="005060E0">
        <w:t xml:space="preserve"> </w:t>
      </w:r>
      <w:r w:rsidRPr="005060E0">
        <w:t>could not be reliability quantified.</w:t>
      </w:r>
    </w:p>
    <w:p w14:paraId="5FF47B5B" w14:textId="45AEB305" w:rsidR="00931EBD" w:rsidRPr="005060E0" w:rsidRDefault="00931EBD" w:rsidP="00931EBD">
      <w:pPr>
        <w:pStyle w:val="ListBullet"/>
      </w:pPr>
      <w:r w:rsidRPr="005060E0">
        <w:t>The costs and benefits of the abatement measures do not reflect the likely costs and benefits of meeting various air quality standards.</w:t>
      </w:r>
    </w:p>
    <w:p w14:paraId="412D321E" w14:textId="786B5449" w:rsidR="00DB400D" w:rsidRPr="005060E0" w:rsidRDefault="00931EBD" w:rsidP="00931EBD">
      <w:pPr>
        <w:pStyle w:val="BodyText"/>
      </w:pPr>
      <w:r w:rsidRPr="005060E0">
        <w:t>Unquantified benefits include lost labour productivity, a reduction in the emission of other pollutants, avoidance of some non-health impacts, and a reduction in secondary PM formation.</w:t>
      </w:r>
    </w:p>
    <w:p w14:paraId="488D6EE1" w14:textId="6E279D78" w:rsidR="00DB400D" w:rsidRPr="005060E0" w:rsidRDefault="00DB400D">
      <w:pPr>
        <w:spacing w:after="160" w:line="259" w:lineRule="auto"/>
      </w:pPr>
    </w:p>
    <w:p w14:paraId="51D832F4" w14:textId="77777777" w:rsidR="00CD13FB" w:rsidRPr="005060E0" w:rsidRDefault="00CD13FB" w:rsidP="00DB400D">
      <w:pPr>
        <w:pStyle w:val="Heading1"/>
        <w:sectPr w:rsidR="00CD13FB" w:rsidRPr="005060E0" w:rsidSect="00F30B35">
          <w:headerReference w:type="default" r:id="rId48"/>
          <w:pgSz w:w="11906" w:h="16838" w:code="9"/>
          <w:pgMar w:top="1440" w:right="1133" w:bottom="1843" w:left="1134" w:header="680" w:footer="170" w:gutter="0"/>
          <w:cols w:space="708"/>
          <w:docGrid w:linePitch="360"/>
        </w:sectPr>
      </w:pPr>
    </w:p>
    <w:p w14:paraId="111E421A" w14:textId="2A8BD788" w:rsidR="00DB400D" w:rsidRPr="005060E0" w:rsidRDefault="00DB400D" w:rsidP="00C52A80">
      <w:pPr>
        <w:pStyle w:val="Heading1"/>
        <w:spacing w:after="440"/>
      </w:pPr>
      <w:bookmarkStart w:id="265" w:name="_Toc3279002"/>
      <w:r w:rsidRPr="005060E0">
        <w:t>Consultation</w:t>
      </w:r>
      <w:bookmarkEnd w:id="265"/>
    </w:p>
    <w:p w14:paraId="51CC8441" w14:textId="121417C6" w:rsidR="006C0F1D" w:rsidRPr="005060E0" w:rsidRDefault="00D61514" w:rsidP="00C52A80">
      <w:pPr>
        <w:pStyle w:val="BodyText"/>
        <w:spacing w:after="160" w:line="276" w:lineRule="atLeast"/>
      </w:pPr>
      <w:r w:rsidRPr="005060E0">
        <w:t>Stakeholder i</w:t>
      </w:r>
      <w:r w:rsidR="00DB400D" w:rsidRPr="005060E0">
        <w:t xml:space="preserve">nput </w:t>
      </w:r>
      <w:r w:rsidRPr="005060E0">
        <w:t xml:space="preserve">is being sought </w:t>
      </w:r>
      <w:r w:rsidR="00701CCB" w:rsidRPr="005060E0">
        <w:t>on the options outlined in the Impact Statement</w:t>
      </w:r>
      <w:r w:rsidR="00DB400D" w:rsidRPr="005060E0">
        <w:t>.</w:t>
      </w:r>
      <w:r w:rsidR="006C0F1D" w:rsidRPr="005060E0">
        <w:t xml:space="preserve"> Consultation questions are included at the end of each chapter as a guide to assist stakeholders to provide input.</w:t>
      </w:r>
      <w:r w:rsidR="00415A1D" w:rsidRPr="005060E0">
        <w:t xml:space="preserve"> A list of all the consultation questions is provided at the end of this chapter</w:t>
      </w:r>
      <w:r w:rsidR="00616B3E">
        <w:t>;</w:t>
      </w:r>
      <w:r w:rsidR="006C0F1D" w:rsidRPr="005060E0">
        <w:t xml:space="preserve"> </w:t>
      </w:r>
      <w:r w:rsidR="00616B3E">
        <w:t>h</w:t>
      </w:r>
      <w:r w:rsidR="006C0F1D" w:rsidRPr="005060E0">
        <w:t>owever, f</w:t>
      </w:r>
      <w:r w:rsidR="00DB400D" w:rsidRPr="005060E0">
        <w:t xml:space="preserve">eedback is also welcomed on </w:t>
      </w:r>
      <w:r w:rsidR="00701CCB" w:rsidRPr="005060E0">
        <w:t xml:space="preserve">other aspects of </w:t>
      </w:r>
      <w:r w:rsidR="00DB400D" w:rsidRPr="005060E0">
        <w:t>the Impact Statement</w:t>
      </w:r>
      <w:r w:rsidR="006C0F1D" w:rsidRPr="005060E0">
        <w:t xml:space="preserve"> and its appendices</w:t>
      </w:r>
      <w:r w:rsidR="00DB400D" w:rsidRPr="005060E0">
        <w:t>.</w:t>
      </w:r>
    </w:p>
    <w:p w14:paraId="55A76387" w14:textId="64D46071" w:rsidR="00DB400D" w:rsidRPr="005060E0" w:rsidRDefault="00DB400D" w:rsidP="00C52A80">
      <w:pPr>
        <w:pStyle w:val="BodyText"/>
        <w:spacing w:after="160" w:line="276" w:lineRule="atLeast"/>
      </w:pPr>
      <w:r w:rsidRPr="005060E0">
        <w:t>All submissions are public documents unless clearly marked ‘confidential’ and may be made available to other interested parties, including by being published on the NEPC website. Stakeholders should indicate if their submission is confidential or clearly indicate sections that may contain confidential or sensitive information that is not for publication.</w:t>
      </w:r>
    </w:p>
    <w:p w14:paraId="7D9AFFFB" w14:textId="0525AB25" w:rsidR="00701CCB" w:rsidRPr="005060E0" w:rsidRDefault="00701CCB" w:rsidP="00C52A80">
      <w:pPr>
        <w:pStyle w:val="BodyText"/>
        <w:spacing w:after="160" w:line="276" w:lineRule="atLeast"/>
      </w:pPr>
      <w:r w:rsidRPr="005060E0">
        <w:t>Feedback received during the public comment period will be used to inform the development of the NEPM variation.</w:t>
      </w:r>
    </w:p>
    <w:p w14:paraId="4284C583" w14:textId="0A05269B" w:rsidR="00701CCB" w:rsidRPr="00264EBC" w:rsidRDefault="00701CCB" w:rsidP="00C52A80">
      <w:pPr>
        <w:pStyle w:val="BodyText"/>
        <w:spacing w:after="160" w:line="276" w:lineRule="atLeast"/>
      </w:pPr>
      <w:r w:rsidRPr="005060E0">
        <w:t xml:space="preserve">The </w:t>
      </w:r>
      <w:r w:rsidRPr="005060E0">
        <w:rPr>
          <w:i/>
        </w:rPr>
        <w:t>National Environment Protection Council Act 1994</w:t>
      </w:r>
      <w:r w:rsidRPr="005060E0">
        <w:t xml:space="preserve"> requires that both the draft AAQ NEPM variation and the Impact Statement be made available for public consultation for a period of at least two months. The consultation period will occur over a</w:t>
      </w:r>
      <w:r w:rsidR="00343B38">
        <w:t>n</w:t>
      </w:r>
      <w:r w:rsidRPr="005060E0">
        <w:t xml:space="preserve"> </w:t>
      </w:r>
      <w:r w:rsidR="00616B3E" w:rsidRPr="00264EBC">
        <w:t>1</w:t>
      </w:r>
      <w:r w:rsidR="00343B38">
        <w:t>1</w:t>
      </w:r>
      <w:r w:rsidR="00B81325" w:rsidRPr="00264EBC">
        <w:t>-</w:t>
      </w:r>
      <w:r w:rsidRPr="00264EBC">
        <w:t xml:space="preserve">week period from </w:t>
      </w:r>
      <w:r w:rsidR="0094743D" w:rsidRPr="00264EBC">
        <w:t xml:space="preserve">May </w:t>
      </w:r>
      <w:r w:rsidR="00C96D2B" w:rsidRPr="00264EBC">
        <w:t xml:space="preserve">to </w:t>
      </w:r>
      <w:r w:rsidR="000958BB">
        <w:t>August</w:t>
      </w:r>
      <w:r w:rsidR="00C96D2B" w:rsidRPr="00264EBC">
        <w:t xml:space="preserve"> </w:t>
      </w:r>
      <w:r w:rsidRPr="00264EBC">
        <w:t>201</w:t>
      </w:r>
      <w:r w:rsidR="00C96D2B" w:rsidRPr="00264EBC">
        <w:t>9</w:t>
      </w:r>
      <w:r w:rsidRPr="00264EBC">
        <w:t>. The views of stakeholders on these documents are being sought through written and</w:t>
      </w:r>
      <w:r w:rsidR="00C96D2B" w:rsidRPr="00264EBC">
        <w:t xml:space="preserve"> </w:t>
      </w:r>
      <w:r w:rsidRPr="00264EBC">
        <w:t>online submissions.</w:t>
      </w:r>
    </w:p>
    <w:p w14:paraId="1B0A524E" w14:textId="4FCD80F6" w:rsidR="00C96D2B" w:rsidRPr="00264EBC" w:rsidRDefault="00C96D2B" w:rsidP="00C52A80">
      <w:pPr>
        <w:pStyle w:val="BodyText"/>
        <w:spacing w:after="160" w:line="276" w:lineRule="atLeast"/>
      </w:pPr>
      <w:r w:rsidRPr="00264EBC">
        <w:t xml:space="preserve">Online submissions are preferred and can be made via: </w:t>
      </w:r>
      <w:hyperlink r:id="rId49" w:history="1">
        <w:r w:rsidR="00616B3E" w:rsidRPr="00264EBC">
          <w:rPr>
            <w:rStyle w:val="Hyperlink"/>
          </w:rPr>
          <w:t>nepc@environment.gov.au</w:t>
        </w:r>
      </w:hyperlink>
      <w:r w:rsidRPr="00264EBC">
        <w:t xml:space="preserve"> </w:t>
      </w:r>
    </w:p>
    <w:p w14:paraId="76043959" w14:textId="19D92DFE" w:rsidR="00C96D2B" w:rsidRPr="00264EBC" w:rsidRDefault="00C96D2B" w:rsidP="00C52A80">
      <w:pPr>
        <w:pStyle w:val="BodyText"/>
        <w:spacing w:after="160" w:line="276" w:lineRule="atLeast"/>
      </w:pPr>
      <w:r w:rsidRPr="00264EBC">
        <w:t>Written submissions may also be made and sent to:</w:t>
      </w:r>
    </w:p>
    <w:p w14:paraId="0328CCE1" w14:textId="293FC8E9" w:rsidR="0094743D" w:rsidRPr="00264EBC" w:rsidRDefault="0094743D" w:rsidP="0094743D">
      <w:pPr>
        <w:pStyle w:val="BodyText"/>
        <w:spacing w:after="0"/>
        <w:ind w:left="2835"/>
        <w:rPr>
          <w:b/>
        </w:rPr>
      </w:pPr>
      <w:r w:rsidRPr="00264EBC">
        <w:rPr>
          <w:b/>
        </w:rPr>
        <w:t>Adam Carlon, NEPC Executive Officer</w:t>
      </w:r>
    </w:p>
    <w:p w14:paraId="4F4891A1" w14:textId="77777777" w:rsidR="0094743D" w:rsidRPr="00264EBC" w:rsidRDefault="0094743D" w:rsidP="0094743D">
      <w:pPr>
        <w:pStyle w:val="BodyText"/>
        <w:spacing w:after="0"/>
        <w:ind w:left="2835"/>
        <w:rPr>
          <w:b/>
        </w:rPr>
      </w:pPr>
      <w:r w:rsidRPr="00264EBC">
        <w:rPr>
          <w:b/>
        </w:rPr>
        <w:t>National Environment Protection Council</w:t>
      </w:r>
    </w:p>
    <w:p w14:paraId="2E07A8AE" w14:textId="77777777" w:rsidR="0094743D" w:rsidRPr="00264EBC" w:rsidRDefault="0094743D" w:rsidP="0094743D">
      <w:pPr>
        <w:pStyle w:val="BodyText"/>
        <w:spacing w:after="0"/>
        <w:ind w:left="2835"/>
        <w:rPr>
          <w:b/>
        </w:rPr>
      </w:pPr>
      <w:r w:rsidRPr="00264EBC">
        <w:rPr>
          <w:b/>
        </w:rPr>
        <w:t>Department of the Environment and Energy</w:t>
      </w:r>
    </w:p>
    <w:p w14:paraId="76DEE7DC" w14:textId="77777777" w:rsidR="0094743D" w:rsidRPr="00264EBC" w:rsidRDefault="0094743D" w:rsidP="0094743D">
      <w:pPr>
        <w:pStyle w:val="BodyText"/>
        <w:spacing w:after="0"/>
        <w:ind w:left="2835"/>
        <w:rPr>
          <w:b/>
        </w:rPr>
      </w:pPr>
      <w:r w:rsidRPr="00264EBC">
        <w:rPr>
          <w:b/>
        </w:rPr>
        <w:t>GPO Box 787</w:t>
      </w:r>
    </w:p>
    <w:p w14:paraId="31847F60" w14:textId="77777777" w:rsidR="0094743D" w:rsidRPr="00264EBC" w:rsidRDefault="0094743D" w:rsidP="006E4393">
      <w:pPr>
        <w:pStyle w:val="BodyText"/>
        <w:ind w:left="2835"/>
        <w:rPr>
          <w:b/>
        </w:rPr>
      </w:pPr>
      <w:r w:rsidRPr="00264EBC">
        <w:rPr>
          <w:b/>
        </w:rPr>
        <w:t>CANBERRA ACT 2601</w:t>
      </w:r>
    </w:p>
    <w:p w14:paraId="2F001959" w14:textId="5D376758" w:rsidR="00C96D2B" w:rsidRPr="00264EBC" w:rsidRDefault="00C96D2B" w:rsidP="006E4393">
      <w:pPr>
        <w:pStyle w:val="BodyText"/>
        <w:ind w:left="2835"/>
        <w:rPr>
          <w:b/>
        </w:rPr>
      </w:pPr>
      <w:r w:rsidRPr="00264EBC">
        <w:rPr>
          <w:b/>
        </w:rPr>
        <w:t xml:space="preserve">Email: </w:t>
      </w:r>
      <w:hyperlink r:id="rId50" w:history="1">
        <w:r w:rsidR="000020F1" w:rsidRPr="00264EBC">
          <w:rPr>
            <w:rStyle w:val="Hyperlink"/>
            <w:b/>
          </w:rPr>
          <w:t>nepc@environment.gov.au</w:t>
        </w:r>
      </w:hyperlink>
    </w:p>
    <w:p w14:paraId="00567DA1" w14:textId="04E08670" w:rsidR="00DB400D" w:rsidRPr="005060E0" w:rsidRDefault="00C96D2B" w:rsidP="00C52A80">
      <w:pPr>
        <w:pStyle w:val="BodyText"/>
        <w:spacing w:after="160" w:line="276" w:lineRule="atLeast"/>
      </w:pPr>
      <w:r w:rsidRPr="00264EBC">
        <w:t xml:space="preserve">The closing date for submissions is </w:t>
      </w:r>
      <w:r w:rsidR="000958BB">
        <w:t>Wednesday</w:t>
      </w:r>
      <w:r w:rsidRPr="00264EBC">
        <w:t xml:space="preserve"> </w:t>
      </w:r>
      <w:r w:rsidR="000958BB">
        <w:t>7</w:t>
      </w:r>
      <w:r w:rsidR="0094743D" w:rsidRPr="00264EBC">
        <w:t xml:space="preserve"> </w:t>
      </w:r>
      <w:r w:rsidR="000958BB">
        <w:t>August</w:t>
      </w:r>
      <w:r w:rsidRPr="00264EBC">
        <w:t xml:space="preserve"> 2019.</w:t>
      </w:r>
    </w:p>
    <w:p w14:paraId="6256F867" w14:textId="3CD925F0" w:rsidR="00CB5360" w:rsidRPr="005060E0" w:rsidRDefault="00C96D2B" w:rsidP="00C52A80">
      <w:pPr>
        <w:pStyle w:val="BodyText"/>
        <w:spacing w:after="160" w:line="276" w:lineRule="atLeast"/>
      </w:pPr>
      <w:r w:rsidRPr="005060E0">
        <w:t xml:space="preserve">Following the public consultation period, the NEPC is required to prepare a summary of the issues raised </w:t>
      </w:r>
      <w:r w:rsidR="000020F1">
        <w:t>in</w:t>
      </w:r>
      <w:r w:rsidR="000020F1" w:rsidRPr="005060E0">
        <w:t xml:space="preserve"> </w:t>
      </w:r>
      <w:r w:rsidRPr="005060E0">
        <w:t xml:space="preserve">the stakeholder </w:t>
      </w:r>
      <w:r w:rsidR="000020F1">
        <w:t xml:space="preserve">submissions </w:t>
      </w:r>
      <w:r w:rsidRPr="005060E0">
        <w:t>and responses. In deciding whether or not to make the NEPM variation, the NEPC must take both the Impact Statement and the summary of submissions and responses into account.</w:t>
      </w:r>
    </w:p>
    <w:p w14:paraId="660395D9" w14:textId="013C5D58" w:rsidR="00415A1D" w:rsidRPr="005060E0" w:rsidRDefault="00415A1D" w:rsidP="006E4393">
      <w:pPr>
        <w:pStyle w:val="BodyText"/>
        <w:rPr>
          <w:b/>
          <w:sz w:val="28"/>
        </w:rPr>
      </w:pPr>
      <w:r w:rsidRPr="005060E0">
        <w:rPr>
          <w:b/>
          <w:sz w:val="28"/>
        </w:rPr>
        <w:t>Consultation questions</w:t>
      </w:r>
    </w:p>
    <w:p w14:paraId="701D3A2E" w14:textId="0242D90B" w:rsidR="00E975CE" w:rsidRPr="005060E0" w:rsidRDefault="002854C0" w:rsidP="006E4393">
      <w:pPr>
        <w:pStyle w:val="BodyText"/>
        <w:rPr>
          <w:b/>
        </w:rPr>
      </w:pPr>
      <w:r w:rsidRPr="005060E0">
        <w:rPr>
          <w:b/>
        </w:rPr>
        <w:t>Chapter 1 Introduction and Chapter 2 Air quality management in Australia</w:t>
      </w:r>
    </w:p>
    <w:p w14:paraId="24729D84" w14:textId="71912EB1" w:rsidR="002854C0" w:rsidRPr="005060E0" w:rsidRDefault="002854C0" w:rsidP="006E4393">
      <w:pPr>
        <w:pStyle w:val="ListBullet"/>
      </w:pPr>
      <w:r w:rsidRPr="005060E0">
        <w:t xml:space="preserve">Do you support the recommended changes to </w:t>
      </w:r>
      <w:r w:rsidR="000020F1">
        <w:t>c</w:t>
      </w:r>
      <w:r w:rsidRPr="005060E0">
        <w:t xml:space="preserve">lause 14 (incorporating risk into how the number of performance monitoring stations is determined) and the inclusion of relevant definitions? </w:t>
      </w:r>
    </w:p>
    <w:p w14:paraId="57884AB8" w14:textId="77777777" w:rsidR="00415A1D" w:rsidRPr="005060E0" w:rsidRDefault="002854C0" w:rsidP="002854C0">
      <w:pPr>
        <w:pStyle w:val="ListBullet"/>
      </w:pPr>
      <w:r w:rsidRPr="005060E0">
        <w:t>Do you support the removal of allowable exceedances for CO?</w:t>
      </w:r>
    </w:p>
    <w:p w14:paraId="32A33459" w14:textId="7DC379BD" w:rsidR="002854C0" w:rsidRPr="005060E0" w:rsidRDefault="002854C0" w:rsidP="006E4393">
      <w:pPr>
        <w:pStyle w:val="BodyText"/>
        <w:rPr>
          <w:b/>
        </w:rPr>
      </w:pPr>
      <w:r w:rsidRPr="005060E0">
        <w:rPr>
          <w:b/>
        </w:rPr>
        <w:t>Chapter 3 Statement of the problem</w:t>
      </w:r>
    </w:p>
    <w:p w14:paraId="0DA94E11" w14:textId="6DFF35B4" w:rsidR="002854C0" w:rsidRPr="005060E0" w:rsidRDefault="002854C0" w:rsidP="006E4393">
      <w:pPr>
        <w:pStyle w:val="ListBullet"/>
      </w:pPr>
      <w:r w:rsidRPr="005060E0">
        <w:t>Do you agree with the assessment of options in this report? Have any options been missed?</w:t>
      </w:r>
    </w:p>
    <w:p w14:paraId="4F223461" w14:textId="647008D3" w:rsidR="002854C0" w:rsidRPr="005060E0" w:rsidRDefault="002854C0" w:rsidP="002854C0">
      <w:pPr>
        <w:pStyle w:val="ListBullet"/>
      </w:pPr>
      <w:r w:rsidRPr="005060E0">
        <w:t>Do you agree with the preferred option to vary the AAQ NEPM? In particular, do you agree that continued government involvement is required to address the current and potential future health impacts and costs of SO</w:t>
      </w:r>
      <w:r w:rsidRPr="005060E0">
        <w:rPr>
          <w:vertAlign w:val="subscript"/>
        </w:rPr>
        <w:t>2</w:t>
      </w:r>
      <w:r w:rsidRPr="005060E0">
        <w:t>, NO</w:t>
      </w:r>
      <w:r w:rsidRPr="005060E0">
        <w:rPr>
          <w:vertAlign w:val="subscript"/>
        </w:rPr>
        <w:t>2</w:t>
      </w:r>
      <w:r w:rsidRPr="005060E0">
        <w:t xml:space="preserve"> and O</w:t>
      </w:r>
      <w:r w:rsidRPr="005060E0">
        <w:rPr>
          <w:vertAlign w:val="subscript"/>
        </w:rPr>
        <w:t>3</w:t>
      </w:r>
      <w:r w:rsidRPr="005060E0">
        <w:t>?</w:t>
      </w:r>
    </w:p>
    <w:p w14:paraId="0AC7ECA2" w14:textId="7427ECC7" w:rsidR="002854C0" w:rsidRPr="005060E0" w:rsidRDefault="002854C0" w:rsidP="002854C0">
      <w:pPr>
        <w:pStyle w:val="BodyText"/>
        <w:rPr>
          <w:b/>
        </w:rPr>
      </w:pPr>
      <w:r w:rsidRPr="005060E0">
        <w:rPr>
          <w:b/>
        </w:rPr>
        <w:t>Chapter 4 Methodology</w:t>
      </w:r>
    </w:p>
    <w:p w14:paraId="6C0513AE" w14:textId="1DECAB6F" w:rsidR="002854C0" w:rsidRPr="005060E0" w:rsidRDefault="002854C0" w:rsidP="006E4393">
      <w:pPr>
        <w:pStyle w:val="ListBullet"/>
      </w:pPr>
      <w:r w:rsidRPr="005060E0">
        <w:t>Have all key assumptions been correctly identified and included in the analysis? If not, please provide details.</w:t>
      </w:r>
    </w:p>
    <w:p w14:paraId="3AB391B8" w14:textId="2267F5C3" w:rsidR="002854C0" w:rsidRPr="005060E0" w:rsidRDefault="002854C0" w:rsidP="006E4393">
      <w:pPr>
        <w:pStyle w:val="ListBullet"/>
      </w:pPr>
      <w:r w:rsidRPr="005060E0">
        <w:t>Can you suggest any improvements to the methodology used in this report for future reviews?</w:t>
      </w:r>
    </w:p>
    <w:p w14:paraId="18B754A4" w14:textId="4BF4FBA0" w:rsidR="002854C0" w:rsidRPr="005060E0" w:rsidRDefault="002854C0" w:rsidP="002854C0">
      <w:pPr>
        <w:pStyle w:val="BodyText"/>
        <w:rPr>
          <w:b/>
        </w:rPr>
      </w:pPr>
      <w:r w:rsidRPr="005060E0">
        <w:rPr>
          <w:b/>
        </w:rPr>
        <w:t>Chapter 5 Assessment of desired environmental outcome and goal</w:t>
      </w:r>
    </w:p>
    <w:p w14:paraId="6976B7E7" w14:textId="69B93994" w:rsidR="002854C0" w:rsidRPr="005060E0" w:rsidRDefault="002854C0" w:rsidP="006E4393">
      <w:pPr>
        <w:pStyle w:val="ListBullet"/>
      </w:pPr>
      <w:r w:rsidRPr="005060E0">
        <w:t>Do you support the desired environmental outcome of the AAQ NEPM be</w:t>
      </w:r>
      <w:r w:rsidR="000020F1">
        <w:t>ing</w:t>
      </w:r>
      <w:r w:rsidRPr="005060E0">
        <w:t xml:space="preserve"> revised to ‘minimise the risk of adverse health impacts from exposure to air pollution for all people, wherever they may live’?</w:t>
      </w:r>
    </w:p>
    <w:p w14:paraId="1065FF39" w14:textId="7675296C" w:rsidR="002854C0" w:rsidRPr="005060E0" w:rsidRDefault="002854C0" w:rsidP="006E4393">
      <w:pPr>
        <w:pStyle w:val="ListBullet"/>
      </w:pPr>
      <w:r w:rsidRPr="005060E0">
        <w:t>Do you support the goal of the AAQ NEPM be</w:t>
      </w:r>
      <w:r w:rsidR="000020F1">
        <w:t>ing</w:t>
      </w:r>
      <w:r w:rsidRPr="005060E0">
        <w:t xml:space="preserve"> revised to make reference to the air quality standards and incorporation of exposure-reduction targets for priority pollutants?</w:t>
      </w:r>
    </w:p>
    <w:p w14:paraId="3D1ABA31" w14:textId="013E7BB8" w:rsidR="002854C0" w:rsidRPr="005060E0" w:rsidRDefault="002854C0" w:rsidP="002854C0">
      <w:pPr>
        <w:pStyle w:val="BodyText"/>
        <w:rPr>
          <w:b/>
        </w:rPr>
      </w:pPr>
      <w:r w:rsidRPr="005060E0">
        <w:rPr>
          <w:b/>
        </w:rPr>
        <w:t>Chapter 6 Impact assessment for sulfur dioxide</w:t>
      </w:r>
    </w:p>
    <w:p w14:paraId="21F73D57" w14:textId="77777777" w:rsidR="001B732C" w:rsidRPr="005060E0" w:rsidRDefault="001B732C" w:rsidP="00B81325">
      <w:pPr>
        <w:pStyle w:val="ListParagraph"/>
        <w:numPr>
          <w:ilvl w:val="0"/>
          <w:numId w:val="71"/>
        </w:numPr>
        <w:ind w:hanging="357"/>
        <w:contextualSpacing w:val="0"/>
      </w:pPr>
      <w:r w:rsidRPr="005060E0">
        <w:t>Do you agree with the recommendations made in this report for the SO</w:t>
      </w:r>
      <w:r w:rsidRPr="005060E0">
        <w:rPr>
          <w:vertAlign w:val="subscript"/>
        </w:rPr>
        <w:t>2</w:t>
      </w:r>
      <w:r w:rsidRPr="005060E0">
        <w:t xml:space="preserve"> standards? Your answer should consider whether you agree:</w:t>
      </w:r>
    </w:p>
    <w:p w14:paraId="24F90973" w14:textId="5E05E2A0" w:rsidR="001B732C" w:rsidRPr="005060E0" w:rsidRDefault="000020F1" w:rsidP="00C52A80">
      <w:pPr>
        <w:pStyle w:val="ListParagraph"/>
        <w:numPr>
          <w:ilvl w:val="0"/>
          <w:numId w:val="79"/>
        </w:numPr>
        <w:spacing w:after="160" w:line="276" w:lineRule="atLeast"/>
        <w:ind w:left="1083" w:hanging="357"/>
        <w:contextualSpacing w:val="0"/>
      </w:pPr>
      <w:r>
        <w:t>with</w:t>
      </w:r>
      <w:r w:rsidR="001B732C" w:rsidRPr="005060E0">
        <w:t xml:space="preserve"> maintain</w:t>
      </w:r>
      <w:r>
        <w:t>ing</w:t>
      </w:r>
      <w:r w:rsidR="001B732C" w:rsidRPr="005060E0">
        <w:t xml:space="preserve"> the status quo of not including a 10-minute SO</w:t>
      </w:r>
      <w:r w:rsidR="001B732C" w:rsidRPr="005060E0">
        <w:rPr>
          <w:vertAlign w:val="subscript"/>
        </w:rPr>
        <w:t>2</w:t>
      </w:r>
      <w:r w:rsidR="001B732C" w:rsidRPr="005060E0">
        <w:t xml:space="preserve"> standard in the AAQ NEPM</w:t>
      </w:r>
    </w:p>
    <w:p w14:paraId="00EC4843" w14:textId="395F7741" w:rsidR="001B732C" w:rsidRPr="005060E0" w:rsidRDefault="000020F1" w:rsidP="00C52A80">
      <w:pPr>
        <w:pStyle w:val="ListParagraph"/>
        <w:numPr>
          <w:ilvl w:val="0"/>
          <w:numId w:val="79"/>
        </w:numPr>
        <w:spacing w:after="160" w:line="276" w:lineRule="atLeast"/>
        <w:ind w:left="1083" w:hanging="357"/>
        <w:contextualSpacing w:val="0"/>
      </w:pPr>
      <w:r>
        <w:t>with</w:t>
      </w:r>
      <w:r w:rsidR="001B732C" w:rsidRPr="005060E0">
        <w:t xml:space="preserve"> retain</w:t>
      </w:r>
      <w:r>
        <w:t>ing</w:t>
      </w:r>
      <w:r w:rsidR="001B732C" w:rsidRPr="005060E0">
        <w:t xml:space="preserve"> the averaging periods of 1-hour and 24-hour</w:t>
      </w:r>
      <w:r>
        <w:t>s</w:t>
      </w:r>
      <w:r w:rsidR="001B732C" w:rsidRPr="005060E0">
        <w:t xml:space="preserve"> for SO</w:t>
      </w:r>
      <w:r w:rsidR="001B732C" w:rsidRPr="005060E0">
        <w:rPr>
          <w:vertAlign w:val="subscript"/>
        </w:rPr>
        <w:t>2</w:t>
      </w:r>
      <w:r w:rsidR="001B732C" w:rsidRPr="005060E0">
        <w:t xml:space="preserve"> and removal of the annual SO</w:t>
      </w:r>
      <w:r w:rsidR="001B732C" w:rsidRPr="005060E0">
        <w:rPr>
          <w:vertAlign w:val="subscript"/>
        </w:rPr>
        <w:t>2</w:t>
      </w:r>
      <w:r w:rsidR="001B732C" w:rsidRPr="005060E0">
        <w:t xml:space="preserve"> standard given the weak evidence of health effects from long-term exposures to SO</w:t>
      </w:r>
      <w:r w:rsidR="001B732C" w:rsidRPr="005060E0">
        <w:rPr>
          <w:vertAlign w:val="subscript"/>
        </w:rPr>
        <w:t>2</w:t>
      </w:r>
    </w:p>
    <w:p w14:paraId="039CF0C2" w14:textId="1B2AEDB9" w:rsidR="001B732C" w:rsidRPr="005060E0" w:rsidRDefault="000020F1" w:rsidP="00C52A80">
      <w:pPr>
        <w:pStyle w:val="ListParagraph"/>
        <w:numPr>
          <w:ilvl w:val="0"/>
          <w:numId w:val="79"/>
        </w:numPr>
        <w:spacing w:after="160" w:line="276" w:lineRule="atLeast"/>
        <w:ind w:left="1083" w:hanging="357"/>
        <w:contextualSpacing w:val="0"/>
      </w:pPr>
      <w:r>
        <w:t>t</w:t>
      </w:r>
      <w:r w:rsidR="001B732C" w:rsidRPr="005060E0">
        <w:t>hat there are no other averaging periods for SO</w:t>
      </w:r>
      <w:r w:rsidR="001B732C" w:rsidRPr="005060E0">
        <w:rPr>
          <w:vertAlign w:val="subscript"/>
        </w:rPr>
        <w:t>2</w:t>
      </w:r>
      <w:r w:rsidR="001B732C" w:rsidRPr="005060E0">
        <w:t xml:space="preserve"> that should be considered in the future</w:t>
      </w:r>
    </w:p>
    <w:p w14:paraId="36CD01B8" w14:textId="52B36EED" w:rsidR="001B732C" w:rsidRPr="005060E0" w:rsidRDefault="000020F1" w:rsidP="00C52A80">
      <w:pPr>
        <w:pStyle w:val="ListParagraph"/>
        <w:numPr>
          <w:ilvl w:val="0"/>
          <w:numId w:val="79"/>
        </w:numPr>
        <w:spacing w:after="160" w:line="276" w:lineRule="atLeast"/>
        <w:ind w:left="1083" w:hanging="357"/>
        <w:contextualSpacing w:val="0"/>
      </w:pPr>
      <w:r>
        <w:t>w</w:t>
      </w:r>
      <w:r w:rsidR="001B732C" w:rsidRPr="005060E0">
        <w:t>ith the preferred numerical value for the 1-hour SO</w:t>
      </w:r>
      <w:r w:rsidR="001B732C" w:rsidRPr="005060E0">
        <w:rPr>
          <w:vertAlign w:val="subscript"/>
        </w:rPr>
        <w:t>2</w:t>
      </w:r>
      <w:r w:rsidR="001B732C" w:rsidRPr="005060E0">
        <w:t xml:space="preserve"> standard (100 ppb) and the future 1-hour standard (75 ppb) for implementation by 2025</w:t>
      </w:r>
    </w:p>
    <w:p w14:paraId="71C7BA81" w14:textId="52EF8293" w:rsidR="001B732C" w:rsidRPr="005060E0" w:rsidRDefault="000020F1" w:rsidP="00C52A80">
      <w:pPr>
        <w:pStyle w:val="ListParagraph"/>
        <w:numPr>
          <w:ilvl w:val="0"/>
          <w:numId w:val="79"/>
        </w:numPr>
        <w:spacing w:after="160" w:line="276" w:lineRule="atLeast"/>
        <w:ind w:left="1083" w:hanging="357"/>
        <w:contextualSpacing w:val="0"/>
      </w:pPr>
      <w:r>
        <w:t>w</w:t>
      </w:r>
      <w:r w:rsidR="001B732C" w:rsidRPr="005060E0">
        <w:t>ith the preferred numerical value for the 24-hour SO</w:t>
      </w:r>
      <w:r w:rsidR="001B732C" w:rsidRPr="005060E0">
        <w:rPr>
          <w:vertAlign w:val="subscript"/>
        </w:rPr>
        <w:t>2</w:t>
      </w:r>
      <w:r w:rsidR="001B732C" w:rsidRPr="005060E0">
        <w:t xml:space="preserve"> standard (20 ppb) and no future 24-hour standard</w:t>
      </w:r>
    </w:p>
    <w:p w14:paraId="10D4E81D" w14:textId="1500963F" w:rsidR="00D5388B" w:rsidRPr="005060E0" w:rsidRDefault="000020F1" w:rsidP="00C52A80">
      <w:pPr>
        <w:pStyle w:val="ListParagraph"/>
        <w:numPr>
          <w:ilvl w:val="0"/>
          <w:numId w:val="79"/>
        </w:numPr>
        <w:spacing w:after="160" w:line="276" w:lineRule="atLeast"/>
        <w:ind w:left="1083" w:hanging="357"/>
        <w:contextualSpacing w:val="0"/>
      </w:pPr>
      <w:r>
        <w:t>t</w:t>
      </w:r>
      <w:r w:rsidR="001B4349" w:rsidRPr="005060E0">
        <w:t>hat there should be no allowable exceedances for the SO</w:t>
      </w:r>
      <w:r w:rsidR="001B4349" w:rsidRPr="005060E0">
        <w:rPr>
          <w:vertAlign w:val="subscript"/>
        </w:rPr>
        <w:t>2</w:t>
      </w:r>
      <w:r w:rsidR="001B4349" w:rsidRPr="005060E0">
        <w:t xml:space="preserve"> standards</w:t>
      </w:r>
    </w:p>
    <w:p w14:paraId="2620D216" w14:textId="5290B8D7" w:rsidR="001B4349" w:rsidRPr="005060E0" w:rsidRDefault="000020F1" w:rsidP="00C52A80">
      <w:pPr>
        <w:pStyle w:val="ListParagraph"/>
        <w:numPr>
          <w:ilvl w:val="0"/>
          <w:numId w:val="79"/>
        </w:numPr>
        <w:spacing w:after="160" w:line="276" w:lineRule="atLeast"/>
        <w:ind w:left="1083" w:hanging="357"/>
        <w:contextualSpacing w:val="0"/>
      </w:pPr>
      <w:r>
        <w:t>t</w:t>
      </w:r>
      <w:r w:rsidR="001B4349" w:rsidRPr="005060E0">
        <w:t>hat an exposure-reduction framework is not needed for SO</w:t>
      </w:r>
      <w:r w:rsidR="001B4349" w:rsidRPr="005060E0">
        <w:rPr>
          <w:vertAlign w:val="subscript"/>
        </w:rPr>
        <w:t>2</w:t>
      </w:r>
      <w:r w:rsidR="001B4349" w:rsidRPr="005060E0">
        <w:t>.</w:t>
      </w:r>
    </w:p>
    <w:p w14:paraId="4229DBED" w14:textId="115DAFD0" w:rsidR="002854C0" w:rsidRPr="005060E0" w:rsidRDefault="002854C0" w:rsidP="002854C0">
      <w:pPr>
        <w:pStyle w:val="BodyText"/>
        <w:rPr>
          <w:b/>
        </w:rPr>
      </w:pPr>
      <w:r w:rsidRPr="005060E0">
        <w:rPr>
          <w:b/>
        </w:rPr>
        <w:t xml:space="preserve">Chapter 7 Impact assessment for </w:t>
      </w:r>
      <w:r w:rsidR="001B732C" w:rsidRPr="005060E0">
        <w:rPr>
          <w:b/>
        </w:rPr>
        <w:t>nitrogen dioxide</w:t>
      </w:r>
    </w:p>
    <w:p w14:paraId="7D7708B4" w14:textId="77777777" w:rsidR="001B732C" w:rsidRPr="005060E0" w:rsidRDefault="001B732C" w:rsidP="00B81325">
      <w:pPr>
        <w:pStyle w:val="ListParagraph"/>
        <w:numPr>
          <w:ilvl w:val="0"/>
          <w:numId w:val="70"/>
        </w:numPr>
        <w:ind w:hanging="357"/>
        <w:contextualSpacing w:val="0"/>
      </w:pPr>
      <w:r w:rsidRPr="005060E0">
        <w:t>Do you agree with the recommendations made in this report for the NO</w:t>
      </w:r>
      <w:r w:rsidRPr="005060E0">
        <w:rPr>
          <w:vertAlign w:val="subscript"/>
        </w:rPr>
        <w:t>2</w:t>
      </w:r>
      <w:r w:rsidRPr="005060E0">
        <w:t xml:space="preserve"> standards? Your answer should consider whether you agree:</w:t>
      </w:r>
    </w:p>
    <w:p w14:paraId="5A95CB57" w14:textId="2029C818" w:rsidR="001B732C" w:rsidRPr="005060E0" w:rsidRDefault="000020F1" w:rsidP="00C52A80">
      <w:pPr>
        <w:pStyle w:val="ListParagraph"/>
        <w:numPr>
          <w:ilvl w:val="0"/>
          <w:numId w:val="81"/>
        </w:numPr>
        <w:spacing w:after="160" w:line="276" w:lineRule="atLeast"/>
        <w:ind w:left="1083" w:hanging="357"/>
        <w:contextualSpacing w:val="0"/>
      </w:pPr>
      <w:r>
        <w:t xml:space="preserve">with </w:t>
      </w:r>
      <w:r w:rsidR="001B732C" w:rsidRPr="005060E0">
        <w:t>retain</w:t>
      </w:r>
      <w:r>
        <w:t>ing</w:t>
      </w:r>
      <w:r w:rsidR="001B732C" w:rsidRPr="005060E0">
        <w:t xml:space="preserve"> the averaging periods of 1-hour and annual for NO</w:t>
      </w:r>
      <w:r w:rsidR="001B732C" w:rsidRPr="005060E0">
        <w:rPr>
          <w:vertAlign w:val="subscript"/>
        </w:rPr>
        <w:t>2</w:t>
      </w:r>
    </w:p>
    <w:p w14:paraId="3FA69C73" w14:textId="3058AA53" w:rsidR="001B732C" w:rsidRPr="005060E0" w:rsidRDefault="000020F1" w:rsidP="00C52A80">
      <w:pPr>
        <w:pStyle w:val="ListParagraph"/>
        <w:numPr>
          <w:ilvl w:val="0"/>
          <w:numId w:val="81"/>
        </w:numPr>
        <w:spacing w:after="160" w:line="276" w:lineRule="atLeast"/>
        <w:ind w:left="1083" w:hanging="357"/>
        <w:contextualSpacing w:val="0"/>
      </w:pPr>
      <w:r>
        <w:t>t</w:t>
      </w:r>
      <w:r w:rsidR="001B732C" w:rsidRPr="005060E0">
        <w:t>hat there are no other averaging periods that should be considered for NO</w:t>
      </w:r>
      <w:r w:rsidR="001B732C" w:rsidRPr="005060E0">
        <w:rPr>
          <w:vertAlign w:val="subscript"/>
        </w:rPr>
        <w:t>2</w:t>
      </w:r>
      <w:r w:rsidR="001B732C" w:rsidRPr="005060E0">
        <w:t xml:space="preserve"> in the future</w:t>
      </w:r>
    </w:p>
    <w:p w14:paraId="75CCCB6E" w14:textId="72838188" w:rsidR="001B732C" w:rsidRPr="005060E0" w:rsidRDefault="000020F1" w:rsidP="00C52A80">
      <w:pPr>
        <w:pStyle w:val="ListParagraph"/>
        <w:numPr>
          <w:ilvl w:val="0"/>
          <w:numId w:val="81"/>
        </w:numPr>
        <w:spacing w:after="160" w:line="276" w:lineRule="atLeast"/>
        <w:ind w:left="1083" w:hanging="357"/>
        <w:contextualSpacing w:val="0"/>
      </w:pPr>
      <w:r>
        <w:t>w</w:t>
      </w:r>
      <w:r w:rsidR="001B732C" w:rsidRPr="005060E0">
        <w:t>ith the preferred numerical value for the 1-hour NO</w:t>
      </w:r>
      <w:r w:rsidR="001B732C" w:rsidRPr="005060E0">
        <w:rPr>
          <w:vertAlign w:val="subscript"/>
        </w:rPr>
        <w:t>2</w:t>
      </w:r>
      <w:r w:rsidR="001B732C" w:rsidRPr="005060E0">
        <w:t xml:space="preserve"> standard (90 ppb) and the future 1</w:t>
      </w:r>
      <w:r w:rsidR="001B732C" w:rsidRPr="005060E0">
        <w:noBreakHyphen/>
        <w:t>hour standard (80 ppb) for implementation by 2025</w:t>
      </w:r>
    </w:p>
    <w:p w14:paraId="4CA52B21" w14:textId="297DF48A" w:rsidR="001B732C" w:rsidRPr="005060E0" w:rsidRDefault="000020F1" w:rsidP="00C52A80">
      <w:pPr>
        <w:pStyle w:val="ListParagraph"/>
        <w:numPr>
          <w:ilvl w:val="0"/>
          <w:numId w:val="81"/>
        </w:numPr>
        <w:spacing w:after="160" w:line="276" w:lineRule="atLeast"/>
        <w:ind w:left="1083" w:hanging="357"/>
        <w:contextualSpacing w:val="0"/>
      </w:pPr>
      <w:r>
        <w:t>w</w:t>
      </w:r>
      <w:r w:rsidR="001B732C" w:rsidRPr="005060E0">
        <w:t>ith the preferred numerical value for the annual NO</w:t>
      </w:r>
      <w:r w:rsidR="001B732C" w:rsidRPr="005060E0">
        <w:rPr>
          <w:vertAlign w:val="subscript"/>
        </w:rPr>
        <w:t>2</w:t>
      </w:r>
      <w:r w:rsidR="001B732C" w:rsidRPr="005060E0">
        <w:t xml:space="preserve"> standard (19 ppb) and the future annual standard (15 ppb) for implementation by 2025</w:t>
      </w:r>
    </w:p>
    <w:p w14:paraId="777467AD" w14:textId="0D2524A0" w:rsidR="001B732C" w:rsidRPr="005060E0" w:rsidRDefault="000020F1" w:rsidP="00C52A80">
      <w:pPr>
        <w:pStyle w:val="ListParagraph"/>
        <w:numPr>
          <w:ilvl w:val="0"/>
          <w:numId w:val="81"/>
        </w:numPr>
        <w:spacing w:after="160" w:line="276" w:lineRule="atLeast"/>
        <w:ind w:left="1083" w:hanging="357"/>
        <w:contextualSpacing w:val="0"/>
      </w:pPr>
      <w:r>
        <w:t>t</w:t>
      </w:r>
      <w:r w:rsidR="001B732C" w:rsidRPr="005060E0">
        <w:t>hat there should be no allowable exceedances for NO</w:t>
      </w:r>
      <w:r w:rsidR="001B732C" w:rsidRPr="005060E0">
        <w:rPr>
          <w:vertAlign w:val="subscript"/>
        </w:rPr>
        <w:t>2</w:t>
      </w:r>
      <w:r w:rsidR="001B732C" w:rsidRPr="005060E0">
        <w:t xml:space="preserve"> standards</w:t>
      </w:r>
    </w:p>
    <w:p w14:paraId="47BA5E1E" w14:textId="023E29FE" w:rsidR="001B732C" w:rsidRPr="005060E0" w:rsidRDefault="000020F1" w:rsidP="00C52A80">
      <w:pPr>
        <w:pStyle w:val="ListParagraph"/>
        <w:numPr>
          <w:ilvl w:val="0"/>
          <w:numId w:val="81"/>
        </w:numPr>
        <w:spacing w:after="160" w:line="276" w:lineRule="atLeast"/>
        <w:ind w:left="1083" w:hanging="357"/>
        <w:contextualSpacing w:val="0"/>
      </w:pPr>
      <w:r>
        <w:t>w</w:t>
      </w:r>
      <w:r w:rsidR="001B732C" w:rsidRPr="005060E0">
        <w:t>ith the introduction of an exposure-reduction framework for NO</w:t>
      </w:r>
      <w:r w:rsidR="001B732C" w:rsidRPr="005060E0">
        <w:rPr>
          <w:vertAlign w:val="subscript"/>
        </w:rPr>
        <w:t>2</w:t>
      </w:r>
    </w:p>
    <w:p w14:paraId="53B991EB" w14:textId="25DDAD06" w:rsidR="001B732C" w:rsidRPr="005060E0" w:rsidRDefault="000020F1" w:rsidP="00C52A80">
      <w:pPr>
        <w:pStyle w:val="ListParagraph"/>
        <w:numPr>
          <w:ilvl w:val="0"/>
          <w:numId w:val="81"/>
        </w:numPr>
        <w:spacing w:after="160" w:line="276" w:lineRule="atLeast"/>
        <w:ind w:left="1083" w:hanging="357"/>
        <w:contextualSpacing w:val="0"/>
      </w:pPr>
      <w:r>
        <w:t>t</w:t>
      </w:r>
      <w:r w:rsidR="001B732C" w:rsidRPr="005060E0">
        <w:t>hat jurisdictions should commence annual reporting on population exposure to NO</w:t>
      </w:r>
      <w:r w:rsidR="001B732C" w:rsidRPr="005060E0">
        <w:rPr>
          <w:vertAlign w:val="subscript"/>
        </w:rPr>
        <w:t>2</w:t>
      </w:r>
      <w:r w:rsidR="001B732C" w:rsidRPr="005060E0">
        <w:t xml:space="preserve"> from the commencement of a varied AAQ NEPM.</w:t>
      </w:r>
    </w:p>
    <w:p w14:paraId="1FB5D96F" w14:textId="4F036957" w:rsidR="001B732C" w:rsidRPr="005060E0" w:rsidRDefault="001B732C" w:rsidP="001B732C">
      <w:pPr>
        <w:pStyle w:val="BodyText"/>
        <w:rPr>
          <w:b/>
        </w:rPr>
      </w:pPr>
      <w:r w:rsidRPr="005060E0">
        <w:rPr>
          <w:b/>
        </w:rPr>
        <w:t>Chapter 8 Impact assessment for ozone</w:t>
      </w:r>
    </w:p>
    <w:p w14:paraId="4878F536" w14:textId="77777777" w:rsidR="001B732C" w:rsidRPr="005060E0" w:rsidRDefault="001B732C" w:rsidP="00B81325">
      <w:pPr>
        <w:pStyle w:val="ListParagraph"/>
        <w:numPr>
          <w:ilvl w:val="0"/>
          <w:numId w:val="71"/>
        </w:numPr>
        <w:ind w:hanging="357"/>
        <w:contextualSpacing w:val="0"/>
      </w:pPr>
      <w:r w:rsidRPr="005060E0">
        <w:t>Do you agree with the recommendations made in this report for the O</w:t>
      </w:r>
      <w:r w:rsidRPr="005060E0">
        <w:rPr>
          <w:vertAlign w:val="subscript"/>
        </w:rPr>
        <w:t>3</w:t>
      </w:r>
      <w:r w:rsidRPr="005060E0">
        <w:t xml:space="preserve"> standards? Your answer should consider whether you agree:</w:t>
      </w:r>
    </w:p>
    <w:p w14:paraId="6363E92A" w14:textId="6B617664" w:rsidR="001B732C" w:rsidRPr="005060E0" w:rsidRDefault="000020F1" w:rsidP="003E1267">
      <w:pPr>
        <w:pStyle w:val="ListParagraph"/>
        <w:numPr>
          <w:ilvl w:val="0"/>
          <w:numId w:val="86"/>
        </w:numPr>
        <w:contextualSpacing w:val="0"/>
      </w:pPr>
      <w:r>
        <w:t>w</w:t>
      </w:r>
      <w:r w:rsidR="001B732C" w:rsidRPr="005060E0">
        <w:t>ith the introduction of a rolling 8-hour O</w:t>
      </w:r>
      <w:r w:rsidR="001B732C" w:rsidRPr="005060E0">
        <w:rPr>
          <w:vertAlign w:val="subscript"/>
        </w:rPr>
        <w:t>3</w:t>
      </w:r>
      <w:r w:rsidR="001B732C" w:rsidRPr="005060E0">
        <w:t xml:space="preserve"> standard and removal of the 1-hour and 4-hour averaging periods</w:t>
      </w:r>
    </w:p>
    <w:p w14:paraId="0AF4D437" w14:textId="394742AC" w:rsidR="001B732C" w:rsidRPr="005060E0" w:rsidRDefault="000020F1" w:rsidP="003E1267">
      <w:pPr>
        <w:pStyle w:val="ListParagraph"/>
        <w:numPr>
          <w:ilvl w:val="0"/>
          <w:numId w:val="86"/>
        </w:numPr>
        <w:ind w:hanging="357"/>
        <w:contextualSpacing w:val="0"/>
      </w:pPr>
      <w:r>
        <w:t xml:space="preserve">with </w:t>
      </w:r>
      <w:r w:rsidR="001B732C" w:rsidRPr="005060E0">
        <w:t>jurisdictions continu</w:t>
      </w:r>
      <w:r>
        <w:t>ing</w:t>
      </w:r>
      <w:r w:rsidR="001B732C" w:rsidRPr="005060E0">
        <w:t xml:space="preserve"> to record and report 1-hour concentrations even if there is no 1-hour standard</w:t>
      </w:r>
    </w:p>
    <w:p w14:paraId="6D7E014B" w14:textId="0552020E" w:rsidR="001B732C" w:rsidRPr="005060E0" w:rsidRDefault="00500752" w:rsidP="003E1267">
      <w:pPr>
        <w:pStyle w:val="ListParagraph"/>
        <w:numPr>
          <w:ilvl w:val="0"/>
          <w:numId w:val="86"/>
        </w:numPr>
        <w:ind w:hanging="357"/>
        <w:contextualSpacing w:val="0"/>
      </w:pPr>
      <w:r>
        <w:t>t</w:t>
      </w:r>
      <w:r w:rsidR="001B732C" w:rsidRPr="005060E0">
        <w:t>hat there are no other averaging periods that should be considered for O</w:t>
      </w:r>
      <w:r w:rsidR="001B732C" w:rsidRPr="005060E0">
        <w:rPr>
          <w:vertAlign w:val="subscript"/>
        </w:rPr>
        <w:t>3</w:t>
      </w:r>
      <w:r w:rsidR="001B732C" w:rsidRPr="005060E0">
        <w:t xml:space="preserve"> in the future</w:t>
      </w:r>
    </w:p>
    <w:p w14:paraId="160486BF" w14:textId="5788A0EA" w:rsidR="001B732C" w:rsidRPr="005060E0" w:rsidRDefault="00500752" w:rsidP="003E1267">
      <w:pPr>
        <w:pStyle w:val="ListParagraph"/>
        <w:numPr>
          <w:ilvl w:val="0"/>
          <w:numId w:val="86"/>
        </w:numPr>
        <w:ind w:hanging="357"/>
        <w:contextualSpacing w:val="0"/>
      </w:pPr>
      <w:r>
        <w:t>w</w:t>
      </w:r>
      <w:r w:rsidR="001B732C" w:rsidRPr="005060E0">
        <w:t>ith the preferred numerical value for the 8-hour O</w:t>
      </w:r>
      <w:r w:rsidR="001B732C" w:rsidRPr="005060E0">
        <w:rPr>
          <w:vertAlign w:val="subscript"/>
        </w:rPr>
        <w:t>3</w:t>
      </w:r>
      <w:r w:rsidR="001B732C" w:rsidRPr="005060E0">
        <w:t xml:space="preserve"> standard (65 ppb)</w:t>
      </w:r>
    </w:p>
    <w:p w14:paraId="46B20176" w14:textId="14EA0824" w:rsidR="001B732C" w:rsidRPr="005060E0" w:rsidRDefault="00500752" w:rsidP="003E1267">
      <w:pPr>
        <w:pStyle w:val="ListParagraph"/>
        <w:numPr>
          <w:ilvl w:val="0"/>
          <w:numId w:val="86"/>
        </w:numPr>
        <w:ind w:hanging="357"/>
        <w:contextualSpacing w:val="0"/>
      </w:pPr>
      <w:r>
        <w:t>t</w:t>
      </w:r>
      <w:r w:rsidR="001B732C" w:rsidRPr="005060E0">
        <w:t>hat there should be no allowable exceedances for the O</w:t>
      </w:r>
      <w:r w:rsidR="001B732C" w:rsidRPr="005060E0">
        <w:rPr>
          <w:vertAlign w:val="subscript"/>
        </w:rPr>
        <w:t>3</w:t>
      </w:r>
      <w:r w:rsidR="001B732C" w:rsidRPr="005060E0">
        <w:t xml:space="preserve"> standards</w:t>
      </w:r>
    </w:p>
    <w:p w14:paraId="35EEEEEC" w14:textId="4AD925AC" w:rsidR="001B732C" w:rsidRPr="005060E0" w:rsidRDefault="00500752" w:rsidP="003E1267">
      <w:pPr>
        <w:pStyle w:val="ListParagraph"/>
        <w:numPr>
          <w:ilvl w:val="0"/>
          <w:numId w:val="86"/>
        </w:numPr>
        <w:ind w:hanging="357"/>
        <w:contextualSpacing w:val="0"/>
      </w:pPr>
      <w:r>
        <w:t>w</w:t>
      </w:r>
      <w:r w:rsidR="001B732C" w:rsidRPr="005060E0">
        <w:t>ith the introduction of an exposure-reduction framework for O</w:t>
      </w:r>
      <w:r w:rsidR="001B732C" w:rsidRPr="005060E0">
        <w:rPr>
          <w:vertAlign w:val="subscript"/>
        </w:rPr>
        <w:t>3</w:t>
      </w:r>
      <w:r w:rsidR="001B732C" w:rsidRPr="005060E0">
        <w:t xml:space="preserve"> (in the form of a long-term goal for O</w:t>
      </w:r>
      <w:r w:rsidR="001B732C" w:rsidRPr="005060E0">
        <w:rPr>
          <w:vertAlign w:val="subscript"/>
        </w:rPr>
        <w:t>3</w:t>
      </w:r>
      <w:r w:rsidR="001B732C" w:rsidRPr="005060E0">
        <w:t>) once O</w:t>
      </w:r>
      <w:r w:rsidR="001B732C" w:rsidRPr="005060E0">
        <w:rPr>
          <w:vertAlign w:val="subscript"/>
        </w:rPr>
        <w:t>3</w:t>
      </w:r>
      <w:r w:rsidR="001B732C" w:rsidRPr="005060E0">
        <w:t xml:space="preserve"> generation in capital cities is better understood</w:t>
      </w:r>
    </w:p>
    <w:p w14:paraId="2A50B285" w14:textId="3580F4FC" w:rsidR="001B732C" w:rsidRPr="005060E0" w:rsidRDefault="00500752" w:rsidP="003E1267">
      <w:pPr>
        <w:pStyle w:val="ListParagraph"/>
        <w:numPr>
          <w:ilvl w:val="0"/>
          <w:numId w:val="86"/>
        </w:numPr>
        <w:ind w:hanging="357"/>
        <w:contextualSpacing w:val="0"/>
      </w:pPr>
      <w:r>
        <w:t xml:space="preserve">with </w:t>
      </w:r>
      <w:r w:rsidR="001B732C" w:rsidRPr="005060E0">
        <w:t>jurisdictions commenc</w:t>
      </w:r>
      <w:r>
        <w:t>ing</w:t>
      </w:r>
      <w:r w:rsidR="001B732C" w:rsidRPr="005060E0">
        <w:t xml:space="preserve"> annual reporting on population exposure to O</w:t>
      </w:r>
      <w:r w:rsidR="001B732C" w:rsidRPr="005060E0">
        <w:rPr>
          <w:vertAlign w:val="subscript"/>
        </w:rPr>
        <w:t>3</w:t>
      </w:r>
      <w:r w:rsidR="001B732C" w:rsidRPr="005060E0">
        <w:t xml:space="preserve"> from the commencement of a varied AAQ NEPM</w:t>
      </w:r>
    </w:p>
    <w:p w14:paraId="74DD6989" w14:textId="7DDAB83F" w:rsidR="001B732C" w:rsidRPr="005060E0" w:rsidRDefault="00500752" w:rsidP="003E1267">
      <w:pPr>
        <w:pStyle w:val="ListParagraph"/>
        <w:numPr>
          <w:ilvl w:val="0"/>
          <w:numId w:val="86"/>
        </w:numPr>
        <w:contextualSpacing w:val="0"/>
      </w:pPr>
      <w:r>
        <w:t>w</w:t>
      </w:r>
      <w:r w:rsidR="001B732C" w:rsidRPr="005060E0">
        <w:t>ith the introduction of an exceptional events rule for O</w:t>
      </w:r>
      <w:r w:rsidR="001B732C" w:rsidRPr="005060E0">
        <w:rPr>
          <w:vertAlign w:val="subscript"/>
        </w:rPr>
        <w:t>3</w:t>
      </w:r>
      <w:r w:rsidR="001B732C" w:rsidRPr="005060E0">
        <w:t xml:space="preserve"> that is consistent with the approach for the PM</w:t>
      </w:r>
      <w:r w:rsidR="001B732C" w:rsidRPr="005060E0">
        <w:rPr>
          <w:vertAlign w:val="subscript"/>
        </w:rPr>
        <w:t>2.5</w:t>
      </w:r>
      <w:r w:rsidR="001B732C" w:rsidRPr="005060E0">
        <w:t xml:space="preserve"> and PM</w:t>
      </w:r>
      <w:r w:rsidR="001B732C" w:rsidRPr="005060E0">
        <w:rPr>
          <w:vertAlign w:val="subscript"/>
        </w:rPr>
        <w:t>10</w:t>
      </w:r>
      <w:r w:rsidR="001B732C" w:rsidRPr="005060E0">
        <w:t xml:space="preserve"> standards in the AAQ NEPM.</w:t>
      </w:r>
      <w:r w:rsidR="00283823" w:rsidRPr="005060E0">
        <w:t xml:space="preserve"> Note that an exceptional events rule will differ </w:t>
      </w:r>
      <w:r>
        <w:t xml:space="preserve">from </w:t>
      </w:r>
      <w:r w:rsidR="00283823" w:rsidRPr="005060E0">
        <w:t xml:space="preserve">an allowable exceedances rule as it will only apply to </w:t>
      </w:r>
      <w:r w:rsidR="000A5918" w:rsidRPr="005060E0">
        <w:t>exceptional</w:t>
      </w:r>
      <w:r w:rsidR="00283823" w:rsidRPr="005060E0">
        <w:t xml:space="preserve"> events (such as bushfires and dust storms) rather than be based on a fixed number of days.</w:t>
      </w:r>
    </w:p>
    <w:p w14:paraId="45E74A0B" w14:textId="0ACF4F3A" w:rsidR="002854C0" w:rsidRPr="005060E0" w:rsidRDefault="002854C0">
      <w:pPr>
        <w:spacing w:after="160" w:line="259" w:lineRule="auto"/>
      </w:pPr>
    </w:p>
    <w:p w14:paraId="7C70B4A6" w14:textId="77777777" w:rsidR="00E75392" w:rsidRPr="005060E0" w:rsidRDefault="00E75392" w:rsidP="0043533F">
      <w:pPr>
        <w:pStyle w:val="Heading1"/>
        <w:sectPr w:rsidR="00E75392" w:rsidRPr="005060E0" w:rsidSect="00F30B35">
          <w:headerReference w:type="default" r:id="rId51"/>
          <w:pgSz w:w="11906" w:h="16838" w:code="9"/>
          <w:pgMar w:top="1440" w:right="1133" w:bottom="1843" w:left="1134" w:header="680" w:footer="170" w:gutter="0"/>
          <w:cols w:space="708"/>
          <w:docGrid w:linePitch="360"/>
        </w:sectPr>
      </w:pPr>
    </w:p>
    <w:p w14:paraId="2A4D76BB" w14:textId="468F244F" w:rsidR="00A05292" w:rsidRPr="005060E0" w:rsidRDefault="00A05292" w:rsidP="0043533F">
      <w:pPr>
        <w:pStyle w:val="Heading1"/>
      </w:pPr>
      <w:bookmarkStart w:id="266" w:name="_Toc3279003"/>
      <w:r w:rsidRPr="005060E0">
        <w:t>References</w:t>
      </w:r>
      <w:bookmarkEnd w:id="266"/>
    </w:p>
    <w:p w14:paraId="37FC87EF" w14:textId="4B30103B" w:rsidR="00C91604" w:rsidRDefault="00C91604" w:rsidP="00C52A80">
      <w:pPr>
        <w:pStyle w:val="BodyText"/>
        <w:keepLines/>
        <w:spacing w:after="160"/>
      </w:pPr>
      <w:r>
        <w:t xml:space="preserve">ABS 2013, </w:t>
      </w:r>
      <w:r w:rsidRPr="006542C4">
        <w:rPr>
          <w:i/>
        </w:rPr>
        <w:t>Population Projections, Australia, 2012 (base) to 2101</w:t>
      </w:r>
      <w:r>
        <w:t xml:space="preserve">, cat. no. </w:t>
      </w:r>
      <w:r w:rsidRPr="00C91604">
        <w:t>3222.0</w:t>
      </w:r>
      <w:r>
        <w:t>, Australian Bureau of Statistics, Canberra.</w:t>
      </w:r>
    </w:p>
    <w:p w14:paraId="6D6F6998" w14:textId="426BADEF" w:rsidR="00AD7FCF" w:rsidRPr="005060E0" w:rsidRDefault="00AD7FCF" w:rsidP="00C52A80">
      <w:pPr>
        <w:pStyle w:val="BodyText"/>
        <w:keepLines/>
        <w:spacing w:after="160"/>
      </w:pPr>
      <w:r w:rsidRPr="005060E0">
        <w:t>Anderson HR, Atkinson RW, Bremner SA, Carrington J</w:t>
      </w:r>
      <w:r w:rsidR="00443352">
        <w:t xml:space="preserve"> &amp; </w:t>
      </w:r>
      <w:r w:rsidRPr="005060E0">
        <w:t>Peacock J 2007</w:t>
      </w:r>
      <w:r w:rsidR="00745445">
        <w:t>,</w:t>
      </w:r>
      <w:r w:rsidRPr="005060E0">
        <w:t xml:space="preserve"> </w:t>
      </w:r>
      <w:r w:rsidRPr="00D26E5C">
        <w:rPr>
          <w:i/>
        </w:rPr>
        <w:t>Quantitative systematic review of short term associations between ambient air pollution (particulate matter, ozone, nitrogen dioxide, sulphur dioxide and carbon monoxide), and mortality and morbidity</w:t>
      </w:r>
      <w:r w:rsidR="00745445">
        <w:t>,</w:t>
      </w:r>
      <w:r w:rsidRPr="005060E0">
        <w:t xml:space="preserve"> Division of Community Health Sciences, St George</w:t>
      </w:r>
      <w:r w:rsidR="00745445">
        <w:t>’</w:t>
      </w:r>
      <w:r w:rsidRPr="005060E0">
        <w:t>s, University of London, London</w:t>
      </w:r>
      <w:r w:rsidR="00D26E5C">
        <w:t>,</w:t>
      </w:r>
      <w:r w:rsidRPr="005060E0">
        <w:t xml:space="preserve"> </w:t>
      </w:r>
      <w:r w:rsidR="00D26E5C">
        <w:t>a</w:t>
      </w:r>
      <w:r w:rsidRPr="005060E0">
        <w:t>vailable at:</w:t>
      </w:r>
      <w:r w:rsidR="00443352">
        <w:t xml:space="preserve"> </w:t>
      </w:r>
      <w:hyperlink r:id="rId52" w:history="1">
        <w:r w:rsidR="00443352" w:rsidRPr="00D20A18">
          <w:rPr>
            <w:rStyle w:val="Hyperlink"/>
          </w:rPr>
          <w:t>https://www.gov.uk/government/publications/quantitative-systematic-review-of-short-term-associations-between-ambient-air-pollution-particulate-matter-ozone-nitrogen-dioxide-sulphur-dioxide-and-carbon-monoxide-and-mortality-and-morbidity</w:t>
        </w:r>
      </w:hyperlink>
      <w:r w:rsidR="00B00321" w:rsidRPr="005060E0">
        <w:t xml:space="preserve">. </w:t>
      </w:r>
    </w:p>
    <w:p w14:paraId="3AD2DBAB" w14:textId="0AEA0CBA" w:rsidR="006F42C6" w:rsidRPr="005060E0" w:rsidRDefault="006F42C6" w:rsidP="00C52A80">
      <w:pPr>
        <w:pStyle w:val="BodyText"/>
        <w:keepLines/>
        <w:spacing w:after="160"/>
      </w:pPr>
      <w:r w:rsidRPr="005060E0">
        <w:t>A</w:t>
      </w:r>
      <w:r w:rsidR="00D805CA" w:rsidRPr="005060E0">
        <w:t>SCC</w:t>
      </w:r>
      <w:r w:rsidRPr="005060E0">
        <w:t xml:space="preserve"> 2008</w:t>
      </w:r>
      <w:r w:rsidR="00745445">
        <w:t>,</w:t>
      </w:r>
      <w:r w:rsidRPr="005060E0">
        <w:t xml:space="preserve"> </w:t>
      </w:r>
      <w:r w:rsidRPr="001E4376">
        <w:rPr>
          <w:i/>
        </w:rPr>
        <w:t>The Health of Natio</w:t>
      </w:r>
      <w:r w:rsidR="00D805CA" w:rsidRPr="001E4376">
        <w:rPr>
          <w:i/>
        </w:rPr>
        <w:t>ns: The Value of a Statistic Life</w:t>
      </w:r>
      <w:r w:rsidR="00745445">
        <w:t>,</w:t>
      </w:r>
      <w:r w:rsidR="00D805CA" w:rsidRPr="005060E0">
        <w:t xml:space="preserve"> </w:t>
      </w:r>
      <w:r w:rsidRPr="005060E0">
        <w:t xml:space="preserve">Office of the Australian </w:t>
      </w:r>
      <w:r w:rsidR="00D805CA" w:rsidRPr="005060E0">
        <w:t xml:space="preserve">Safety and Compensation Council, </w:t>
      </w:r>
      <w:r w:rsidR="00443352">
        <w:t xml:space="preserve">Canberra, </w:t>
      </w:r>
      <w:r w:rsidR="00D805CA" w:rsidRPr="005060E0">
        <w:t>July 2008.</w:t>
      </w:r>
    </w:p>
    <w:p w14:paraId="0208E0F1" w14:textId="03FC0EDC" w:rsidR="00796306" w:rsidRPr="005060E0" w:rsidRDefault="00796306" w:rsidP="00C52A80">
      <w:pPr>
        <w:pStyle w:val="BodyText"/>
        <w:keepLines/>
        <w:spacing w:after="160"/>
      </w:pPr>
      <w:r w:rsidRPr="005060E0">
        <w:t>AIHW 2011</w:t>
      </w:r>
      <w:r w:rsidR="00745445">
        <w:t>,</w:t>
      </w:r>
      <w:r w:rsidRPr="005060E0">
        <w:t xml:space="preserve"> </w:t>
      </w:r>
      <w:r w:rsidRPr="00443352">
        <w:rPr>
          <w:i/>
        </w:rPr>
        <w:t>Australia’s Welfare 2011</w:t>
      </w:r>
      <w:r w:rsidR="00745445">
        <w:t>,</w:t>
      </w:r>
      <w:r w:rsidRPr="005060E0">
        <w:t xml:space="preserve"> Australian </w:t>
      </w:r>
      <w:r w:rsidR="00442094" w:rsidRPr="005060E0">
        <w:t>Institute of Health and Welfare, Canberra.</w:t>
      </w:r>
    </w:p>
    <w:p w14:paraId="3AB794D1" w14:textId="51A44C91" w:rsidR="00CE2A67" w:rsidRPr="005060E0" w:rsidRDefault="00CE2A67" w:rsidP="00C52A80">
      <w:pPr>
        <w:pStyle w:val="BodyText"/>
        <w:keepLines/>
        <w:spacing w:after="160"/>
      </w:pPr>
      <w:r w:rsidRPr="005060E0">
        <w:t>Aust N, Watkiss P, Boulter P</w:t>
      </w:r>
      <w:r w:rsidR="00443352">
        <w:t xml:space="preserve"> &amp; </w:t>
      </w:r>
      <w:r w:rsidRPr="005060E0">
        <w:t>Bawden K 2013</w:t>
      </w:r>
      <w:r w:rsidR="00745445">
        <w:t>,</w:t>
      </w:r>
      <w:r w:rsidRPr="005060E0">
        <w:t xml:space="preserve"> </w:t>
      </w:r>
      <w:r w:rsidRPr="00443352">
        <w:rPr>
          <w:i/>
        </w:rPr>
        <w:t>Methodology for valuing the health impacts of changes in particle emissions – Final Repo</w:t>
      </w:r>
      <w:r w:rsidR="00D34A77" w:rsidRPr="00443352">
        <w:rPr>
          <w:i/>
        </w:rPr>
        <w:t>rt</w:t>
      </w:r>
      <w:r w:rsidR="00745445">
        <w:t>,</w:t>
      </w:r>
      <w:r w:rsidR="00D34A77" w:rsidRPr="005060E0">
        <w:t xml:space="preserve"> </w:t>
      </w:r>
      <w:r w:rsidRPr="005060E0">
        <w:t>Report 6695</w:t>
      </w:r>
      <w:r w:rsidR="00D34A77" w:rsidRPr="005060E0">
        <w:t>, PAEHolmes, Epping</w:t>
      </w:r>
      <w:r w:rsidRPr="005060E0">
        <w:t>.</w:t>
      </w:r>
    </w:p>
    <w:p w14:paraId="5773BEC8" w14:textId="34875552" w:rsidR="00CE2A67" w:rsidRPr="005060E0" w:rsidRDefault="00CE2A67" w:rsidP="00C52A80">
      <w:pPr>
        <w:pStyle w:val="BodyText"/>
        <w:keepLines/>
        <w:spacing w:after="160"/>
      </w:pPr>
      <w:r w:rsidRPr="005060E0">
        <w:t>Bawden K, Aust N, Moorcroft S, Laxen D</w:t>
      </w:r>
      <w:r w:rsidR="00443352">
        <w:t xml:space="preserve"> &amp; </w:t>
      </w:r>
      <w:r w:rsidRPr="005060E0">
        <w:t>Williams M 2012</w:t>
      </w:r>
      <w:r w:rsidR="00745445">
        <w:t>,</w:t>
      </w:r>
      <w:r w:rsidRPr="005060E0">
        <w:t xml:space="preserve"> </w:t>
      </w:r>
      <w:r w:rsidRPr="00443352">
        <w:rPr>
          <w:i/>
        </w:rPr>
        <w:t>Evaluating Options for an Exposure Reduction Fr</w:t>
      </w:r>
      <w:r w:rsidR="00D34A77" w:rsidRPr="00443352">
        <w:rPr>
          <w:i/>
        </w:rPr>
        <w:t>amework in Australia</w:t>
      </w:r>
      <w:r w:rsidR="00745445">
        <w:t>,</w:t>
      </w:r>
      <w:r w:rsidR="00D34A77" w:rsidRPr="005060E0">
        <w:t xml:space="preserve"> </w:t>
      </w:r>
      <w:r w:rsidRPr="005060E0">
        <w:t>Report 6808</w:t>
      </w:r>
      <w:r w:rsidR="00745445">
        <w:t>,</w:t>
      </w:r>
      <w:r w:rsidRPr="005060E0">
        <w:t xml:space="preserve"> PAEHolmes, Brisbane.</w:t>
      </w:r>
    </w:p>
    <w:p w14:paraId="1F69B011" w14:textId="3463ABED" w:rsidR="00101040" w:rsidRPr="00C52A80" w:rsidRDefault="00101040" w:rsidP="00C52A80">
      <w:pPr>
        <w:pStyle w:val="BodyText"/>
        <w:keepLines/>
        <w:spacing w:after="160"/>
        <w:rPr>
          <w:spacing w:val="-1"/>
        </w:rPr>
      </w:pPr>
      <w:r w:rsidRPr="00C52A80">
        <w:rPr>
          <w:spacing w:val="-1"/>
        </w:rPr>
        <w:t>BDA Group 2013</w:t>
      </w:r>
      <w:r w:rsidR="00745445" w:rsidRPr="00C52A80">
        <w:rPr>
          <w:spacing w:val="-1"/>
        </w:rPr>
        <w:t>,</w:t>
      </w:r>
      <w:r w:rsidRPr="00C52A80">
        <w:rPr>
          <w:spacing w:val="-1"/>
        </w:rPr>
        <w:t xml:space="preserve"> </w:t>
      </w:r>
      <w:r w:rsidRPr="00C52A80">
        <w:rPr>
          <w:i/>
          <w:spacing w:val="-1"/>
        </w:rPr>
        <w:t>Consultation regulation impact statement for reducing emissions from wood heaters</w:t>
      </w:r>
      <w:r w:rsidR="00745445" w:rsidRPr="00C52A80">
        <w:rPr>
          <w:spacing w:val="-1"/>
        </w:rPr>
        <w:t>,</w:t>
      </w:r>
      <w:r w:rsidRPr="00C52A80">
        <w:rPr>
          <w:spacing w:val="-1"/>
        </w:rPr>
        <w:t xml:space="preserve"> </w:t>
      </w:r>
      <w:r w:rsidR="00443352" w:rsidRPr="00C52A80">
        <w:rPr>
          <w:spacing w:val="-1"/>
        </w:rPr>
        <w:t>r</w:t>
      </w:r>
      <w:r w:rsidRPr="00C52A80">
        <w:rPr>
          <w:spacing w:val="-1"/>
        </w:rPr>
        <w:t>eport for National Environment Protection Council Service Corporation, 11 April 2013</w:t>
      </w:r>
      <w:r w:rsidR="00745445" w:rsidRPr="00C52A80">
        <w:rPr>
          <w:spacing w:val="-1"/>
        </w:rPr>
        <w:t>,</w:t>
      </w:r>
      <w:r w:rsidRPr="00C52A80">
        <w:rPr>
          <w:spacing w:val="-1"/>
        </w:rPr>
        <w:t xml:space="preserve"> BDA Group, Manuka, ACT.</w:t>
      </w:r>
    </w:p>
    <w:p w14:paraId="29D13A57" w14:textId="7378D2BB" w:rsidR="00CE2A67" w:rsidRPr="005060E0" w:rsidRDefault="00CE2A67" w:rsidP="00C52A80">
      <w:pPr>
        <w:pStyle w:val="BodyText"/>
        <w:keepLines/>
        <w:spacing w:after="160"/>
      </w:pPr>
      <w:r w:rsidRPr="005060E0">
        <w:t>Boulter P</w:t>
      </w:r>
      <w:r w:rsidR="00443352">
        <w:t xml:space="preserve"> &amp; </w:t>
      </w:r>
      <w:r w:rsidRPr="005060E0">
        <w:t>Kulkarni K 2013</w:t>
      </w:r>
      <w:r w:rsidR="00745445">
        <w:t>,</w:t>
      </w:r>
      <w:r w:rsidRPr="005060E0">
        <w:t xml:space="preserve"> </w:t>
      </w:r>
      <w:r w:rsidRPr="00443352">
        <w:rPr>
          <w:i/>
        </w:rPr>
        <w:t>Economic analysis to inform the national plan for clean air (particles) – Final report</w:t>
      </w:r>
      <w:r w:rsidR="00745445">
        <w:t>,</w:t>
      </w:r>
      <w:r w:rsidRPr="005060E0">
        <w:t xml:space="preserve"> </w:t>
      </w:r>
      <w:r w:rsidR="00443352">
        <w:t>r</w:t>
      </w:r>
      <w:r w:rsidRPr="005060E0">
        <w:t>eport prepared for NEPC Service Corpor</w:t>
      </w:r>
      <w:r w:rsidR="00E14CE3" w:rsidRPr="005060E0">
        <w:t>ation, August 2013</w:t>
      </w:r>
      <w:r w:rsidRPr="005060E0">
        <w:t>.</w:t>
      </w:r>
    </w:p>
    <w:p w14:paraId="2DD7CB9F" w14:textId="04676EFD" w:rsidR="00886AA9" w:rsidRPr="005060E0" w:rsidRDefault="00886AA9" w:rsidP="00C52A80">
      <w:pPr>
        <w:pStyle w:val="BodyText"/>
        <w:keepLines/>
        <w:spacing w:after="160"/>
        <w:jc w:val="both"/>
      </w:pPr>
      <w:r w:rsidRPr="005060E0">
        <w:t>COMEAP 2015</w:t>
      </w:r>
      <w:r w:rsidR="00745445">
        <w:t>,</w:t>
      </w:r>
      <w:r w:rsidRPr="005060E0">
        <w:t xml:space="preserve"> </w:t>
      </w:r>
      <w:r w:rsidRPr="00443352">
        <w:rPr>
          <w:i/>
        </w:rPr>
        <w:t>Quantification of Mortality and Hospital Admissions Associated with Ground Level Ozone</w:t>
      </w:r>
      <w:r w:rsidR="00745445">
        <w:t>,</w:t>
      </w:r>
      <w:r w:rsidRPr="005060E0">
        <w:t xml:space="preserve"> Committee on the Medical Effects of Air</w:t>
      </w:r>
      <w:r w:rsidR="00EB57C9">
        <w:t xml:space="preserve"> Pollutants</w:t>
      </w:r>
      <w:r w:rsidRPr="005060E0">
        <w:t>, Public Health England, London.</w:t>
      </w:r>
    </w:p>
    <w:p w14:paraId="7054DC89" w14:textId="0F199E1B" w:rsidR="00604847" w:rsidRPr="005060E0" w:rsidRDefault="00604847" w:rsidP="00C52A80">
      <w:pPr>
        <w:pStyle w:val="BodyText"/>
        <w:keepLines/>
        <w:spacing w:after="160"/>
        <w:jc w:val="both"/>
      </w:pPr>
      <w:r w:rsidRPr="005060E0">
        <w:t>COMEAP 2018</w:t>
      </w:r>
      <w:r w:rsidR="00745445">
        <w:t>,</w:t>
      </w:r>
      <w:r w:rsidRPr="005060E0">
        <w:t xml:space="preserve"> </w:t>
      </w:r>
      <w:r w:rsidRPr="00443352">
        <w:rPr>
          <w:i/>
        </w:rPr>
        <w:t>Associations of long-term average concentrations of nitrogen dioxide with mortality</w:t>
      </w:r>
      <w:r w:rsidR="00745445">
        <w:t>,</w:t>
      </w:r>
      <w:r w:rsidRPr="005060E0">
        <w:t xml:space="preserve"> Committee on the Medical Effects of Air </w:t>
      </w:r>
      <w:r w:rsidR="00EB57C9">
        <w:t>Pollutants</w:t>
      </w:r>
      <w:r w:rsidRPr="005060E0">
        <w:t>, Public Health England, London.</w:t>
      </w:r>
    </w:p>
    <w:p w14:paraId="708DBC89" w14:textId="11EB82F9" w:rsidR="000C6EB7" w:rsidRPr="005060E0" w:rsidRDefault="000C6EB7" w:rsidP="00C52A80">
      <w:pPr>
        <w:pStyle w:val="BodyText"/>
        <w:keepLines/>
        <w:spacing w:after="160"/>
      </w:pPr>
      <w:r w:rsidRPr="005060E0">
        <w:t>Defra 2013</w:t>
      </w:r>
      <w:r w:rsidR="00745445">
        <w:t>,</w:t>
      </w:r>
      <w:r w:rsidRPr="005060E0">
        <w:t xml:space="preserve"> </w:t>
      </w:r>
      <w:r w:rsidRPr="00443352">
        <w:rPr>
          <w:i/>
        </w:rPr>
        <w:t xml:space="preserve">Impact pathway </w:t>
      </w:r>
      <w:r w:rsidR="0054621B">
        <w:rPr>
          <w:i/>
        </w:rPr>
        <w:t>approach: G</w:t>
      </w:r>
      <w:r w:rsidRPr="00443352">
        <w:rPr>
          <w:i/>
        </w:rPr>
        <w:t>uidance for valuing changes in air quality</w:t>
      </w:r>
      <w:r w:rsidR="00745445">
        <w:t>,</w:t>
      </w:r>
      <w:r w:rsidR="006E41C1" w:rsidRPr="005060E0">
        <w:t xml:space="preserve"> </w:t>
      </w:r>
      <w:r w:rsidR="006E41C1" w:rsidRPr="005060E0">
        <w:rPr>
          <w:bCs/>
        </w:rPr>
        <w:t>Department of the Environment, Food and Rural Affairs, London</w:t>
      </w:r>
      <w:r w:rsidR="00745445">
        <w:rPr>
          <w:bCs/>
        </w:rPr>
        <w:t>,</w:t>
      </w:r>
      <w:r w:rsidR="006E41C1" w:rsidRPr="005060E0">
        <w:t xml:space="preserve"> </w:t>
      </w:r>
      <w:r w:rsidR="0054621B">
        <w:t xml:space="preserve">latest update available at </w:t>
      </w:r>
      <w:hyperlink w:history="1"/>
      <w:hyperlink r:id="rId53" w:history="1">
        <w:r w:rsidR="0054621B" w:rsidRPr="00D20A18">
          <w:rPr>
            <w:rStyle w:val="Hyperlink"/>
          </w:rPr>
          <w:t>https://www.gov.uk/government/publications/air-quality-impact-pathway-guidance</w:t>
        </w:r>
      </w:hyperlink>
      <w:r w:rsidRPr="005060E0">
        <w:t>.</w:t>
      </w:r>
    </w:p>
    <w:p w14:paraId="42DBB393" w14:textId="341995FB" w:rsidR="006E41C1" w:rsidRPr="005060E0" w:rsidRDefault="006E41C1" w:rsidP="00C52A80">
      <w:pPr>
        <w:keepLines/>
        <w:spacing w:after="160"/>
        <w:rPr>
          <w:bCs/>
        </w:rPr>
      </w:pPr>
      <w:r w:rsidRPr="005060E0">
        <w:rPr>
          <w:bCs/>
        </w:rPr>
        <w:t>Defra 2015</w:t>
      </w:r>
      <w:r w:rsidR="00745445">
        <w:rPr>
          <w:bCs/>
        </w:rPr>
        <w:t>,</w:t>
      </w:r>
      <w:r w:rsidRPr="005060E0">
        <w:rPr>
          <w:bCs/>
        </w:rPr>
        <w:t xml:space="preserve"> </w:t>
      </w:r>
      <w:r w:rsidRPr="0045737D">
        <w:rPr>
          <w:bCs/>
          <w:i/>
        </w:rPr>
        <w:t>Valuing impacts on air quality: Updates in valuing changes in emissions of oxides of nitrogen (NO</w:t>
      </w:r>
      <w:r w:rsidRPr="0045737D">
        <w:rPr>
          <w:bCs/>
          <w:i/>
          <w:vertAlign w:val="subscript"/>
        </w:rPr>
        <w:t>X</w:t>
      </w:r>
      <w:r w:rsidRPr="0045737D">
        <w:rPr>
          <w:bCs/>
          <w:i/>
        </w:rPr>
        <w:t>) and concentrations of nitrogen dioxide (NO</w:t>
      </w:r>
      <w:r w:rsidRPr="0045737D">
        <w:rPr>
          <w:bCs/>
          <w:i/>
          <w:vertAlign w:val="subscript"/>
        </w:rPr>
        <w:t>2</w:t>
      </w:r>
      <w:r w:rsidRPr="0045737D">
        <w:rPr>
          <w:bCs/>
          <w:i/>
        </w:rPr>
        <w:t>)</w:t>
      </w:r>
      <w:r w:rsidR="00745445">
        <w:rPr>
          <w:bCs/>
        </w:rPr>
        <w:t>,</w:t>
      </w:r>
      <w:r w:rsidRPr="005060E0">
        <w:rPr>
          <w:bCs/>
        </w:rPr>
        <w:t xml:space="preserve"> Department of the Environment, Food and Rural Affairs, London.</w:t>
      </w:r>
    </w:p>
    <w:p w14:paraId="123B9C81" w14:textId="7F7325F5" w:rsidR="00AD7FCF" w:rsidRPr="005060E0" w:rsidRDefault="00AD7FCF" w:rsidP="00C52A80">
      <w:pPr>
        <w:pStyle w:val="BodyText"/>
        <w:keepLines/>
        <w:spacing w:after="160"/>
      </w:pPr>
      <w:r w:rsidRPr="005060E0">
        <w:t>Delaney W</w:t>
      </w:r>
      <w:r w:rsidR="00443352">
        <w:t xml:space="preserve"> &amp; </w:t>
      </w:r>
      <w:r w:rsidRPr="005060E0">
        <w:t>Marshall A 2011</w:t>
      </w:r>
      <w:r w:rsidR="00745445">
        <w:t>,</w:t>
      </w:r>
      <w:r w:rsidRPr="005060E0">
        <w:t xml:space="preserve"> </w:t>
      </w:r>
      <w:r w:rsidR="009A5651">
        <w:t>‘</w:t>
      </w:r>
      <w:r w:rsidRPr="005060E0">
        <w:t>Victorian Air Emissions Inventory for 2006</w:t>
      </w:r>
      <w:r w:rsidR="009A5651">
        <w:t>’</w:t>
      </w:r>
      <w:r w:rsidR="00745445">
        <w:t>,</w:t>
      </w:r>
      <w:r w:rsidRPr="005060E0">
        <w:t xml:space="preserve"> </w:t>
      </w:r>
      <w:r w:rsidRPr="009A5651">
        <w:rPr>
          <w:i/>
        </w:rPr>
        <w:t>Proceedings of the 20th International Clean Air and Environment Conference, Auckland, 31 July – 2 August 2011</w:t>
      </w:r>
      <w:r w:rsidR="00745445">
        <w:t>,</w:t>
      </w:r>
      <w:r w:rsidRPr="005060E0">
        <w:t xml:space="preserve"> Clean Air Society of Australia &amp; New Zealand, Eastwood, NSW.</w:t>
      </w:r>
    </w:p>
    <w:p w14:paraId="00A06DA9" w14:textId="0BC52DE7" w:rsidR="002B5934" w:rsidRPr="005060E0" w:rsidRDefault="002B5934" w:rsidP="00C52A80">
      <w:pPr>
        <w:pStyle w:val="BodyText"/>
        <w:keepLines/>
        <w:spacing w:after="160"/>
      </w:pPr>
      <w:r w:rsidRPr="005060E0">
        <w:t>enHealth 2012</w:t>
      </w:r>
      <w:r w:rsidR="00745445">
        <w:t>,</w:t>
      </w:r>
      <w:r w:rsidRPr="005060E0">
        <w:t xml:space="preserve"> </w:t>
      </w:r>
      <w:r w:rsidRPr="009A5651">
        <w:rPr>
          <w:i/>
        </w:rPr>
        <w:t>Environmental Health Risk Assessment – Guidelines for assessing human health risks from environmental hazards</w:t>
      </w:r>
      <w:r w:rsidR="00745445">
        <w:t>,</w:t>
      </w:r>
      <w:r w:rsidRPr="005060E0">
        <w:t xml:space="preserve"> </w:t>
      </w:r>
      <w:r w:rsidR="009A5651">
        <w:t>r</w:t>
      </w:r>
      <w:r w:rsidRPr="005060E0">
        <w:t>eport prepared by the Environmental Health Standing Committee on behalf of the Commonwealth of Australia.</w:t>
      </w:r>
    </w:p>
    <w:p w14:paraId="44B4C1BE" w14:textId="435E676D" w:rsidR="00AD7FCF" w:rsidRPr="005060E0" w:rsidRDefault="00AD7FCF" w:rsidP="00C52A80">
      <w:pPr>
        <w:pStyle w:val="BodyText"/>
        <w:keepLines/>
        <w:spacing w:after="160"/>
      </w:pPr>
      <w:r w:rsidRPr="005060E0">
        <w:t>EPA Victoria 2013</w:t>
      </w:r>
      <w:r w:rsidR="00745445">
        <w:t>,</w:t>
      </w:r>
      <w:r w:rsidRPr="005060E0">
        <w:t xml:space="preserve"> </w:t>
      </w:r>
      <w:r w:rsidRPr="009A5651">
        <w:rPr>
          <w:i/>
        </w:rPr>
        <w:t xml:space="preserve">Future air quality in Victoria </w:t>
      </w:r>
      <w:r w:rsidR="009A5651" w:rsidRPr="009A5651">
        <w:rPr>
          <w:i/>
        </w:rPr>
        <w:t>–</w:t>
      </w:r>
      <w:r w:rsidRPr="009A5651">
        <w:rPr>
          <w:i/>
        </w:rPr>
        <w:t xml:space="preserve"> Final report</w:t>
      </w:r>
      <w:r w:rsidR="00745445">
        <w:t>,</w:t>
      </w:r>
      <w:r w:rsidRPr="005060E0">
        <w:t xml:space="preserve"> Publication 1535, July 2013, EPA Victoria, Carlton.</w:t>
      </w:r>
    </w:p>
    <w:p w14:paraId="0497AF76" w14:textId="69AAD240" w:rsidR="00AD7FCF" w:rsidRPr="005060E0" w:rsidRDefault="00AD7FCF" w:rsidP="00C52A80">
      <w:pPr>
        <w:pStyle w:val="BodyText"/>
        <w:keepLines/>
        <w:spacing w:after="160"/>
      </w:pPr>
      <w:r w:rsidRPr="005060E0">
        <w:t>EPHC 2005</w:t>
      </w:r>
      <w:r w:rsidR="00745445">
        <w:t>,</w:t>
      </w:r>
      <w:r w:rsidRPr="005060E0">
        <w:t xml:space="preserve"> </w:t>
      </w:r>
      <w:r w:rsidRPr="0099383F">
        <w:rPr>
          <w:i/>
        </w:rPr>
        <w:t>Multicity Mortality and Morbidity Study</w:t>
      </w:r>
      <w:r w:rsidRPr="005060E0">
        <w:t xml:space="preserve">, </w:t>
      </w:r>
      <w:r w:rsidR="009A5651">
        <w:t>Environment Protection and Heritage Council,</w:t>
      </w:r>
      <w:r w:rsidR="009A5651" w:rsidRPr="005060E0">
        <w:t xml:space="preserve"> </w:t>
      </w:r>
      <w:r w:rsidRPr="005060E0">
        <w:t xml:space="preserve">available at </w:t>
      </w:r>
      <w:hyperlink r:id="rId54" w:history="1">
        <w:r w:rsidR="00745445" w:rsidRPr="00D20A18">
          <w:rPr>
            <w:rStyle w:val="Hyperlink"/>
          </w:rPr>
          <w:t>www.ephc.gov.au</w:t>
        </w:r>
      </w:hyperlink>
      <w:r w:rsidRPr="005060E0">
        <w:t>.</w:t>
      </w:r>
    </w:p>
    <w:p w14:paraId="342F9E70" w14:textId="12ABF12A" w:rsidR="003505F4" w:rsidRPr="005060E0" w:rsidRDefault="003505F4" w:rsidP="00C52A80">
      <w:pPr>
        <w:pStyle w:val="BodyText"/>
        <w:keepLines/>
        <w:spacing w:after="160"/>
      </w:pPr>
      <w:r w:rsidRPr="005060E0">
        <w:t>Frangos J</w:t>
      </w:r>
      <w:r w:rsidR="00443352">
        <w:t xml:space="preserve"> &amp; </w:t>
      </w:r>
      <w:r w:rsidRPr="005060E0">
        <w:t>DiMarco P 2013</w:t>
      </w:r>
      <w:r w:rsidR="00745445">
        <w:t>,</w:t>
      </w:r>
      <w:r w:rsidRPr="005060E0">
        <w:t xml:space="preserve"> </w:t>
      </w:r>
      <w:r w:rsidRPr="0099383F">
        <w:rPr>
          <w:i/>
        </w:rPr>
        <w:t>Exposure assessment and risk characterisation to inform recommendations for updating ambient air quality standards for PM</w:t>
      </w:r>
      <w:r w:rsidRPr="0099383F">
        <w:rPr>
          <w:i/>
          <w:vertAlign w:val="subscript"/>
        </w:rPr>
        <w:t>2.5</w:t>
      </w:r>
      <w:r w:rsidRPr="0099383F">
        <w:rPr>
          <w:i/>
        </w:rPr>
        <w:t>, PM</w:t>
      </w:r>
      <w:r w:rsidRPr="0099383F">
        <w:rPr>
          <w:i/>
          <w:vertAlign w:val="subscript"/>
        </w:rPr>
        <w:t>10</w:t>
      </w:r>
      <w:r w:rsidRPr="0099383F">
        <w:rPr>
          <w:i/>
        </w:rPr>
        <w:t>, O</w:t>
      </w:r>
      <w:r w:rsidRPr="0099383F">
        <w:rPr>
          <w:i/>
          <w:vertAlign w:val="subscript"/>
        </w:rPr>
        <w:t>3</w:t>
      </w:r>
      <w:r w:rsidRPr="0099383F">
        <w:rPr>
          <w:i/>
        </w:rPr>
        <w:t>, NO</w:t>
      </w:r>
      <w:r w:rsidRPr="0099383F">
        <w:rPr>
          <w:i/>
          <w:vertAlign w:val="subscript"/>
        </w:rPr>
        <w:t>2</w:t>
      </w:r>
      <w:r w:rsidRPr="0099383F">
        <w:rPr>
          <w:i/>
        </w:rPr>
        <w:t>, SO</w:t>
      </w:r>
      <w:r w:rsidRPr="0099383F">
        <w:rPr>
          <w:i/>
          <w:vertAlign w:val="subscript"/>
        </w:rPr>
        <w:t>2</w:t>
      </w:r>
      <w:r w:rsidR="00745445">
        <w:t>,</w:t>
      </w:r>
      <w:r w:rsidRPr="005060E0">
        <w:t xml:space="preserve"> Report number 127643066-001-R-Rev0</w:t>
      </w:r>
      <w:r w:rsidR="00745445">
        <w:t>,</w:t>
      </w:r>
      <w:r w:rsidRPr="005060E0">
        <w:t xml:space="preserve"> Golder Associates, Richmond, Victoria.</w:t>
      </w:r>
    </w:p>
    <w:p w14:paraId="3B253D79" w14:textId="6C0A7968" w:rsidR="00F047B1" w:rsidRPr="005060E0" w:rsidRDefault="00F047B1" w:rsidP="00C52A80">
      <w:pPr>
        <w:keepLines/>
        <w:spacing w:after="160"/>
      </w:pPr>
      <w:r w:rsidRPr="005060E0">
        <w:t>Heo J, Adams PJ</w:t>
      </w:r>
      <w:r w:rsidR="00443352">
        <w:t xml:space="preserve"> &amp; </w:t>
      </w:r>
      <w:r w:rsidRPr="005060E0">
        <w:t>Gao HO 2016</w:t>
      </w:r>
      <w:r w:rsidR="00745445">
        <w:t>,</w:t>
      </w:r>
      <w:r w:rsidRPr="005060E0">
        <w:t xml:space="preserve"> </w:t>
      </w:r>
      <w:r w:rsidR="00745445">
        <w:t>‘</w:t>
      </w:r>
      <w:r w:rsidRPr="005060E0">
        <w:t>Public Health Costs of Primary PM</w:t>
      </w:r>
      <w:r w:rsidRPr="005060E0">
        <w:rPr>
          <w:vertAlign w:val="subscript"/>
        </w:rPr>
        <w:t>2.5</w:t>
      </w:r>
      <w:r w:rsidRPr="005060E0">
        <w:t xml:space="preserve"> Precursor Emissions in the United States</w:t>
      </w:r>
      <w:r w:rsidR="00745445">
        <w:t>’</w:t>
      </w:r>
      <w:r w:rsidRPr="005060E0">
        <w:t xml:space="preserve">, </w:t>
      </w:r>
      <w:r w:rsidRPr="00745445">
        <w:rPr>
          <w:i/>
        </w:rPr>
        <w:t>Environmental Science and Technology</w:t>
      </w:r>
      <w:r w:rsidRPr="005060E0">
        <w:t xml:space="preserve">, </w:t>
      </w:r>
      <w:r w:rsidR="009A5651">
        <w:t xml:space="preserve">vol. </w:t>
      </w:r>
      <w:r w:rsidRPr="005060E0">
        <w:t>50</w:t>
      </w:r>
      <w:r w:rsidR="00745445">
        <w:t>,</w:t>
      </w:r>
      <w:r w:rsidRPr="005060E0">
        <w:t xml:space="preserve"> pp. 6061–6070.</w:t>
      </w:r>
    </w:p>
    <w:p w14:paraId="77F952D9" w14:textId="130C4188" w:rsidR="000A64EA" w:rsidRPr="005060E0" w:rsidRDefault="00FD3241" w:rsidP="00C52A80">
      <w:pPr>
        <w:keepLines/>
        <w:spacing w:after="160"/>
      </w:pPr>
      <w:r w:rsidRPr="005060E0">
        <w:t>Jalaludin B</w:t>
      </w:r>
      <w:r w:rsidR="00443352">
        <w:t xml:space="preserve"> &amp; </w:t>
      </w:r>
      <w:r w:rsidRPr="005060E0">
        <w:t>Cowie C 2012</w:t>
      </w:r>
      <w:r w:rsidR="00745445">
        <w:t>,</w:t>
      </w:r>
      <w:r w:rsidRPr="005060E0">
        <w:t xml:space="preserve"> </w:t>
      </w:r>
      <w:r w:rsidRPr="00B835EA">
        <w:rPr>
          <w:i/>
        </w:rPr>
        <w:t>Health Risk Assessment – Preliminary Work to Identify Concentration Response Functions for Selected Ambient Air Pollut</w:t>
      </w:r>
      <w:r w:rsidR="00F047B1" w:rsidRPr="00B835EA">
        <w:rPr>
          <w:i/>
        </w:rPr>
        <w:t>ants</w:t>
      </w:r>
      <w:r w:rsidR="00B835EA">
        <w:t>,</w:t>
      </w:r>
      <w:r w:rsidR="00B835EA" w:rsidRPr="005060E0">
        <w:t xml:space="preserve"> </w:t>
      </w:r>
      <w:r w:rsidR="00B835EA">
        <w:t>rep</w:t>
      </w:r>
      <w:r w:rsidR="00B835EA" w:rsidRPr="00B835EA">
        <w:t>ort prepared for EPA Victoria</w:t>
      </w:r>
      <w:r w:rsidR="00B835EA">
        <w:t>, available at</w:t>
      </w:r>
      <w:r w:rsidR="00B835EA" w:rsidRPr="00FD1F97">
        <w:t xml:space="preserve"> </w:t>
      </w:r>
      <w:hyperlink w:history="1"/>
      <w:hyperlink r:id="rId55" w:history="1">
        <w:r w:rsidR="009A5651" w:rsidRPr="00D20A18">
          <w:rPr>
            <w:rStyle w:val="Hyperlink"/>
          </w:rPr>
          <w:t>http://www.nepc.gov.au/resource/health-risk-assessment-preliminary-work-identify-concentration-response-functions-selected</w:t>
        </w:r>
      </w:hyperlink>
      <w:r w:rsidR="00B835EA" w:rsidRPr="0099383F">
        <w:t>.</w:t>
      </w:r>
    </w:p>
    <w:p w14:paraId="71A1DD75" w14:textId="0AEA200C" w:rsidR="00AD7FCF" w:rsidRPr="005060E0" w:rsidRDefault="00AD7FCF" w:rsidP="00C52A80">
      <w:pPr>
        <w:keepLines/>
        <w:spacing w:after="160"/>
      </w:pPr>
      <w:r w:rsidRPr="005060E0">
        <w:t>Jalaludin B, Khalaj B, Sheppeard V</w:t>
      </w:r>
      <w:r w:rsidR="00443352">
        <w:t xml:space="preserve"> &amp; </w:t>
      </w:r>
      <w:r w:rsidRPr="005060E0">
        <w:t>Morgan G 2008</w:t>
      </w:r>
      <w:r w:rsidR="00745445">
        <w:t>,</w:t>
      </w:r>
      <w:r w:rsidRPr="005060E0">
        <w:t xml:space="preserve"> </w:t>
      </w:r>
      <w:r w:rsidR="00745445">
        <w:t>‘</w:t>
      </w:r>
      <w:r w:rsidRPr="005060E0">
        <w:t>Air pollution and ED visits for asthma in Australian children: a case-crossover analysis</w:t>
      </w:r>
      <w:r w:rsidR="00745445">
        <w:t>’,</w:t>
      </w:r>
      <w:r w:rsidRPr="005060E0">
        <w:t xml:space="preserve"> </w:t>
      </w:r>
      <w:r w:rsidRPr="00745445">
        <w:rPr>
          <w:i/>
        </w:rPr>
        <w:t>Int. Arch. Occup. Environ. Health</w:t>
      </w:r>
      <w:r w:rsidRPr="005060E0">
        <w:t xml:space="preserve">, </w:t>
      </w:r>
      <w:r w:rsidR="00B835EA">
        <w:t>v</w:t>
      </w:r>
      <w:r w:rsidRPr="005060E0">
        <w:t>ol. 81(8), pp. 967</w:t>
      </w:r>
      <w:r w:rsidR="00DB1A41">
        <w:rPr>
          <w:rFonts w:cs="Arial"/>
        </w:rPr>
        <w:t>–</w:t>
      </w:r>
      <w:r w:rsidR="00B835EA">
        <w:rPr>
          <w:rFonts w:cs="Arial"/>
        </w:rPr>
        <w:t>9</w:t>
      </w:r>
      <w:r w:rsidRPr="005060E0">
        <w:t>74.</w:t>
      </w:r>
    </w:p>
    <w:p w14:paraId="68231EFE" w14:textId="7295DBD9" w:rsidR="00D30CB6" w:rsidRDefault="00D30CB6" w:rsidP="00C52A80">
      <w:pPr>
        <w:pStyle w:val="BodyText"/>
        <w:keepLines/>
        <w:spacing w:after="160"/>
      </w:pPr>
      <w:r>
        <w:t xml:space="preserve">Morgan </w:t>
      </w:r>
      <w:r w:rsidR="009523E3" w:rsidRPr="009523E3">
        <w:t>G, Broome R</w:t>
      </w:r>
      <w:r w:rsidR="009523E3">
        <w:t xml:space="preserve"> &amp;</w:t>
      </w:r>
      <w:r w:rsidR="009523E3" w:rsidRPr="009523E3">
        <w:t xml:space="preserve"> Jalaludin B 2013</w:t>
      </w:r>
      <w:r w:rsidR="009523E3">
        <w:t>,</w:t>
      </w:r>
      <w:r w:rsidR="009523E3" w:rsidRPr="009523E3">
        <w:t xml:space="preserve"> </w:t>
      </w:r>
      <w:r w:rsidR="009523E3" w:rsidRPr="009523E3">
        <w:rPr>
          <w:i/>
        </w:rPr>
        <w:t>Summary for Policy Makers of the Health Risk Assessment on Air Pollution in Australia</w:t>
      </w:r>
      <w:r w:rsidR="009523E3" w:rsidRPr="009523E3">
        <w:t>, November 2013, pp. 5</w:t>
      </w:r>
      <w:r w:rsidR="009523E3">
        <w:rPr>
          <w:rFonts w:cs="Arial"/>
        </w:rPr>
        <w:t>–</w:t>
      </w:r>
      <w:r w:rsidR="009523E3" w:rsidRPr="009523E3">
        <w:t>29</w:t>
      </w:r>
      <w:r w:rsidR="009523E3">
        <w:t>,</w:t>
      </w:r>
      <w:r w:rsidR="009523E3" w:rsidRPr="009523E3">
        <w:t xml:space="preserve"> </w:t>
      </w:r>
      <w:r w:rsidR="009523E3" w:rsidRPr="005060E0">
        <w:t>National Environment Protection Council, Canberra.</w:t>
      </w:r>
    </w:p>
    <w:p w14:paraId="05D3CD81" w14:textId="4893C616" w:rsidR="00C94524" w:rsidRPr="005060E0" w:rsidRDefault="00DD4714" w:rsidP="00C52A80">
      <w:pPr>
        <w:pStyle w:val="BodyText"/>
        <w:keepLines/>
        <w:spacing w:after="160"/>
      </w:pPr>
      <w:r w:rsidRPr="005060E0">
        <w:t>NEPC 1998</w:t>
      </w:r>
      <w:r w:rsidR="00745445">
        <w:t>,</w:t>
      </w:r>
      <w:r w:rsidRPr="005060E0">
        <w:t xml:space="preserve"> </w:t>
      </w:r>
      <w:r w:rsidRPr="00B835EA">
        <w:rPr>
          <w:i/>
        </w:rPr>
        <w:t>National Environment Protection (Ambient Air Quality) Measure</w:t>
      </w:r>
      <w:r w:rsidR="00C94524" w:rsidRPr="00B835EA">
        <w:rPr>
          <w:i/>
        </w:rPr>
        <w:t xml:space="preserve"> </w:t>
      </w:r>
      <w:r w:rsidR="00B835EA" w:rsidRPr="00B835EA">
        <w:rPr>
          <w:i/>
        </w:rPr>
        <w:t>–</w:t>
      </w:r>
      <w:r w:rsidRPr="00B835EA">
        <w:rPr>
          <w:i/>
        </w:rPr>
        <w:t xml:space="preserve"> Revised Impact Statement</w:t>
      </w:r>
      <w:r w:rsidR="00745445">
        <w:t>,</w:t>
      </w:r>
      <w:r w:rsidR="00C94524" w:rsidRPr="005060E0">
        <w:t xml:space="preserve"> National Environment Protection Council, Canberra.</w:t>
      </w:r>
    </w:p>
    <w:p w14:paraId="12A15629" w14:textId="18FEFDA8" w:rsidR="006542C4" w:rsidRDefault="006542C4" w:rsidP="00C52A80">
      <w:pPr>
        <w:pStyle w:val="BodyText"/>
        <w:keepLines/>
        <w:spacing w:after="160"/>
      </w:pPr>
      <w:r>
        <w:t xml:space="preserve">NEPC 2002, </w:t>
      </w:r>
      <w:r w:rsidRPr="006542C4">
        <w:rPr>
          <w:i/>
        </w:rPr>
        <w:t>Impact statement for PM</w:t>
      </w:r>
      <w:r w:rsidRPr="006542C4">
        <w:rPr>
          <w:i/>
          <w:vertAlign w:val="subscript"/>
        </w:rPr>
        <w:t>2.5</w:t>
      </w:r>
      <w:r w:rsidRPr="006542C4">
        <w:rPr>
          <w:i/>
        </w:rPr>
        <w:t xml:space="preserve"> Variation – Setting a PM</w:t>
      </w:r>
      <w:r w:rsidRPr="006542C4">
        <w:rPr>
          <w:i/>
          <w:vertAlign w:val="subscript"/>
        </w:rPr>
        <w:t>2.5</w:t>
      </w:r>
      <w:r w:rsidRPr="006542C4">
        <w:rPr>
          <w:i/>
        </w:rPr>
        <w:t xml:space="preserve"> standard in Australia</w:t>
      </w:r>
      <w:r w:rsidRPr="006542C4">
        <w:t>, National Environmental Protection Council, Adelaide, SA.</w:t>
      </w:r>
    </w:p>
    <w:p w14:paraId="4B7314F5" w14:textId="49531033" w:rsidR="00AF44BA" w:rsidRPr="005060E0" w:rsidRDefault="00AF44BA" w:rsidP="00C52A80">
      <w:pPr>
        <w:pStyle w:val="BodyText"/>
        <w:keepLines/>
        <w:spacing w:after="160"/>
      </w:pPr>
      <w:r w:rsidRPr="005060E0">
        <w:t>NEPC 2005</w:t>
      </w:r>
      <w:r w:rsidR="00745445">
        <w:t>,</w:t>
      </w:r>
      <w:r w:rsidRPr="005060E0">
        <w:t xml:space="preserve"> </w:t>
      </w:r>
      <w:r w:rsidRPr="00B835EA">
        <w:rPr>
          <w:i/>
        </w:rPr>
        <w:t>Preliminary Work on Ozone for the Review of the Ambient Air Quality NEPM Issues Paper</w:t>
      </w:r>
      <w:r w:rsidR="00745445">
        <w:t>,</w:t>
      </w:r>
      <w:r w:rsidRPr="005060E0">
        <w:t xml:space="preserve"> National Environment Protection Council</w:t>
      </w:r>
      <w:r w:rsidR="00B835EA">
        <w:t>, Canberra</w:t>
      </w:r>
      <w:r w:rsidRPr="005060E0">
        <w:t>.</w:t>
      </w:r>
    </w:p>
    <w:p w14:paraId="4CCEFF0F" w14:textId="583AC54A" w:rsidR="00D56B82" w:rsidRPr="005060E0" w:rsidRDefault="00D56B82" w:rsidP="00C52A80">
      <w:pPr>
        <w:pStyle w:val="BodyText"/>
        <w:keepLines/>
        <w:spacing w:after="160"/>
      </w:pPr>
      <w:r w:rsidRPr="005060E0">
        <w:t>NEPC 2010</w:t>
      </w:r>
      <w:r w:rsidR="00745445">
        <w:t>,</w:t>
      </w:r>
      <w:r w:rsidRPr="005060E0">
        <w:t xml:space="preserve"> </w:t>
      </w:r>
      <w:r w:rsidRPr="00B835EA">
        <w:rPr>
          <w:i/>
        </w:rPr>
        <w:t>Review of the National Environment Protection (Ambient Air Quality) Measure</w:t>
      </w:r>
      <w:r w:rsidR="00745445" w:rsidRPr="00B835EA">
        <w:rPr>
          <w:i/>
        </w:rPr>
        <w:t>,</w:t>
      </w:r>
      <w:r w:rsidRPr="00B835EA">
        <w:rPr>
          <w:i/>
        </w:rPr>
        <w:t xml:space="preserve"> Discussion paper</w:t>
      </w:r>
      <w:r w:rsidR="00352188" w:rsidRPr="00B835EA">
        <w:rPr>
          <w:i/>
        </w:rPr>
        <w:t>:</w:t>
      </w:r>
      <w:r w:rsidRPr="00B835EA">
        <w:rPr>
          <w:i/>
        </w:rPr>
        <w:t xml:space="preserve"> Air quality standards</w:t>
      </w:r>
      <w:r w:rsidR="00745445">
        <w:t>,</w:t>
      </w:r>
      <w:r w:rsidRPr="005060E0">
        <w:t xml:space="preserve"> </w:t>
      </w:r>
      <w:r w:rsidR="00B835EA">
        <w:t>p</w:t>
      </w:r>
      <w:r w:rsidRPr="005060E0">
        <w:t>repared for the National Environment Protection Council</w:t>
      </w:r>
      <w:r w:rsidR="00B835EA">
        <w:t>, Canberra,</w:t>
      </w:r>
      <w:r w:rsidRPr="005060E0">
        <w:t xml:space="preserve"> </w:t>
      </w:r>
      <w:r w:rsidR="00B835EA">
        <w:t xml:space="preserve">available at </w:t>
      </w:r>
      <w:hyperlink r:id="rId56" w:history="1">
        <w:r w:rsidR="00B835EA" w:rsidRPr="00D20A18">
          <w:rPr>
            <w:rStyle w:val="Hyperlink"/>
          </w:rPr>
          <w:t>http://nepc.gov.au/system/files/consultations/50d14908-edc7-df44-099a-3aca53792ac1/files/aaq-discppr-review-aaq-nepm-discussion-paper-aq-standards-final-201007.pdf</w:t>
        </w:r>
      </w:hyperlink>
      <w:r w:rsidRPr="005060E0">
        <w:t>.</w:t>
      </w:r>
    </w:p>
    <w:p w14:paraId="08076C61" w14:textId="24193301" w:rsidR="008934EB" w:rsidRPr="005060E0" w:rsidRDefault="008934EB" w:rsidP="00C52A80">
      <w:pPr>
        <w:pStyle w:val="BodyText"/>
        <w:keepLines/>
        <w:spacing w:after="160"/>
      </w:pPr>
      <w:r w:rsidRPr="005060E0">
        <w:t>NEPC 2011a</w:t>
      </w:r>
      <w:r w:rsidR="00745445">
        <w:t>,</w:t>
      </w:r>
      <w:r w:rsidRPr="005060E0">
        <w:t xml:space="preserve"> </w:t>
      </w:r>
      <w:r w:rsidRPr="00B835EA">
        <w:rPr>
          <w:i/>
        </w:rPr>
        <w:t>National Environment Protection (Ambient Air Quality) Measure Review</w:t>
      </w:r>
      <w:r w:rsidR="00B835EA">
        <w:rPr>
          <w:i/>
        </w:rPr>
        <w:t>: Review Report</w:t>
      </w:r>
      <w:r w:rsidR="00745445">
        <w:t>,</w:t>
      </w:r>
      <w:r w:rsidRPr="005060E0">
        <w:t xml:space="preserve"> National Environment Protection Council Service Corporation, Level 5 81 Flinders Street, Adelaide, South Australia</w:t>
      </w:r>
      <w:r w:rsidR="00745445">
        <w:t>,</w:t>
      </w:r>
      <w:r w:rsidR="00B835EA">
        <w:t xml:space="preserve"> available at</w:t>
      </w:r>
      <w:r w:rsidRPr="005060E0">
        <w:t xml:space="preserve"> </w:t>
      </w:r>
      <w:hyperlink r:id="rId57" w:history="1">
        <w:r w:rsidR="00B835EA" w:rsidRPr="00D20A18">
          <w:rPr>
            <w:rStyle w:val="Hyperlink"/>
          </w:rPr>
          <w:t>http://www.nepc.gov.au/system/files/resources/3405e986-afe9-bdb4-5d2c-383f3ea1e911/files/aaq-review-report-2011.pdf</w:t>
        </w:r>
      </w:hyperlink>
      <w:r w:rsidR="00B835EA" w:rsidRPr="00B835EA">
        <w:t>.</w:t>
      </w:r>
    </w:p>
    <w:p w14:paraId="3CD58C66" w14:textId="403B452F" w:rsidR="000A36A2" w:rsidRPr="005060E0" w:rsidRDefault="000A36A2" w:rsidP="00C52A80">
      <w:pPr>
        <w:pStyle w:val="BodyText"/>
        <w:keepLines/>
        <w:spacing w:after="160"/>
      </w:pPr>
      <w:r w:rsidRPr="005060E0">
        <w:t>NEPC 2011b</w:t>
      </w:r>
      <w:r w:rsidR="00745445">
        <w:t>,</w:t>
      </w:r>
      <w:r w:rsidRPr="005060E0">
        <w:t xml:space="preserve"> </w:t>
      </w:r>
      <w:r w:rsidRPr="00B835EA">
        <w:rPr>
          <w:i/>
        </w:rPr>
        <w:t>Methodology for Setting Air Quality Standards in Australia</w:t>
      </w:r>
      <w:r w:rsidRPr="005060E0">
        <w:t xml:space="preserve">, </w:t>
      </w:r>
      <w:r w:rsidRPr="00B835EA">
        <w:rPr>
          <w:i/>
        </w:rPr>
        <w:t>Part A</w:t>
      </w:r>
      <w:r w:rsidRPr="005060E0">
        <w:t>, February 2011</w:t>
      </w:r>
      <w:r w:rsidR="00745445">
        <w:t>,</w:t>
      </w:r>
      <w:r w:rsidRPr="005060E0">
        <w:t xml:space="preserve"> National Environment Protection Council, Canberra.</w:t>
      </w:r>
    </w:p>
    <w:p w14:paraId="721E4227" w14:textId="7A11CD97" w:rsidR="00D347BE" w:rsidRPr="005060E0" w:rsidRDefault="00D347BE" w:rsidP="00C52A80">
      <w:pPr>
        <w:pStyle w:val="BodyText"/>
        <w:keepLines/>
        <w:spacing w:after="160"/>
      </w:pPr>
      <w:r w:rsidRPr="005060E0">
        <w:t>NEPC 2014</w:t>
      </w:r>
      <w:r w:rsidR="00745445">
        <w:t>,</w:t>
      </w:r>
      <w:r w:rsidRPr="005060E0">
        <w:t xml:space="preserve"> </w:t>
      </w:r>
      <w:r w:rsidRPr="00B835EA">
        <w:rPr>
          <w:i/>
        </w:rPr>
        <w:t>Draft Variation to the National Environment protection (Ambient Air Quality) Measure</w:t>
      </w:r>
      <w:r w:rsidR="00B835EA">
        <w:rPr>
          <w:i/>
        </w:rPr>
        <w:t>:</w:t>
      </w:r>
      <w:r w:rsidRPr="00B835EA">
        <w:rPr>
          <w:i/>
        </w:rPr>
        <w:t xml:space="preserve"> Impact Statement</w:t>
      </w:r>
      <w:r w:rsidR="00745445">
        <w:t>,</w:t>
      </w:r>
      <w:r w:rsidRPr="005060E0">
        <w:t xml:space="preserve"> National Environment Protection Council</w:t>
      </w:r>
      <w:r w:rsidR="00B835EA">
        <w:t>, Canberra</w:t>
      </w:r>
      <w:r w:rsidRPr="005060E0">
        <w:t>, July 2014</w:t>
      </w:r>
      <w:r w:rsidR="00745445">
        <w:t>,</w:t>
      </w:r>
      <w:r w:rsidR="00C30402" w:rsidRPr="005060E0">
        <w:t xml:space="preserve"> </w:t>
      </w:r>
      <w:hyperlink r:id="rId58" w:history="1">
        <w:r w:rsidR="00745445" w:rsidRPr="00D20A18">
          <w:rPr>
            <w:rStyle w:val="Hyperlink"/>
          </w:rPr>
          <w:t>https://www.environment.gov.au/system/files/pages/dfe7ed5d-1eaf-4ff2-bfe7-dbb7ebaf21a9/files/aaq-nepm-draft-variation-impact-statement.pdf</w:t>
        </w:r>
      </w:hyperlink>
    </w:p>
    <w:p w14:paraId="1ABD79ED" w14:textId="7153C6CA" w:rsidR="00575B69" w:rsidRPr="005060E0" w:rsidRDefault="00575B69" w:rsidP="00C52A80">
      <w:pPr>
        <w:pStyle w:val="BodyText"/>
        <w:keepLines/>
        <w:spacing w:after="160"/>
      </w:pPr>
      <w:r w:rsidRPr="005060E0">
        <w:t>NSW EPA 2012,</w:t>
      </w:r>
      <w:r w:rsidR="006542C4">
        <w:t xml:space="preserve"> </w:t>
      </w:r>
      <w:r w:rsidR="006542C4" w:rsidRPr="00A00F75">
        <w:rPr>
          <w:i/>
        </w:rPr>
        <w:t>Technical Report No. 2, Air Emissions Inventory for the Greater Metropolitan Region in New South Wales, 2008 Calendar Year, Biogenic and Geogenic Emissions: Results</w:t>
      </w:r>
      <w:r w:rsidR="00A00F75">
        <w:t xml:space="preserve">, </w:t>
      </w:r>
      <w:r w:rsidR="00A00F75" w:rsidRPr="005060E0">
        <w:t>NSW Environment Protection Authority, Sydney</w:t>
      </w:r>
      <w:r w:rsidR="00A00F75">
        <w:t>.</w:t>
      </w:r>
    </w:p>
    <w:p w14:paraId="050AE983" w14:textId="4C9FE787" w:rsidR="00773BC9" w:rsidRPr="005060E0" w:rsidRDefault="00773BC9" w:rsidP="00C52A80">
      <w:pPr>
        <w:pStyle w:val="BodyText"/>
        <w:keepLines/>
        <w:spacing w:after="150"/>
      </w:pPr>
      <w:r w:rsidRPr="005060E0">
        <w:t>NSW EPA 2016</w:t>
      </w:r>
      <w:r w:rsidR="00745445">
        <w:t>,</w:t>
      </w:r>
      <w:r w:rsidRPr="005060E0">
        <w:t xml:space="preserve"> </w:t>
      </w:r>
      <w:r w:rsidRPr="00B835EA">
        <w:rPr>
          <w:i/>
        </w:rPr>
        <w:t>Approved Methods for the Modelling and Assessment of Air Pollutants in NSW</w:t>
      </w:r>
      <w:r w:rsidR="00745445">
        <w:t>,</w:t>
      </w:r>
      <w:r w:rsidRPr="005060E0">
        <w:t xml:space="preserve"> NSW Environment Protection Authority, Sydney</w:t>
      </w:r>
      <w:r w:rsidR="00745445">
        <w:t>,</w:t>
      </w:r>
      <w:r w:rsidRPr="005060E0">
        <w:t xml:space="preserve"> </w:t>
      </w:r>
      <w:hyperlink r:id="rId59" w:history="1">
        <w:r w:rsidR="00745445" w:rsidRPr="00D20A18">
          <w:rPr>
            <w:rStyle w:val="Hyperlink"/>
          </w:rPr>
          <w:t>http://www.epa.nsw.gov.au/resources/epa/approved-methods-for-modelling-and-assessment-of-air-pollutants-in-NSW-160666.pdf</w:t>
        </w:r>
      </w:hyperlink>
      <w:r w:rsidR="00B835EA">
        <w:t>.</w:t>
      </w:r>
    </w:p>
    <w:p w14:paraId="7C1BBC3C" w14:textId="6E569D60" w:rsidR="00236A25" w:rsidRPr="005060E0" w:rsidRDefault="00236A25" w:rsidP="00C52A80">
      <w:pPr>
        <w:pStyle w:val="BodyText"/>
        <w:keepLines/>
        <w:spacing w:after="150"/>
      </w:pPr>
      <w:r w:rsidRPr="005060E0">
        <w:t>PRC 2001a</w:t>
      </w:r>
      <w:r w:rsidR="00745445">
        <w:t>,</w:t>
      </w:r>
      <w:r w:rsidRPr="005060E0">
        <w:t xml:space="preserve"> </w:t>
      </w:r>
      <w:r w:rsidRPr="00B835EA">
        <w:rPr>
          <w:i/>
        </w:rPr>
        <w:t>National Environment Protection (Ambient Air Quality) Measure – Technical Paper No. 3 – Monitoring Strategy</w:t>
      </w:r>
      <w:r w:rsidRPr="005060E0">
        <w:t xml:space="preserve">, </w:t>
      </w:r>
      <w:r w:rsidR="00B835EA">
        <w:t>p</w:t>
      </w:r>
      <w:r w:rsidRPr="005060E0">
        <w:t>repared by the Peer Review Committee (PRC) for the National Environment Protection Council (NEPC).</w:t>
      </w:r>
    </w:p>
    <w:p w14:paraId="17D04CE1" w14:textId="132807D2" w:rsidR="00AD7FCF" w:rsidRPr="005060E0" w:rsidRDefault="00AD7FCF" w:rsidP="00C52A80">
      <w:pPr>
        <w:pStyle w:val="BodyText"/>
        <w:keepLines/>
        <w:spacing w:after="150"/>
      </w:pPr>
      <w:r w:rsidRPr="005060E0">
        <w:t>Simpson R, Williams G, Petroeschevsky A, Best T, Morgan G, Denison L, Hinwood A, Neville G</w:t>
      </w:r>
      <w:r w:rsidR="00443352">
        <w:t xml:space="preserve"> &amp; </w:t>
      </w:r>
      <w:r w:rsidRPr="005060E0">
        <w:t>Neller A 2005a</w:t>
      </w:r>
      <w:r w:rsidR="00745445">
        <w:t>,</w:t>
      </w:r>
      <w:r w:rsidRPr="005060E0">
        <w:t xml:space="preserve"> </w:t>
      </w:r>
      <w:r w:rsidR="00745445">
        <w:t>‘</w:t>
      </w:r>
      <w:r w:rsidRPr="005060E0">
        <w:t>The short-term effects of air pollution on daily mortality in four Australian cities</w:t>
      </w:r>
      <w:r w:rsidR="00745445">
        <w:t>’,</w:t>
      </w:r>
      <w:r w:rsidRPr="005060E0">
        <w:t xml:space="preserve"> </w:t>
      </w:r>
      <w:r w:rsidRPr="00745445">
        <w:rPr>
          <w:i/>
        </w:rPr>
        <w:t>Aust. NZ J. Public Health</w:t>
      </w:r>
      <w:r w:rsidRPr="005060E0">
        <w:t xml:space="preserve">, </w:t>
      </w:r>
      <w:r w:rsidR="00B835EA">
        <w:t>v</w:t>
      </w:r>
      <w:r w:rsidRPr="005060E0">
        <w:t>ol. 29(3), pp. 205</w:t>
      </w:r>
      <w:r w:rsidR="00DB1A41">
        <w:rPr>
          <w:rFonts w:cs="Arial"/>
        </w:rPr>
        <w:t>–</w:t>
      </w:r>
      <w:r w:rsidR="00B835EA">
        <w:rPr>
          <w:rFonts w:cs="Arial"/>
        </w:rPr>
        <w:t>2</w:t>
      </w:r>
      <w:r w:rsidRPr="005060E0">
        <w:t>12.</w:t>
      </w:r>
    </w:p>
    <w:p w14:paraId="54B29B68" w14:textId="522C5C9F" w:rsidR="00236A25" w:rsidRPr="005060E0" w:rsidRDefault="00AD7FCF" w:rsidP="00C52A80">
      <w:pPr>
        <w:pStyle w:val="BodyText"/>
        <w:keepLines/>
        <w:spacing w:after="150"/>
      </w:pPr>
      <w:r w:rsidRPr="005060E0">
        <w:t>Simpson R, Williams G, Petroeschevsky A, Best T, Morgan G, Denison L, Hinwood A</w:t>
      </w:r>
      <w:r w:rsidR="00443352">
        <w:t xml:space="preserve"> &amp; </w:t>
      </w:r>
      <w:r w:rsidRPr="005060E0">
        <w:t>Neville G 2005b</w:t>
      </w:r>
      <w:r w:rsidR="00745445">
        <w:t>,</w:t>
      </w:r>
      <w:r w:rsidRPr="005060E0">
        <w:t xml:space="preserve"> </w:t>
      </w:r>
      <w:r w:rsidR="00745445">
        <w:t>‘</w:t>
      </w:r>
      <w:r w:rsidRPr="005060E0">
        <w:t>The short-term effects of air pollution on hospital admissions in four Australian cities</w:t>
      </w:r>
      <w:r w:rsidR="00745445">
        <w:t>’,</w:t>
      </w:r>
      <w:r w:rsidRPr="005060E0">
        <w:t xml:space="preserve"> </w:t>
      </w:r>
      <w:r w:rsidRPr="00745445">
        <w:rPr>
          <w:i/>
        </w:rPr>
        <w:t>Aust. NZ J. Public Health</w:t>
      </w:r>
      <w:r w:rsidRPr="005060E0">
        <w:t xml:space="preserve">, </w:t>
      </w:r>
      <w:r w:rsidR="00B835EA">
        <w:t>v</w:t>
      </w:r>
      <w:r w:rsidRPr="005060E0">
        <w:t>ol. 29(3), pp. 213</w:t>
      </w:r>
      <w:r w:rsidR="00DB1A41">
        <w:rPr>
          <w:rFonts w:cs="Arial"/>
        </w:rPr>
        <w:t>–</w:t>
      </w:r>
      <w:r w:rsidR="00B835EA">
        <w:rPr>
          <w:rFonts w:cs="Arial"/>
        </w:rPr>
        <w:t>2</w:t>
      </w:r>
      <w:r w:rsidRPr="005060E0">
        <w:t>21.</w:t>
      </w:r>
    </w:p>
    <w:p w14:paraId="1EE18C96" w14:textId="4F773591" w:rsidR="00C13007" w:rsidRPr="005060E0" w:rsidRDefault="00C13007" w:rsidP="00C52A80">
      <w:pPr>
        <w:keepLines/>
        <w:spacing w:after="150"/>
      </w:pPr>
      <w:r w:rsidRPr="005060E0">
        <w:t>USEPA 1996</w:t>
      </w:r>
      <w:r w:rsidR="00745445">
        <w:t>,</w:t>
      </w:r>
      <w:r w:rsidRPr="005060E0">
        <w:t xml:space="preserve"> </w:t>
      </w:r>
      <w:r w:rsidRPr="00B835EA">
        <w:rPr>
          <w:i/>
        </w:rPr>
        <w:t xml:space="preserve">Review of National Ambient Air Quality Standards for Ozone: Assessment of Scientific and Technical Information </w:t>
      </w:r>
      <w:r w:rsidR="00B835EA" w:rsidRPr="00B835EA">
        <w:rPr>
          <w:i/>
        </w:rPr>
        <w:t>–</w:t>
      </w:r>
      <w:r w:rsidRPr="00B835EA">
        <w:rPr>
          <w:i/>
        </w:rPr>
        <w:t xml:space="preserve"> OAQPS Staff Paper</w:t>
      </w:r>
      <w:r w:rsidR="00745445">
        <w:t>,</w:t>
      </w:r>
      <w:r w:rsidRPr="005060E0">
        <w:t xml:space="preserve"> EPA/452/R-96-007</w:t>
      </w:r>
      <w:r w:rsidR="00745445">
        <w:t>,</w:t>
      </w:r>
      <w:r w:rsidRPr="005060E0">
        <w:t xml:space="preserve"> Office of Air Quality Planning and Standards</w:t>
      </w:r>
      <w:r w:rsidR="00745445">
        <w:t>,</w:t>
      </w:r>
      <w:r w:rsidRPr="005060E0">
        <w:t xml:space="preserve"> US Environmental Protection Agency, Research Triangle Park, NC.</w:t>
      </w:r>
    </w:p>
    <w:p w14:paraId="5976CE11" w14:textId="0C9E00E5" w:rsidR="00886AA9" w:rsidRPr="005060E0" w:rsidRDefault="00886AA9" w:rsidP="00C52A80">
      <w:pPr>
        <w:pStyle w:val="BodyText"/>
        <w:keepLines/>
        <w:spacing w:after="150"/>
      </w:pPr>
      <w:r w:rsidRPr="005060E0">
        <w:t>USEPA 2003</w:t>
      </w:r>
      <w:r w:rsidR="00745445">
        <w:t>,</w:t>
      </w:r>
      <w:r w:rsidRPr="005060E0">
        <w:t xml:space="preserve"> </w:t>
      </w:r>
      <w:r w:rsidRPr="00B835EA">
        <w:rPr>
          <w:i/>
        </w:rPr>
        <w:t>Guidance on the Use of Models and Other Analyses for Demonstrating Attainment of Air Quality Goals for Ozone, PM2.5, and Regional Haze</w:t>
      </w:r>
      <w:r w:rsidR="00745445">
        <w:t>,</w:t>
      </w:r>
      <w:r w:rsidRPr="005060E0">
        <w:t xml:space="preserve"> EPA -454/B-07-002</w:t>
      </w:r>
      <w:r w:rsidR="00745445">
        <w:t>,</w:t>
      </w:r>
      <w:r w:rsidRPr="005060E0">
        <w:t xml:space="preserve"> April 2007</w:t>
      </w:r>
      <w:r w:rsidR="00745445">
        <w:t>,</w:t>
      </w:r>
      <w:r w:rsidRPr="005060E0">
        <w:t xml:space="preserve"> US Environmental Protection Agency, North Carolina.</w:t>
      </w:r>
    </w:p>
    <w:p w14:paraId="79D97BEF" w14:textId="6D35ED51" w:rsidR="00F0433B" w:rsidRPr="005060E0" w:rsidRDefault="00F0433B" w:rsidP="00C52A80">
      <w:pPr>
        <w:pStyle w:val="BodyText"/>
        <w:keepLines/>
        <w:spacing w:after="150"/>
      </w:pPr>
      <w:r w:rsidRPr="005060E0">
        <w:t>USEPA 2005</w:t>
      </w:r>
      <w:r w:rsidR="00745445">
        <w:t>,</w:t>
      </w:r>
      <w:r w:rsidRPr="005060E0">
        <w:t xml:space="preserve"> </w:t>
      </w:r>
      <w:r w:rsidR="00654C32">
        <w:t>‘</w:t>
      </w:r>
      <w:r w:rsidRPr="005060E0">
        <w:t>Appendix W to Part 51 Guideline on Air Quality Models</w:t>
      </w:r>
      <w:r w:rsidR="00654C32">
        <w:t>’</w:t>
      </w:r>
      <w:r w:rsidRPr="005060E0">
        <w:t>, 40 CFR Part 51 Volume 70</w:t>
      </w:r>
      <w:r w:rsidR="00745445">
        <w:t>,</w:t>
      </w:r>
      <w:r w:rsidRPr="005060E0">
        <w:t xml:space="preserve"> US Environmental Protection Agency.</w:t>
      </w:r>
    </w:p>
    <w:p w14:paraId="65E9171B" w14:textId="4989F566" w:rsidR="001359DA" w:rsidRPr="005060E0" w:rsidRDefault="001359DA" w:rsidP="00C52A80">
      <w:pPr>
        <w:pStyle w:val="BodyText"/>
        <w:keepLines/>
        <w:spacing w:after="150"/>
      </w:pPr>
      <w:r w:rsidRPr="005060E0">
        <w:t>USEPA 2008</w:t>
      </w:r>
      <w:r w:rsidR="00745445">
        <w:t>,</w:t>
      </w:r>
      <w:r w:rsidRPr="005060E0">
        <w:t xml:space="preserve"> </w:t>
      </w:r>
      <w:r w:rsidRPr="00654C32">
        <w:rPr>
          <w:i/>
        </w:rPr>
        <w:t>Integrated Science Assessment Sulfur Dioxide</w:t>
      </w:r>
      <w:r w:rsidR="00654C32">
        <w:t>,</w:t>
      </w:r>
      <w:r w:rsidRPr="005060E0">
        <w:t xml:space="preserve"> US Environmental Protection Agency, Washington, DC.</w:t>
      </w:r>
    </w:p>
    <w:p w14:paraId="62A3AE89" w14:textId="5133B379" w:rsidR="00D3316F" w:rsidRPr="005060E0" w:rsidRDefault="00D3316F" w:rsidP="00C52A80">
      <w:pPr>
        <w:pStyle w:val="BodyText"/>
        <w:keepLines/>
        <w:spacing w:after="150"/>
        <w:jc w:val="both"/>
      </w:pPr>
      <w:r w:rsidRPr="005060E0">
        <w:t>USEPA 2013</w:t>
      </w:r>
      <w:r w:rsidR="00745445">
        <w:t>,</w:t>
      </w:r>
      <w:r w:rsidRPr="005060E0">
        <w:t xml:space="preserve"> </w:t>
      </w:r>
      <w:r w:rsidRPr="00654C32">
        <w:rPr>
          <w:i/>
        </w:rPr>
        <w:t>Integrated Science Assessment of Ozone</w:t>
      </w:r>
      <w:r w:rsidR="00745445">
        <w:t>,</w:t>
      </w:r>
      <w:r w:rsidRPr="005060E0">
        <w:t xml:space="preserve"> </w:t>
      </w:r>
      <w:r w:rsidR="00654C32" w:rsidRPr="005060E0">
        <w:t>First External Draft</w:t>
      </w:r>
      <w:r w:rsidR="00654C32">
        <w:t>,</w:t>
      </w:r>
      <w:r w:rsidR="00654C32" w:rsidRPr="005060E0">
        <w:t xml:space="preserve"> </w:t>
      </w:r>
      <w:r w:rsidRPr="005060E0">
        <w:t>US Environmental Protection Agency, Washington, DC</w:t>
      </w:r>
      <w:r w:rsidR="000A64EA" w:rsidRPr="005060E0">
        <w:t>.</w:t>
      </w:r>
    </w:p>
    <w:p w14:paraId="4BC47904" w14:textId="49F810F2" w:rsidR="003B2992" w:rsidRPr="005060E0" w:rsidRDefault="003B2992" w:rsidP="00C52A80">
      <w:pPr>
        <w:pStyle w:val="BodyText"/>
        <w:keepLines/>
        <w:spacing w:after="150"/>
      </w:pPr>
      <w:r w:rsidRPr="005060E0">
        <w:t>USEPA 2014</w:t>
      </w:r>
      <w:r w:rsidR="00745445">
        <w:t>,</w:t>
      </w:r>
      <w:r w:rsidRPr="005060E0">
        <w:t xml:space="preserve"> </w:t>
      </w:r>
      <w:r w:rsidRPr="00654C32">
        <w:rPr>
          <w:i/>
        </w:rPr>
        <w:t>Policy assessment for the review of the ozone national ambient air quality standards</w:t>
      </w:r>
      <w:r w:rsidR="00654C32">
        <w:t>,</w:t>
      </w:r>
      <w:r w:rsidRPr="005060E0">
        <w:t xml:space="preserve"> EPA-452/R-14-006, </w:t>
      </w:r>
      <w:r w:rsidR="00654C32" w:rsidRPr="005060E0">
        <w:t>US Environmental Protection Agency,</w:t>
      </w:r>
      <w:r w:rsidR="00654C32">
        <w:t xml:space="preserve"> </w:t>
      </w:r>
      <w:r w:rsidRPr="005060E0">
        <w:t>August 2014.</w:t>
      </w:r>
    </w:p>
    <w:p w14:paraId="6FA72CF7" w14:textId="6E3FD2A5" w:rsidR="00F0433B" w:rsidRPr="005060E0" w:rsidRDefault="001359DA" w:rsidP="00C52A80">
      <w:pPr>
        <w:pStyle w:val="BodyText"/>
        <w:keepLines/>
        <w:spacing w:after="150"/>
      </w:pPr>
      <w:r w:rsidRPr="005060E0">
        <w:t>USEPA 2016</w:t>
      </w:r>
      <w:r w:rsidR="00745445">
        <w:t>,</w:t>
      </w:r>
      <w:r w:rsidRPr="005060E0">
        <w:t xml:space="preserve"> </w:t>
      </w:r>
      <w:r w:rsidRPr="00654C32">
        <w:rPr>
          <w:i/>
        </w:rPr>
        <w:t>Integrated Science Assessment of Oxides of Nitrogen</w:t>
      </w:r>
      <w:r w:rsidR="00745445">
        <w:t>,</w:t>
      </w:r>
      <w:r w:rsidRPr="005060E0">
        <w:t xml:space="preserve"> US Environmental Protection Agency, Washington, DC.</w:t>
      </w:r>
    </w:p>
    <w:p w14:paraId="0CCABCE2" w14:textId="1DD2A5D9" w:rsidR="00294FA8" w:rsidRPr="005060E0" w:rsidRDefault="0018059B" w:rsidP="00C52A80">
      <w:pPr>
        <w:pStyle w:val="BodyText"/>
        <w:keepLines/>
        <w:spacing w:after="150"/>
      </w:pPr>
      <w:r w:rsidRPr="005060E0">
        <w:t>WHO 2000</w:t>
      </w:r>
      <w:r w:rsidR="00745445">
        <w:t>,</w:t>
      </w:r>
      <w:r w:rsidR="00294FA8" w:rsidRPr="005060E0">
        <w:t xml:space="preserve"> </w:t>
      </w:r>
      <w:r w:rsidR="00294FA8" w:rsidRPr="00654C32">
        <w:rPr>
          <w:i/>
        </w:rPr>
        <w:t>Air Quality Guidelines for Europe</w:t>
      </w:r>
      <w:r w:rsidR="00294FA8" w:rsidRPr="005060E0">
        <w:t>, 2</w:t>
      </w:r>
      <w:r w:rsidR="00294FA8" w:rsidRPr="005060E0">
        <w:rPr>
          <w:vertAlign w:val="superscript"/>
        </w:rPr>
        <w:t>nd</w:t>
      </w:r>
      <w:r w:rsidR="00294FA8" w:rsidRPr="005060E0">
        <w:t xml:space="preserve"> edition</w:t>
      </w:r>
      <w:r w:rsidR="00745445">
        <w:t>,</w:t>
      </w:r>
      <w:r w:rsidR="00294FA8" w:rsidRPr="005060E0">
        <w:t xml:space="preserve"> </w:t>
      </w:r>
      <w:r w:rsidR="005B5511" w:rsidRPr="005060E0">
        <w:t>WHO Regional Publications, European Series, No. 91</w:t>
      </w:r>
      <w:r w:rsidR="00745445">
        <w:t>,</w:t>
      </w:r>
      <w:r w:rsidR="005B5511" w:rsidRPr="005060E0">
        <w:t xml:space="preserve"> </w:t>
      </w:r>
      <w:r w:rsidR="00294FA8" w:rsidRPr="005060E0">
        <w:t>World Health Organization Regional Office for Europe, Copenhagen.</w:t>
      </w:r>
    </w:p>
    <w:p w14:paraId="2D45B581" w14:textId="66F264CB" w:rsidR="00E14CE3" w:rsidRPr="005060E0" w:rsidRDefault="00C87CDD" w:rsidP="00C52A80">
      <w:pPr>
        <w:pStyle w:val="BodyText"/>
        <w:keepLines/>
        <w:spacing w:after="150"/>
      </w:pPr>
      <w:r w:rsidRPr="005060E0">
        <w:t>WHO 2004</w:t>
      </w:r>
      <w:r w:rsidR="00745445">
        <w:t>,</w:t>
      </w:r>
      <w:r w:rsidRPr="005060E0">
        <w:t xml:space="preserve"> </w:t>
      </w:r>
      <w:r w:rsidR="00E14CE3" w:rsidRPr="00654C32">
        <w:rPr>
          <w:i/>
        </w:rPr>
        <w:t>Health Aspects of Air Quality in Europe</w:t>
      </w:r>
      <w:r w:rsidR="00745445">
        <w:t>,</w:t>
      </w:r>
      <w:r w:rsidR="00E14CE3" w:rsidRPr="005060E0">
        <w:t xml:space="preserve"> </w:t>
      </w:r>
      <w:r w:rsidR="00654C32" w:rsidRPr="00654C32">
        <w:rPr>
          <w:i/>
        </w:rPr>
        <w:t>R</w:t>
      </w:r>
      <w:r w:rsidR="00E14CE3" w:rsidRPr="00654C32">
        <w:rPr>
          <w:i/>
        </w:rPr>
        <w:t xml:space="preserve">esults from the Who Project Systematic Review of Health Aspects </w:t>
      </w:r>
      <w:r w:rsidRPr="00654C32">
        <w:rPr>
          <w:i/>
        </w:rPr>
        <w:t>of Air Pollution In Europe</w:t>
      </w:r>
      <w:r w:rsidR="00745445">
        <w:t>,</w:t>
      </w:r>
      <w:r w:rsidRPr="005060E0">
        <w:t xml:space="preserve"> World Health Organization </w:t>
      </w:r>
      <w:r w:rsidR="00E14CE3" w:rsidRPr="005060E0">
        <w:t>Regional Office for Europe, Copenhagen.</w:t>
      </w:r>
    </w:p>
    <w:p w14:paraId="3A36C9B8" w14:textId="296D1031" w:rsidR="001359DA" w:rsidRPr="005060E0" w:rsidRDefault="001359DA" w:rsidP="00C52A80">
      <w:pPr>
        <w:pStyle w:val="BodyText"/>
        <w:keepLines/>
        <w:spacing w:after="150"/>
      </w:pPr>
      <w:r w:rsidRPr="005060E0">
        <w:t>WHO 2006</w:t>
      </w:r>
      <w:r w:rsidR="00745445">
        <w:t>,</w:t>
      </w:r>
      <w:r w:rsidRPr="005060E0">
        <w:t xml:space="preserve"> </w:t>
      </w:r>
      <w:r w:rsidRPr="00654C32">
        <w:rPr>
          <w:i/>
        </w:rPr>
        <w:t>Air Quality Guidelines</w:t>
      </w:r>
      <w:r w:rsidR="00745445" w:rsidRPr="00654C32">
        <w:rPr>
          <w:i/>
        </w:rPr>
        <w:t>,</w:t>
      </w:r>
      <w:r w:rsidRPr="00654C32">
        <w:rPr>
          <w:i/>
        </w:rPr>
        <w:t xml:space="preserve"> Global Update</w:t>
      </w:r>
      <w:r w:rsidR="00745445" w:rsidRPr="00654C32">
        <w:rPr>
          <w:i/>
        </w:rPr>
        <w:t>,</w:t>
      </w:r>
      <w:r w:rsidRPr="00654C32">
        <w:rPr>
          <w:i/>
        </w:rPr>
        <w:t xml:space="preserve"> 2005</w:t>
      </w:r>
      <w:r w:rsidR="00745445" w:rsidRPr="00654C32">
        <w:rPr>
          <w:i/>
        </w:rPr>
        <w:t>,</w:t>
      </w:r>
      <w:r w:rsidRPr="00654C32">
        <w:rPr>
          <w:i/>
        </w:rPr>
        <w:t xml:space="preserve"> Particulate Matter, Ozone, Nitrogen Dioxide and Sulfur Dioxide</w:t>
      </w:r>
      <w:r w:rsidR="00745445">
        <w:t>,</w:t>
      </w:r>
      <w:r w:rsidR="00555C16" w:rsidRPr="005060E0">
        <w:t xml:space="preserve"> World Health Organization Regional Office for Europe, Copenhagen.</w:t>
      </w:r>
    </w:p>
    <w:p w14:paraId="1F92E3A2" w14:textId="3C262968" w:rsidR="00FD3241" w:rsidRPr="005060E0" w:rsidRDefault="00FD3241" w:rsidP="00C52A80">
      <w:pPr>
        <w:keepLines/>
        <w:spacing w:after="150"/>
      </w:pPr>
      <w:r w:rsidRPr="005060E0">
        <w:t>WHO 2013a</w:t>
      </w:r>
      <w:r w:rsidR="00745445">
        <w:t>,</w:t>
      </w:r>
      <w:r w:rsidRPr="005060E0">
        <w:t xml:space="preserve"> </w:t>
      </w:r>
      <w:r w:rsidRPr="00654C32">
        <w:rPr>
          <w:i/>
        </w:rPr>
        <w:t>Health risks of air pollution in Europe – HRAPIE project</w:t>
      </w:r>
      <w:r w:rsidR="00745445" w:rsidRPr="00654C32">
        <w:rPr>
          <w:i/>
        </w:rPr>
        <w:t>,</w:t>
      </w:r>
      <w:r w:rsidRPr="00654C32">
        <w:rPr>
          <w:i/>
        </w:rPr>
        <w:t xml:space="preserve"> Recommendations for concentration–response functions for cost–benefit analysis of particulate matter, ozone and nitrogen dioxide</w:t>
      </w:r>
      <w:r w:rsidR="00745445">
        <w:t>,</w:t>
      </w:r>
      <w:r w:rsidRPr="005060E0">
        <w:t xml:space="preserve"> World Health Organization Regional Office for Europe, Copenhagen, Denmark.</w:t>
      </w:r>
    </w:p>
    <w:p w14:paraId="5F88F92B" w14:textId="2A95A4C8" w:rsidR="00CB6059" w:rsidRPr="005060E0" w:rsidRDefault="00FD3241" w:rsidP="00C52A80">
      <w:pPr>
        <w:keepLines/>
        <w:spacing w:after="150"/>
      </w:pPr>
      <w:r w:rsidRPr="005060E0">
        <w:t>WHO 2013b</w:t>
      </w:r>
      <w:r w:rsidR="00745445">
        <w:t>,</w:t>
      </w:r>
      <w:r w:rsidRPr="005060E0">
        <w:t xml:space="preserve"> </w:t>
      </w:r>
      <w:r w:rsidRPr="00654C32">
        <w:rPr>
          <w:i/>
        </w:rPr>
        <w:t>Review of Evidence of Health Effects of Air Pollution Project: REVIHAPP</w:t>
      </w:r>
      <w:r w:rsidR="00745445">
        <w:t>,</w:t>
      </w:r>
      <w:r w:rsidRPr="005060E0">
        <w:t xml:space="preserve"> World Health Organization Regional Office for Europe, Copenhagen, Denmark.</w:t>
      </w:r>
    </w:p>
    <w:sectPr w:rsidR="00CB6059" w:rsidRPr="005060E0" w:rsidSect="00F30B35">
      <w:headerReference w:type="default" r:id="rId60"/>
      <w:pgSz w:w="11906" w:h="16838" w:code="9"/>
      <w:pgMar w:top="1440" w:right="1133" w:bottom="1843" w:left="1134" w:header="68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C06AB" w14:textId="77777777" w:rsidR="006D0317" w:rsidRDefault="006D0317" w:rsidP="00D1748F">
      <w:pPr>
        <w:spacing w:after="0" w:line="240" w:lineRule="auto"/>
      </w:pPr>
      <w:r>
        <w:separator/>
      </w:r>
    </w:p>
  </w:endnote>
  <w:endnote w:type="continuationSeparator" w:id="0">
    <w:p w14:paraId="0A7634BE" w14:textId="77777777" w:rsidR="006D0317" w:rsidRDefault="006D0317" w:rsidP="00D1748F">
      <w:pPr>
        <w:spacing w:after="0" w:line="240" w:lineRule="auto"/>
      </w:pPr>
      <w:r>
        <w:continuationSeparator/>
      </w:r>
    </w:p>
  </w:endnote>
  <w:endnote w:type="continuationNotice" w:id="1">
    <w:p w14:paraId="5A6B8BB8" w14:textId="77777777" w:rsidR="006D0317" w:rsidRDefault="006D03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ource Sans Pro">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Neue LT 55 Roman">
    <w:altName w:val="Arial"/>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YInterstate Light">
    <w:altName w:val="Times New Roman"/>
    <w:charset w:val="00"/>
    <w:family w:val="auto"/>
    <w:pitch w:val="variable"/>
    <w:sig w:usb0="00000001" w:usb1="5000206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EYInterstate Regular">
    <w:altName w:val="Calibri"/>
    <w:charset w:val="00"/>
    <w:family w:val="auto"/>
    <w:pitch w:val="variable"/>
    <w:sig w:usb0="00000001" w:usb1="5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rlett">
    <w:panose1 w:val="00000000000000000000"/>
    <w:charset w:val="02"/>
    <w:family w:val="auto"/>
    <w:pitch w:val="variable"/>
    <w:sig w:usb0="00000000" w:usb1="10000000" w:usb2="00000000" w:usb3="00000000" w:csb0="80000000" w:csb1="00000000"/>
  </w:font>
  <w:font w:name="Source Sans Pro Light">
    <w:charset w:val="00"/>
    <w:family w:val="swiss"/>
    <w:pitch w:val="variable"/>
    <w:sig w:usb0="600002F7"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iloOT-Text">
    <w:altName w:val="Arial"/>
    <w:panose1 w:val="00000000000000000000"/>
    <w:charset w:val="A1"/>
    <w:family w:val="swiss"/>
    <w:notTrueType/>
    <w:pitch w:val="default"/>
    <w:sig w:usb0="00000083" w:usb1="00000000" w:usb2="00000000" w:usb3="00000000" w:csb0="00000009" w:csb1="00000000"/>
  </w:font>
  <w:font w:name="MTSymbo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D7753" w14:textId="6412AEB3" w:rsidR="00B246FA" w:rsidRPr="00B8450B" w:rsidRDefault="00B246FA" w:rsidP="00B8450B">
    <w:pPr>
      <w:pStyle w:val="Footer"/>
      <w:jc w:val="left"/>
      <w:rPr>
        <w:color w:val="A5ACBF"/>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51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11907"/>
      <w:gridCol w:w="506"/>
    </w:tblGrid>
    <w:tr w:rsidR="00B246FA" w14:paraId="0A2EB654" w14:textId="77777777" w:rsidTr="002A01ED">
      <w:trPr>
        <w:trHeight w:hRule="exact" w:val="227"/>
      </w:trPr>
      <w:tc>
        <w:tcPr>
          <w:tcW w:w="15105" w:type="dxa"/>
          <w:gridSpan w:val="3"/>
          <w:tcBorders>
            <w:top w:val="single" w:sz="4" w:space="0" w:color="auto"/>
          </w:tcBorders>
        </w:tcPr>
        <w:p w14:paraId="611BFFBC" w14:textId="3DCD7191" w:rsidR="00B246FA" w:rsidRPr="00691B72" w:rsidRDefault="00B246FA" w:rsidP="00855EF8">
          <w:pPr>
            <w:pStyle w:val="Footer"/>
            <w:tabs>
              <w:tab w:val="clear" w:pos="9026"/>
            </w:tabs>
            <w:rPr>
              <w:rStyle w:val="PageNumber"/>
            </w:rPr>
          </w:pPr>
        </w:p>
      </w:tc>
    </w:tr>
    <w:tr w:rsidR="00B246FA" w14:paraId="754117D8" w14:textId="77777777" w:rsidTr="002A01ED">
      <w:tc>
        <w:tcPr>
          <w:tcW w:w="2694" w:type="dxa"/>
        </w:tcPr>
        <w:p w14:paraId="3D155EA0" w14:textId="0E26C26B" w:rsidR="00B246FA" w:rsidRDefault="00B246FA" w:rsidP="00B66119">
          <w:pPr>
            <w:pStyle w:val="Footer"/>
            <w:tabs>
              <w:tab w:val="clear" w:pos="9026"/>
            </w:tabs>
            <w:jc w:val="left"/>
          </w:pPr>
        </w:p>
      </w:tc>
      <w:tc>
        <w:tcPr>
          <w:tcW w:w="11907" w:type="dxa"/>
        </w:tcPr>
        <w:p w14:paraId="450A7C2A" w14:textId="77777777" w:rsidR="00B246FA" w:rsidRDefault="00B246FA" w:rsidP="00B66119">
          <w:pPr>
            <w:pStyle w:val="Footer"/>
            <w:tabs>
              <w:tab w:val="clear" w:pos="9026"/>
            </w:tabs>
            <w:rPr>
              <w:noProof/>
              <w:sz w:val="16"/>
              <w:szCs w:val="16"/>
              <w:vertAlign w:val="subscript"/>
            </w:rPr>
          </w:pPr>
          <w:r w:rsidRPr="00B66119">
            <w:rPr>
              <w:noProof/>
              <w:sz w:val="16"/>
              <w:szCs w:val="16"/>
            </w:rPr>
            <w:t>Impact Statement for the Review of the Ambient Air Quality NEPM standards for SO</w:t>
          </w:r>
          <w:r w:rsidRPr="00B66119">
            <w:rPr>
              <w:noProof/>
              <w:sz w:val="16"/>
              <w:szCs w:val="16"/>
              <w:vertAlign w:val="subscript"/>
            </w:rPr>
            <w:t>2</w:t>
          </w:r>
          <w:r w:rsidRPr="00B66119">
            <w:rPr>
              <w:noProof/>
              <w:sz w:val="16"/>
              <w:szCs w:val="16"/>
            </w:rPr>
            <w:t>, NO</w:t>
          </w:r>
          <w:r w:rsidRPr="00B66119">
            <w:rPr>
              <w:noProof/>
              <w:sz w:val="16"/>
              <w:szCs w:val="16"/>
              <w:vertAlign w:val="subscript"/>
            </w:rPr>
            <w:t>2</w:t>
          </w:r>
          <w:r w:rsidRPr="00B66119">
            <w:rPr>
              <w:noProof/>
              <w:sz w:val="16"/>
              <w:szCs w:val="16"/>
            </w:rPr>
            <w:t xml:space="preserve"> and O</w:t>
          </w:r>
          <w:r w:rsidRPr="00B66119">
            <w:rPr>
              <w:noProof/>
              <w:sz w:val="16"/>
              <w:szCs w:val="16"/>
              <w:vertAlign w:val="subscript"/>
            </w:rPr>
            <w:t>3</w:t>
          </w:r>
        </w:p>
        <w:p w14:paraId="42ED8A37" w14:textId="19CF6961" w:rsidR="00B246FA" w:rsidRPr="00B66119" w:rsidRDefault="00B246FA" w:rsidP="00B66119">
          <w:pPr>
            <w:pStyle w:val="Footer"/>
            <w:tabs>
              <w:tab w:val="clear" w:pos="9026"/>
            </w:tabs>
            <w:rPr>
              <w:noProof/>
              <w:sz w:val="16"/>
              <w:szCs w:val="16"/>
              <w:vertAlign w:val="subscript"/>
            </w:rPr>
          </w:pPr>
        </w:p>
      </w:tc>
      <w:tc>
        <w:tcPr>
          <w:tcW w:w="506" w:type="dxa"/>
        </w:tcPr>
        <w:p w14:paraId="2DDC3DF1" w14:textId="6A2D59B7" w:rsidR="00B246FA" w:rsidRPr="00691B72" w:rsidRDefault="00B246FA" w:rsidP="00855EF8">
          <w:pPr>
            <w:pStyle w:val="Footer"/>
            <w:tabs>
              <w:tab w:val="clear" w:pos="9026"/>
            </w:tabs>
            <w:rPr>
              <w:rStyle w:val="PageNumber"/>
            </w:rPr>
          </w:pPr>
          <w:r w:rsidRPr="00691B72">
            <w:rPr>
              <w:rStyle w:val="PageNumber"/>
            </w:rPr>
            <w:fldChar w:fldCharType="begin"/>
          </w:r>
          <w:r w:rsidRPr="00691B72">
            <w:rPr>
              <w:rStyle w:val="PageNumber"/>
            </w:rPr>
            <w:instrText xml:space="preserve"> PAGE   \* MERGEFORMAT </w:instrText>
          </w:r>
          <w:r w:rsidRPr="00691B72">
            <w:rPr>
              <w:rStyle w:val="PageNumber"/>
            </w:rPr>
            <w:fldChar w:fldCharType="separate"/>
          </w:r>
          <w:r>
            <w:rPr>
              <w:rStyle w:val="PageNumber"/>
              <w:noProof/>
            </w:rPr>
            <w:t>82</w:t>
          </w:r>
          <w:r w:rsidRPr="00691B72">
            <w:rPr>
              <w:rStyle w:val="PageNumber"/>
            </w:rPr>
            <w:fldChar w:fldCharType="end"/>
          </w:r>
        </w:p>
      </w:tc>
    </w:tr>
  </w:tbl>
  <w:p w14:paraId="5D3CBCBE" w14:textId="77777777" w:rsidR="00B246FA" w:rsidRDefault="00B246FA" w:rsidP="006228DD">
    <w:pPr>
      <w:pStyle w:val="Footer"/>
      <w:tabs>
        <w:tab w:val="clear" w:pos="9026"/>
      </w:tabs>
      <w:jc w:val="left"/>
    </w:pPr>
    <w:r>
      <w:rPr>
        <w:noProof/>
        <w:lang w:eastAsia="en-AU"/>
      </w:rPr>
      <mc:AlternateContent>
        <mc:Choice Requires="wps">
          <w:drawing>
            <wp:anchor distT="0" distB="0" distL="114300" distR="114300" simplePos="0" relativeHeight="251658270" behindDoc="1" locked="0" layoutInCell="1" allowOverlap="0" wp14:anchorId="3968146C" wp14:editId="0D1D488C">
              <wp:simplePos x="0" y="0"/>
              <wp:positionH relativeFrom="page">
                <wp:posOffset>-17145</wp:posOffset>
              </wp:positionH>
              <wp:positionV relativeFrom="page">
                <wp:posOffset>7407910</wp:posOffset>
              </wp:positionV>
              <wp:extent cx="10728000" cy="144000"/>
              <wp:effectExtent l="0" t="0" r="0" b="8890"/>
              <wp:wrapNone/>
              <wp:docPr id="471" name="Rectangle 471"/>
              <wp:cNvGraphicFramePr/>
              <a:graphic xmlns:a="http://schemas.openxmlformats.org/drawingml/2006/main">
                <a:graphicData uri="http://schemas.microsoft.com/office/word/2010/wordprocessingShape">
                  <wps:wsp>
                    <wps:cNvSpPr/>
                    <wps:spPr>
                      <a:xfrm>
                        <a:off x="0" y="0"/>
                        <a:ext cx="10728000" cy="144000"/>
                      </a:xfrm>
                      <a:prstGeom prst="rect">
                        <a:avLst/>
                      </a:prstGeom>
                      <a:solidFill>
                        <a:srgbClr val="0076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069B69" id="Rectangle 471" o:spid="_x0000_s1026" style="position:absolute;margin-left:-1.35pt;margin-top:583.3pt;width:844.7pt;height:11.35pt;z-index:-2516582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8p5lAIAAIoFAAAOAAAAZHJzL2Uyb0RvYy54bWysVFFv2yAQfp+0/4B4X+1EadNGdaooVadJ&#10;VVu1nfpMMMRImGNA4mS/fgfYbtdVe5j2goG7++7u88ddXh1aTfbCeQWmopOTkhJhONTKbCv6/fnm&#10;yzklPjBTMw1GVPQoPL1afv502dmFmEIDuhaOIIjxi85WtAnBLorC80a0zJ+AFQaNElzLAh7dtqgd&#10;6xC91cW0LM+KDlxtHXDhPd5eZyNdJnwpBQ/3UnoRiK4o1hbS6tK6iWuxvGSLrWO2Ubwvg/1DFS1T&#10;BpOOUNcsMLJz6g+oVnEHHmQ44dAWIKXiIvWA3UzKd908NcyK1AuS4+1Ik/9/sPxu/+CIqis6m08o&#10;MazFn/SItDGz1YLES6Sos36Bnk/2wfUnj9vY70G6Nn6xE3JItB5HWsUhEI6Xk3I+PS9LpJ+jcTKb&#10;xT3iFK/h1vnwVUBL4qaiDgtIdLL9rQ/ZdXCJ2TxoVd8ordPBbTdr7ciexX9czs/WA/pvbtpEZwMx&#10;LCPGmyK2lptJu3DUIvpp8ygk8oLlT1MlSZFizMM4FyZMsqlhtcjpT7G1MXvUcIxInSbAiCwx/4jd&#10;AwyeGWTAzlX2/jFUJEGPweXfCsvBY0TKDCaMwa0y4D4C0NhVnzn7DyRlaiJLG6iPqBoH+Tl5y28U&#10;/rdb5sMDc/h+8FfjTAj3uEgNXUWh31HSgPv50X30R1mjlZIO32NF/Y8dc4IS/c2g4C+ibvABp8Ps&#10;dD7Fg3tr2by1mF27BpQDShqrS9voH/SwlQ7aFxwdq5gVTcxwzF1RHtxwWIc8J3D4cLFaJTd8tJaF&#10;W/NkeQSPrEZdPh9emLO9eAPq/g6Gt8sW7zScfWOkgdUugFRJ4K+89nzjg0/C6YdTnChvz8nrdYQu&#10;fwEAAP//AwBQSwMEFAAGAAgAAAAhAG+U0YHeAAAADQEAAA8AAABkcnMvZG93bnJldi54bWxMjz1P&#10;wzAQhnck/oN1SGyt01aYkMapKgRDFyRaxOzG1ySqfY5itw3/nssE4z336v0oN6N34opD7AJpWMwz&#10;EEh1sB01Gr4O77McREyGrHGBUMMPRthU93elKWy40Sde96kRbEKxMBralPpCyli36E2chx6Jf6cw&#10;eJP4HBppB3Njc+/kMsuU9KYjTmhNj68t1uf9xXPubmXz77dd6DJUdDi75uMpbbV+fBi3axAJx/Qn&#10;hqk+V4eKOx3DhWwUTsNs+cxK5gulFIhJoXLF7Dix/GUFsirl/xXVLwAAAP//AwBQSwECLQAUAAYA&#10;CAAAACEAtoM4kv4AAADhAQAAEwAAAAAAAAAAAAAAAAAAAAAAW0NvbnRlbnRfVHlwZXNdLnhtbFBL&#10;AQItABQABgAIAAAAIQA4/SH/1gAAAJQBAAALAAAAAAAAAAAAAAAAAC8BAABfcmVscy8ucmVsc1BL&#10;AQItABQABgAIAAAAIQAFp8p5lAIAAIoFAAAOAAAAAAAAAAAAAAAAAC4CAABkcnMvZTJvRG9jLnht&#10;bFBLAQItABQABgAIAAAAIQBvlNGB3gAAAA0BAAAPAAAAAAAAAAAAAAAAAO4EAABkcnMvZG93bnJl&#10;di54bWxQSwUGAAAAAAQABADzAAAA+QUAAAAA&#10;" o:allowoverlap="f" fillcolor="#0076c0" stroked="f" strokeweight="2pt">
              <w10:wrap anchorx="page" anchory="page"/>
            </v:rect>
          </w:pict>
        </mc:Fallback>
      </mc:AlternateContent>
    </w:r>
    <w:r>
      <w:rPr>
        <w:noProof/>
        <w:lang w:eastAsia="en-AU"/>
      </w:rPr>
      <mc:AlternateContent>
        <mc:Choice Requires="wps">
          <w:drawing>
            <wp:anchor distT="0" distB="0" distL="114300" distR="114300" simplePos="0" relativeHeight="251658269" behindDoc="1" locked="0" layoutInCell="1" allowOverlap="0" wp14:anchorId="1AC6940F" wp14:editId="4F2ABAAC">
              <wp:simplePos x="0" y="0"/>
              <wp:positionH relativeFrom="page">
                <wp:posOffset>0</wp:posOffset>
              </wp:positionH>
              <wp:positionV relativeFrom="page">
                <wp:posOffset>10549255</wp:posOffset>
              </wp:positionV>
              <wp:extent cx="7560000" cy="144000"/>
              <wp:effectExtent l="0" t="0" r="3175" b="8890"/>
              <wp:wrapNone/>
              <wp:docPr id="472" name="Rectangle 472"/>
              <wp:cNvGraphicFramePr/>
              <a:graphic xmlns:a="http://schemas.openxmlformats.org/drawingml/2006/main">
                <a:graphicData uri="http://schemas.microsoft.com/office/word/2010/wordprocessingShape">
                  <wps:wsp>
                    <wps:cNvSpPr/>
                    <wps:spPr>
                      <a:xfrm>
                        <a:off x="0" y="0"/>
                        <a:ext cx="7560000" cy="144000"/>
                      </a:xfrm>
                      <a:prstGeom prst="rect">
                        <a:avLst/>
                      </a:prstGeom>
                      <a:solidFill>
                        <a:srgbClr val="0076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DCF662" id="Rectangle 472" o:spid="_x0000_s1026" style="position:absolute;margin-left:0;margin-top:830.65pt;width:595.3pt;height:11.35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ykAIAAIkFAAAOAAAAZHJzL2Uyb0RvYy54bWysVFFPGzEMfp+0/xDlfVxbFToqrqgqYpqE&#10;AAETz2ku6Z2UizMn7bX79XOS68EA7WFaH1I7tj/H39m+uNy3hu0U+gZsyccnI86UlVA1dlPyH0/X&#10;X75y5oOwlTBgVckPyvPLxedPF52bqwnUYCqFjECsn3eu5HUIbl4UXtaqFf4EnLJk1ICtCKTipqhQ&#10;dITemmIyGp0VHWDlEKTynm6vspEvEr7WSoY7rb0KzJSc3hbSielcx7NYXIj5BoWrG9k/Q/zDK1rR&#10;WEo6QF2JINgWm3dQbSMRPOhwIqEtQOtGqlQDVTMevanmsRZOpVqIHO8Gmvz/g5W3u3tkTVXy6WzC&#10;mRUtfaQHok3YjVEsXhJFnfNz8nx099hrnsRY715jG/+pErZPtB4GWtU+MEmXs9OzEf04k2QbT6dR&#10;JpjiJdqhD98UtCwKJUfKn9gUuxsfsuvRJSbzYJrqujEmKbhZrwyynYifeDQ7Wx3R/3AzNjpbiGEZ&#10;Md4UsbJcS5LCwajoZ+yD0kQLvX6SXpIaUg15hJTKhnE21aJSOf1pqjPDDxGp0gQYkTXlH7B7gNjs&#10;77EzTO8fQ1Xq5yF49LeH5eAhImUGG4bgtrGAHwEYqqrPnP2PJGVqIktrqA7UNAh5mryT1w19txvh&#10;w71AGh/61LQSwh0d2kBXcuglzmrAXx/dR3/qarJy1tE4ltz/3ApUnJnvlvr9PPYNzW9SpqezCSn4&#10;2rJ+bbHbdgXUDmNaPk4mMfoHcxQ1QvtMm2MZs5JJWEm5Sy4DHpVVyGuCdo9Uy2Vyo5l1ItzYRycj&#10;eGQ19uXT/lmg65s3UNvfwnF0xfxND2ffGGlhuQ2gm9TgL7z2fNO8p8bpd1NcKK/15PWyQRe/AQAA&#10;//8DAFBLAwQUAAYACAAAACEAOBJskt0AAAALAQAADwAAAGRycy9kb3ducmV2LnhtbEyPwU7DMBBE&#10;70j8g7WVuFE7FKyQxqkqBIdekGgRZzdekqjxOordNvw9mxMcd2Y186bcTL4XFxxjF8hAtlQgkOrg&#10;OmoMfB7e7nMQMVlytg+EBn4wwqa6vSlt4cKVPvCyT43gEIqFNdCmNBRSxrpFb+MyDEjsfYfR28Tn&#10;2Eg32iuH+14+KKWltx1xQ2sHfGmxPu3Pnnt3K5d/ve5Cp1DT4dQ3709pa8zdYtquQSSc0t8zzPiM&#10;DhUzHcOZXBS9AR6SWNU6W4GY/exZaRDHWcsfFciqlP83VL8AAAD//wMAUEsBAi0AFAAGAAgAAAAh&#10;ALaDOJL+AAAA4QEAABMAAAAAAAAAAAAAAAAAAAAAAFtDb250ZW50X1R5cGVzXS54bWxQSwECLQAU&#10;AAYACAAAACEAOP0h/9YAAACUAQAACwAAAAAAAAAAAAAAAAAvAQAAX3JlbHMvLnJlbHNQSwECLQAU&#10;AAYACAAAACEAg/70MpACAACJBQAADgAAAAAAAAAAAAAAAAAuAgAAZHJzL2Uyb0RvYy54bWxQSwEC&#10;LQAUAAYACAAAACEAOBJskt0AAAALAQAADwAAAAAAAAAAAAAAAADqBAAAZHJzL2Rvd25yZXYueG1s&#10;UEsFBgAAAAAEAAQA8wAAAPQFAAAAAA==&#10;" o:allowoverlap="f" fillcolor="#0076c0" stroked="f" strokeweight="2pt">
              <w10:wrap anchorx="page" anchory="page"/>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7020"/>
      <w:gridCol w:w="500"/>
    </w:tblGrid>
    <w:tr w:rsidR="00B246FA" w14:paraId="237177CD" w14:textId="77777777" w:rsidTr="00002BA2">
      <w:trPr>
        <w:trHeight w:hRule="exact" w:val="227"/>
      </w:trPr>
      <w:tc>
        <w:tcPr>
          <w:tcW w:w="10214" w:type="dxa"/>
          <w:gridSpan w:val="3"/>
          <w:tcBorders>
            <w:top w:val="single" w:sz="4" w:space="0" w:color="auto"/>
          </w:tcBorders>
        </w:tcPr>
        <w:p w14:paraId="375A6F6D" w14:textId="6EB9C774" w:rsidR="00B246FA" w:rsidRPr="00691B72" w:rsidRDefault="00B246FA" w:rsidP="00855EF8">
          <w:pPr>
            <w:pStyle w:val="Footer"/>
            <w:tabs>
              <w:tab w:val="clear" w:pos="9026"/>
            </w:tabs>
            <w:rPr>
              <w:rStyle w:val="PageNumber"/>
            </w:rPr>
          </w:pPr>
        </w:p>
      </w:tc>
    </w:tr>
    <w:tr w:rsidR="00B246FA" w14:paraId="1A912F41" w14:textId="77777777" w:rsidTr="00002BA2">
      <w:tc>
        <w:tcPr>
          <w:tcW w:w="2694" w:type="dxa"/>
        </w:tcPr>
        <w:p w14:paraId="530DA6B9" w14:textId="0F5B6371" w:rsidR="00B246FA" w:rsidRDefault="00B246FA" w:rsidP="00002BA2">
          <w:pPr>
            <w:pStyle w:val="Footer"/>
            <w:tabs>
              <w:tab w:val="clear" w:pos="9026"/>
            </w:tabs>
            <w:ind w:left="1411"/>
            <w:jc w:val="center"/>
          </w:pPr>
        </w:p>
      </w:tc>
      <w:tc>
        <w:tcPr>
          <w:tcW w:w="7020" w:type="dxa"/>
        </w:tcPr>
        <w:p w14:paraId="144365BE" w14:textId="1A00BF08" w:rsidR="00B246FA" w:rsidRPr="00B66119" w:rsidRDefault="00B246FA" w:rsidP="00052D26">
          <w:pPr>
            <w:pStyle w:val="Footer"/>
            <w:tabs>
              <w:tab w:val="clear" w:pos="9026"/>
            </w:tabs>
            <w:rPr>
              <w:sz w:val="16"/>
            </w:rPr>
          </w:pPr>
          <w:r w:rsidRPr="00B66119">
            <w:rPr>
              <w:noProof/>
              <w:sz w:val="16"/>
            </w:rPr>
            <w:t>Impact Statement for the Review of the Ambient Air Quality NEPM standards for SO</w:t>
          </w:r>
          <w:r w:rsidRPr="00B66119">
            <w:rPr>
              <w:noProof/>
              <w:sz w:val="16"/>
              <w:vertAlign w:val="subscript"/>
            </w:rPr>
            <w:t>2</w:t>
          </w:r>
          <w:r w:rsidRPr="00B66119">
            <w:rPr>
              <w:noProof/>
              <w:sz w:val="16"/>
            </w:rPr>
            <w:t>, NO</w:t>
          </w:r>
          <w:r w:rsidRPr="00B66119">
            <w:rPr>
              <w:noProof/>
              <w:sz w:val="16"/>
              <w:vertAlign w:val="subscript"/>
            </w:rPr>
            <w:t>2</w:t>
          </w:r>
          <w:r w:rsidRPr="00B66119">
            <w:rPr>
              <w:noProof/>
              <w:sz w:val="16"/>
            </w:rPr>
            <w:t xml:space="preserve"> and O</w:t>
          </w:r>
          <w:r w:rsidRPr="00B66119">
            <w:rPr>
              <w:noProof/>
              <w:sz w:val="16"/>
              <w:vertAlign w:val="subscript"/>
            </w:rPr>
            <w:t>3</w:t>
          </w:r>
        </w:p>
      </w:tc>
      <w:tc>
        <w:tcPr>
          <w:tcW w:w="499" w:type="dxa"/>
        </w:tcPr>
        <w:p w14:paraId="78A2D9F9" w14:textId="5863B438" w:rsidR="00B246FA" w:rsidRPr="00691B72" w:rsidRDefault="00B246FA" w:rsidP="00855EF8">
          <w:pPr>
            <w:pStyle w:val="Footer"/>
            <w:tabs>
              <w:tab w:val="clear" w:pos="9026"/>
            </w:tabs>
            <w:rPr>
              <w:rStyle w:val="PageNumber"/>
            </w:rPr>
          </w:pPr>
          <w:r w:rsidRPr="00691B72">
            <w:rPr>
              <w:rStyle w:val="PageNumber"/>
            </w:rPr>
            <w:fldChar w:fldCharType="begin"/>
          </w:r>
          <w:r w:rsidRPr="00691B72">
            <w:rPr>
              <w:rStyle w:val="PageNumber"/>
            </w:rPr>
            <w:instrText xml:space="preserve"> PAGE   \* MERGEFORMAT </w:instrText>
          </w:r>
          <w:r w:rsidRPr="00691B72">
            <w:rPr>
              <w:rStyle w:val="PageNumber"/>
            </w:rPr>
            <w:fldChar w:fldCharType="separate"/>
          </w:r>
          <w:r>
            <w:rPr>
              <w:rStyle w:val="PageNumber"/>
              <w:noProof/>
            </w:rPr>
            <w:t>103</w:t>
          </w:r>
          <w:r w:rsidRPr="00691B72">
            <w:rPr>
              <w:rStyle w:val="PageNumber"/>
            </w:rPr>
            <w:fldChar w:fldCharType="end"/>
          </w:r>
        </w:p>
      </w:tc>
    </w:tr>
  </w:tbl>
  <w:p w14:paraId="4ECE8596" w14:textId="77777777" w:rsidR="00B246FA" w:rsidRDefault="00B246FA" w:rsidP="00E14CE3">
    <w:pPr>
      <w:pStyle w:val="Footer"/>
      <w:tabs>
        <w:tab w:val="clear" w:pos="9026"/>
      </w:tabs>
    </w:pPr>
    <w:r>
      <w:rPr>
        <w:noProof/>
        <w:lang w:eastAsia="en-AU"/>
      </w:rPr>
      <mc:AlternateContent>
        <mc:Choice Requires="wps">
          <w:drawing>
            <wp:anchor distT="0" distB="0" distL="114300" distR="114300" simplePos="0" relativeHeight="251658266" behindDoc="1" locked="0" layoutInCell="1" allowOverlap="0" wp14:anchorId="6C530C1A" wp14:editId="490439DB">
              <wp:simplePos x="0" y="0"/>
              <wp:positionH relativeFrom="page">
                <wp:posOffset>0</wp:posOffset>
              </wp:positionH>
              <wp:positionV relativeFrom="page">
                <wp:posOffset>10549255</wp:posOffset>
              </wp:positionV>
              <wp:extent cx="7560000" cy="144000"/>
              <wp:effectExtent l="0" t="0" r="3175" b="8890"/>
              <wp:wrapNone/>
              <wp:docPr id="27" name="Rectangle 27"/>
              <wp:cNvGraphicFramePr/>
              <a:graphic xmlns:a="http://schemas.openxmlformats.org/drawingml/2006/main">
                <a:graphicData uri="http://schemas.microsoft.com/office/word/2010/wordprocessingShape">
                  <wps:wsp>
                    <wps:cNvSpPr/>
                    <wps:spPr>
                      <a:xfrm>
                        <a:off x="0" y="0"/>
                        <a:ext cx="7560000" cy="144000"/>
                      </a:xfrm>
                      <a:prstGeom prst="rect">
                        <a:avLst/>
                      </a:prstGeom>
                      <a:solidFill>
                        <a:srgbClr val="0076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D25425" id="Rectangle 27" o:spid="_x0000_s1026" style="position:absolute;margin-left:0;margin-top:830.65pt;width:595.3pt;height:11.3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jwIAAIcFAAAOAAAAZHJzL2Uyb0RvYy54bWysVMFu2zAMvQ/YPwi6r3aCttmCOkWQosOA&#10;oivaDj0rshQbkEWNUuJkXz9KctyuLXYYloNCiuSj+Ezy4nLfGbZT6FuwFZ+clJwpK6Fu7abiPx6v&#10;P33mzAdha2HAqooflOeXi48fLno3V1NowNQKGYFYP+9dxZsQ3LwovGxUJ/wJOGXJqAE7EUjFTVGj&#10;6Am9M8W0LM+LHrB2CFJ5T7dX2cgXCV9rJcN3rb0KzFSc3hbSielcx7NYXIj5BoVrWjk8Q/zDKzrR&#10;Wko6Ql2JINgW2zdQXSsRPOhwIqErQOtWqlQDVTMpX1Xz0AinUi1EjncjTf7/wcrb3R2ytq74dMaZ&#10;FR19o3tiTdiNUYzuiKDe+Tn5Pbg7HDRPYqx2r7GL/1QH2ydSDyOpah+YpMvZ2XlJP84k2Sanp1Em&#10;mOI52qEPXxV0LAoVR0qfuBS7Gx+y69ElJvNg2vq6NSYpuFmvDLKdiB+4nJ2vjuh/uBkbnS3EsIwY&#10;b4pYWa4lSeFgVPQz9l5pIoVeP00vSe2oxjxCSmXDJJsaUauc/izVmeHHiFRpAozImvKP2ANAbPW3&#10;2Blm8I+hKnXzGFz+7WE5eIxImcGGMbhrLeB7AIaqGjJn/yNJmZrI0hrqA7UMQp4l7+R1S9/tRvhw&#10;J5CGhz41LYTwnQ5toK84DBJnDeCv9+6jP/U0WTnraRgr7n9uBSrOzDdL3f4l9g1Nb1JOz2ZTUvCl&#10;Zf3SYrfdCqgdJrR6nExi9A/mKGqE7on2xjJmJZOwknJXXAY8KquQlwRtHqmWy+RGE+tEuLEPTkbw&#10;yGrsy8f9k0A3NG+gtr+F4+CK+asezr4x0sJyG0C3qcGfeR34pmlPjTNsprhOXurJ63l/Ln4DAAD/&#10;/wMAUEsDBBQABgAIAAAAIQA4EmyS3QAAAAsBAAAPAAAAZHJzL2Rvd25yZXYueG1sTI/BTsMwEETv&#10;SPyDtZW4UTsUrJDGqSoEh16QaBFnN16SqPE6it02/D2bExx3ZjXzptxMvhcXHGMXyEC2VCCQ6uA6&#10;agx8Ht7ucxAxWXK2D4QGfjDCprq9KW3hwpU+8LJPjeAQioU10KY0FFLGukVv4zIMSOx9h9HbxOfY&#10;SDfaK4f7Xj4opaW3HXFDawd8abE+7c+ee3crl3+97kKnUNPh1DfvT2lrzN1i2q5BJJzS3zPM+IwO&#10;FTMdw5lcFL0BHpJY1TpbgZj97FlpEMdZyx8VyKqU/zdUvwAAAP//AwBQSwECLQAUAAYACAAAACEA&#10;toM4kv4AAADhAQAAEwAAAAAAAAAAAAAAAAAAAAAAW0NvbnRlbnRfVHlwZXNdLnhtbFBLAQItABQA&#10;BgAIAAAAIQA4/SH/1gAAAJQBAAALAAAAAAAAAAAAAAAAAC8BAABfcmVscy8ucmVsc1BLAQItABQA&#10;BgAIAAAAIQC/+ipYjwIAAIcFAAAOAAAAAAAAAAAAAAAAAC4CAABkcnMvZTJvRG9jLnhtbFBLAQIt&#10;ABQABgAIAAAAIQA4EmyS3QAAAAsBAAAPAAAAAAAAAAAAAAAAAOkEAABkcnMvZG93bnJldi54bWxQ&#10;SwUGAAAAAAQABADzAAAA8wUAAAAA&#10;" o:allowoverlap="f" fillcolor="#0076c0" stroked="f" strokeweight="2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7020"/>
      <w:gridCol w:w="500"/>
    </w:tblGrid>
    <w:tr w:rsidR="00B246FA" w14:paraId="2A4D7776" w14:textId="77777777" w:rsidTr="00002BA2">
      <w:trPr>
        <w:trHeight w:hRule="exact" w:val="227"/>
      </w:trPr>
      <w:tc>
        <w:tcPr>
          <w:tcW w:w="10214" w:type="dxa"/>
          <w:gridSpan w:val="3"/>
          <w:tcBorders>
            <w:top w:val="single" w:sz="4" w:space="0" w:color="auto"/>
          </w:tcBorders>
        </w:tcPr>
        <w:p w14:paraId="2A4D7775" w14:textId="3A7622A6" w:rsidR="00B246FA" w:rsidRPr="00691B72" w:rsidRDefault="00B246FA" w:rsidP="00855EF8">
          <w:pPr>
            <w:pStyle w:val="Footer"/>
            <w:tabs>
              <w:tab w:val="clear" w:pos="9026"/>
            </w:tabs>
            <w:rPr>
              <w:rStyle w:val="PageNumber"/>
            </w:rPr>
          </w:pPr>
        </w:p>
      </w:tc>
    </w:tr>
    <w:tr w:rsidR="00B246FA" w14:paraId="2A4D777C" w14:textId="77777777" w:rsidTr="00002BA2">
      <w:tc>
        <w:tcPr>
          <w:tcW w:w="2694" w:type="dxa"/>
        </w:tcPr>
        <w:p w14:paraId="2A4D7777" w14:textId="2BD5D630" w:rsidR="00B246FA" w:rsidRDefault="00B246FA" w:rsidP="00002BA2">
          <w:pPr>
            <w:pStyle w:val="Footer"/>
            <w:tabs>
              <w:tab w:val="clear" w:pos="9026"/>
            </w:tabs>
            <w:ind w:left="1411"/>
            <w:jc w:val="center"/>
          </w:pPr>
        </w:p>
      </w:tc>
      <w:tc>
        <w:tcPr>
          <w:tcW w:w="7020" w:type="dxa"/>
        </w:tcPr>
        <w:p w14:paraId="2A4D777A" w14:textId="3328B259" w:rsidR="00B246FA" w:rsidRDefault="00B246FA" w:rsidP="00FF743A">
          <w:pPr>
            <w:pStyle w:val="DocumentControlFooter"/>
          </w:pPr>
          <w:bookmarkStart w:id="1" w:name="_Hlk859822"/>
          <w:r>
            <w:rPr>
              <w:noProof/>
            </w:rPr>
            <w:t>Impact Statement for the Review of the Ambient Air Quality NEPM standards</w:t>
          </w:r>
          <w:bookmarkEnd w:id="1"/>
          <w:r>
            <w:rPr>
              <w:noProof/>
            </w:rPr>
            <w:t xml:space="preserve"> for SO</w:t>
          </w:r>
          <w:r w:rsidRPr="00FF743A">
            <w:rPr>
              <w:noProof/>
              <w:vertAlign w:val="subscript"/>
            </w:rPr>
            <w:t>2</w:t>
          </w:r>
          <w:r>
            <w:rPr>
              <w:noProof/>
            </w:rPr>
            <w:t>, NO</w:t>
          </w:r>
          <w:r w:rsidRPr="00FF743A">
            <w:rPr>
              <w:noProof/>
              <w:vertAlign w:val="subscript"/>
            </w:rPr>
            <w:t>2</w:t>
          </w:r>
          <w:r>
            <w:rPr>
              <w:noProof/>
            </w:rPr>
            <w:t xml:space="preserve"> and O</w:t>
          </w:r>
          <w:r w:rsidRPr="00FF743A">
            <w:rPr>
              <w:noProof/>
              <w:vertAlign w:val="subscript"/>
            </w:rPr>
            <w:t>3</w:t>
          </w:r>
          <w:r>
            <w:rPr>
              <w:noProof/>
            </w:rPr>
            <w:t xml:space="preserve">  </w:t>
          </w:r>
        </w:p>
      </w:tc>
      <w:tc>
        <w:tcPr>
          <w:tcW w:w="499" w:type="dxa"/>
        </w:tcPr>
        <w:p w14:paraId="2A4D777B" w14:textId="22BA5482" w:rsidR="00B246FA" w:rsidRPr="00691B72" w:rsidRDefault="00B246FA" w:rsidP="00855EF8">
          <w:pPr>
            <w:pStyle w:val="Footer"/>
            <w:tabs>
              <w:tab w:val="clear" w:pos="9026"/>
            </w:tabs>
            <w:rPr>
              <w:rStyle w:val="PageNumber"/>
            </w:rPr>
          </w:pPr>
          <w:r w:rsidRPr="00691B72">
            <w:rPr>
              <w:rStyle w:val="PageNumber"/>
            </w:rPr>
            <w:fldChar w:fldCharType="begin"/>
          </w:r>
          <w:r w:rsidRPr="00691B72">
            <w:rPr>
              <w:rStyle w:val="PageNumber"/>
            </w:rPr>
            <w:instrText xml:space="preserve"> PAGE   \* MERGEFORMAT </w:instrText>
          </w:r>
          <w:r w:rsidRPr="00691B72">
            <w:rPr>
              <w:rStyle w:val="PageNumber"/>
            </w:rPr>
            <w:fldChar w:fldCharType="separate"/>
          </w:r>
          <w:r w:rsidR="007F77AB">
            <w:rPr>
              <w:rStyle w:val="PageNumber"/>
              <w:noProof/>
            </w:rPr>
            <w:t>ii</w:t>
          </w:r>
          <w:r w:rsidRPr="00691B72">
            <w:rPr>
              <w:rStyle w:val="PageNumber"/>
            </w:rPr>
            <w:fldChar w:fldCharType="end"/>
          </w:r>
        </w:p>
      </w:tc>
    </w:tr>
  </w:tbl>
  <w:p w14:paraId="5CF692DE" w14:textId="651D289D" w:rsidR="00B246FA" w:rsidRDefault="00B246FA" w:rsidP="004A4B44">
    <w:pPr>
      <w:pStyle w:val="Footer"/>
      <w:tabs>
        <w:tab w:val="clear" w:pos="9026"/>
      </w:tabs>
      <w:jc w:val="left"/>
    </w:pPr>
    <w:r>
      <w:rPr>
        <w:noProof/>
        <w:lang w:eastAsia="en-AU"/>
      </w:rPr>
      <mc:AlternateContent>
        <mc:Choice Requires="wps">
          <w:drawing>
            <wp:anchor distT="0" distB="0" distL="114300" distR="114300" simplePos="0" relativeHeight="251658240" behindDoc="1" locked="0" layoutInCell="1" allowOverlap="0" wp14:anchorId="2A4D779C" wp14:editId="7C6CD070">
              <wp:simplePos x="0" y="0"/>
              <wp:positionH relativeFrom="page">
                <wp:posOffset>0</wp:posOffset>
              </wp:positionH>
              <wp:positionV relativeFrom="page">
                <wp:posOffset>10549255</wp:posOffset>
              </wp:positionV>
              <wp:extent cx="7560000" cy="144000"/>
              <wp:effectExtent l="0" t="0" r="3175" b="8890"/>
              <wp:wrapNone/>
              <wp:docPr id="58" name="Rectangle 58"/>
              <wp:cNvGraphicFramePr/>
              <a:graphic xmlns:a="http://schemas.openxmlformats.org/drawingml/2006/main">
                <a:graphicData uri="http://schemas.microsoft.com/office/word/2010/wordprocessingShape">
                  <wps:wsp>
                    <wps:cNvSpPr/>
                    <wps:spPr>
                      <a:xfrm>
                        <a:off x="0" y="0"/>
                        <a:ext cx="7560000" cy="144000"/>
                      </a:xfrm>
                      <a:prstGeom prst="rect">
                        <a:avLst/>
                      </a:prstGeom>
                      <a:solidFill>
                        <a:srgbClr val="0076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C45BF3" id="Rectangle 58" o:spid="_x0000_s1026" style="position:absolute;margin-left:0;margin-top:830.65pt;width:595.3pt;height:1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menjwIAAIcFAAAOAAAAZHJzL2Uyb0RvYy54bWysVMFu2zAMvQ/YPwi6r3aCpt2COkWQosOA&#10;oivaDj0rshQbkEWNUuJkXz9KctyuLXYYloNDiuSj+ETy4nLfGbZT6FuwFZ+clJwpK6Fu7abiPx6v&#10;P33mzAdha2HAqooflOeXi48fLno3V1NowNQKGYFYP+9dxZsQ3LwovGxUJ/wJOGXJqAE7EUjFTVGj&#10;6Am9M8W0LM+KHrB2CFJ5T6dX2cgXCV9rJcN3rb0KzFSc7hbSF9N3Hb/F4kLMNyhc08rhGuIfbtGJ&#10;1lLSEepKBMG22L6B6lqJ4EGHEwldAVq3UqUaqJpJ+aqah0Y4lWohcrwbafL/D1be7u6QtXXFZ/RS&#10;VnT0RvfEmrAboxidEUG983Pye3B3OGiexFjtXmMX/6kOtk+kHkZS1T4wSYfns7OSfpxJsk1OT6NM&#10;MMVztEMfviroWBQqjpQ+cSl2Nz5k16NLTObBtPV1a0xScLNeGWQ7ER+4PD9bHdH/cDM2OluIYRkx&#10;nhSxslxLksLBqOhn7L3SRArdfppuktpRjXmElMqGSTY1olY5/SzVmeHHiFRpAozImvKP2ANAbPW3&#10;2Blm8I+hKnXzGFz+7WI5eIxImcGGMbhrLeB7AIaqGjJn/yNJmZrI0hrqA7UMQp4l7+R1S+92I3y4&#10;E0jDQ09NCyF8p4820FccBomzBvDXe+fRn3qarJz1NIwV9z+3AhVn5pulbv8S+4amNymns/MpKfjS&#10;sn5psdtuBdQOE1o9TiYx+gdzFDVC90R7YxmzkklYSbkrLgMelVXIS4I2j1TLZXKjiXUi3NgHJyN4&#10;ZDX25eP+SaAbmjdQ29/CcXDF/FUPZ98YaWG5DaDb1ODPvA5807Snxhk2U1wnL/Xk9bw/F78BAAD/&#10;/wMAUEsDBBQABgAIAAAAIQA4EmyS3QAAAAsBAAAPAAAAZHJzL2Rvd25yZXYueG1sTI/BTsMwEETv&#10;SPyDtZW4UTsUrJDGqSoEh16QaBFnN16SqPE6it02/D2bExx3ZjXzptxMvhcXHGMXyEC2VCCQ6uA6&#10;agx8Ht7ucxAxWXK2D4QGfjDCprq9KW3hwpU+8LJPjeAQioU10KY0FFLGukVv4zIMSOx9h9HbxOfY&#10;SDfaK4f7Xj4opaW3HXFDawd8abE+7c+ee3crl3+97kKnUNPh1DfvT2lrzN1i2q5BJJzS3zPM+IwO&#10;FTMdw5lcFL0BHpJY1TpbgZj97FlpEMdZyx8VyKqU/zdUvwAAAP//AwBQSwECLQAUAAYACAAAACEA&#10;toM4kv4AAADhAQAAEwAAAAAAAAAAAAAAAAAAAAAAW0NvbnRlbnRfVHlwZXNdLnhtbFBLAQItABQA&#10;BgAIAAAAIQA4/SH/1gAAAJQBAAALAAAAAAAAAAAAAAAAAC8BAABfcmVscy8ucmVsc1BLAQItABQA&#10;BgAIAAAAIQC8pmenjwIAAIcFAAAOAAAAAAAAAAAAAAAAAC4CAABkcnMvZTJvRG9jLnhtbFBLAQIt&#10;ABQABgAIAAAAIQA4EmyS3QAAAAsBAAAPAAAAAAAAAAAAAAAAAOkEAABkcnMvZG93bnJldi54bWxQ&#10;SwUGAAAAAAQABADzAAAA8wUAAAAA&#10;" o:allowoverlap="f" fillcolor="#0076c0" stroked="f" strokeweight="2pt">
              <w10:wrap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7020"/>
      <w:gridCol w:w="500"/>
    </w:tblGrid>
    <w:tr w:rsidR="00B246FA" w14:paraId="0D048EE8" w14:textId="77777777" w:rsidTr="00002BA2">
      <w:trPr>
        <w:trHeight w:hRule="exact" w:val="227"/>
      </w:trPr>
      <w:tc>
        <w:tcPr>
          <w:tcW w:w="10214" w:type="dxa"/>
          <w:gridSpan w:val="3"/>
          <w:tcBorders>
            <w:top w:val="single" w:sz="4" w:space="0" w:color="auto"/>
          </w:tcBorders>
        </w:tcPr>
        <w:p w14:paraId="4051610A" w14:textId="37AE6B8C" w:rsidR="00B246FA" w:rsidRPr="00691B72" w:rsidRDefault="00B246FA" w:rsidP="00855EF8">
          <w:pPr>
            <w:pStyle w:val="Footer"/>
            <w:tabs>
              <w:tab w:val="clear" w:pos="9026"/>
            </w:tabs>
            <w:rPr>
              <w:rStyle w:val="PageNumber"/>
            </w:rPr>
          </w:pPr>
        </w:p>
      </w:tc>
    </w:tr>
    <w:tr w:rsidR="00B246FA" w14:paraId="73A636E4" w14:textId="77777777" w:rsidTr="00002BA2">
      <w:tc>
        <w:tcPr>
          <w:tcW w:w="2694" w:type="dxa"/>
        </w:tcPr>
        <w:p w14:paraId="02EB1EB2" w14:textId="15D3EBC8" w:rsidR="00B246FA" w:rsidRDefault="00B246FA" w:rsidP="00002BA2">
          <w:pPr>
            <w:pStyle w:val="Footer"/>
            <w:tabs>
              <w:tab w:val="clear" w:pos="9026"/>
            </w:tabs>
            <w:ind w:left="1411"/>
            <w:jc w:val="center"/>
          </w:pPr>
        </w:p>
      </w:tc>
      <w:tc>
        <w:tcPr>
          <w:tcW w:w="7020" w:type="dxa"/>
        </w:tcPr>
        <w:p w14:paraId="5FC8F537" w14:textId="23DF5E33" w:rsidR="00B246FA" w:rsidRDefault="00B246FA" w:rsidP="00B66119">
          <w:pPr>
            <w:pStyle w:val="DocumentControlFooter"/>
          </w:pPr>
          <w:r>
            <w:rPr>
              <w:noProof/>
            </w:rPr>
            <w:t>Impact Statement for the Review of the Ambient Air Quality NEPM standards for SO</w:t>
          </w:r>
          <w:r w:rsidRPr="003C10CB">
            <w:rPr>
              <w:noProof/>
              <w:vertAlign w:val="subscript"/>
            </w:rPr>
            <w:t>2</w:t>
          </w:r>
          <w:r>
            <w:rPr>
              <w:noProof/>
            </w:rPr>
            <w:t>, NO</w:t>
          </w:r>
          <w:r w:rsidRPr="003C10CB">
            <w:rPr>
              <w:noProof/>
              <w:vertAlign w:val="subscript"/>
            </w:rPr>
            <w:t>2</w:t>
          </w:r>
          <w:r>
            <w:rPr>
              <w:noProof/>
            </w:rPr>
            <w:t xml:space="preserve"> and O</w:t>
          </w:r>
          <w:r w:rsidRPr="003C10CB">
            <w:rPr>
              <w:noProof/>
              <w:vertAlign w:val="subscript"/>
            </w:rPr>
            <w:t>3</w:t>
          </w:r>
          <w:r>
            <w:t xml:space="preserve"> </w:t>
          </w:r>
        </w:p>
      </w:tc>
      <w:tc>
        <w:tcPr>
          <w:tcW w:w="499" w:type="dxa"/>
        </w:tcPr>
        <w:p w14:paraId="3B7431C5" w14:textId="33CD3645" w:rsidR="00B246FA" w:rsidRPr="00691B72" w:rsidRDefault="00B246FA" w:rsidP="00855EF8">
          <w:pPr>
            <w:pStyle w:val="Footer"/>
            <w:tabs>
              <w:tab w:val="clear" w:pos="9026"/>
            </w:tabs>
            <w:rPr>
              <w:rStyle w:val="PageNumber"/>
            </w:rPr>
          </w:pPr>
          <w:r w:rsidRPr="00691B72">
            <w:rPr>
              <w:rStyle w:val="PageNumber"/>
            </w:rPr>
            <w:fldChar w:fldCharType="begin"/>
          </w:r>
          <w:r w:rsidRPr="00691B72">
            <w:rPr>
              <w:rStyle w:val="PageNumber"/>
            </w:rPr>
            <w:instrText xml:space="preserve"> PAGE   \* MERGEFORMAT </w:instrText>
          </w:r>
          <w:r w:rsidRPr="00691B72">
            <w:rPr>
              <w:rStyle w:val="PageNumber"/>
            </w:rPr>
            <w:fldChar w:fldCharType="separate"/>
          </w:r>
          <w:r w:rsidR="007F77AB">
            <w:rPr>
              <w:rStyle w:val="PageNumber"/>
              <w:noProof/>
            </w:rPr>
            <w:t>36</w:t>
          </w:r>
          <w:r w:rsidRPr="00691B72">
            <w:rPr>
              <w:rStyle w:val="PageNumber"/>
            </w:rPr>
            <w:fldChar w:fldCharType="end"/>
          </w:r>
        </w:p>
      </w:tc>
    </w:tr>
  </w:tbl>
  <w:p w14:paraId="4A94D159" w14:textId="77777777" w:rsidR="00B246FA" w:rsidRDefault="00B246FA" w:rsidP="004A4B44">
    <w:pPr>
      <w:pStyle w:val="Footer"/>
      <w:tabs>
        <w:tab w:val="clear" w:pos="9026"/>
      </w:tabs>
      <w:jc w:val="left"/>
    </w:pPr>
    <w:r>
      <w:rPr>
        <w:noProof/>
        <w:lang w:eastAsia="en-AU"/>
      </w:rPr>
      <mc:AlternateContent>
        <mc:Choice Requires="wps">
          <w:drawing>
            <wp:anchor distT="0" distB="0" distL="114300" distR="114300" simplePos="0" relativeHeight="251658248" behindDoc="1" locked="0" layoutInCell="1" allowOverlap="0" wp14:anchorId="645F030B" wp14:editId="2C04A898">
              <wp:simplePos x="0" y="0"/>
              <wp:positionH relativeFrom="page">
                <wp:posOffset>0</wp:posOffset>
              </wp:positionH>
              <wp:positionV relativeFrom="page">
                <wp:posOffset>10549255</wp:posOffset>
              </wp:positionV>
              <wp:extent cx="7560000" cy="144000"/>
              <wp:effectExtent l="0" t="0" r="3175" b="8890"/>
              <wp:wrapNone/>
              <wp:docPr id="30" name="Rectangle 30"/>
              <wp:cNvGraphicFramePr/>
              <a:graphic xmlns:a="http://schemas.openxmlformats.org/drawingml/2006/main">
                <a:graphicData uri="http://schemas.microsoft.com/office/word/2010/wordprocessingShape">
                  <wps:wsp>
                    <wps:cNvSpPr/>
                    <wps:spPr>
                      <a:xfrm>
                        <a:off x="0" y="0"/>
                        <a:ext cx="7560000" cy="144000"/>
                      </a:xfrm>
                      <a:prstGeom prst="rect">
                        <a:avLst/>
                      </a:prstGeom>
                      <a:solidFill>
                        <a:srgbClr val="0076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6B7A67" id="Rectangle 30" o:spid="_x0000_s1026" style="position:absolute;margin-left:0;margin-top:830.65pt;width:595.3pt;height:11.3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TrjwIAAIcFAAAOAAAAZHJzL2Uyb0RvYy54bWysVE1v2zAMvQ/YfxB0X+1k/diCOkWQosOA&#10;oi3aDj0rshQbkEWNUuJkv36U5LhdW+wwLAeFFMlH8Znk+cWuM2yr0LdgKz45KjlTVkLd2nXFfzxe&#10;ffrCmQ/C1sKAVRXfK88v5h8/nPdupqbQgKkVMgKxfta7ijchuFlReNmoTvgjcMqSUQN2IpCK66JG&#10;0RN6Z4ppWZ4WPWDtEKTynm4vs5HPE77WSoZbrb0KzFSc3hbSielcxbOYn4vZGoVrWjk8Q/zDKzrR&#10;Wko6Ql2KINgG2zdQXSsRPOhwJKErQOtWqlQDVTMpX1Xz0AinUi1EjncjTf7/wcqb7R2ytq74Z6LH&#10;io6+0T2xJuzaKEZ3RFDv/Iz8HtwdDponMVa709jFf6qD7RKp+5FUtQtM0uXZyWlJP84k2SbHx1Em&#10;mOI52qEP3xR0LAoVR0qfuBTbax+y68ElJvNg2vqqNSYpuF4tDbKtiB+4PDtdHtD/cDM2OluIYRkx&#10;3hSxslxLksLeqOhn7L3SRAq9fppektpRjXmElMqGSTY1olY5/UmqM8OPEanSBBiRNeUfsQeA2Opv&#10;sTPM4B9DVermMbj828Ny8BiRMoMNY3DXWsD3AAxVNWTO/geSMjWRpRXUe2oZhDxL3smrlr7btfDh&#10;TiAND31qWgjhlg5toK84DBJnDeCv9+6jP/U0WTnraRgr7n9uBCrOzHdL3f419g1Nb1KOT86mpOBL&#10;y+qlxW66JVA7TGj1OJnE6B/MQdQI3RPtjUXMSiZhJeWuuAx4UJYhLwnaPFItFsmNJtaJcG0fnIzg&#10;kdXYl4+7J4FuaN5AbX8Dh8EVs1c9nH1jpIXFJoBuU4M/8zrwTdOeGmfYTHGdvNST1/P+nP8GAAD/&#10;/wMAUEsDBBQABgAIAAAAIQA4EmyS3QAAAAsBAAAPAAAAZHJzL2Rvd25yZXYueG1sTI/BTsMwEETv&#10;SPyDtZW4UTsUrJDGqSoEh16QaBFnN16SqPE6it02/D2bExx3ZjXzptxMvhcXHGMXyEC2VCCQ6uA6&#10;agx8Ht7ucxAxWXK2D4QGfjDCprq9KW3hwpU+8LJPjeAQioU10KY0FFLGukVv4zIMSOx9h9HbxOfY&#10;SDfaK4f7Xj4opaW3HXFDawd8abE+7c+ee3crl3+97kKnUNPh1DfvT2lrzN1i2q5BJJzS3zPM+IwO&#10;FTMdw5lcFL0BHpJY1TpbgZj97FlpEMdZyx8VyKqU/zdUvwAAAP//AwBQSwECLQAUAAYACAAAACEA&#10;toM4kv4AAADhAQAAEwAAAAAAAAAAAAAAAAAAAAAAW0NvbnRlbnRfVHlwZXNdLnhtbFBLAQItABQA&#10;BgAIAAAAIQA4/SH/1gAAAJQBAAALAAAAAAAAAAAAAAAAAC8BAABfcmVscy8ucmVsc1BLAQItABQA&#10;BgAIAAAAIQCFDGTrjwIAAIcFAAAOAAAAAAAAAAAAAAAAAC4CAABkcnMvZTJvRG9jLnhtbFBLAQIt&#10;ABQABgAIAAAAIQA4EmyS3QAAAAsBAAAPAAAAAAAAAAAAAAAAAOkEAABkcnMvZG93bnJldi54bWxQ&#10;SwUGAAAAAAQABADzAAAA8wUAAAAA&#10;" o:allowoverlap="f" fillcolor="#0076c0" stroked="f" strokeweight="2pt">
              <w10:wrap anchorx="page" anchory="page"/>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510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11907"/>
      <w:gridCol w:w="493"/>
      <w:gridCol w:w="7"/>
    </w:tblGrid>
    <w:tr w:rsidR="00B246FA" w14:paraId="60B8933A" w14:textId="77777777" w:rsidTr="006228DD">
      <w:trPr>
        <w:gridAfter w:val="1"/>
        <w:wAfter w:w="7" w:type="dxa"/>
        <w:trHeight w:hRule="exact" w:val="227"/>
      </w:trPr>
      <w:tc>
        <w:tcPr>
          <w:tcW w:w="15094" w:type="dxa"/>
          <w:gridSpan w:val="3"/>
          <w:tcBorders>
            <w:top w:val="single" w:sz="4" w:space="0" w:color="auto"/>
          </w:tcBorders>
        </w:tcPr>
        <w:p w14:paraId="751FD197" w14:textId="7A24AD5C" w:rsidR="00B246FA" w:rsidRPr="00691B72" w:rsidRDefault="00B246FA" w:rsidP="00A56F12">
          <w:pPr>
            <w:pStyle w:val="Footer"/>
            <w:tabs>
              <w:tab w:val="clear" w:pos="9026"/>
            </w:tabs>
            <w:rPr>
              <w:rStyle w:val="PageNumber"/>
            </w:rPr>
          </w:pPr>
        </w:p>
      </w:tc>
    </w:tr>
    <w:tr w:rsidR="00B246FA" w14:paraId="7FA7E25D" w14:textId="77777777" w:rsidTr="006228DD">
      <w:tc>
        <w:tcPr>
          <w:tcW w:w="2694" w:type="dxa"/>
        </w:tcPr>
        <w:p w14:paraId="23F4FE33" w14:textId="46AB4670" w:rsidR="00B246FA" w:rsidRDefault="00B246FA" w:rsidP="003E1267">
          <w:pPr>
            <w:pStyle w:val="Footer"/>
            <w:tabs>
              <w:tab w:val="clear" w:pos="9026"/>
            </w:tabs>
            <w:jc w:val="left"/>
          </w:pPr>
        </w:p>
      </w:tc>
      <w:tc>
        <w:tcPr>
          <w:tcW w:w="11907" w:type="dxa"/>
        </w:tcPr>
        <w:p w14:paraId="52E25E67" w14:textId="7790844C" w:rsidR="00B246FA" w:rsidRDefault="00B246FA" w:rsidP="003E1267">
          <w:pPr>
            <w:pStyle w:val="DocumentControlFooter"/>
          </w:pPr>
          <w:r>
            <w:rPr>
              <w:noProof/>
            </w:rPr>
            <w:t>Impact Statement for the Review of the Ambient Air Quality NEPM standards for SO</w:t>
          </w:r>
          <w:r w:rsidRPr="003C10CB">
            <w:rPr>
              <w:noProof/>
              <w:vertAlign w:val="subscript"/>
            </w:rPr>
            <w:t>2</w:t>
          </w:r>
          <w:r>
            <w:rPr>
              <w:noProof/>
            </w:rPr>
            <w:t>, NO</w:t>
          </w:r>
          <w:r w:rsidRPr="003C10CB">
            <w:rPr>
              <w:noProof/>
              <w:vertAlign w:val="subscript"/>
            </w:rPr>
            <w:t>2</w:t>
          </w:r>
          <w:r>
            <w:rPr>
              <w:noProof/>
            </w:rPr>
            <w:t xml:space="preserve"> and O</w:t>
          </w:r>
          <w:r w:rsidRPr="003C10CB">
            <w:rPr>
              <w:noProof/>
              <w:vertAlign w:val="subscript"/>
            </w:rPr>
            <w:t>3</w:t>
          </w:r>
        </w:p>
      </w:tc>
      <w:tc>
        <w:tcPr>
          <w:tcW w:w="500" w:type="dxa"/>
          <w:gridSpan w:val="2"/>
        </w:tcPr>
        <w:p w14:paraId="514C856F" w14:textId="3BAE16F7" w:rsidR="00B246FA" w:rsidRPr="00691B72" w:rsidRDefault="00B246FA" w:rsidP="00855EF8">
          <w:pPr>
            <w:pStyle w:val="Footer"/>
            <w:tabs>
              <w:tab w:val="clear" w:pos="9026"/>
            </w:tabs>
            <w:rPr>
              <w:rStyle w:val="PageNumber"/>
            </w:rPr>
          </w:pPr>
          <w:r w:rsidRPr="00691B72">
            <w:rPr>
              <w:rStyle w:val="PageNumber"/>
            </w:rPr>
            <w:fldChar w:fldCharType="begin"/>
          </w:r>
          <w:r w:rsidRPr="00691B72">
            <w:rPr>
              <w:rStyle w:val="PageNumber"/>
            </w:rPr>
            <w:instrText xml:space="preserve"> PAGE   \* MERGEFORMAT </w:instrText>
          </w:r>
          <w:r w:rsidRPr="00691B72">
            <w:rPr>
              <w:rStyle w:val="PageNumber"/>
            </w:rPr>
            <w:fldChar w:fldCharType="separate"/>
          </w:r>
          <w:r w:rsidR="007F77AB">
            <w:rPr>
              <w:rStyle w:val="PageNumber"/>
              <w:noProof/>
            </w:rPr>
            <w:t>37</w:t>
          </w:r>
          <w:r w:rsidRPr="00691B72">
            <w:rPr>
              <w:rStyle w:val="PageNumber"/>
            </w:rPr>
            <w:fldChar w:fldCharType="end"/>
          </w:r>
        </w:p>
      </w:tc>
    </w:tr>
  </w:tbl>
  <w:p w14:paraId="66A41154" w14:textId="6C1B8972" w:rsidR="00B246FA" w:rsidRDefault="00B246FA" w:rsidP="004A4B44">
    <w:pPr>
      <w:pStyle w:val="Footer"/>
      <w:tabs>
        <w:tab w:val="clear" w:pos="9026"/>
      </w:tabs>
      <w:jc w:val="left"/>
    </w:pPr>
    <w:r>
      <w:rPr>
        <w:noProof/>
        <w:lang w:eastAsia="en-AU"/>
      </w:rPr>
      <mc:AlternateContent>
        <mc:Choice Requires="wps">
          <w:drawing>
            <wp:anchor distT="0" distB="0" distL="114300" distR="114300" simplePos="0" relativeHeight="251658273" behindDoc="1" locked="0" layoutInCell="1" allowOverlap="0" wp14:anchorId="3C969041" wp14:editId="25E48F99">
              <wp:simplePos x="0" y="0"/>
              <wp:positionH relativeFrom="page">
                <wp:posOffset>0</wp:posOffset>
              </wp:positionH>
              <wp:positionV relativeFrom="page">
                <wp:posOffset>7397327</wp:posOffset>
              </wp:positionV>
              <wp:extent cx="10692000" cy="144000"/>
              <wp:effectExtent l="0" t="0" r="0" b="8890"/>
              <wp:wrapNone/>
              <wp:docPr id="5" name="Rectangle 5"/>
              <wp:cNvGraphicFramePr/>
              <a:graphic xmlns:a="http://schemas.openxmlformats.org/drawingml/2006/main">
                <a:graphicData uri="http://schemas.microsoft.com/office/word/2010/wordprocessingShape">
                  <wps:wsp>
                    <wps:cNvSpPr/>
                    <wps:spPr>
                      <a:xfrm>
                        <a:off x="0" y="0"/>
                        <a:ext cx="10692000" cy="144000"/>
                      </a:xfrm>
                      <a:prstGeom prst="rect">
                        <a:avLst/>
                      </a:prstGeom>
                      <a:solidFill>
                        <a:srgbClr val="0076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282882" id="Rectangle 5" o:spid="_x0000_s1026" style="position:absolute;margin-left:0;margin-top:582.45pt;width:841.9pt;height:11.35pt;z-index:-251658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s0kgIAAIYFAAAOAAAAZHJzL2Uyb0RvYy54bWysVMFu2zAMvQ/YPwi6r06Cpl2DOkWQosOA&#10;oivaDj0rshQbkEVNUuJkXz9Sst2uK3YYdrFFkXwkn0heXh1aw/bKhwZsyacnE86UlVA1dlvy7083&#10;nz5zFqKwlTBgVcmPKvCr5ccPl51bqBnUYCrlGYLYsOhcyesY3aIogqxVK8IJOGVRqcG3IqLot0Xl&#10;RYforSlmk8lZ0YGvnAepQsDb66zky4SvtZLxm9ZBRWZKjrnF9PXpu6FvsbwUi60Xrm5kn4b4hyxa&#10;0VgMOkJdiyjYzjd/QLWN9BBAxxMJbQFaN1KlGrCa6eRNNY+1cCrVguQEN9IU/h+svNvfe9ZUJZ9z&#10;ZkWLT/SApAm7NYrNiZ7OhQVaPbp730sBj1TrQfuW/lgFOyRKjyOl6hCZxMvp5OwC3wmpl6icnp7S&#10;GXGKF3fnQ/yioGV0KLnH8IlKsb8NMZsOJhQtgGmqm8aYJPjtZm082wt638n52XpA/83MWDK2QG4Z&#10;kW4KKi0Xk07xaBTZGfugNHKC6c9SJqkb1RhHSKlsnGZVLSqVw8+xtDE69S95pEoTICFrjD9i9wCD&#10;ZQYZsHOWvT25qtTMo/Pkb4ll59EjRQYbR+e2seDfAzBYVR852w8kZWqIpQ1UR+wYD3mUgpM3Db7b&#10;rQjxXnicHXxq3AfxG360ga7k0J84q8H/fO+e7LGlUctZh7NY8vBjJ7zizHy12OwX1Dc4vEk4nZ/P&#10;UPCvNZvXGrtr14DtMMXN42Q6kn00w1F7aJ9xbawoKqqElRi75DL6QVjHvCNw8Ui1WiUzHFgn4q19&#10;dJLAiVXqy6fDs/Cub96IfX8Hw9yKxZsezrbkaWG1i6Cb1OAvvPZ847CnxukXE22T13Kyelmfy18A&#10;AAD//wMAUEsDBBQABgAIAAAAIQCPo+wi3QAAAAsBAAAPAAAAZHJzL2Rvd25yZXYueG1sTI/BTsMw&#10;EETvSPyDtUjcqFMKJg1xqgrBoRckWsTZjbdJVHsdxW4b/p7NiR53ZjXzplyN3okzDrELpGE+y0Ag&#10;1cF21Gj43n085CBiMmSNC4QafjHCqrq9KU1hw4W+8LxNjeAQioXR0KbUF1LGukVv4iz0SOwdwuBN&#10;4nNopB3MhcO9k49ZpqQ3HXFDa3p8a7E+bk+eezcLm/+8b0KXoaLd0TWfz2mt9f3duH4FkXBM/88w&#10;4TM6VMy0DyeyUTgNPCSxOldPSxCTr/IFb9lPWv6iQFalvN5Q/QEAAP//AwBQSwECLQAUAAYACAAA&#10;ACEAtoM4kv4AAADhAQAAEwAAAAAAAAAAAAAAAAAAAAAAW0NvbnRlbnRfVHlwZXNdLnhtbFBLAQIt&#10;ABQABgAIAAAAIQA4/SH/1gAAAJQBAAALAAAAAAAAAAAAAAAAAC8BAABfcmVscy8ucmVsc1BLAQIt&#10;ABQABgAIAAAAIQDkgcs0kgIAAIYFAAAOAAAAAAAAAAAAAAAAAC4CAABkcnMvZTJvRG9jLnhtbFBL&#10;AQItABQABgAIAAAAIQCPo+wi3QAAAAsBAAAPAAAAAAAAAAAAAAAAAOwEAABkcnMvZG93bnJldi54&#10;bWxQSwUGAAAAAAQABADzAAAA9gUAAAAA&#10;" o:allowoverlap="f" fillcolor="#0076c0" stroked="f" strokeweight="2pt">
              <w10:wrap anchorx="page" anchory="page"/>
            </v:rect>
          </w:pict>
        </mc:Fallback>
      </mc:AlternateContent>
    </w:r>
    <w:r>
      <w:rPr>
        <w:noProof/>
        <w:lang w:eastAsia="en-AU"/>
      </w:rPr>
      <mc:AlternateContent>
        <mc:Choice Requires="wps">
          <w:drawing>
            <wp:anchor distT="0" distB="0" distL="114300" distR="114300" simplePos="0" relativeHeight="251658256" behindDoc="1" locked="0" layoutInCell="1" allowOverlap="0" wp14:anchorId="4833334E" wp14:editId="6F44039C">
              <wp:simplePos x="0" y="0"/>
              <wp:positionH relativeFrom="page">
                <wp:posOffset>0</wp:posOffset>
              </wp:positionH>
              <wp:positionV relativeFrom="page">
                <wp:posOffset>10549255</wp:posOffset>
              </wp:positionV>
              <wp:extent cx="7560000" cy="144000"/>
              <wp:effectExtent l="0" t="0" r="3175" b="8890"/>
              <wp:wrapNone/>
              <wp:docPr id="693" name="Rectangle 693"/>
              <wp:cNvGraphicFramePr/>
              <a:graphic xmlns:a="http://schemas.openxmlformats.org/drawingml/2006/main">
                <a:graphicData uri="http://schemas.microsoft.com/office/word/2010/wordprocessingShape">
                  <wps:wsp>
                    <wps:cNvSpPr/>
                    <wps:spPr>
                      <a:xfrm>
                        <a:off x="0" y="0"/>
                        <a:ext cx="7560000" cy="144000"/>
                      </a:xfrm>
                      <a:prstGeom prst="rect">
                        <a:avLst/>
                      </a:prstGeom>
                      <a:solidFill>
                        <a:srgbClr val="0076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4FC6B1" id="Rectangle 693" o:spid="_x0000_s1026" style="position:absolute;margin-left:0;margin-top:830.65pt;width:595.3pt;height:11.35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gkAIAAIkFAAAOAAAAZHJzL2Uyb0RvYy54bWysVFFPGzEMfp+0/xDlfdy1gwIVV1QVMU1C&#10;gICJ5zSXtCfl4sxJe+1+/ZzkejBAe5jWh9SO7c/xd7YvLnetYVuFvgFb8dFRyZmyEurGrir+4+n6&#10;yxlnPghbCwNWVXyvPL+cff500bmpGsMaTK2QEYj1085VfB2CmxaFl2vVCn8ETlkyasBWBFJxVdQo&#10;OkJvTTEuy0nRAdYOQSrv6fYqG/ks4WutZLjT2qvATMXpbSGdmM5lPIvZhZiuULh1I/tniH94RSsa&#10;S0kHqCsRBNtg8w6qbSSCBx2OJLQFaN1IlWqgakblm2oe18KpVAuR491Ak/9/sPJ2e4+sqSs+Of/K&#10;mRUtfaQHok3YlVEsXhJFnfNT8nx099hrnsRY705jG/+pErZLtO4HWtUuMEmXpyeTkn6cSbKNjo+j&#10;TDDFS7RDH74paFkUKo6UP7Eptjc+ZNeDS0zmwTT1dWNMUnC1XBhkWxE/cXk6WRzQ/3AzNjpbiGEZ&#10;Md4UsbJcS5LC3qjoZ+yD0kQLvX6cXpIaUg15hJTKhlE2rUWtcvqTVGeGHyJSpQkwImvKP2D3ALHZ&#10;32NnmN4/hqrUz0Nw+beH5eAhImUGG4bgtrGAHwEYqqrPnP0PJGVqIktLqPfUNAh5mryT1w19txvh&#10;w71AGh/61LQSwh0d2kBXceglztaAvz66j/7U1WTlrKNxrLj/uRGoODPfLfX7eewbmt+kHJ+cjknB&#10;15bla4vdtAugdhjR8nEyidE/mIOoEdpn2hzzmJVMwkrKXXEZ8KAsQl4TtHukms+TG82sE+HGPjoZ&#10;wSOrsS+fds8CXd+8gdr+Fg6jK6Zvejj7xkgL800A3aQGf+G155vmPTVOv5viQnmtJ6+XDTr7DQAA&#10;//8DAFBLAwQUAAYACAAAACEAOBJskt0AAAALAQAADwAAAGRycy9kb3ducmV2LnhtbEyPwU7DMBBE&#10;70j8g7WVuFE7FKyQxqkqBIdekGgRZzdekqjxOordNvw9mxMcd2Y186bcTL4XFxxjF8hAtlQgkOrg&#10;OmoMfB7e7nMQMVlytg+EBn4wwqa6vSlt4cKVPvCyT43gEIqFNdCmNBRSxrpFb+MyDEjsfYfR28Tn&#10;2Eg32iuH+14+KKWltx1xQ2sHfGmxPu3Pnnt3K5d/ve5Cp1DT4dQ3709pa8zdYtquQSSc0t8zzPiM&#10;DhUzHcOZXBS9AR6SWNU6W4GY/exZaRDHWcsfFciqlP83VL8AAAD//wMAUEsBAi0AFAAGAAgAAAAh&#10;ALaDOJL+AAAA4QEAABMAAAAAAAAAAAAAAAAAAAAAAFtDb250ZW50X1R5cGVzXS54bWxQSwECLQAU&#10;AAYACAAAACEAOP0h/9YAAACUAQAACwAAAAAAAAAAAAAAAAAvAQAAX3JlbHMvLnJlbHNQSwECLQAU&#10;AAYACAAAACEAki/yYJACAACJBQAADgAAAAAAAAAAAAAAAAAuAgAAZHJzL2Uyb0RvYy54bWxQSwEC&#10;LQAUAAYACAAAACEAOBJskt0AAAALAQAADwAAAAAAAAAAAAAAAADqBAAAZHJzL2Rvd25yZXYueG1s&#10;UEsFBgAAAAAEAAQA8wAAAPQFAAAAAA==&#10;" o:allowoverlap="f" fillcolor="#0076c0" stroked="f" strokeweight="2pt">
              <w10:wrap anchorx="page" anchory="page"/>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2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7087"/>
      <w:gridCol w:w="500"/>
    </w:tblGrid>
    <w:tr w:rsidR="00B246FA" w14:paraId="1CB02865" w14:textId="77777777" w:rsidTr="00A56F12">
      <w:trPr>
        <w:trHeight w:hRule="exact" w:val="227"/>
      </w:trPr>
      <w:tc>
        <w:tcPr>
          <w:tcW w:w="10281" w:type="dxa"/>
          <w:gridSpan w:val="3"/>
          <w:tcBorders>
            <w:top w:val="single" w:sz="4" w:space="0" w:color="auto"/>
          </w:tcBorders>
        </w:tcPr>
        <w:p w14:paraId="173D1089" w14:textId="77777777" w:rsidR="00B246FA" w:rsidRPr="00691B72" w:rsidRDefault="00B246FA" w:rsidP="00855EF8">
          <w:pPr>
            <w:pStyle w:val="Footer"/>
            <w:tabs>
              <w:tab w:val="clear" w:pos="9026"/>
            </w:tabs>
            <w:rPr>
              <w:rStyle w:val="PageNumber"/>
            </w:rPr>
          </w:pPr>
        </w:p>
      </w:tc>
    </w:tr>
    <w:tr w:rsidR="00B246FA" w14:paraId="146A4D7C" w14:textId="77777777" w:rsidTr="00A56F12">
      <w:tc>
        <w:tcPr>
          <w:tcW w:w="2694" w:type="dxa"/>
        </w:tcPr>
        <w:p w14:paraId="2D0A6F41" w14:textId="5409518A" w:rsidR="00B246FA" w:rsidRDefault="00B246FA" w:rsidP="00002BA2">
          <w:pPr>
            <w:pStyle w:val="Footer"/>
            <w:tabs>
              <w:tab w:val="clear" w:pos="9026"/>
            </w:tabs>
            <w:ind w:left="1411"/>
            <w:jc w:val="center"/>
          </w:pPr>
        </w:p>
      </w:tc>
      <w:tc>
        <w:tcPr>
          <w:tcW w:w="7087" w:type="dxa"/>
        </w:tcPr>
        <w:p w14:paraId="625B18AB" w14:textId="483C1CA6" w:rsidR="00B246FA" w:rsidRDefault="00B246FA" w:rsidP="003E1267">
          <w:pPr>
            <w:pStyle w:val="DocumentControlFooter"/>
          </w:pPr>
          <w:r>
            <w:rPr>
              <w:noProof/>
            </w:rPr>
            <w:t>Impact Statement for the Review of the Ambient Air Quality NEPM standards for SO</w:t>
          </w:r>
          <w:r w:rsidRPr="003C10CB">
            <w:rPr>
              <w:noProof/>
              <w:vertAlign w:val="subscript"/>
            </w:rPr>
            <w:t>2</w:t>
          </w:r>
          <w:r>
            <w:rPr>
              <w:noProof/>
            </w:rPr>
            <w:t>, NO</w:t>
          </w:r>
          <w:r w:rsidRPr="003C10CB">
            <w:rPr>
              <w:noProof/>
              <w:vertAlign w:val="subscript"/>
            </w:rPr>
            <w:t>2</w:t>
          </w:r>
          <w:r>
            <w:rPr>
              <w:noProof/>
            </w:rPr>
            <w:t xml:space="preserve"> and O</w:t>
          </w:r>
          <w:r w:rsidRPr="003C10CB">
            <w:rPr>
              <w:noProof/>
              <w:vertAlign w:val="subscript"/>
            </w:rPr>
            <w:t>3</w:t>
          </w:r>
          <w:r w:rsidRPr="003A3471">
            <w:t xml:space="preserve"> </w:t>
          </w:r>
        </w:p>
      </w:tc>
      <w:tc>
        <w:tcPr>
          <w:tcW w:w="500" w:type="dxa"/>
        </w:tcPr>
        <w:p w14:paraId="5BCE4CEF" w14:textId="59882F1D" w:rsidR="00B246FA" w:rsidRPr="00691B72" w:rsidRDefault="00B246FA" w:rsidP="00855EF8">
          <w:pPr>
            <w:pStyle w:val="Footer"/>
            <w:tabs>
              <w:tab w:val="clear" w:pos="9026"/>
            </w:tabs>
            <w:rPr>
              <w:rStyle w:val="PageNumber"/>
            </w:rPr>
          </w:pPr>
          <w:r w:rsidRPr="00691B72">
            <w:rPr>
              <w:rStyle w:val="PageNumber"/>
            </w:rPr>
            <w:fldChar w:fldCharType="begin"/>
          </w:r>
          <w:r w:rsidRPr="00691B72">
            <w:rPr>
              <w:rStyle w:val="PageNumber"/>
            </w:rPr>
            <w:instrText xml:space="preserve"> PAGE   \* MERGEFORMAT </w:instrText>
          </w:r>
          <w:r w:rsidRPr="00691B72">
            <w:rPr>
              <w:rStyle w:val="PageNumber"/>
            </w:rPr>
            <w:fldChar w:fldCharType="separate"/>
          </w:r>
          <w:r w:rsidR="007F77AB">
            <w:rPr>
              <w:rStyle w:val="PageNumber"/>
              <w:noProof/>
            </w:rPr>
            <w:t>41</w:t>
          </w:r>
          <w:r w:rsidRPr="00691B72">
            <w:rPr>
              <w:rStyle w:val="PageNumber"/>
            </w:rPr>
            <w:fldChar w:fldCharType="end"/>
          </w:r>
        </w:p>
      </w:tc>
    </w:tr>
  </w:tbl>
  <w:p w14:paraId="4D2B4DA9" w14:textId="2CD8B0AD" w:rsidR="00B246FA" w:rsidRDefault="00B246FA" w:rsidP="004A4B44">
    <w:pPr>
      <w:pStyle w:val="Footer"/>
      <w:tabs>
        <w:tab w:val="clear" w:pos="9026"/>
      </w:tabs>
      <w:jc w:val="left"/>
    </w:pPr>
    <w:r>
      <w:rPr>
        <w:noProof/>
        <w:lang w:eastAsia="en-AU"/>
      </w:rPr>
      <mc:AlternateContent>
        <mc:Choice Requires="wps">
          <w:drawing>
            <wp:anchor distT="0" distB="0" distL="114300" distR="114300" simplePos="0" relativeHeight="251658259" behindDoc="1" locked="0" layoutInCell="1" allowOverlap="0" wp14:anchorId="02F2F412" wp14:editId="232322B2">
              <wp:simplePos x="0" y="0"/>
              <wp:positionH relativeFrom="page">
                <wp:align>left</wp:align>
              </wp:positionH>
              <wp:positionV relativeFrom="page">
                <wp:posOffset>10584898</wp:posOffset>
              </wp:positionV>
              <wp:extent cx="7560000" cy="144000"/>
              <wp:effectExtent l="0" t="0" r="3175" b="8890"/>
              <wp:wrapNone/>
              <wp:docPr id="2" name="Rectangle 2"/>
              <wp:cNvGraphicFramePr/>
              <a:graphic xmlns:a="http://schemas.openxmlformats.org/drawingml/2006/main">
                <a:graphicData uri="http://schemas.microsoft.com/office/word/2010/wordprocessingShape">
                  <wps:wsp>
                    <wps:cNvSpPr/>
                    <wps:spPr>
                      <a:xfrm>
                        <a:off x="0" y="0"/>
                        <a:ext cx="7560000" cy="144000"/>
                      </a:xfrm>
                      <a:prstGeom prst="rect">
                        <a:avLst/>
                      </a:prstGeom>
                      <a:solidFill>
                        <a:srgbClr val="0076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84741F" id="Rectangle 2" o:spid="_x0000_s1026" style="position:absolute;margin-left:0;margin-top:833.45pt;width:595.3pt;height:11.35pt;z-index:-251658221;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qKjgIAAIUFAAAOAAAAZHJzL2Uyb0RvYy54bWysVE1v2zAMvQ/YfxB0X+0E/ViDOkWQosOA&#10;oi3aDj0rshQbkEWNUuJkv36U5LhdW+wwLAeFFMlH8ZnkxeWuM2yr0LdgKz45KjlTVkLd2nXFfzxd&#10;f/nKmQ/C1sKAVRXfK88v558/XfRupqbQgKkVMgKxfta7ijchuFlReNmoTvgjcMqSUQN2IpCK66JG&#10;0RN6Z4ppWZ4WPWDtEKTynm6vspHPE77WSoY7rb0KzFSc3hbSielcxbOYX4jZGoVrWjk8Q/zDKzrR&#10;Wko6Ql2JINgG23dQXSsRPOhwJKErQOtWqlQDVTMp31Tz2AinUi1EjncjTf7/wcrb7T2ytq74lDMr&#10;OvpED0SasGuj2DTS0zs/I69Hd4+D5kmMte40dvGfqmC7ROl+pFTtApN0eXZyWtKPM0m2yfFxlAmm&#10;eIl26MM3BR2LQsWRsicmxfbGh+x6cInJPJi2vm6NSQquV0uDbCvi5y3PTpcH9D/cjI3OFmJYRow3&#10;Raws15KksDcq+hn7oDRRQq+fppekZlRjHiGlsmGSTY2oVU5/kurM8GNEqjQBRmRN+UfsASA2+nvs&#10;DDP4x1CVenkMLv/2sBw8RqTMYMMY3LUW8CMAQ1UNmbP/gaRMTWRpBfWeGgYhT5J38rql73YjfLgX&#10;SKNDn5rWQbijQxvoKw6DxFkD+Ouj++hPHU1WznoaxYr7nxuBijPz3VKvn8e+odlNyvHJ2ZQUfG1Z&#10;vbbYTbcEaocJLR4nkxj9gzmIGqF7pq2xiFnJJKyk3BWXAQ/KMuQVQXtHqsUiudG8OhFu7KOTETyy&#10;Gvvyafcs0A3NG6jtb+EwtmL2poezb4y0sNgE0G1q8BdeB75p1lPjDHspLpPXevJ62Z7z3wAAAP//&#10;AwBQSwMEFAAGAAgAAAAhAAisFcfdAAAACwEAAA8AAABkcnMvZG93bnJldi54bWxMj8FOwzAQRO9I&#10;/IO1SL1RuyCsJMSpKgSHXpBoK85uvCRR43UUu23692xOcNyZ1cybcj35XlxwjF0gA6ulAoFUB9dR&#10;Y+Cw/3jMQMRkydk+EBq4YYR1dX9X2sKFK33hZZcawSEUC2ugTWkopIx1i97GZRiQ2PsJo7eJz7GR&#10;brRXDve9fFJKS2874obWDvjWYn3anT33bp9d9v2+DZ1CTftT33y+pI0xi4dp8woi4ZT+nmHGZ3So&#10;mOkYzuSi6A3wkMSq1joHMfurXGkQx1nLcg2yKuX/DdUvAAAA//8DAFBLAQItABQABgAIAAAAIQC2&#10;gziS/gAAAOEBAAATAAAAAAAAAAAAAAAAAAAAAABbQ29udGVudF9UeXBlc10ueG1sUEsBAi0AFAAG&#10;AAgAAAAhADj9If/WAAAAlAEAAAsAAAAAAAAAAAAAAAAALwEAAF9yZWxzLy5yZWxzUEsBAi0AFAAG&#10;AAgAAAAhAMSGGoqOAgAAhQUAAA4AAAAAAAAAAAAAAAAALgIAAGRycy9lMm9Eb2MueG1sUEsBAi0A&#10;FAAGAAgAAAAhAAisFcfdAAAACwEAAA8AAAAAAAAAAAAAAAAA6AQAAGRycy9kb3ducmV2LnhtbFBL&#10;BQYAAAAABAAEAPMAAADyBQAAAAA=&#10;" o:allowoverlap="f" fillcolor="#0076c0" stroked="f" strokeweight="2pt">
              <w10:wrap anchorx="page" anchory="page"/>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67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11482"/>
      <w:gridCol w:w="501"/>
    </w:tblGrid>
    <w:tr w:rsidR="00B246FA" w14:paraId="18A0D948" w14:textId="77777777" w:rsidTr="006228DD">
      <w:trPr>
        <w:trHeight w:hRule="exact" w:val="227"/>
      </w:trPr>
      <w:tc>
        <w:tcPr>
          <w:tcW w:w="14677" w:type="dxa"/>
          <w:gridSpan w:val="3"/>
          <w:tcBorders>
            <w:top w:val="single" w:sz="4" w:space="0" w:color="auto"/>
          </w:tcBorders>
        </w:tcPr>
        <w:p w14:paraId="0F85BC98" w14:textId="77777777" w:rsidR="00B246FA" w:rsidRPr="00691B72" w:rsidRDefault="00B246FA" w:rsidP="00855EF8">
          <w:pPr>
            <w:pStyle w:val="Footer"/>
            <w:tabs>
              <w:tab w:val="clear" w:pos="9026"/>
            </w:tabs>
            <w:rPr>
              <w:rStyle w:val="PageNumber"/>
            </w:rPr>
          </w:pPr>
        </w:p>
      </w:tc>
    </w:tr>
    <w:tr w:rsidR="00B246FA" w14:paraId="751DF006" w14:textId="77777777" w:rsidTr="006228DD">
      <w:tc>
        <w:tcPr>
          <w:tcW w:w="2694" w:type="dxa"/>
        </w:tcPr>
        <w:p w14:paraId="6DBC4C43" w14:textId="221C2791" w:rsidR="00B246FA" w:rsidRDefault="00B246FA" w:rsidP="00002BA2">
          <w:pPr>
            <w:pStyle w:val="Footer"/>
            <w:tabs>
              <w:tab w:val="clear" w:pos="9026"/>
            </w:tabs>
            <w:ind w:left="1411"/>
            <w:jc w:val="center"/>
          </w:pPr>
        </w:p>
      </w:tc>
      <w:tc>
        <w:tcPr>
          <w:tcW w:w="11482" w:type="dxa"/>
        </w:tcPr>
        <w:p w14:paraId="45D3FE02" w14:textId="77777777" w:rsidR="00B246FA" w:rsidRDefault="00B246FA" w:rsidP="003E1267">
          <w:pPr>
            <w:pStyle w:val="DocumentControlFooter"/>
            <w:rPr>
              <w:noProof/>
              <w:vertAlign w:val="subscript"/>
            </w:rPr>
          </w:pPr>
          <w:r>
            <w:rPr>
              <w:noProof/>
            </w:rPr>
            <w:t>Impact Statement for the Review of the Ambient Air Quality NEPM standards for SO</w:t>
          </w:r>
          <w:r w:rsidRPr="003C10CB">
            <w:rPr>
              <w:noProof/>
              <w:vertAlign w:val="subscript"/>
            </w:rPr>
            <w:t>2</w:t>
          </w:r>
          <w:r>
            <w:rPr>
              <w:noProof/>
            </w:rPr>
            <w:t>, NO</w:t>
          </w:r>
          <w:r w:rsidRPr="003C10CB">
            <w:rPr>
              <w:noProof/>
              <w:vertAlign w:val="subscript"/>
            </w:rPr>
            <w:t>2</w:t>
          </w:r>
          <w:r>
            <w:rPr>
              <w:noProof/>
            </w:rPr>
            <w:t xml:space="preserve"> and O</w:t>
          </w:r>
          <w:r w:rsidRPr="003C10CB">
            <w:rPr>
              <w:noProof/>
              <w:vertAlign w:val="subscript"/>
            </w:rPr>
            <w:t>3</w:t>
          </w:r>
        </w:p>
        <w:p w14:paraId="369BA77A" w14:textId="0B909C97" w:rsidR="00B246FA" w:rsidRDefault="00B246FA" w:rsidP="003E1267">
          <w:pPr>
            <w:pStyle w:val="DocumentControlFooter"/>
          </w:pPr>
          <w:r>
            <w:t xml:space="preserve"> </w:t>
          </w:r>
        </w:p>
      </w:tc>
      <w:tc>
        <w:tcPr>
          <w:tcW w:w="500" w:type="dxa"/>
        </w:tcPr>
        <w:p w14:paraId="0C74BA5B" w14:textId="6F0D8DA5" w:rsidR="00B246FA" w:rsidRPr="00691B72" w:rsidRDefault="00B246FA" w:rsidP="00855EF8">
          <w:pPr>
            <w:pStyle w:val="Footer"/>
            <w:tabs>
              <w:tab w:val="clear" w:pos="9026"/>
            </w:tabs>
            <w:rPr>
              <w:rStyle w:val="PageNumber"/>
            </w:rPr>
          </w:pPr>
          <w:r w:rsidRPr="00691B72">
            <w:rPr>
              <w:rStyle w:val="PageNumber"/>
            </w:rPr>
            <w:fldChar w:fldCharType="begin"/>
          </w:r>
          <w:r w:rsidRPr="00691B72">
            <w:rPr>
              <w:rStyle w:val="PageNumber"/>
            </w:rPr>
            <w:instrText xml:space="preserve"> PAGE   \* MERGEFORMAT </w:instrText>
          </w:r>
          <w:r w:rsidRPr="00691B72">
            <w:rPr>
              <w:rStyle w:val="PageNumber"/>
            </w:rPr>
            <w:fldChar w:fldCharType="separate"/>
          </w:r>
          <w:r>
            <w:rPr>
              <w:rStyle w:val="PageNumber"/>
              <w:noProof/>
            </w:rPr>
            <w:t>50</w:t>
          </w:r>
          <w:r w:rsidRPr="00691B72">
            <w:rPr>
              <w:rStyle w:val="PageNumber"/>
            </w:rPr>
            <w:fldChar w:fldCharType="end"/>
          </w:r>
        </w:p>
      </w:tc>
    </w:tr>
  </w:tbl>
  <w:p w14:paraId="188E1483" w14:textId="5F1818BB" w:rsidR="00B246FA" w:rsidRDefault="00B246FA" w:rsidP="004A4B44">
    <w:pPr>
      <w:pStyle w:val="Footer"/>
      <w:tabs>
        <w:tab w:val="clear" w:pos="9026"/>
      </w:tabs>
      <w:jc w:val="left"/>
    </w:pPr>
    <w:r>
      <w:rPr>
        <w:noProof/>
        <w:lang w:eastAsia="en-AU"/>
      </w:rPr>
      <mc:AlternateContent>
        <mc:Choice Requires="wps">
          <w:drawing>
            <wp:anchor distT="0" distB="0" distL="114300" distR="114300" simplePos="0" relativeHeight="251658272" behindDoc="1" locked="0" layoutInCell="1" allowOverlap="0" wp14:anchorId="3CB066D7" wp14:editId="23E63EE5">
              <wp:simplePos x="0" y="0"/>
              <wp:positionH relativeFrom="page">
                <wp:align>left</wp:align>
              </wp:positionH>
              <wp:positionV relativeFrom="page">
                <wp:align>bottom</wp:align>
              </wp:positionV>
              <wp:extent cx="10692000" cy="144000"/>
              <wp:effectExtent l="0" t="0" r="0" b="8890"/>
              <wp:wrapNone/>
              <wp:docPr id="4" name="Rectangle 4"/>
              <wp:cNvGraphicFramePr/>
              <a:graphic xmlns:a="http://schemas.openxmlformats.org/drawingml/2006/main">
                <a:graphicData uri="http://schemas.microsoft.com/office/word/2010/wordprocessingShape">
                  <wps:wsp>
                    <wps:cNvSpPr/>
                    <wps:spPr>
                      <a:xfrm>
                        <a:off x="0" y="0"/>
                        <a:ext cx="10692000" cy="144000"/>
                      </a:xfrm>
                      <a:prstGeom prst="rect">
                        <a:avLst/>
                      </a:prstGeom>
                      <a:solidFill>
                        <a:srgbClr val="0076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4DDD07" id="Rectangle 4" o:spid="_x0000_s1026" style="position:absolute;margin-left:0;margin-top:0;width:841.9pt;height:11.35pt;z-index:-25165820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j/LkQIAAIYFAAAOAAAAZHJzL2Uyb0RvYy54bWysVE1v2zAMvQ/YfxB0X+0EabsGdYogRYcB&#10;RVe0HXpWZCk2IIsapXzt14+SbLfrih2GXWxRJB/JJ5KXV4fOsJ1C34Kt+OSk5ExZCXVrNxX//nTz&#10;6TNnPghbCwNWVfyoPL9afPxwuXdzNYUGTK2QEYj1872reBOCmxeFl43qhD8BpywpNWAnAom4KWoU&#10;e0LvTDEty7NiD1g7BKm8p9vrrOSLhK+1kuGb1l4FZipOuYX0xfRdx2+xuBTzDQrXtLJPQ/xDFp1o&#10;LQUdoa5FEGyL7R9QXSsRPOhwIqErQOtWqlQDVTMp31Tz2AinUi1EjncjTf7/wcq73T2ytq74jDMr&#10;OnqiByJN2I1RbBbp2Ts/J6tHd4+95OkYaz1o7OKfqmCHROlxpFQdApN0OSnPLuidiHpJyslsFs+E&#10;U7y4O/Thi4KOxUPFkcInKsXu1odsOpjEaB5MW9+0xiQBN+uVQbYT8X3L87PVgP6bmbHR2EJ0y4jx&#10;poil5WLSKRyNinbGPihNnFD605RJ6kY1xhFSKhsmWdWIWuXwp1TaGD32b/RIlSbAiKwp/ojdAwyW&#10;GWTAzln29tFVpWYencu/JZadR48UGWwYnbvWAr4HYKiqPnK2H0jK1ESW1lAfqWMQ8ih5J29aerdb&#10;4cO9QJodemraB+EbfbSBfcWhP3HWAP587z7aU0uTlrM9zWLF/Y+tQMWZ+Wqp2S9i39DwJmF2ej4l&#10;AV9r1q81dtutgNphQpvHyXSM9sEMR43QPdPaWMaopBJWUuyKy4CDsAp5R9DikWq5TGY0sE6EW/vo&#10;ZASPrMa+fDo8C3R98wbq+zsY5lbM3/Rwto2eFpbbALpNDf7Ca883DXtqnH4xxW3yWk5WL+tz8QsA&#10;AP//AwBQSwMEFAAGAAgAAAAhAClB1knZAAAABQEAAA8AAABkcnMvZG93bnJldi54bWxMj0FLw0AQ&#10;he+C/2EZwZvdmGIMMZtSRA+9CLbieZsdk9Dd2ZCdtvHfO/Wil4HhPd77Xr2ag1cnnNIQycD9IgOF&#10;1EY3UGfgY/d6V4JKbMlZHwkNfGOCVXN9VdvKxTO942nLnZIQSpU10DOPldap7THYtIgjkmhfcQqW&#10;5Z067SZ7lvDgdZ5lhQ52IGno7YjPPbaH7TFI72bpys+XTRwyLGh38N3bA6+Nub2Z10+gGGf+M8MF&#10;X9ChEaZ9PJJLyhuQIfx7L1pRLmXH3kCeP4Juav2fvvkBAAD//wMAUEsBAi0AFAAGAAgAAAAhALaD&#10;OJL+AAAA4QEAABMAAAAAAAAAAAAAAAAAAAAAAFtDb250ZW50X1R5cGVzXS54bWxQSwECLQAUAAYA&#10;CAAAACEAOP0h/9YAAACUAQAACwAAAAAAAAAAAAAAAAAvAQAAX3JlbHMvLnJlbHNQSwECLQAUAAYA&#10;CAAAACEA/Go/y5ECAACGBQAADgAAAAAAAAAAAAAAAAAuAgAAZHJzL2Uyb0RvYy54bWxQSwECLQAU&#10;AAYACAAAACEAKUHWSdkAAAAFAQAADwAAAAAAAAAAAAAAAADrBAAAZHJzL2Rvd25yZXYueG1sUEsF&#10;BgAAAAAEAAQA8wAAAPEFAAAAAA==&#10;" o:allowoverlap="f" fillcolor="#0076c0" stroked="f" strokeweight="2pt">
              <w10:wrap anchorx="page" anchory="page"/>
            </v:rect>
          </w:pict>
        </mc:Fallback>
      </mc:AlternateContent>
    </w:r>
    <w:r>
      <w:rPr>
        <w:noProof/>
        <w:lang w:eastAsia="en-AU"/>
      </w:rPr>
      <mc:AlternateContent>
        <mc:Choice Requires="wps">
          <w:drawing>
            <wp:anchor distT="0" distB="0" distL="114300" distR="114300" simplePos="0" relativeHeight="251658251" behindDoc="1" locked="0" layoutInCell="1" allowOverlap="0" wp14:anchorId="674F3A39" wp14:editId="65799AE2">
              <wp:simplePos x="0" y="0"/>
              <wp:positionH relativeFrom="page">
                <wp:posOffset>0</wp:posOffset>
              </wp:positionH>
              <wp:positionV relativeFrom="page">
                <wp:posOffset>10549255</wp:posOffset>
              </wp:positionV>
              <wp:extent cx="7560000" cy="144000"/>
              <wp:effectExtent l="0" t="0" r="3175" b="8890"/>
              <wp:wrapNone/>
              <wp:docPr id="676" name="Rectangle 676"/>
              <wp:cNvGraphicFramePr/>
              <a:graphic xmlns:a="http://schemas.openxmlformats.org/drawingml/2006/main">
                <a:graphicData uri="http://schemas.microsoft.com/office/word/2010/wordprocessingShape">
                  <wps:wsp>
                    <wps:cNvSpPr/>
                    <wps:spPr>
                      <a:xfrm>
                        <a:off x="0" y="0"/>
                        <a:ext cx="7560000" cy="144000"/>
                      </a:xfrm>
                      <a:prstGeom prst="rect">
                        <a:avLst/>
                      </a:prstGeom>
                      <a:solidFill>
                        <a:srgbClr val="0076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26B504" id="Rectangle 676" o:spid="_x0000_s1026" style="position:absolute;margin-left:0;margin-top:830.65pt;width:595.3pt;height:11.3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hGkAIAAIkFAAAOAAAAZHJzL2Uyb0RvYy54bWysVFFPGzEMfp+0/xDlfVxbQTsqrqgqYpqE&#10;AAETz2ku6Z2UizMn7bX79XOS68EA7WFaH1I7tj/H39m+uNy3hu0U+gZsyccnI86UlVA1dlPyH0/X&#10;X75y5oOwlTBgVckPyvPLxedPF52bqwnUYCqFjECsn3eu5HUIbl4UXtaqFf4EnLJk1ICtCKTipqhQ&#10;dITemmIyGk2LDrByCFJ5T7dX2cgXCV9rJcOd1l4FZkpObwvpxHSu41ksLsR8g8LVjeyfIf7hFa1o&#10;LCUdoK5EEGyLzTuotpEIHnQ4kdAWoHUjVaqBqhmP3lTzWAunUi1EjncDTf7/wcrb3T2ypir5dDbl&#10;zIqWPtID0SbsxigWL4mizvk5eT66e+w1T2Ksd6+xjf9UCdsnWg8DrWofmKTL2dl0RD/OJNnGp6dR&#10;JpjiJdqhD98UtCwKJUfKn9gUuxsfsuvRJSbzYJrqujEmKbhZrwyynYifeDSbro7of7gZG50txLCM&#10;GG+KWFmuJUnhYFT0M/ZBaaKFXj9JL0kNqYY8QkplwzibalGpnP4s1Znhh4hUaQKMyJryD9g9QGz2&#10;99gZpvePoSr18xA8+tvDcvAQkTKDDUNw21jAjwAMVdVnzv5HkjI1kaU1VAdqGoQ8Td7J64a+243w&#10;4V4gjQ99aloJ4Y4ObaArOfQSZzXgr4/uoz91NVk562gcS+5/bgUqzsx3S/1+HvuG5jcpp2ezCSn4&#10;2rJ+bbHbdgXUDmNaPk4mMfoHcxQ1QvtMm2MZs5JJWEm5Sy4DHpVVyGuCdo9Uy2Vyo5l1ItzYRycj&#10;eGQ19uXT/lmg65s3UNvfwnF0xfxND2ffGGlhuQ2gm9TgL7z2fNO8p8bpd1NcKK/15PWyQRe/AQAA&#10;//8DAFBLAwQUAAYACAAAACEAOBJskt0AAAALAQAADwAAAGRycy9kb3ducmV2LnhtbEyPwU7DMBBE&#10;70j8g7WVuFE7FKyQxqkqBIdekGgRZzdekqjxOordNvw9mxMcd2Y186bcTL4XFxxjF8hAtlQgkOrg&#10;OmoMfB7e7nMQMVlytg+EBn4wwqa6vSlt4cKVPvCyT43gEIqFNdCmNBRSxrpFb+MyDEjsfYfR28Tn&#10;2Eg32iuH+14+KKWltx1xQ2sHfGmxPu3Pnnt3K5d/ve5Cp1DT4dQ3709pa8zdYtquQSSc0t8zzPiM&#10;DhUzHcOZXBS9AR6SWNU6W4GY/exZaRDHWcsfFciqlP83VL8AAAD//wMAUEsBAi0AFAAGAAgAAAAh&#10;ALaDOJL+AAAA4QEAABMAAAAAAAAAAAAAAAAAAAAAAFtDb250ZW50X1R5cGVzXS54bWxQSwECLQAU&#10;AAYACAAAACEAOP0h/9YAAACUAQAACwAAAAAAAAAAAAAAAAAvAQAAX3JlbHMvLnJlbHNQSwECLQAU&#10;AAYACAAAACEAe124RpACAACJBQAADgAAAAAAAAAAAAAAAAAuAgAAZHJzL2Uyb0RvYy54bWxQSwEC&#10;LQAUAAYACAAAACEAOBJskt0AAAALAQAADwAAAAAAAAAAAAAAAADqBAAAZHJzL2Rvd25yZXYueG1s&#10;UEsFBgAAAAAEAAQA8wAAAPQFAAAAAA==&#10;" o:allowoverlap="f" fillcolor="#0076c0" stroked="f" strokeweight="2pt">
              <w10:wrap anchorx="page" anchory="page"/>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2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7087"/>
      <w:gridCol w:w="494"/>
      <w:gridCol w:w="6"/>
    </w:tblGrid>
    <w:tr w:rsidR="00B246FA" w14:paraId="7E67C3C5" w14:textId="77777777" w:rsidTr="005C2AB3">
      <w:trPr>
        <w:gridAfter w:val="1"/>
        <w:wAfter w:w="6" w:type="dxa"/>
        <w:trHeight w:hRule="exact" w:val="227"/>
      </w:trPr>
      <w:tc>
        <w:tcPr>
          <w:tcW w:w="10275" w:type="dxa"/>
          <w:gridSpan w:val="3"/>
          <w:tcBorders>
            <w:top w:val="single" w:sz="4" w:space="0" w:color="auto"/>
          </w:tcBorders>
        </w:tcPr>
        <w:p w14:paraId="057F4431" w14:textId="77777777" w:rsidR="00B246FA" w:rsidRPr="00691B72" w:rsidRDefault="00B246FA" w:rsidP="00855EF8">
          <w:pPr>
            <w:pStyle w:val="Footer"/>
            <w:tabs>
              <w:tab w:val="clear" w:pos="9026"/>
            </w:tabs>
            <w:rPr>
              <w:rStyle w:val="PageNumber"/>
            </w:rPr>
          </w:pPr>
        </w:p>
      </w:tc>
    </w:tr>
    <w:tr w:rsidR="00B246FA" w14:paraId="2CAC6E64" w14:textId="77777777" w:rsidTr="005C2AB3">
      <w:tc>
        <w:tcPr>
          <w:tcW w:w="2694" w:type="dxa"/>
        </w:tcPr>
        <w:p w14:paraId="6DCE50B4" w14:textId="011819C1" w:rsidR="00B246FA" w:rsidRDefault="00B246FA" w:rsidP="00002BA2">
          <w:pPr>
            <w:pStyle w:val="Footer"/>
            <w:tabs>
              <w:tab w:val="clear" w:pos="9026"/>
            </w:tabs>
            <w:ind w:left="1411"/>
            <w:jc w:val="center"/>
          </w:pPr>
        </w:p>
      </w:tc>
      <w:tc>
        <w:tcPr>
          <w:tcW w:w="7087" w:type="dxa"/>
        </w:tcPr>
        <w:p w14:paraId="3B6BBE01" w14:textId="77777777" w:rsidR="00B246FA" w:rsidRDefault="00B246FA" w:rsidP="00B66119">
          <w:pPr>
            <w:pStyle w:val="DocumentControlFooter"/>
            <w:rPr>
              <w:noProof/>
              <w:vertAlign w:val="subscript"/>
            </w:rPr>
          </w:pPr>
          <w:r>
            <w:rPr>
              <w:noProof/>
            </w:rPr>
            <w:t>Impact Statement for the Review of the Ambient Air Quality NEPM standards for SO</w:t>
          </w:r>
          <w:r w:rsidRPr="00B66119">
            <w:rPr>
              <w:noProof/>
              <w:vertAlign w:val="subscript"/>
            </w:rPr>
            <w:t>2</w:t>
          </w:r>
          <w:r>
            <w:rPr>
              <w:noProof/>
            </w:rPr>
            <w:t>, NO</w:t>
          </w:r>
          <w:r w:rsidRPr="00B66119">
            <w:rPr>
              <w:noProof/>
              <w:vertAlign w:val="subscript"/>
            </w:rPr>
            <w:t>2</w:t>
          </w:r>
          <w:r>
            <w:rPr>
              <w:noProof/>
            </w:rPr>
            <w:t xml:space="preserve"> and O</w:t>
          </w:r>
          <w:r w:rsidRPr="00B66119">
            <w:rPr>
              <w:noProof/>
              <w:vertAlign w:val="subscript"/>
            </w:rPr>
            <w:t>3</w:t>
          </w:r>
        </w:p>
        <w:p w14:paraId="2F9F3675" w14:textId="70C4728F" w:rsidR="00B246FA" w:rsidRDefault="00B246FA" w:rsidP="00B66119">
          <w:pPr>
            <w:pStyle w:val="DocumentControlFooter"/>
            <w:rPr>
              <w:noProof/>
            </w:rPr>
          </w:pPr>
          <w:r>
            <w:rPr>
              <w:noProof/>
            </w:rPr>
            <w:t xml:space="preserve"> </w:t>
          </w:r>
        </w:p>
      </w:tc>
      <w:tc>
        <w:tcPr>
          <w:tcW w:w="500" w:type="dxa"/>
          <w:gridSpan w:val="2"/>
        </w:tcPr>
        <w:p w14:paraId="09F8E66C" w14:textId="49A01B1F" w:rsidR="00B246FA" w:rsidRPr="00691B72" w:rsidRDefault="00B246FA" w:rsidP="00855EF8">
          <w:pPr>
            <w:pStyle w:val="Footer"/>
            <w:tabs>
              <w:tab w:val="clear" w:pos="9026"/>
            </w:tabs>
            <w:rPr>
              <w:rStyle w:val="PageNumber"/>
            </w:rPr>
          </w:pPr>
          <w:r w:rsidRPr="00691B72">
            <w:rPr>
              <w:rStyle w:val="PageNumber"/>
            </w:rPr>
            <w:fldChar w:fldCharType="begin"/>
          </w:r>
          <w:r w:rsidRPr="00691B72">
            <w:rPr>
              <w:rStyle w:val="PageNumber"/>
            </w:rPr>
            <w:instrText xml:space="preserve"> PAGE   \* MERGEFORMAT </w:instrText>
          </w:r>
          <w:r w:rsidRPr="00691B72">
            <w:rPr>
              <w:rStyle w:val="PageNumber"/>
            </w:rPr>
            <w:fldChar w:fldCharType="separate"/>
          </w:r>
          <w:r>
            <w:rPr>
              <w:rStyle w:val="PageNumber"/>
              <w:noProof/>
            </w:rPr>
            <w:t>63</w:t>
          </w:r>
          <w:r w:rsidRPr="00691B72">
            <w:rPr>
              <w:rStyle w:val="PageNumber"/>
            </w:rPr>
            <w:fldChar w:fldCharType="end"/>
          </w:r>
        </w:p>
      </w:tc>
    </w:tr>
  </w:tbl>
  <w:p w14:paraId="6E13ABCC" w14:textId="77777777" w:rsidR="00B246FA" w:rsidRDefault="00B246FA" w:rsidP="004A4B44">
    <w:pPr>
      <w:pStyle w:val="Footer"/>
      <w:tabs>
        <w:tab w:val="clear" w:pos="9026"/>
      </w:tabs>
      <w:jc w:val="left"/>
    </w:pPr>
    <w:r>
      <w:rPr>
        <w:noProof/>
        <w:lang w:eastAsia="en-AU"/>
      </w:rPr>
      <mc:AlternateContent>
        <mc:Choice Requires="wps">
          <w:drawing>
            <wp:anchor distT="0" distB="0" distL="114300" distR="114300" simplePos="0" relativeHeight="251658253" behindDoc="1" locked="0" layoutInCell="1" allowOverlap="0" wp14:anchorId="2EC13896" wp14:editId="45A4AF54">
              <wp:simplePos x="0" y="0"/>
              <wp:positionH relativeFrom="page">
                <wp:posOffset>0</wp:posOffset>
              </wp:positionH>
              <wp:positionV relativeFrom="page">
                <wp:posOffset>10549255</wp:posOffset>
              </wp:positionV>
              <wp:extent cx="7560000" cy="144000"/>
              <wp:effectExtent l="0" t="0" r="3175" b="8890"/>
              <wp:wrapNone/>
              <wp:docPr id="687" name="Rectangle 687"/>
              <wp:cNvGraphicFramePr/>
              <a:graphic xmlns:a="http://schemas.openxmlformats.org/drawingml/2006/main">
                <a:graphicData uri="http://schemas.microsoft.com/office/word/2010/wordprocessingShape">
                  <wps:wsp>
                    <wps:cNvSpPr/>
                    <wps:spPr>
                      <a:xfrm>
                        <a:off x="0" y="0"/>
                        <a:ext cx="7560000" cy="144000"/>
                      </a:xfrm>
                      <a:prstGeom prst="rect">
                        <a:avLst/>
                      </a:prstGeom>
                      <a:solidFill>
                        <a:srgbClr val="0076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73ECB6" id="Rectangle 687" o:spid="_x0000_s1026" style="position:absolute;margin-left:0;margin-top:830.65pt;width:595.3pt;height:11.3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kAIAAIkFAAAOAAAAZHJzL2Uyb0RvYy54bWysVFFPGzEMfp+0/xDlfVxbQcsqrqgqYpqE&#10;AAETz2ku6Z2UizMn7bX79XOS68EA7WFaH1I7tj/H39m+uNy3hu0U+gZsyccnI86UlVA1dlPyH0/X&#10;X84580HYShiwquQH5fnl4vOni87N1QRqMJVCRiDWzztX8joENy8KL2vVCn8CTlkyasBWBFJxU1Qo&#10;OkJvTTEZjaZFB1g5BKm8p9urbOSLhK+1kuFOa68CMyWnt4V0YjrX8SwWF2K+QeHqRvbPEP/wilY0&#10;lpIOUFciCLbF5h1U20gEDzqcSGgL0LqRKtVA1YxHb6p5rIVTqRYix7uBJv//YOXt7h5ZU5V8ej7j&#10;zIqWPtID0SbsxigWL4mizvk5eT66e+w1T2Ksd6+xjf9UCdsnWg8DrWofmKTL2dl0RD/OJNnGp6dR&#10;JpjiJdqhD98UtCwKJUfKn9gUuxsfsuvRJSbzYJrqujEmKbhZrwyynYifeDSbro7of7gZG50txLCM&#10;GG+KWFmuJUnhYFT0M/ZBaaKFXj9JL0kNqYY8QkplwzibalGpnP4s1Znhh4hUaQKMyJryD9g9QGz2&#10;99gZpvePoSr18xA8+tvDcvAQkTKDDUNw21jAjwAMVdVnzv5HkjI1kaU1VAdqGoQ8Td7J64a+243w&#10;4V4gjQ99aloJ4Y4ObaArOfQSZzXgr4/uoz91NVk562gcS+5/bgUqzsx3S/3+NfYNzW9STs9mE1Lw&#10;tWX92mK37QqoHca0fJxMYvQP5ihqhPaZNscyZiWTsJJyl1wGPCqrkNcE7R6plsvkRjPrRLixj05G&#10;8Mhq7Mun/bNA1zdvoLa/hePoivmbHs6+MdLCchtAN6nBX3jt+aZ5T43T76a4UF7ryetlgy5+AwAA&#10;//8DAFBLAwQUAAYACAAAACEAOBJskt0AAAALAQAADwAAAGRycy9kb3ducmV2LnhtbEyPwU7DMBBE&#10;70j8g7WVuFE7FKyQxqkqBIdekGgRZzdekqjxOordNvw9mxMcd2Y186bcTL4XFxxjF8hAtlQgkOrg&#10;OmoMfB7e7nMQMVlytg+EBn4wwqa6vSlt4cKVPvCyT43gEIqFNdCmNBRSxrpFb+MyDEjsfYfR28Tn&#10;2Eg32iuH+14+KKWltx1xQ2sHfGmxPu3Pnnt3K5d/ve5Cp1DT4dQ3709pa8zdYtquQSSc0t8zzPiM&#10;DhUzHcOZXBS9AR6SWNU6W4GY/exZaRDHWcsfFciqlP83VL8AAAD//wMAUEsBAi0AFAAGAAgAAAAh&#10;ALaDOJL+AAAA4QEAABMAAAAAAAAAAAAAAAAAAAAAAFtDb250ZW50X1R5cGVzXS54bWxQSwECLQAU&#10;AAYACAAAACEAOP0h/9YAAACUAQAACwAAAAAAAAAAAAAAAAAvAQAAX3JlbHMvLnJlbHNQSwECLQAU&#10;AAYACAAAACEAEPifq5ACAACJBQAADgAAAAAAAAAAAAAAAAAuAgAAZHJzL2Uyb0RvYy54bWxQSwEC&#10;LQAUAAYACAAAACEAOBJskt0AAAALAQAADwAAAAAAAAAAAAAAAADqBAAAZHJzL2Rvd25yZXYueG1s&#10;UEsFBgAAAAAEAAQA8wAAAPQFAAAAAA==&#10;" o:allowoverlap="f" fillcolor="#0076c0" stroked="f" strokeweight="2pt">
              <w10:wrap anchorx="page" anchory="page"/>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510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11907"/>
      <w:gridCol w:w="487"/>
      <w:gridCol w:w="13"/>
    </w:tblGrid>
    <w:tr w:rsidR="00B246FA" w14:paraId="0FF39F2A" w14:textId="77777777" w:rsidTr="002A01ED">
      <w:trPr>
        <w:gridAfter w:val="1"/>
        <w:wAfter w:w="13" w:type="dxa"/>
        <w:trHeight w:hRule="exact" w:val="227"/>
      </w:trPr>
      <w:tc>
        <w:tcPr>
          <w:tcW w:w="15088" w:type="dxa"/>
          <w:gridSpan w:val="3"/>
          <w:tcBorders>
            <w:top w:val="single" w:sz="4" w:space="0" w:color="auto"/>
          </w:tcBorders>
        </w:tcPr>
        <w:p w14:paraId="409ADBEB" w14:textId="4CE14A38" w:rsidR="00B246FA" w:rsidRPr="00691B72" w:rsidRDefault="00B246FA" w:rsidP="00855EF8">
          <w:pPr>
            <w:pStyle w:val="Footer"/>
            <w:tabs>
              <w:tab w:val="clear" w:pos="9026"/>
            </w:tabs>
            <w:rPr>
              <w:rStyle w:val="PageNumber"/>
            </w:rPr>
          </w:pPr>
        </w:p>
      </w:tc>
    </w:tr>
    <w:tr w:rsidR="00B246FA" w14:paraId="35B50B5C" w14:textId="77777777" w:rsidTr="002A01ED">
      <w:tc>
        <w:tcPr>
          <w:tcW w:w="2694" w:type="dxa"/>
        </w:tcPr>
        <w:p w14:paraId="102DCB1A" w14:textId="184B1636" w:rsidR="00B246FA" w:rsidRDefault="00B246FA" w:rsidP="00B66119">
          <w:pPr>
            <w:pStyle w:val="Footer"/>
            <w:tabs>
              <w:tab w:val="clear" w:pos="9026"/>
            </w:tabs>
            <w:ind w:left="1411"/>
            <w:jc w:val="center"/>
          </w:pPr>
        </w:p>
      </w:tc>
      <w:tc>
        <w:tcPr>
          <w:tcW w:w="11907" w:type="dxa"/>
        </w:tcPr>
        <w:p w14:paraId="4E367265" w14:textId="77777777" w:rsidR="00B246FA" w:rsidRDefault="00B246FA" w:rsidP="00B66119">
          <w:pPr>
            <w:pStyle w:val="DocumentControlFooter"/>
            <w:rPr>
              <w:noProof/>
              <w:vertAlign w:val="subscript"/>
            </w:rPr>
          </w:pPr>
          <w:r>
            <w:rPr>
              <w:noProof/>
            </w:rPr>
            <w:t>Impact Statement for the Review of the Ambient Air Quality NEPM standards for SO</w:t>
          </w:r>
          <w:r w:rsidRPr="00B66119">
            <w:rPr>
              <w:noProof/>
              <w:vertAlign w:val="subscript"/>
            </w:rPr>
            <w:t>2</w:t>
          </w:r>
          <w:r>
            <w:rPr>
              <w:noProof/>
            </w:rPr>
            <w:t>, NO</w:t>
          </w:r>
          <w:r w:rsidRPr="00B66119">
            <w:rPr>
              <w:noProof/>
              <w:vertAlign w:val="subscript"/>
            </w:rPr>
            <w:t>2</w:t>
          </w:r>
          <w:r>
            <w:rPr>
              <w:noProof/>
            </w:rPr>
            <w:t xml:space="preserve"> and O</w:t>
          </w:r>
          <w:r w:rsidRPr="00B66119">
            <w:rPr>
              <w:noProof/>
              <w:vertAlign w:val="subscript"/>
            </w:rPr>
            <w:t>3</w:t>
          </w:r>
        </w:p>
        <w:p w14:paraId="00A40D9F" w14:textId="2F64EF20" w:rsidR="00B246FA" w:rsidRDefault="00B246FA" w:rsidP="00B66119">
          <w:pPr>
            <w:pStyle w:val="DocumentControlFooter"/>
            <w:rPr>
              <w:noProof/>
            </w:rPr>
          </w:pPr>
          <w:r>
            <w:rPr>
              <w:noProof/>
            </w:rPr>
            <w:t xml:space="preserve"> </w:t>
          </w:r>
        </w:p>
      </w:tc>
      <w:tc>
        <w:tcPr>
          <w:tcW w:w="500" w:type="dxa"/>
          <w:gridSpan w:val="2"/>
        </w:tcPr>
        <w:p w14:paraId="30AB464F" w14:textId="6906A189" w:rsidR="00B246FA" w:rsidRPr="00691B72" w:rsidRDefault="00B246FA" w:rsidP="00B66119">
          <w:pPr>
            <w:pStyle w:val="Footer"/>
            <w:tabs>
              <w:tab w:val="clear" w:pos="9026"/>
            </w:tabs>
            <w:rPr>
              <w:rStyle w:val="PageNumber"/>
            </w:rPr>
          </w:pPr>
          <w:r w:rsidRPr="00691B72">
            <w:rPr>
              <w:rStyle w:val="PageNumber"/>
            </w:rPr>
            <w:fldChar w:fldCharType="begin"/>
          </w:r>
          <w:r w:rsidRPr="00691B72">
            <w:rPr>
              <w:rStyle w:val="PageNumber"/>
            </w:rPr>
            <w:instrText xml:space="preserve"> PAGE   \* MERGEFORMAT </w:instrText>
          </w:r>
          <w:r w:rsidRPr="00691B72">
            <w:rPr>
              <w:rStyle w:val="PageNumber"/>
            </w:rPr>
            <w:fldChar w:fldCharType="separate"/>
          </w:r>
          <w:r>
            <w:rPr>
              <w:rStyle w:val="PageNumber"/>
              <w:noProof/>
            </w:rPr>
            <w:t>65</w:t>
          </w:r>
          <w:r w:rsidRPr="00691B72">
            <w:rPr>
              <w:rStyle w:val="PageNumber"/>
            </w:rPr>
            <w:fldChar w:fldCharType="end"/>
          </w:r>
        </w:p>
      </w:tc>
    </w:tr>
  </w:tbl>
  <w:p w14:paraId="7D819269" w14:textId="15F59E6D" w:rsidR="00B246FA" w:rsidRDefault="00B246FA" w:rsidP="004A4B44">
    <w:pPr>
      <w:pStyle w:val="Footer"/>
      <w:tabs>
        <w:tab w:val="clear" w:pos="9026"/>
      </w:tabs>
      <w:jc w:val="left"/>
    </w:pPr>
    <w:r>
      <w:rPr>
        <w:noProof/>
        <w:lang w:eastAsia="en-AU"/>
      </w:rPr>
      <mc:AlternateContent>
        <mc:Choice Requires="wps">
          <w:drawing>
            <wp:anchor distT="0" distB="0" distL="114300" distR="114300" simplePos="0" relativeHeight="251658274" behindDoc="1" locked="0" layoutInCell="1" allowOverlap="0" wp14:anchorId="6C2B658C" wp14:editId="5EE47ED8">
              <wp:simplePos x="0" y="0"/>
              <wp:positionH relativeFrom="page">
                <wp:align>left</wp:align>
              </wp:positionH>
              <wp:positionV relativeFrom="page">
                <wp:align>bottom</wp:align>
              </wp:positionV>
              <wp:extent cx="10728000" cy="144000"/>
              <wp:effectExtent l="0" t="0" r="0" b="8890"/>
              <wp:wrapNone/>
              <wp:docPr id="6" name="Rectangle 6"/>
              <wp:cNvGraphicFramePr/>
              <a:graphic xmlns:a="http://schemas.openxmlformats.org/drawingml/2006/main">
                <a:graphicData uri="http://schemas.microsoft.com/office/word/2010/wordprocessingShape">
                  <wps:wsp>
                    <wps:cNvSpPr/>
                    <wps:spPr>
                      <a:xfrm>
                        <a:off x="0" y="0"/>
                        <a:ext cx="10728000" cy="144000"/>
                      </a:xfrm>
                      <a:prstGeom prst="rect">
                        <a:avLst/>
                      </a:prstGeom>
                      <a:solidFill>
                        <a:srgbClr val="0076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1C4783" id="Rectangle 6" o:spid="_x0000_s1026" style="position:absolute;margin-left:0;margin-top:0;width:844.7pt;height:11.35pt;z-index:-25165820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WjkgIAAIYFAAAOAAAAZHJzL2Uyb0RvYy54bWysVMFu2zAMvQ/YPwi6r3aCNu2COkWQosOA&#10;oivaDj0rspQYkEVNUuJkXz9Sst2uK3YYdpFFkXwkn0leXh1aw/bKhwZsxScnJWfKSqgbu6n496eb&#10;TxechShsLQxYVfGjCvxq8fHDZefmagpbMLXyDEFsmHeu4tsY3bwogtyqVoQTcMqiUoNvRUTRb4ra&#10;iw7RW1NMy3JWdOBr50GqEPD1Oiv5IuFrrWT8pnVQkZmKY24xnT6dazqLxaWYb7xw20b2aYh/yKIV&#10;jcWgI9S1iILtfPMHVNtIDwF0PJHQFqB1I1WqAauZlG+qedwKp1ItSE5wI03h/8HKu/29Z01d8Rln&#10;VrT4ix6QNGE3RrEZ0dO5MEerR3fveynglWo9aN/SF6tgh0TpcaRUHSKT+Dgpz6cXZYnUS1ROTk/p&#10;jjjFi7vzIX5R0DK6VNxj+ESl2N+GmE0HE4oWwDT1TWNMEvxmvTKe7QX93/J8thrQfzMzlowtkFtG&#10;pJeCSsvFpFs8GkV2xj4ojZxg+tOUSepGNcYRUiobJ1m1FbXK4c+wtDE69S95pEoTICFrjD9i9wCD&#10;ZQYZsHOWvT25qtTMo3P5t8Sy8+iRIoONo3PbWPDvARisqo+c7QeSMjXE0hrqI3aMhzxKwcmbBv/b&#10;rQjxXnicHfzVuA/iNzy0ga7i0N8424L/+d472WNLo5azDmex4uHHTnjFmflqsdk/U9/g8Cbh9Ox8&#10;ioJ/rVm/1thduwJshwluHifTleyjGa7aQ/uMa2NJUVElrMTYFZfRD8Iq5h2Bi0eq5TKZ4cA6EW/t&#10;o5METqxSXz4dnoV3ffNG7Ps7GOZWzN/0cLYlTwvLXQTdpAZ/4bXnG4c9NU6/mGibvJaT1cv6XPwC&#10;AAD//wMAUEsDBBQABgAIAAAAIQA07tHk2wAAAAUBAAAPAAAAZHJzL2Rvd25yZXYueG1sTI/BbsIw&#10;EETvlfoP1lbiVpymbRrSOAhVcOBSqVD1vMRLEmGvo9hA+PuaXsplpNWsZt6U89EacaLBd44VPE0T&#10;EMS10x03Cr63q8cchA/IGo1jUnAhD/Pq/q7EQrszf9FpExoRQ9gXqKANoS+k9HVLFv3U9cTR27vB&#10;Yojn0Eg94DmGWyPTJMmkxY5jQ4s9fbRUHzZHG3vXzzr/Wa5dl1DG24NpPl/DQqnJw7h4BxFoDP/P&#10;cMWP6FBFpp07svbCKIhDwp9evSyfvYDYKUjTN5BVKW/pq18AAAD//wMAUEsBAi0AFAAGAAgAAAAh&#10;ALaDOJL+AAAA4QEAABMAAAAAAAAAAAAAAAAAAAAAAFtDb250ZW50X1R5cGVzXS54bWxQSwECLQAU&#10;AAYACAAAACEAOP0h/9YAAACUAQAACwAAAAAAAAAAAAAAAAAvAQAAX3JlbHMvLnJlbHNQSwECLQAU&#10;AAYACAAAACEAQ0R1o5ICAACGBQAADgAAAAAAAAAAAAAAAAAuAgAAZHJzL2Uyb0RvYy54bWxQSwEC&#10;LQAUAAYACAAAACEANO7R5NsAAAAFAQAADwAAAAAAAAAAAAAAAADsBAAAZHJzL2Rvd25yZXYueG1s&#10;UEsFBgAAAAAEAAQA8wAAAPQFAAAAAA==&#10;" o:allowoverlap="f" fillcolor="#0076c0" stroked="f" strokeweight="2pt">
              <w10:wrap anchorx="page" anchory="page"/>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2"/>
      <w:gridCol w:w="7241"/>
      <w:gridCol w:w="425"/>
      <w:gridCol w:w="7"/>
    </w:tblGrid>
    <w:tr w:rsidR="00B246FA" w14:paraId="214497E9" w14:textId="77777777" w:rsidTr="00A42044">
      <w:trPr>
        <w:trHeight w:hRule="exact" w:val="227"/>
      </w:trPr>
      <w:tc>
        <w:tcPr>
          <w:tcW w:w="10355" w:type="dxa"/>
          <w:gridSpan w:val="4"/>
          <w:tcBorders>
            <w:top w:val="single" w:sz="4" w:space="0" w:color="auto"/>
          </w:tcBorders>
        </w:tcPr>
        <w:p w14:paraId="0FD609DA" w14:textId="77777777" w:rsidR="00B246FA" w:rsidRPr="00691B72" w:rsidRDefault="00B246FA" w:rsidP="00A42044">
          <w:pPr>
            <w:pStyle w:val="Footer"/>
            <w:tabs>
              <w:tab w:val="clear" w:pos="9026"/>
            </w:tabs>
            <w:ind w:left="420"/>
            <w:rPr>
              <w:rStyle w:val="PageNumber"/>
            </w:rPr>
          </w:pPr>
        </w:p>
      </w:tc>
    </w:tr>
    <w:tr w:rsidR="00B246FA" w14:paraId="3B6B55AF" w14:textId="77777777" w:rsidTr="00A42044">
      <w:trPr>
        <w:gridAfter w:val="1"/>
        <w:wAfter w:w="7" w:type="dxa"/>
      </w:trPr>
      <w:tc>
        <w:tcPr>
          <w:tcW w:w="2682" w:type="dxa"/>
        </w:tcPr>
        <w:p w14:paraId="5F848375" w14:textId="34FBCA0C" w:rsidR="00B246FA" w:rsidRDefault="00B246FA" w:rsidP="00002BA2">
          <w:pPr>
            <w:pStyle w:val="Footer"/>
            <w:tabs>
              <w:tab w:val="clear" w:pos="9026"/>
            </w:tabs>
            <w:ind w:left="1411"/>
            <w:jc w:val="center"/>
          </w:pPr>
        </w:p>
      </w:tc>
      <w:tc>
        <w:tcPr>
          <w:tcW w:w="7241" w:type="dxa"/>
        </w:tcPr>
        <w:p w14:paraId="42140D43" w14:textId="6691BA19" w:rsidR="00B246FA" w:rsidRDefault="00B246FA" w:rsidP="00B66119">
          <w:pPr>
            <w:pStyle w:val="DocumentControlFooter"/>
          </w:pPr>
          <w:r>
            <w:rPr>
              <w:noProof/>
            </w:rPr>
            <w:t>Impact Statement for the Review of the Ambient Air Quality NEPM standards for SO</w:t>
          </w:r>
          <w:r w:rsidRPr="00B66119">
            <w:rPr>
              <w:noProof/>
              <w:vertAlign w:val="subscript"/>
            </w:rPr>
            <w:t>2</w:t>
          </w:r>
          <w:r>
            <w:rPr>
              <w:noProof/>
            </w:rPr>
            <w:t>, NO</w:t>
          </w:r>
          <w:r w:rsidRPr="00B66119">
            <w:rPr>
              <w:noProof/>
              <w:vertAlign w:val="subscript"/>
            </w:rPr>
            <w:t>2</w:t>
          </w:r>
          <w:r>
            <w:rPr>
              <w:noProof/>
            </w:rPr>
            <w:t xml:space="preserve"> and O</w:t>
          </w:r>
          <w:r w:rsidRPr="00B66119">
            <w:rPr>
              <w:noProof/>
              <w:vertAlign w:val="subscript"/>
            </w:rPr>
            <w:t>3</w:t>
          </w:r>
        </w:p>
      </w:tc>
      <w:tc>
        <w:tcPr>
          <w:tcW w:w="425" w:type="dxa"/>
        </w:tcPr>
        <w:p w14:paraId="164DA2CD" w14:textId="450F2DBC" w:rsidR="00B246FA" w:rsidRPr="00691B72" w:rsidRDefault="00B246FA" w:rsidP="00855EF8">
          <w:pPr>
            <w:pStyle w:val="Footer"/>
            <w:tabs>
              <w:tab w:val="clear" w:pos="9026"/>
            </w:tabs>
            <w:rPr>
              <w:rStyle w:val="PageNumber"/>
            </w:rPr>
          </w:pPr>
          <w:r w:rsidRPr="00691B72">
            <w:rPr>
              <w:rStyle w:val="PageNumber"/>
            </w:rPr>
            <w:fldChar w:fldCharType="begin"/>
          </w:r>
          <w:r w:rsidRPr="00691B72">
            <w:rPr>
              <w:rStyle w:val="PageNumber"/>
            </w:rPr>
            <w:instrText xml:space="preserve"> PAGE   \* MERGEFORMAT </w:instrText>
          </w:r>
          <w:r w:rsidRPr="00691B72">
            <w:rPr>
              <w:rStyle w:val="PageNumber"/>
            </w:rPr>
            <w:fldChar w:fldCharType="separate"/>
          </w:r>
          <w:r>
            <w:rPr>
              <w:rStyle w:val="PageNumber"/>
              <w:noProof/>
            </w:rPr>
            <w:t>80</w:t>
          </w:r>
          <w:r w:rsidRPr="00691B72">
            <w:rPr>
              <w:rStyle w:val="PageNumber"/>
            </w:rPr>
            <w:fldChar w:fldCharType="end"/>
          </w:r>
        </w:p>
      </w:tc>
    </w:tr>
  </w:tbl>
  <w:p w14:paraId="1FC2F1CB" w14:textId="77777777" w:rsidR="00B246FA" w:rsidRDefault="00B246FA" w:rsidP="004A4B44">
    <w:pPr>
      <w:pStyle w:val="Footer"/>
      <w:tabs>
        <w:tab w:val="clear" w:pos="9026"/>
      </w:tabs>
      <w:jc w:val="left"/>
    </w:pPr>
    <w:r>
      <w:rPr>
        <w:noProof/>
        <w:lang w:eastAsia="en-AU"/>
      </w:rPr>
      <mc:AlternateContent>
        <mc:Choice Requires="wps">
          <w:drawing>
            <wp:anchor distT="0" distB="0" distL="114300" distR="114300" simplePos="0" relativeHeight="251664429" behindDoc="1" locked="0" layoutInCell="1" allowOverlap="0" wp14:anchorId="3BDDDA93" wp14:editId="49170D52">
              <wp:simplePos x="0" y="0"/>
              <wp:positionH relativeFrom="page">
                <wp:align>left</wp:align>
              </wp:positionH>
              <wp:positionV relativeFrom="page">
                <wp:align>bottom</wp:align>
              </wp:positionV>
              <wp:extent cx="10728000" cy="144000"/>
              <wp:effectExtent l="0" t="0" r="0" b="8890"/>
              <wp:wrapNone/>
              <wp:docPr id="461" name="Rectangle 461"/>
              <wp:cNvGraphicFramePr/>
              <a:graphic xmlns:a="http://schemas.openxmlformats.org/drawingml/2006/main">
                <a:graphicData uri="http://schemas.microsoft.com/office/word/2010/wordprocessingShape">
                  <wps:wsp>
                    <wps:cNvSpPr/>
                    <wps:spPr>
                      <a:xfrm>
                        <a:off x="0" y="0"/>
                        <a:ext cx="10728000" cy="144000"/>
                      </a:xfrm>
                      <a:prstGeom prst="rect">
                        <a:avLst/>
                      </a:prstGeom>
                      <a:solidFill>
                        <a:srgbClr val="0076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913ABC" id="Rectangle 461" o:spid="_x0000_s1026" style="position:absolute;margin-left:0;margin-top:0;width:844.7pt;height:11.35pt;z-index:-25165205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flAIAAIoFAAAOAAAAZHJzL2Uyb0RvYy54bWysVE1v2zAMvQ/YfxB0X+0E6ceCOkWQosOA&#10;oivaDj0rshQbkEWNUr7260dJttt1xQ7DLrIkko/k8xMvrw6dYTuFvgVb8clJyZmyEurWbir+/enm&#10;0wVnPghbCwNWVfyoPL9afPxwuXdzNYUGTK2QEYj1872reBOCmxeFl43qhD8BpywZNWAnAh1xU9Qo&#10;9oTemWJalmfFHrB2CFJ5T7fX2cgXCV9rJcM3rb0KzFScagtpxbSu41osLsV8g8I1rezLEP9QRSda&#10;S0lHqGsRBNti+wdU10oEDzqcSOgK0LqVKvVA3UzKN908NsKp1AuR491Ik/9/sPJud4+srSs+O5tw&#10;ZkVHP+mBaBN2YxSLl0TR3vk5eT66e+xPnrax34PGLn6pE3ZItB5HWtUhMEmXk/J8elGWRL8k42Q2&#10;i3vCKV7CHfrwRUHH4qbiSAUkOsXu1ofsOrjEbB5MW9+0xqQDbtYrg2wn4j8uz89WA/pvbsZGZwsx&#10;LCPGmyK2lptJu3A0KvoZ+6A08ULlT1MlSZFqzCOkVDZMsqkRtcrpT6m1MXvUcIxInSbAiKwp/4jd&#10;AwyeGWTAzlX2/jFUJUGPweXfCsvBY0TKDDaMwV1rAd8DMNRVnzn7DyRlaiJLa6iPpBqE/Jy8kzct&#10;/bdb4cO9QHo/9KtpJoRvtGgD+4pDv+OsAfz53n30J1mTlbM9vceK+x9bgYoz89WS4D9H3dADTofZ&#10;6fmUDvjasn5tsdtuBSQHkjRVl7bRP5hhqxG6Zxody5iVTMJKyl1xGXA4rEKeEzR8pFoukxs9WifC&#10;rX10MoJHVqMunw7PAl0v3kC6v4Ph7Yr5Gw1n3xhpYbkNoNsk8Bdee77pwSfh9MMpTpTX5+T1MkIX&#10;vwAAAP//AwBQSwMEFAAGAAgAAAAhADTu0eTbAAAABQEAAA8AAABkcnMvZG93bnJldi54bWxMj8Fu&#10;wjAQRO+V+g/WVuJWnKZtGtI4CFVw4FKpUPW8xEsSYa+j2ED4+5peymWk1axm3pTz0RpxosF3jhU8&#10;TRMQxLXTHTcKvrerxxyED8gajWNScCEP8+r+rsRCuzN/0WkTGhFD2BeooA2hL6T0dUsW/dT1xNHb&#10;u8FiiOfQSD3gOYZbI9MkyaTFjmNDiz19tFQfNkcbe9fPOv9Zrl2XUMbbg2k+X8NCqcnDuHgHEWgM&#10;/89wxY/oUEWmnTuy9sIoiEPCn169LJ+9gNgpSNM3kFUpb+mrXwAAAP//AwBQSwECLQAUAAYACAAA&#10;ACEAtoM4kv4AAADhAQAAEwAAAAAAAAAAAAAAAAAAAAAAW0NvbnRlbnRfVHlwZXNdLnhtbFBLAQIt&#10;ABQABgAIAAAAIQA4/SH/1gAAAJQBAAALAAAAAAAAAAAAAAAAAC8BAABfcmVscy8ucmVsc1BLAQIt&#10;ABQABgAIAAAAIQBKil/flAIAAIoFAAAOAAAAAAAAAAAAAAAAAC4CAABkcnMvZTJvRG9jLnhtbFBL&#10;AQItABQABgAIAAAAIQA07tHk2wAAAAUBAAAPAAAAAAAAAAAAAAAAAO4EAABkcnMvZG93bnJldi54&#10;bWxQSwUGAAAAAAQABADzAAAA9gUAAAAA&#10;" o:allowoverlap="f" fillcolor="#0076c0" stroked="f" strokeweight="2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5DF5E" w14:textId="77777777" w:rsidR="006D0317" w:rsidRPr="00696F0C" w:rsidRDefault="006D0317" w:rsidP="00D1748F">
      <w:pPr>
        <w:spacing w:after="0" w:line="240" w:lineRule="auto"/>
        <w:rPr>
          <w:rFonts w:ascii="Source Sans Pro" w:hAnsi="Source Sans Pro"/>
          <w:color w:val="8D8C8E"/>
        </w:rPr>
      </w:pPr>
      <w:r w:rsidRPr="00696F0C">
        <w:rPr>
          <w:rFonts w:ascii="Source Sans Pro" w:hAnsi="Source Sans Pro"/>
          <w:color w:val="8D8C8E"/>
        </w:rPr>
        <w:separator/>
      </w:r>
    </w:p>
  </w:footnote>
  <w:footnote w:type="continuationSeparator" w:id="0">
    <w:p w14:paraId="14BA254F" w14:textId="77777777" w:rsidR="006D0317" w:rsidRPr="00403D20" w:rsidRDefault="006D0317" w:rsidP="00D1748F">
      <w:pPr>
        <w:spacing w:after="0" w:line="240" w:lineRule="auto"/>
        <w:rPr>
          <w:rFonts w:ascii="Source Sans Pro" w:hAnsi="Source Sans Pro"/>
          <w:color w:val="8D8C8E"/>
        </w:rPr>
      </w:pPr>
      <w:r w:rsidRPr="00403D20">
        <w:rPr>
          <w:rFonts w:ascii="Source Sans Pro" w:hAnsi="Source Sans Pro"/>
          <w:color w:val="8D8C8E"/>
        </w:rPr>
        <w:continuationSeparator/>
      </w:r>
    </w:p>
  </w:footnote>
  <w:footnote w:type="continuationNotice" w:id="1">
    <w:p w14:paraId="68560379" w14:textId="77777777" w:rsidR="006D0317" w:rsidRPr="00FD73F1" w:rsidRDefault="006D0317" w:rsidP="00FD73F1">
      <w:pPr>
        <w:pStyle w:val="Footer"/>
      </w:pPr>
    </w:p>
  </w:footnote>
  <w:footnote w:id="2">
    <w:p w14:paraId="1E439746" w14:textId="77777777" w:rsidR="00B246FA" w:rsidRPr="007C3E3D" w:rsidRDefault="00B246FA" w:rsidP="00F456A1">
      <w:pPr>
        <w:pStyle w:val="FootnoteText"/>
      </w:pPr>
      <w:r w:rsidRPr="007C3E3D">
        <w:rPr>
          <w:rStyle w:val="FootnoteReference"/>
        </w:rPr>
        <w:footnoteRef/>
      </w:r>
      <w:r w:rsidRPr="007C3E3D">
        <w:t xml:space="preserve"> The term ‘leading countries’ has two meanings in the context of this Impact Statement: 1) Countries that are viewed internationally as leaders in managing air quality, and 2) Countries that have the most stringent standards.</w:t>
      </w:r>
    </w:p>
  </w:footnote>
  <w:footnote w:id="3">
    <w:p w14:paraId="220F07B6" w14:textId="77777777" w:rsidR="00B246FA" w:rsidRPr="007C3E3D" w:rsidRDefault="00B246FA" w:rsidP="00F456A1">
      <w:pPr>
        <w:pStyle w:val="FootnoteText"/>
      </w:pPr>
      <w:r w:rsidRPr="007C3E3D">
        <w:rPr>
          <w:rStyle w:val="FootnoteReference"/>
        </w:rPr>
        <w:footnoteRef/>
      </w:r>
      <w:r w:rsidRPr="007C3E3D">
        <w:t xml:space="preserve"> Where reference is made to ‘compliance’ in this Impact Statement, unless stated otherwise it refers to the comparison between measured/predicted pollutant concentrations and current/proposed air quality standards. It does not refer to the requirements of the AAQ NEPM, such as monitoring or reporting.</w:t>
      </w:r>
    </w:p>
  </w:footnote>
  <w:footnote w:id="4">
    <w:p w14:paraId="35A79C32" w14:textId="77777777" w:rsidR="00B246FA" w:rsidRPr="00E04EC4" w:rsidRDefault="00B246FA" w:rsidP="00F456A1">
      <w:pPr>
        <w:pStyle w:val="FootnoteText"/>
      </w:pPr>
      <w:r>
        <w:rPr>
          <w:rStyle w:val="FootnoteReference"/>
        </w:rPr>
        <w:footnoteRef/>
      </w:r>
      <w:r>
        <w:t xml:space="preserve"> VOC emissions were considered here because VOCs are precursors for O</w:t>
      </w:r>
      <w:r w:rsidRPr="00E04EC4">
        <w:rPr>
          <w:vertAlign w:val="subscript"/>
        </w:rPr>
        <w:t>3</w:t>
      </w:r>
      <w:r>
        <w:t xml:space="preserve">. </w:t>
      </w:r>
      <w:r w:rsidRPr="00E04EC4">
        <w:t>O</w:t>
      </w:r>
      <w:r w:rsidRPr="00E04EC4">
        <w:rPr>
          <w:vertAlign w:val="subscript"/>
        </w:rPr>
        <w:t>3</w:t>
      </w:r>
      <w:r w:rsidRPr="00E04EC4">
        <w:t xml:space="preserve"> is not emitted directly but is a secondary pollutant formed in the atmosphere by the reaction of NOx and VOCs in the presence of heat and sunlight.</w:t>
      </w:r>
    </w:p>
  </w:footnote>
  <w:footnote w:id="5">
    <w:p w14:paraId="7A3A6A38" w14:textId="77777777" w:rsidR="00B246FA" w:rsidRPr="00095ABF" w:rsidRDefault="00B246FA" w:rsidP="00175227">
      <w:pPr>
        <w:pStyle w:val="FootnoteText"/>
      </w:pPr>
      <w:r w:rsidRPr="00095ABF">
        <w:rPr>
          <w:rStyle w:val="FootnoteReference"/>
        </w:rPr>
        <w:footnoteRef/>
      </w:r>
      <w:r w:rsidRPr="00095ABF">
        <w:t xml:space="preserve"> This report deals with ‘ground-level’ ozone.</w:t>
      </w:r>
      <w:r>
        <w:t xml:space="preserve"> It does not address ozone in the stratosphere.</w:t>
      </w:r>
    </w:p>
  </w:footnote>
  <w:footnote w:id="6">
    <w:p w14:paraId="0F5D18E9" w14:textId="0A285809" w:rsidR="00B246FA" w:rsidRDefault="00B246FA">
      <w:pPr>
        <w:pStyle w:val="FootnoteText"/>
      </w:pPr>
      <w:r>
        <w:rPr>
          <w:rStyle w:val="FootnoteReference"/>
        </w:rPr>
        <w:footnoteRef/>
      </w:r>
      <w:r>
        <w:t xml:space="preserve"> T</w:t>
      </w:r>
      <w:bookmarkStart w:id="15" w:name="_Hlk1053326"/>
      <w:r>
        <w:t>he NEPM was varied in 2003 to incorporate advisory reporting standards for fine particles (PM</w:t>
      </w:r>
      <w:r w:rsidRPr="00CC2143">
        <w:rPr>
          <w:vertAlign w:val="subscript"/>
        </w:rPr>
        <w:t>2.5</w:t>
      </w:r>
      <w:r>
        <w:t>)</w:t>
      </w:r>
      <w:bookmarkEnd w:id="15"/>
      <w:r>
        <w:t xml:space="preserve"> (NEPC 2010).</w:t>
      </w:r>
    </w:p>
  </w:footnote>
  <w:footnote w:id="7">
    <w:p w14:paraId="583BA833" w14:textId="6165D733" w:rsidR="00B246FA" w:rsidRPr="00320AF9" w:rsidRDefault="00B246FA" w:rsidP="00175227">
      <w:pPr>
        <w:pStyle w:val="FootnoteText"/>
      </w:pPr>
      <w:r w:rsidRPr="00320AF9">
        <w:rPr>
          <w:rStyle w:val="FootnoteReference"/>
        </w:rPr>
        <w:footnoteRef/>
      </w:r>
      <w:r w:rsidRPr="00320AF9">
        <w:t xml:space="preserve"> This also considered SO</w:t>
      </w:r>
      <w:r w:rsidRPr="00320AF9">
        <w:rPr>
          <w:vertAlign w:val="subscript"/>
        </w:rPr>
        <w:t>2</w:t>
      </w:r>
      <w:r w:rsidRPr="00320AF9">
        <w:t>, NO</w:t>
      </w:r>
      <w:r w:rsidRPr="00320AF9">
        <w:rPr>
          <w:vertAlign w:val="subscript"/>
        </w:rPr>
        <w:t>2</w:t>
      </w:r>
      <w:r w:rsidRPr="00320AF9">
        <w:t xml:space="preserve"> and O</w:t>
      </w:r>
      <w:r w:rsidRPr="00320AF9">
        <w:rPr>
          <w:vertAlign w:val="subscript"/>
        </w:rPr>
        <w:t>3</w:t>
      </w:r>
      <w:r w:rsidRPr="00320AF9">
        <w:t>.</w:t>
      </w:r>
    </w:p>
  </w:footnote>
  <w:footnote w:id="8">
    <w:p w14:paraId="307B48DC" w14:textId="7C917E81" w:rsidR="00B246FA" w:rsidRDefault="00B246FA" w:rsidP="00175227">
      <w:pPr>
        <w:pStyle w:val="FootnoteText"/>
      </w:pPr>
      <w:r w:rsidRPr="00320AF9">
        <w:rPr>
          <w:rStyle w:val="FootnoteReference"/>
        </w:rPr>
        <w:footnoteRef/>
      </w:r>
      <w:r w:rsidRPr="00320AF9">
        <w:t xml:space="preserve"> National Environment Protection (Ambient Air Quality) Measure variation 2015.</w:t>
      </w:r>
    </w:p>
  </w:footnote>
  <w:footnote w:id="9">
    <w:p w14:paraId="648A4E76" w14:textId="54AF699C" w:rsidR="00B246FA" w:rsidRPr="00074608" w:rsidRDefault="00B246FA" w:rsidP="00BB2154">
      <w:pPr>
        <w:pStyle w:val="FootnoteText"/>
        <w:spacing w:after="0"/>
      </w:pPr>
      <w:r w:rsidRPr="00074608">
        <w:rPr>
          <w:rStyle w:val="FootnoteReference"/>
        </w:rPr>
        <w:footnoteRef/>
      </w:r>
      <w:r>
        <w:t xml:space="preserve"> </w:t>
      </w:r>
      <w:r w:rsidRPr="00FD73F1">
        <w:rPr>
          <w:spacing w:val="-1"/>
        </w:rPr>
        <w:t>An exposure-reduction framework is designed for use, in addition to standards, to reduce population exposure to a pollutant. Exposure-reduction frameworks are used in some jurisdictions to account for the fact that some pollutants have no threshold for health effects, and any reduction in concentrations will lead to a health benefit. These frameworks enable continuous improvement in air quality, and lead to reductions in population exposure irrespective of whether the standards are met or not. The concept of an exposure-reduction framework is consistent with the requirements of the NEPC Act to provide equivalent protection to all Australians wherever they live.</w:t>
      </w:r>
    </w:p>
  </w:footnote>
  <w:footnote w:id="10">
    <w:p w14:paraId="5DBE6F92" w14:textId="428D3364" w:rsidR="00B246FA" w:rsidRDefault="00B246FA" w:rsidP="00175227">
      <w:pPr>
        <w:pStyle w:val="FootnoteText"/>
      </w:pPr>
      <w:r w:rsidRPr="00C8024A">
        <w:rPr>
          <w:rStyle w:val="FootnoteReference"/>
        </w:rPr>
        <w:footnoteRef/>
      </w:r>
      <w:r w:rsidRPr="00C8024A">
        <w:t xml:space="preserve"> The</w:t>
      </w:r>
      <w:r>
        <w:t xml:space="preserve"> EWG was established in 2015 </w:t>
      </w:r>
      <w:r w:rsidRPr="00C8024A">
        <w:t>to (i) provide advice to the Air Thematic Oversight Group (replaced with the Air Project Management Group</w:t>
      </w:r>
      <w:r>
        <w:t xml:space="preserve">) and </w:t>
      </w:r>
      <w:r w:rsidRPr="00C8024A">
        <w:t>the project team for the review o</w:t>
      </w:r>
      <w:r>
        <w:t>f SO</w:t>
      </w:r>
      <w:r w:rsidRPr="00C8024A">
        <w:rPr>
          <w:vertAlign w:val="subscript"/>
        </w:rPr>
        <w:t>2</w:t>
      </w:r>
      <w:r>
        <w:t>, NO</w:t>
      </w:r>
      <w:r w:rsidRPr="00C8024A">
        <w:rPr>
          <w:vertAlign w:val="subscript"/>
        </w:rPr>
        <w:t>2</w:t>
      </w:r>
      <w:r>
        <w:t xml:space="preserve"> and O</w:t>
      </w:r>
      <w:r w:rsidRPr="00C8024A">
        <w:rPr>
          <w:vertAlign w:val="subscript"/>
        </w:rPr>
        <w:t>3</w:t>
      </w:r>
      <w:r>
        <w:t xml:space="preserve">, and (ii) </w:t>
      </w:r>
      <w:r w:rsidRPr="00C8024A">
        <w:t>lead projects that respond to the remaining monitoring, assessment and reporting recommendations</w:t>
      </w:r>
      <w:r>
        <w:t xml:space="preserve"> of the AAQ NEPM review</w:t>
      </w:r>
      <w:r w:rsidRPr="00C8024A">
        <w:t xml:space="preserve">. The EWG consisted of </w:t>
      </w:r>
      <w:r>
        <w:t>s</w:t>
      </w:r>
      <w:r w:rsidRPr="00C8024A">
        <w:t xml:space="preserve">tate and </w:t>
      </w:r>
      <w:r>
        <w:t>t</w:t>
      </w:r>
      <w:r w:rsidRPr="00C8024A">
        <w:t>erritory representatives, additional non-government members with expertise in air quality modelling (personnel from CSIRO) and human health risk (personnel from the University of Tasmania)</w:t>
      </w:r>
      <w:r>
        <w:t>,</w:t>
      </w:r>
      <w:r w:rsidRPr="00C8024A">
        <w:t xml:space="preserve"> and representatives of the Commonwealth Department </w:t>
      </w:r>
      <w:r>
        <w:t xml:space="preserve">of Environment and Energy as </w:t>
      </w:r>
      <w:r w:rsidRPr="00C8024A">
        <w:t>observer</w:t>
      </w:r>
      <w:r>
        <w:t>s</w:t>
      </w:r>
      <w:r w:rsidRPr="00C8024A">
        <w:t>.</w:t>
      </w:r>
    </w:p>
  </w:footnote>
  <w:footnote w:id="11">
    <w:p w14:paraId="73D7DAC7" w14:textId="465065F0" w:rsidR="00B246FA" w:rsidRPr="006E1EAB" w:rsidRDefault="00B246FA" w:rsidP="00175227">
      <w:pPr>
        <w:pStyle w:val="FootnoteText"/>
      </w:pPr>
      <w:r w:rsidRPr="006E1EAB">
        <w:rPr>
          <w:rStyle w:val="FootnoteReference"/>
          <w:szCs w:val="16"/>
        </w:rPr>
        <w:footnoteRef/>
      </w:r>
      <w:r w:rsidRPr="006E1EAB">
        <w:t xml:space="preserve"> Where reference is made to ‘compliance’</w:t>
      </w:r>
      <w:r>
        <w:t xml:space="preserve"> in this Impact Statement</w:t>
      </w:r>
      <w:r w:rsidRPr="006E1EAB">
        <w:t xml:space="preserve">, </w:t>
      </w:r>
      <w:r>
        <w:t>unless stated otherwise it refers t</w:t>
      </w:r>
      <w:r w:rsidRPr="006E1EAB">
        <w:t>o the comparison between measured/predicted pollutant concentrations and current/proposed air quality standards. It does not refer to the requirements of the AAQ NEPM, such as monitoring or reporting.</w:t>
      </w:r>
    </w:p>
  </w:footnote>
  <w:footnote w:id="12">
    <w:p w14:paraId="059EF560" w14:textId="631B31FD" w:rsidR="00B246FA" w:rsidRDefault="00B246FA">
      <w:pPr>
        <w:pStyle w:val="FootnoteText"/>
      </w:pPr>
      <w:r>
        <w:rPr>
          <w:rStyle w:val="FootnoteReference"/>
        </w:rPr>
        <w:footnoteRef/>
      </w:r>
      <w:r>
        <w:t xml:space="preserve"> Advisory reporting standards for fine particles (PM</w:t>
      </w:r>
      <w:r w:rsidRPr="002A1097">
        <w:rPr>
          <w:vertAlign w:val="subscript"/>
        </w:rPr>
        <w:t>2.5</w:t>
      </w:r>
      <w:r>
        <w:t>) were added to the NEPM in 2003 (NEPC 2010).</w:t>
      </w:r>
    </w:p>
  </w:footnote>
  <w:footnote w:id="13">
    <w:p w14:paraId="5953265A" w14:textId="5572996E" w:rsidR="00B246FA" w:rsidRPr="00184048" w:rsidRDefault="00B246FA" w:rsidP="00E545F9">
      <w:pPr>
        <w:pStyle w:val="FootnoteText"/>
      </w:pPr>
      <w:r w:rsidRPr="00184048">
        <w:rPr>
          <w:rStyle w:val="FootnoteReference"/>
          <w:szCs w:val="16"/>
        </w:rPr>
        <w:footnoteRef/>
      </w:r>
      <w:r w:rsidRPr="00184048">
        <w:t xml:space="preserve"> Pollutants for which the relationship between the concentration and the health response is, broadly speaking, linear over the full range of ambient concentrations.</w:t>
      </w:r>
    </w:p>
  </w:footnote>
  <w:footnote w:id="14">
    <w:p w14:paraId="3FA1AF23" w14:textId="3DF964F6" w:rsidR="00B246FA" w:rsidRPr="00D53F43" w:rsidRDefault="00B246FA" w:rsidP="00175227">
      <w:pPr>
        <w:pStyle w:val="FootnoteText"/>
      </w:pPr>
      <w:r w:rsidRPr="00236A25">
        <w:rPr>
          <w:rStyle w:val="FootnoteReference"/>
          <w:szCs w:val="16"/>
        </w:rPr>
        <w:footnoteRef/>
      </w:r>
      <w:r w:rsidRPr="00236A25">
        <w:t xml:space="preserve"> Performance monitoring stations should be sited, to the extent practicable, in accordance with the requirements of Australian Standard AS2922-1987(Ambient Air </w:t>
      </w:r>
      <w:r>
        <w:t>–</w:t>
      </w:r>
      <w:r w:rsidRPr="00236A25">
        <w:t xml:space="preserve"> Guide for Siting of Sampling Units).</w:t>
      </w:r>
    </w:p>
  </w:footnote>
  <w:footnote w:id="15">
    <w:p w14:paraId="032B5221" w14:textId="1864D12C" w:rsidR="00B246FA" w:rsidRPr="00B40DA3" w:rsidRDefault="00B246FA" w:rsidP="00E545F9">
      <w:pPr>
        <w:pStyle w:val="FootnoteText"/>
      </w:pPr>
      <w:r w:rsidRPr="00B40DA3">
        <w:rPr>
          <w:rStyle w:val="FootnoteReference"/>
          <w:szCs w:val="16"/>
        </w:rPr>
        <w:footnoteRef/>
      </w:r>
      <w:r w:rsidRPr="00B40DA3">
        <w:t xml:space="preserve"> </w:t>
      </w:r>
      <w:r>
        <w:t>‘</w:t>
      </w:r>
      <w:r w:rsidRPr="00BA7705">
        <w:t>Not demonstrated</w:t>
      </w:r>
      <w:r>
        <w:t>'</w:t>
      </w:r>
      <w:r w:rsidRPr="00BA7705">
        <w:t xml:space="preserve"> </w:t>
      </w:r>
      <w:r w:rsidRPr="00B40DA3">
        <w:t>relates to whether there were sufficient data available for a pollutant at the monitoring station to enable an assessment.</w:t>
      </w:r>
    </w:p>
  </w:footnote>
  <w:footnote w:id="16">
    <w:p w14:paraId="2FFA5B3C" w14:textId="77777777" w:rsidR="00B246FA" w:rsidRPr="000C0713" w:rsidRDefault="00B246FA" w:rsidP="00E545F9">
      <w:pPr>
        <w:pStyle w:val="FootnoteText"/>
      </w:pPr>
      <w:r w:rsidRPr="00B40DA3">
        <w:rPr>
          <w:rStyle w:val="FootnoteReference"/>
          <w:szCs w:val="16"/>
        </w:rPr>
        <w:footnoteRef/>
      </w:r>
      <w:r w:rsidRPr="00B40DA3">
        <w:t xml:space="preserve"> The NEPM review did note that areas impacted by industrial emissions could be included as part of a population exposure monitoring regime, as the general population also includes these sub-populations.</w:t>
      </w:r>
    </w:p>
  </w:footnote>
  <w:footnote w:id="17">
    <w:p w14:paraId="756FB7CB" w14:textId="247679A2" w:rsidR="00B246FA" w:rsidRDefault="00B246FA" w:rsidP="00E545F9">
      <w:pPr>
        <w:pStyle w:val="FootnoteText"/>
      </w:pPr>
      <w:r>
        <w:rPr>
          <w:rStyle w:val="FootnoteReference"/>
        </w:rPr>
        <w:footnoteRef/>
      </w:r>
      <w:r>
        <w:t xml:space="preserve"> </w:t>
      </w:r>
      <w:hyperlink r:id="rId1" w:history="1">
        <w:r w:rsidRPr="00D20A18">
          <w:rPr>
            <w:rStyle w:val="Hyperlink"/>
          </w:rPr>
          <w:t>http://www.environment.gov.au/protection/air-quality/national-clean-air-agreement</w:t>
        </w:r>
      </w:hyperlink>
    </w:p>
  </w:footnote>
  <w:footnote w:id="18">
    <w:p w14:paraId="246D160C" w14:textId="7024F2D9" w:rsidR="00B246FA" w:rsidRDefault="00B246FA" w:rsidP="00E545F9">
      <w:pPr>
        <w:pStyle w:val="FootnoteText"/>
      </w:pPr>
      <w:r>
        <w:rPr>
          <w:rStyle w:val="FootnoteReference"/>
        </w:rPr>
        <w:footnoteRef/>
      </w:r>
      <w:r>
        <w:t xml:space="preserve"> </w:t>
      </w:r>
      <w:hyperlink r:id="rId2" w:history="1">
        <w:r w:rsidRPr="00D20A18">
          <w:rPr>
            <w:rStyle w:val="Hyperlink"/>
          </w:rPr>
          <w:t>http://www.nepc.gov.au/resource/variation-ambient-air-quality-nepm-–-particles-standards</w:t>
        </w:r>
      </w:hyperlink>
    </w:p>
  </w:footnote>
  <w:footnote w:id="19">
    <w:p w14:paraId="5B6EE798" w14:textId="77777777" w:rsidR="00B246FA" w:rsidRPr="00403557" w:rsidRDefault="00B246FA" w:rsidP="00175227">
      <w:pPr>
        <w:pStyle w:val="FootnoteText"/>
      </w:pPr>
      <w:r w:rsidRPr="00136163">
        <w:rPr>
          <w:rStyle w:val="FootnoteReference"/>
          <w:szCs w:val="16"/>
        </w:rPr>
        <w:footnoteRef/>
      </w:r>
      <w:r w:rsidRPr="00136163">
        <w:t xml:space="preserve"> A market failure is where, in the absence of government intervention, the free market does not allocate goods and services in a way that maximises welfare for all of society. Therefore, government intervention to address the market failure can improve the efficiency of resource allocation.</w:t>
      </w:r>
    </w:p>
  </w:footnote>
  <w:footnote w:id="20">
    <w:p w14:paraId="7BCB85C2" w14:textId="23A2FED8" w:rsidR="00B246FA" w:rsidRPr="0055113C" w:rsidRDefault="00B246FA" w:rsidP="00E545F9">
      <w:pPr>
        <w:pStyle w:val="FootnoteText"/>
      </w:pPr>
      <w:r w:rsidRPr="003460CB">
        <w:rPr>
          <w:rStyle w:val="FootnoteReference"/>
        </w:rPr>
        <w:footnoteRef/>
      </w:r>
      <w:r w:rsidRPr="003460CB">
        <w:t xml:space="preserve"> </w:t>
      </w:r>
      <w:r>
        <w:t xml:space="preserve">The understanding at the time of the study was that Euro 6 fuels would be </w:t>
      </w:r>
      <w:r w:rsidRPr="003460CB">
        <w:t>implemented in 2019</w:t>
      </w:r>
      <w:r>
        <w:t xml:space="preserve">. Given that this decision has been delayed, the </w:t>
      </w:r>
      <w:r w:rsidRPr="003460CB">
        <w:t>BAU scenario is now out o</w:t>
      </w:r>
      <w:r>
        <w:t xml:space="preserve">f date for the near-future projections. However, it is considered likely that the sulfur </w:t>
      </w:r>
      <w:r w:rsidRPr="0055113C">
        <w:t>content of petrol in Australia will be reduced in the medium-to-long term. </w:t>
      </w:r>
    </w:p>
  </w:footnote>
  <w:footnote w:id="21">
    <w:p w14:paraId="7BF9035B" w14:textId="3F177744" w:rsidR="00B246FA" w:rsidRDefault="00B246FA" w:rsidP="00E545F9">
      <w:pPr>
        <w:pStyle w:val="FootnoteText"/>
      </w:pPr>
      <w:r w:rsidRPr="0055113C">
        <w:rPr>
          <w:rStyle w:val="FootnoteReference"/>
        </w:rPr>
        <w:footnoteRef/>
      </w:r>
      <w:r w:rsidRPr="0055113C">
        <w:t xml:space="preserve"> Wood heater emission-reduction strategies have been implemented </w:t>
      </w:r>
      <w:r>
        <w:t>u</w:t>
      </w:r>
      <w:r w:rsidRPr="0055113C">
        <w:t>nder the Nation</w:t>
      </w:r>
      <w:r>
        <w:t>al</w:t>
      </w:r>
      <w:r w:rsidRPr="0055113C">
        <w:t xml:space="preserve"> Clean Air Agreement.</w:t>
      </w:r>
    </w:p>
  </w:footnote>
  <w:footnote w:id="22">
    <w:p w14:paraId="72F6DF4F" w14:textId="691920E0" w:rsidR="00B246FA" w:rsidRPr="003460CB" w:rsidRDefault="00B246FA" w:rsidP="00175227">
      <w:pPr>
        <w:pStyle w:val="FootnoteText"/>
      </w:pPr>
      <w:r w:rsidRPr="0055113C">
        <w:rPr>
          <w:rStyle w:val="FootnoteReference"/>
        </w:rPr>
        <w:footnoteRef/>
      </w:r>
      <w:r w:rsidRPr="0055113C">
        <w:t xml:space="preserve"> National emission standards for small petrol engines came into effect from January 2018.</w:t>
      </w:r>
    </w:p>
  </w:footnote>
  <w:footnote w:id="23">
    <w:p w14:paraId="71205E50" w14:textId="02473A88" w:rsidR="00B246FA" w:rsidRPr="00D72CCE" w:rsidRDefault="00B246FA" w:rsidP="00E545F9">
      <w:pPr>
        <w:pStyle w:val="FootnoteText"/>
      </w:pPr>
      <w:r w:rsidRPr="00D72CCE">
        <w:rPr>
          <w:rStyle w:val="FootnoteReference"/>
          <w:szCs w:val="16"/>
        </w:rPr>
        <w:footnoteRef/>
      </w:r>
      <w:r w:rsidRPr="00D72CCE">
        <w:t xml:space="preserve"> In this report the term ‘cut-off’ is used where a lower limit is applied to a CRF because there are insufficient data to characterise the CRF at lower concentrations. It should be noted that this is not the same as the threshold for the health effects of air pollution.</w:t>
      </w:r>
    </w:p>
  </w:footnote>
  <w:footnote w:id="24">
    <w:p w14:paraId="0C33D7A9" w14:textId="0D02F54B" w:rsidR="00B246FA" w:rsidRDefault="00B246FA" w:rsidP="00175227">
      <w:pPr>
        <w:pStyle w:val="FootnoteText"/>
      </w:pPr>
      <w:r>
        <w:rPr>
          <w:rStyle w:val="FootnoteReference"/>
        </w:rPr>
        <w:footnoteRef/>
      </w:r>
      <w:r>
        <w:t xml:space="preserve"> T</w:t>
      </w:r>
      <w:r w:rsidRPr="00EB28AE">
        <w:t>he different forms of the standards mean that a direct comparison is not always possible.</w:t>
      </w:r>
    </w:p>
  </w:footnote>
  <w:footnote w:id="25">
    <w:p w14:paraId="1EA94957" w14:textId="77777777" w:rsidR="00B246FA" w:rsidRPr="00F362CD" w:rsidRDefault="00B246FA" w:rsidP="00175227">
      <w:pPr>
        <w:pStyle w:val="FootnoteText"/>
      </w:pPr>
      <w:r w:rsidRPr="00F362CD">
        <w:rPr>
          <w:rStyle w:val="FootnoteReference"/>
          <w:szCs w:val="16"/>
        </w:rPr>
        <w:footnoteRef/>
      </w:r>
      <w:r w:rsidRPr="00F362CD">
        <w:t xml:space="preserve"> This is the total across all monitoring stations, excluding any ‘duplication’ where exceedances occurred at more than one station on the same day.</w:t>
      </w:r>
    </w:p>
  </w:footnote>
  <w:footnote w:id="26">
    <w:p w14:paraId="393BE2FC" w14:textId="110B6220" w:rsidR="00B246FA" w:rsidRDefault="00B246FA" w:rsidP="00E545F9">
      <w:pPr>
        <w:pStyle w:val="FootnoteText"/>
      </w:pPr>
      <w:r w:rsidRPr="00D40D18">
        <w:rPr>
          <w:rStyle w:val="FootnoteReference"/>
        </w:rPr>
        <w:footnoteRef/>
      </w:r>
      <w:r w:rsidRPr="00D40D18">
        <w:t xml:space="preserve"> Although the maximum sulfur content of petrol (50 ppm) is </w:t>
      </w:r>
      <w:r>
        <w:t>higher</w:t>
      </w:r>
      <w:r w:rsidRPr="00D40D18">
        <w:t xml:space="preserve"> than in, for example, the EU, this does not appear to have </w:t>
      </w:r>
      <w:r>
        <w:t xml:space="preserve">had </w:t>
      </w:r>
      <w:r w:rsidRPr="00D40D18">
        <w:t>a major impact on urban SO</w:t>
      </w:r>
      <w:r w:rsidRPr="00D40D18">
        <w:rPr>
          <w:vertAlign w:val="subscript"/>
        </w:rPr>
        <w:t>2</w:t>
      </w:r>
      <w:r w:rsidRPr="00D40D18">
        <w:t xml:space="preserve"> concentrations.</w:t>
      </w:r>
    </w:p>
  </w:footnote>
  <w:footnote w:id="27">
    <w:p w14:paraId="724D2902" w14:textId="0971D40C" w:rsidR="00B246FA" w:rsidRDefault="00B246FA" w:rsidP="00175227">
      <w:pPr>
        <w:pStyle w:val="FootnoteText"/>
      </w:pPr>
      <w:r w:rsidRPr="003150A1">
        <w:rPr>
          <w:rStyle w:val="FootnoteReference"/>
        </w:rPr>
        <w:footnoteRef/>
      </w:r>
      <w:r w:rsidRPr="003150A1">
        <w:t xml:space="preserve"> Note that the CRF group used d</w:t>
      </w:r>
      <w:r>
        <w:t>id</w:t>
      </w:r>
      <w:r w:rsidRPr="003150A1">
        <w:t xml:space="preserve"> not change the </w:t>
      </w:r>
      <w:r>
        <w:t xml:space="preserve">overall </w:t>
      </w:r>
      <w:r w:rsidRPr="003150A1">
        <w:t xml:space="preserve">outcome of the CBA, i.e. a </w:t>
      </w:r>
      <w:r>
        <w:t>negative NPV</w:t>
      </w:r>
      <w:r w:rsidRPr="003150A1">
        <w:t>.</w:t>
      </w:r>
    </w:p>
  </w:footnote>
  <w:footnote w:id="28">
    <w:p w14:paraId="1D623CF0" w14:textId="5AC266C8" w:rsidR="00B246FA" w:rsidRDefault="00B246FA" w:rsidP="00175227">
      <w:pPr>
        <w:pStyle w:val="FootnoteText"/>
      </w:pPr>
      <w:r w:rsidRPr="003B2992">
        <w:rPr>
          <w:rStyle w:val="FootnoteReference"/>
        </w:rPr>
        <w:footnoteRef/>
      </w:r>
      <w:r w:rsidRPr="003B2992">
        <w:t xml:space="preserve"> The rolling 8-hour average is based on 1-hour measurements.</w:t>
      </w:r>
    </w:p>
  </w:footnote>
  <w:footnote w:id="29">
    <w:p w14:paraId="506B30B4" w14:textId="0567F817" w:rsidR="00B246FA" w:rsidRPr="003B2992" w:rsidRDefault="00B246FA" w:rsidP="00E545F9">
      <w:pPr>
        <w:pStyle w:val="FootnoteText"/>
      </w:pPr>
      <w:r w:rsidRPr="002672AD">
        <w:rPr>
          <w:rStyle w:val="FootnoteReference"/>
          <w:szCs w:val="16"/>
        </w:rPr>
        <w:footnoteRef/>
      </w:r>
      <w:r w:rsidRPr="003B2992">
        <w:t xml:space="preserve"> </w:t>
      </w:r>
      <w:r w:rsidRPr="00126BED">
        <w:rPr>
          <w:i/>
        </w:rPr>
        <w:t>Los Angeles Times</w:t>
      </w:r>
      <w:r w:rsidRPr="003B2992">
        <w:t xml:space="preserve">, </w:t>
      </w:r>
      <w:r>
        <w:t>‘</w:t>
      </w:r>
      <w:r w:rsidRPr="003B2992">
        <w:t>Southern California smog</w:t>
      </w:r>
      <w:r w:rsidRPr="004A5271">
        <w:t xml:space="preserve"> worsens for second straight year despite reduced emissions</w:t>
      </w:r>
      <w:r>
        <w:t>’</w:t>
      </w:r>
      <w:r w:rsidRPr="003B2992">
        <w:t xml:space="preserve">, </w:t>
      </w:r>
      <w:r>
        <w:t xml:space="preserve">15 </w:t>
      </w:r>
      <w:r w:rsidRPr="003B2992">
        <w:t>Nov</w:t>
      </w:r>
      <w:r>
        <w:t>.</w:t>
      </w:r>
      <w:r w:rsidRPr="003B2992">
        <w:t xml:space="preserve"> 2017</w:t>
      </w:r>
      <w:r>
        <w:t>,</w:t>
      </w:r>
      <w:r w:rsidRPr="003B2992">
        <w:t xml:space="preserve"> </w:t>
      </w:r>
      <w:hyperlink r:id="rId3" w:history="1">
        <w:r w:rsidRPr="00D20A18">
          <w:rPr>
            <w:rStyle w:val="Hyperlink"/>
          </w:rPr>
          <w:t>http://www.latimes.com/local/lanow/la-me-ln-bad-air-days-20171115-story.html</w:t>
        </w:r>
      </w:hyperlink>
    </w:p>
  </w:footnote>
  <w:footnote w:id="30">
    <w:p w14:paraId="71FDA1BC" w14:textId="00A53882" w:rsidR="00B246FA" w:rsidRDefault="00B246FA" w:rsidP="00175227">
      <w:pPr>
        <w:pStyle w:val="FootnoteText"/>
      </w:pPr>
      <w:r>
        <w:rPr>
          <w:rStyle w:val="FootnoteReference"/>
        </w:rPr>
        <w:footnoteRef/>
      </w:r>
      <w:r>
        <w:t xml:space="preserve"> </w:t>
      </w:r>
      <w:r w:rsidRPr="008E74DE">
        <w:t>NB: Although there was no Group 1 CRF for daily, all-cause mortality associated with 1-hour O</w:t>
      </w:r>
      <w:r>
        <w:rPr>
          <w:vertAlign w:val="subscript"/>
        </w:rPr>
        <w:t>3</w:t>
      </w:r>
      <w:r w:rsidRPr="008E74DE">
        <w:t>, it is still appropriate to present results for this outcome based on the CRF for 8-hour O</w:t>
      </w:r>
      <w:r w:rsidRPr="00CD7DD4">
        <w:rPr>
          <w:vertAlign w:val="subscript"/>
        </w:rPr>
        <w:t>3</w:t>
      </w:r>
      <w:r w:rsidRPr="008E74DE">
        <w:t>. In other words, although the health benefits are for compliance with a 1-h</w:t>
      </w:r>
      <w:r>
        <w:t>ou</w:t>
      </w:r>
      <w:r w:rsidRPr="008E74DE">
        <w:t>r standard, reducing maximum 1-hour concentrations also leads to reductions in other concentration metrics (in this case, 8-hour).</w:t>
      </w:r>
    </w:p>
  </w:footnote>
  <w:footnote w:id="31">
    <w:p w14:paraId="46DFE4FF" w14:textId="5D7595BE" w:rsidR="00B246FA" w:rsidRDefault="00B246FA" w:rsidP="00175227">
      <w:pPr>
        <w:pStyle w:val="FootnoteText"/>
      </w:pPr>
      <w:r w:rsidRPr="00FA5B50">
        <w:rPr>
          <w:rStyle w:val="FootnoteReference"/>
        </w:rPr>
        <w:footnoteRef/>
      </w:r>
      <w:r w:rsidRPr="00FA5B50">
        <w:t xml:space="preserve"> Note that the CRF group used does not change the overall outcome of the CBA, i.e. a </w:t>
      </w:r>
      <w:r>
        <w:t>negative NPV</w:t>
      </w:r>
      <w:r w:rsidRPr="00FA5B5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D7774" w14:textId="62C09F2C" w:rsidR="00B246FA" w:rsidRPr="00855EF8" w:rsidRDefault="00B246FA" w:rsidP="00002BA2">
    <w:pPr>
      <w:pStyle w:val="Header"/>
      <w:ind w:left="0"/>
    </w:pPr>
    <w:r>
      <w:rPr>
        <w:noProof/>
        <w:lang w:eastAsia="en-AU"/>
      </w:rPr>
      <mc:AlternateContent>
        <mc:Choice Requires="wps">
          <w:drawing>
            <wp:anchor distT="0" distB="0" distL="114300" distR="114300" simplePos="0" relativeHeight="251658241" behindDoc="1" locked="0" layoutInCell="1" allowOverlap="0" wp14:anchorId="2A4D7798" wp14:editId="7697F839">
              <wp:simplePos x="0" y="0"/>
              <wp:positionH relativeFrom="page">
                <wp:posOffset>647700</wp:posOffset>
              </wp:positionH>
              <wp:positionV relativeFrom="page">
                <wp:posOffset>720090</wp:posOffset>
              </wp:positionV>
              <wp:extent cx="6480000" cy="0"/>
              <wp:effectExtent l="0" t="0" r="35560" b="19050"/>
              <wp:wrapNone/>
              <wp:docPr id="91" name="Straight Connector 91"/>
              <wp:cNvGraphicFramePr/>
              <a:graphic xmlns:a="http://schemas.openxmlformats.org/drawingml/2006/main">
                <a:graphicData uri="http://schemas.microsoft.com/office/word/2010/wordprocessingShape">
                  <wps:wsp>
                    <wps:cNvCnPr/>
                    <wps:spPr>
                      <a:xfrm>
                        <a:off x="0" y="0"/>
                        <a:ext cx="6480000" cy="0"/>
                      </a:xfrm>
                      <a:prstGeom prst="line">
                        <a:avLst/>
                      </a:prstGeom>
                      <a:ln w="25400">
                        <a:solidFill>
                          <a:srgbClr val="4140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FA8717" id="Straight Connector 91"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1pt,56.7pt" to="561.2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dO3QEAABAEAAAOAAAAZHJzL2Uyb0RvYy54bWysU01v3CAQvVfqf0Dcu7ZXbpRa681ho/RS&#10;taum+QEsBhuJLw107f33HbDXidqqUqP4gBmY92beA3Z3k9HkLCAoZ1tabUpKhOWuU7Zv6dOPhw+3&#10;lITIbMe0s6KlFxHo3f79u93oG7F1g9OdAIIkNjSjb+kQo2+KIvBBGBY2zguLm9KBYRFD6IsO2Ijs&#10;RhfbsrwpRgedB8dFCLh6P2/SfeaXUvD4TcogItEtxd5iHiGPpzQW+x1remB+UHxpg72iC8OUxaIr&#10;1T2LjPwE9QeVURxccDJuuDOFk1JxkTWgmqr8Tc3jwLzIWtCc4FebwtvR8q/nIxDVtfRTRYllBs/o&#10;MQJT/RDJwVmLDjoguIlOjT40CDjYIyxR8EdIsicJJv1REJmyu5fVXTFFwnHxpr4t8aOEX/eKZ6CH&#10;ED8LZ0iatFQrm4Szhp2/hIjFMPWakpa1JWNLtx9r5EtxcFp1D0rrHEB/OmggZ4aHXld1WW9T90jx&#10;Ig0jbXExaZpV5Fm8aDEX+C4k+oJ9V3OFdCPFSss4FzZmVzITZieYxBZW4NLav4BLfoKKfFv/B7wi&#10;cmVn4wo2yjr4W9txurYs5/yrA7PuZMHJdZd8vtkavHbZueWJpHv9Ms7w54e8/wUAAP//AwBQSwME&#10;FAAGAAgAAAAhADMutofdAAAADAEAAA8AAABkcnMvZG93bnJldi54bWxMj91KAzEQhe8F3yGM4I3Y&#10;7I9K2W62FKHira0PMN1kf2oyWTbpdvXpnYJg7+bMHM58p1zPzorJjKH3pCBdJCAM1V731Cr43G8f&#10;lyBCRNJoPRkF3ybAurq9KbHQ/kwfZtrFVnAIhQIVdDEOhZSh7ozDsPCDIb41fnQYWY6t1COeOdxZ&#10;mSXJi3TYE3/ocDCvnam/dien4GH5M23fKLfYJB4tvh/zTbNX6v5u3qxARDPHfzNc8BkdKmY6+BPp&#10;ICzrJOMukYc0fwJxcaRZ9gzi8LeSVSmvS1S/AAAA//8DAFBLAQItABQABgAIAAAAIQC2gziS/gAA&#10;AOEBAAATAAAAAAAAAAAAAAAAAAAAAABbQ29udGVudF9UeXBlc10ueG1sUEsBAi0AFAAGAAgAAAAh&#10;ADj9If/WAAAAlAEAAAsAAAAAAAAAAAAAAAAALwEAAF9yZWxzLy5yZWxzUEsBAi0AFAAGAAgAAAAh&#10;ACF5R07dAQAAEAQAAA4AAAAAAAAAAAAAAAAALgIAAGRycy9lMm9Eb2MueG1sUEsBAi0AFAAGAAgA&#10;AAAhADMutofdAAAADAEAAA8AAAAAAAAAAAAAAAAANwQAAGRycy9kb3ducmV2LnhtbFBLBQYAAAAA&#10;BAAEAPMAAABBBQAAAAA=&#10;" o:allowoverlap="f" strokecolor="#414042" strokeweight="2pt">
              <w10:wrap anchorx="page" anchory="page"/>
            </v:line>
          </w:pict>
        </mc:Fallback>
      </mc:AlternateContent>
    </w:r>
    <w:sdt>
      <w:sdtPr>
        <w:alias w:val="Client Company Name"/>
        <w:tag w:val="Cust_Co_Name"/>
        <w:id w:val="-881793555"/>
        <w:lock w:val="sdtLocked"/>
        <w:showingPlcHdr/>
        <w:dataBinding w:xpath="/root[1]/custCoName[1]" w:storeItemID="{AB744645-93F6-480A-9B81-25C04A394EE3}"/>
        <w:text/>
      </w:sdtPr>
      <w:sdtEndPr/>
      <w:sdtContent>
        <w:r>
          <w:t xml:space="preserve">     </w:t>
        </w:r>
      </w:sdtContent>
    </w:sdt>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EDE83" w14:textId="4AF9330C" w:rsidR="00B246FA" w:rsidRPr="00855EF8" w:rsidRDefault="00B246FA" w:rsidP="0094208B">
    <w:pPr>
      <w:pStyle w:val="Header"/>
      <w:tabs>
        <w:tab w:val="clear" w:pos="9026"/>
        <w:tab w:val="right" w:pos="14601"/>
      </w:tabs>
      <w:ind w:left="-142" w:right="-479"/>
    </w:pPr>
    <w:r>
      <w:rPr>
        <w:noProof/>
        <w:lang w:eastAsia="en-AU"/>
      </w:rPr>
      <mc:AlternateContent>
        <mc:Choice Requires="wps">
          <w:drawing>
            <wp:anchor distT="0" distB="0" distL="114300" distR="114300" simplePos="0" relativeHeight="251658250" behindDoc="1" locked="0" layoutInCell="1" allowOverlap="0" wp14:anchorId="0E3B0BA1" wp14:editId="1D6DA086">
              <wp:simplePos x="0" y="0"/>
              <wp:positionH relativeFrom="page">
                <wp:posOffset>647700</wp:posOffset>
              </wp:positionH>
              <wp:positionV relativeFrom="page">
                <wp:posOffset>720090</wp:posOffset>
              </wp:positionV>
              <wp:extent cx="9540000" cy="0"/>
              <wp:effectExtent l="0" t="0" r="23495" b="19050"/>
              <wp:wrapNone/>
              <wp:docPr id="18" name="Straight Connector 18"/>
              <wp:cNvGraphicFramePr/>
              <a:graphic xmlns:a="http://schemas.openxmlformats.org/drawingml/2006/main">
                <a:graphicData uri="http://schemas.microsoft.com/office/word/2010/wordprocessingShape">
                  <wps:wsp>
                    <wps:cNvCnPr/>
                    <wps:spPr>
                      <a:xfrm>
                        <a:off x="0" y="0"/>
                        <a:ext cx="9540000" cy="0"/>
                      </a:xfrm>
                      <a:prstGeom prst="line">
                        <a:avLst/>
                      </a:prstGeom>
                      <a:ln w="25400">
                        <a:solidFill>
                          <a:srgbClr val="4140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E16AD7" id="Straight Connector 18" o:spid="_x0000_s1026" style="position:absolute;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1pt,56.7pt" to="802.2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6rR3AEAABAEAAAOAAAAZHJzL2Uyb0RvYy54bWysU02P0zAQvSPxHyzfadKqIIia7qGr5YKg&#10;Ytkf4DrjxJK/NDZN++8ZO2l2BQgJRA5O7Jn3Zt4bZ3d3sYadAaP2ruXrVc0ZOOk77fqWP317ePOe&#10;s5iE64TxDlp+hcjv9q9f7cbQwMYP3nSAjEhcbMbQ8iGl0FRVlANYEVc+gKOg8mhFoi32VYdiJHZr&#10;qk1dv6tGj11ALyFGOr2fgnxf+JUCmb4oFSEx03LqLZUVy3rKa7XfiaZHEQYt5zbEP3RhhXZUdKG6&#10;F0mw76h/obJaoo9epZX0tvJKaQlFA6lZ1z+peRxEgKKFzIlhsSn+P1r5+XxEpjuaHU3KCUszekwo&#10;dD8kdvDOkYMeGQXJqTHEhgAHd8R5F8MRs+yLQpvfJIhdirvXxV24JCbp8MPbbU0PZ/IWq56BAWP6&#10;CN6y/NFyo10WLhpx/hQTFaPUW0o+No6NLd9kxpIWvdHdgzYmByP2p4NBdhY09O16W283uXuieJFG&#10;O+PoMGuaVJSvdDUwFfgKinyhvtdThXwjYaEVUoJL65nXOMrOMEUtLMC5tT8B5/wMhXJb/wa8IEpl&#10;79ICttp5/F3b6XJrWU35Nwcm3dmCk++uZb7FGrp2xbn5F8n3+uW+wJ9/5P0PAAAA//8DAFBLAwQU&#10;AAYACAAAACEAkF8UR9sAAAAMAQAADwAAAGRycy9kb3ducmV2LnhtbExPy2rDMBC8F/oPYgO9lEZK&#10;HEJwLYdQSOm1ST9gY8mPRloZS3Hcfn03UGhvMzvD7EyxnbwTox1iF0jDYq5AWKqC6ajR8HHcP21A&#10;xIRk0AWyGr5shG15f1dgbsKV3u14SI3gEIo5amhT6nMpY9Vaj3Eeekus1WHwmJgOjTQDXjncO7lU&#10;ai09dsQfWuztS2ur8+HiNTxuvsf9K2UOaxXQ4dtntquPWj/Mpt0ziGSn9GeGW32uDiV3OoULmSgc&#10;c7XkLYnBIluBuDnWasXo9HuSZSH/jyh/AAAA//8DAFBLAQItABQABgAIAAAAIQC2gziS/gAAAOEB&#10;AAATAAAAAAAAAAAAAAAAAAAAAABbQ29udGVudF9UeXBlc10ueG1sUEsBAi0AFAAGAAgAAAAhADj9&#10;If/WAAAAlAEAAAsAAAAAAAAAAAAAAAAALwEAAF9yZWxzLy5yZWxzUEsBAi0AFAAGAAgAAAAhANTb&#10;qtHcAQAAEAQAAA4AAAAAAAAAAAAAAAAALgIAAGRycy9lMm9Eb2MueG1sUEsBAi0AFAAGAAgAAAAh&#10;AJBfFEfbAAAADAEAAA8AAAAAAAAAAAAAAAAANgQAAGRycy9kb3ducmV2LnhtbFBLBQYAAAAABAAE&#10;APMAAAA+BQAAAAA=&#10;" o:allowoverlap="f" strokecolor="#414042" strokeweight="2pt">
              <w10:wrap anchorx="page" anchory="page"/>
            </v:line>
          </w:pict>
        </mc:Fallback>
      </mc:AlternateContent>
    </w:r>
    <w:sdt>
      <w:sdtPr>
        <w:alias w:val="Client Company Name"/>
        <w:tag w:val="Cust_Co_Name"/>
        <w:id w:val="1455297214"/>
        <w:lock w:val="sdtLocked"/>
        <w:showingPlcHdr/>
        <w:dataBinding w:xpath="/root[1]/custCoName[1]" w:storeItemID="{AB744645-93F6-480A-9B81-25C04A394EE3}"/>
        <w:text/>
      </w:sdtPr>
      <w:sdtEndPr/>
      <w:sdtContent>
        <w:r>
          <w:t xml:space="preserve">     </w:t>
        </w:r>
      </w:sdtContent>
    </w:sdt>
    <w:r>
      <w:tab/>
    </w:r>
    <w:r>
      <w:tab/>
      <w:t>Chapter 6</w:t>
    </w:r>
    <w:r w:rsidRPr="00D571F8">
      <w:t xml:space="preserve">: </w:t>
    </w:r>
    <w:r>
      <w:t>Impact a</w:t>
    </w:r>
    <w:r w:rsidRPr="009A2194">
      <w:t xml:space="preserve">ssessment </w:t>
    </w:r>
    <w:r>
      <w:t>for sulfur dioxide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EBE62" w14:textId="55282601" w:rsidR="00B246FA" w:rsidRPr="00855EF8" w:rsidRDefault="00B246FA" w:rsidP="0094208B">
    <w:pPr>
      <w:pStyle w:val="Header"/>
      <w:tabs>
        <w:tab w:val="clear" w:pos="9026"/>
        <w:tab w:val="right" w:pos="10065"/>
      </w:tabs>
      <w:ind w:left="0" w:right="-426"/>
    </w:pPr>
    <w:r>
      <w:rPr>
        <w:noProof/>
        <w:lang w:eastAsia="en-AU"/>
      </w:rPr>
      <mc:AlternateContent>
        <mc:Choice Requires="wps">
          <w:drawing>
            <wp:anchor distT="0" distB="0" distL="114300" distR="114300" simplePos="0" relativeHeight="251658264" behindDoc="1" locked="0" layoutInCell="1" allowOverlap="0" wp14:anchorId="772AA4B8" wp14:editId="1114594A">
              <wp:simplePos x="0" y="0"/>
              <wp:positionH relativeFrom="page">
                <wp:posOffset>647700</wp:posOffset>
              </wp:positionH>
              <wp:positionV relativeFrom="page">
                <wp:posOffset>720090</wp:posOffset>
              </wp:positionV>
              <wp:extent cx="6480000" cy="0"/>
              <wp:effectExtent l="0" t="0" r="35560" b="19050"/>
              <wp:wrapNone/>
              <wp:docPr id="3" name="Straight Connector 3"/>
              <wp:cNvGraphicFramePr/>
              <a:graphic xmlns:a="http://schemas.openxmlformats.org/drawingml/2006/main">
                <a:graphicData uri="http://schemas.microsoft.com/office/word/2010/wordprocessingShape">
                  <wps:wsp>
                    <wps:cNvCnPr/>
                    <wps:spPr>
                      <a:xfrm>
                        <a:off x="0" y="0"/>
                        <a:ext cx="6480000" cy="0"/>
                      </a:xfrm>
                      <a:prstGeom prst="line">
                        <a:avLst/>
                      </a:prstGeom>
                      <a:ln w="25400">
                        <a:solidFill>
                          <a:srgbClr val="4140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513B32" id="Straight Connector 3" o:spid="_x0000_s1026" style="position:absolute;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1pt,56.7pt" to="561.2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nUg3QEAAA4EAAAOAAAAZHJzL2Uyb0RvYy54bWysU01v3CAQvVfqf0Dcu7Y3bhRZ681ho/RS&#10;taum/QEsBhuJLw107f33HbDXidqqUqL6gBmY92beA3b3k9HkLCAoZ1tabUpKhOWuU7Zv6Y/vjx/u&#10;KAmR2Y5pZ0VLLyLQ+/37d7vRN2LrBqc7AQRJbGhG39IhRt8UReCDMCxsnBcWN6UDwyKG0BcdsBHZ&#10;jS62ZXlbjA46D46LEHD1Yd6k+8wvpeDxq5RBRKJbir3FPEIeT2ks9jvW9MD8oPjSBntDF4Ypi0VX&#10;qgcWGfkJ6g8qozi44GTccGcKJ6XiImtANVX5m5qngXmRtaA5wa82hf9Hy7+cj0BU19IbSiwzeERP&#10;EZjqh0gOzlo00AG5ST6NPjSYfrBHWKLgj5BETxJM+qMcMmVvL6u3YoqE4+JtfVfiRwm/7hXPQA8h&#10;fhLOkDRpqVY2yWYNO38OEYth6jUlLWtLxpZuP9bIl+LgtOoeldY5gP500EDODI+8ruqy3qbukeJF&#10;Gkba4mLSNKvIs3jRYi7wTUh0Bfuu5grpPoqVlnEubKwWXm0xO8EktrACl9b+BVzyE1Tku/oa8IrI&#10;lZ2NK9go6+Bvbcfp2rKc868OzLqTBSfXXfL5Zmvw0mXnlgeSbvXLOMOfn/H+FwAAAP//AwBQSwME&#10;FAAGAAgAAAAhADMutofdAAAADAEAAA8AAABkcnMvZG93bnJldi54bWxMj91KAzEQhe8F3yGM4I3Y&#10;7I9K2W62FKHira0PMN1kf2oyWTbpdvXpnYJg7+bMHM58p1zPzorJjKH3pCBdJCAM1V731Cr43G8f&#10;lyBCRNJoPRkF3ybAurq9KbHQ/kwfZtrFVnAIhQIVdDEOhZSh7ozDsPCDIb41fnQYWY6t1COeOdxZ&#10;mSXJi3TYE3/ocDCvnam/dien4GH5M23fKLfYJB4tvh/zTbNX6v5u3qxARDPHfzNc8BkdKmY6+BPp&#10;ICzrJOMukYc0fwJxcaRZ9gzi8LeSVSmvS1S/AAAA//8DAFBLAQItABQABgAIAAAAIQC2gziS/gAA&#10;AOEBAAATAAAAAAAAAAAAAAAAAAAAAABbQ29udGVudF9UeXBlc10ueG1sUEsBAi0AFAAGAAgAAAAh&#10;ADj9If/WAAAAlAEAAAsAAAAAAAAAAAAAAAAALwEAAF9yZWxzLy5yZWxzUEsBAi0AFAAGAAgAAAAh&#10;AFLedSDdAQAADgQAAA4AAAAAAAAAAAAAAAAALgIAAGRycy9lMm9Eb2MueG1sUEsBAi0AFAAGAAgA&#10;AAAhADMutofdAAAADAEAAA8AAAAAAAAAAAAAAAAANwQAAGRycy9kb3ducmV2LnhtbFBLBQYAAAAA&#10;BAAEAPMAAABBBQAAAAA=&#10;" o:allowoverlap="f" strokecolor="#414042" strokeweight="2pt">
              <w10:wrap anchorx="page" anchory="page"/>
            </v:line>
          </w:pict>
        </mc:Fallback>
      </mc:AlternateContent>
    </w:r>
    <w:sdt>
      <w:sdtPr>
        <w:alias w:val="Client Company Name"/>
        <w:tag w:val="Cust_Co_Name"/>
        <w:id w:val="-707798260"/>
        <w:lock w:val="sdtLocked"/>
        <w:showingPlcHdr/>
        <w:dataBinding w:xpath="/root[1]/custCoName[1]" w:storeItemID="{AB744645-93F6-480A-9B81-25C04A394EE3}"/>
        <w:text/>
      </w:sdtPr>
      <w:sdtEndPr/>
      <w:sdtContent>
        <w:r>
          <w:t xml:space="preserve">     </w:t>
        </w:r>
      </w:sdtContent>
    </w:sdt>
    <w:r>
      <w:tab/>
    </w:r>
    <w:r>
      <w:tab/>
      <w:t>Chapter 6</w:t>
    </w:r>
    <w:r w:rsidRPr="00D571F8">
      <w:t xml:space="preserve">: </w:t>
    </w:r>
    <w:r>
      <w:t>Impact a</w:t>
    </w:r>
    <w:r w:rsidRPr="009A2194">
      <w:t xml:space="preserve">ssessment </w:t>
    </w:r>
    <w:r>
      <w:t>for sulfur dioxide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08143" w14:textId="3963FB6A" w:rsidR="00B246FA" w:rsidRPr="00855EF8" w:rsidRDefault="00B246FA" w:rsidP="0094208B">
    <w:pPr>
      <w:pStyle w:val="Header"/>
      <w:tabs>
        <w:tab w:val="clear" w:pos="9026"/>
        <w:tab w:val="right" w:pos="10065"/>
      </w:tabs>
      <w:ind w:left="0" w:right="-426"/>
    </w:pPr>
    <w:r>
      <w:rPr>
        <w:noProof/>
        <w:lang w:eastAsia="en-AU"/>
      </w:rPr>
      <mc:AlternateContent>
        <mc:Choice Requires="wps">
          <w:drawing>
            <wp:anchor distT="0" distB="0" distL="114300" distR="114300" simplePos="0" relativeHeight="251658281" behindDoc="1" locked="0" layoutInCell="1" allowOverlap="0" wp14:anchorId="238BC407" wp14:editId="43EC0E78">
              <wp:simplePos x="0" y="0"/>
              <wp:positionH relativeFrom="page">
                <wp:posOffset>647700</wp:posOffset>
              </wp:positionH>
              <wp:positionV relativeFrom="page">
                <wp:posOffset>720090</wp:posOffset>
              </wp:positionV>
              <wp:extent cx="6480000" cy="0"/>
              <wp:effectExtent l="0" t="0" r="35560" b="19050"/>
              <wp:wrapNone/>
              <wp:docPr id="449" name="Straight Connector 449"/>
              <wp:cNvGraphicFramePr/>
              <a:graphic xmlns:a="http://schemas.openxmlformats.org/drawingml/2006/main">
                <a:graphicData uri="http://schemas.microsoft.com/office/word/2010/wordprocessingShape">
                  <wps:wsp>
                    <wps:cNvCnPr/>
                    <wps:spPr>
                      <a:xfrm>
                        <a:off x="0" y="0"/>
                        <a:ext cx="6480000" cy="0"/>
                      </a:xfrm>
                      <a:prstGeom prst="line">
                        <a:avLst/>
                      </a:prstGeom>
                      <a:ln w="25400">
                        <a:solidFill>
                          <a:srgbClr val="4140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7F6668" id="Straight Connector 449" o:spid="_x0000_s1026" style="position:absolute;z-index:-2516581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1pt,56.7pt" to="561.2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bD3gEAABIEAAAOAAAAZHJzL2Uyb0RvYy54bWysU01v3CAQvVfqf0Dcu7ZXbpRa681ho/RS&#10;taum+QEsBhuJLw107f33HbDXidqqUqP4gBmY92beA3Z3k9HkLCAoZ1tabUpKhOWuU7Zv6dOPhw+3&#10;lITIbMe0s6KlFxHo3f79u93oG7F1g9OdAIIkNjSjb+kQo2+KIvBBGBY2zguLm9KBYRFD6IsO2Ijs&#10;RhfbsrwpRgedB8dFCLh6P2/SfeaXUvD4TcogItEtxd5iHiGPpzQW+x1remB+UHxpg72iC8OUxaIr&#10;1T2LjPwE9QeVURxccDJuuDOFk1JxkTWgmqr8Tc3jwLzIWtCc4FebwtvR8q/nIxDVtbSuP1FimcFD&#10;eozAVD9EcnDWooUOSNpFr0YfGoQc7BGWKPgjJOGTBJP+KIlM2d/L6q+YIuG4eFPflvhRwq97xTPQ&#10;Q4ifhTMkTVqqlU3SWcPOX0LEYph6TUnL2pKxpduPNfKlODitugeldQ6gPx00kDPDY6+ruqy3qXuk&#10;eJGGkba4mDTNKvIsXrSYC3wXEp3Bvqu5QrqTYqVlnAsbq4VXW8xOMIktrMCltX8Bl/wEFfm+/g94&#10;ReTKzsYVbJR18Le243RtWc75Vwdm3cmCk+su+XyzNXjxsnPLI0k3+2Wc4c9Pef8LAAD//wMAUEsD&#10;BBQABgAIAAAAIQAzLraH3QAAAAwBAAAPAAAAZHJzL2Rvd25yZXYueG1sTI/dSgMxEIXvBd8hjOCN&#10;2OyPStluthSh4q2tDzDdZH9qMlk26Xb16Z2CYO/mzBzOfKdcz86KyYyh96QgXSQgDNVe99Qq+Nxv&#10;H5cgQkTSaD0ZBd8mwLq6vSmx0P5MH2baxVZwCIUCFXQxDoWUoe6Mw7DwgyG+NX50GFmOrdQjnjnc&#10;WZklyYt02BN/6HAwr52pv3Ynp+Bh+TNt3yi32CQeLb4f802zV+r+bt6sQEQzx38zXPAZHSpmOvgT&#10;6SAs6yTjLpGHNH8CcXGkWfYM4vC3klUpr0tUvwAAAP//AwBQSwECLQAUAAYACAAAACEAtoM4kv4A&#10;AADhAQAAEwAAAAAAAAAAAAAAAAAAAAAAW0NvbnRlbnRfVHlwZXNdLnhtbFBLAQItABQABgAIAAAA&#10;IQA4/SH/1gAAAJQBAAALAAAAAAAAAAAAAAAAAC8BAABfcmVscy8ucmVsc1BLAQItABQABgAIAAAA&#10;IQCsAlbD3gEAABIEAAAOAAAAAAAAAAAAAAAAAC4CAABkcnMvZTJvRG9jLnhtbFBLAQItABQABgAI&#10;AAAAIQAzLraH3QAAAAwBAAAPAAAAAAAAAAAAAAAAADgEAABkcnMvZG93bnJldi54bWxQSwUGAAAA&#10;AAQABADzAAAAQgUAAAAA&#10;" o:allowoverlap="f" strokecolor="#414042" strokeweight="2pt">
              <w10:wrap anchorx="page" anchory="page"/>
            </v:line>
          </w:pict>
        </mc:Fallback>
      </mc:AlternateContent>
    </w:r>
    <w:sdt>
      <w:sdtPr>
        <w:alias w:val="Client Company Name"/>
        <w:tag w:val="Cust_Co_Name"/>
        <w:id w:val="-940376846"/>
        <w:lock w:val="sdtLocked"/>
        <w:showingPlcHdr/>
        <w:dataBinding w:xpath="/root[1]/custCoName[1]" w:storeItemID="{AB744645-93F6-480A-9B81-25C04A394EE3}"/>
        <w:text/>
      </w:sdtPr>
      <w:sdtEndPr/>
      <w:sdtContent>
        <w:r>
          <w:t xml:space="preserve">     </w:t>
        </w:r>
      </w:sdtContent>
    </w:sdt>
    <w:r>
      <w:tab/>
    </w:r>
    <w:r>
      <w:tab/>
      <w:t>Chapter 7</w:t>
    </w:r>
    <w:r w:rsidRPr="00D571F8">
      <w:t xml:space="preserve">: </w:t>
    </w:r>
    <w:r>
      <w:t>Impact a</w:t>
    </w:r>
    <w:r w:rsidRPr="009A2194">
      <w:t xml:space="preserve">ssessment </w:t>
    </w:r>
    <w:r>
      <w:t>for nitrogen dioxide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6FE37" w14:textId="4BB0E222" w:rsidR="00B246FA" w:rsidRPr="00855EF8" w:rsidRDefault="00B246FA" w:rsidP="000F3EEC">
    <w:pPr>
      <w:pStyle w:val="Header"/>
      <w:tabs>
        <w:tab w:val="clear" w:pos="9026"/>
        <w:tab w:val="right" w:pos="14601"/>
      </w:tabs>
      <w:ind w:left="-284" w:right="-741"/>
    </w:pPr>
    <w:r>
      <w:rPr>
        <w:noProof/>
        <w:lang w:eastAsia="en-AU"/>
      </w:rPr>
      <mc:AlternateContent>
        <mc:Choice Requires="wps">
          <w:drawing>
            <wp:anchor distT="0" distB="0" distL="114300" distR="114300" simplePos="0" relativeHeight="251658261" behindDoc="1" locked="0" layoutInCell="1" allowOverlap="0" wp14:anchorId="77D3325C" wp14:editId="49A808C2">
              <wp:simplePos x="0" y="0"/>
              <wp:positionH relativeFrom="page">
                <wp:posOffset>739140</wp:posOffset>
              </wp:positionH>
              <wp:positionV relativeFrom="page">
                <wp:posOffset>720090</wp:posOffset>
              </wp:positionV>
              <wp:extent cx="9540000" cy="0"/>
              <wp:effectExtent l="0" t="0" r="23495" b="19050"/>
              <wp:wrapNone/>
              <wp:docPr id="19" name="Straight Connector 19"/>
              <wp:cNvGraphicFramePr/>
              <a:graphic xmlns:a="http://schemas.openxmlformats.org/drawingml/2006/main">
                <a:graphicData uri="http://schemas.microsoft.com/office/word/2010/wordprocessingShape">
                  <wps:wsp>
                    <wps:cNvCnPr/>
                    <wps:spPr>
                      <a:xfrm>
                        <a:off x="0" y="0"/>
                        <a:ext cx="9540000" cy="0"/>
                      </a:xfrm>
                      <a:prstGeom prst="line">
                        <a:avLst/>
                      </a:prstGeom>
                      <a:ln w="25400">
                        <a:solidFill>
                          <a:srgbClr val="4140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810968" id="Straight Connector 19" o:spid="_x0000_s1026" style="position:absolute;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8.2pt,56.7pt" to="809.4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pB3AEAABAEAAAOAAAAZHJzL2Uyb0RvYy54bWysU8GO0zAQvSPxD5bvNGlVEBs13UNXywVB&#10;xcIHuI6dWLI91tg07d8zdtLsChASiBwc2zPvzbxne3d/cZadFUYDvuXrVc2Z8hI64/uWf/v6+OY9&#10;ZzEJ3wkLXrX8qiK/379+tRtDozYwgO0UMiLxsRlDy4eUQlNVUQ7KibiCoDwFNaATiZbYVx2Kkdid&#10;rTZ1/a4aAbuAIFWMtPswBfm+8GutZPqsdVSJ2ZZTb6mMWMZTHqv9TjQ9ijAYObch/qELJ4ynogvV&#10;g0iCfUfzC5UzEiGCTisJrgKtjVRFA6lZ1z+peRpEUEULmRPDYlP8f7Ty0/mIzHR0dneceeHojJ4S&#10;CtMPiR3Ae3IQkFGQnBpDbAhw8EecVzEcMcu+aHT5T4LYpbh7XdxVl8Qkbd693db0cSZvseoZGDCm&#10;Dwocy5OWW+OzcNGI88eYqBil3lLytvVsbPkmM5a0CNZ0j8baHIzYnw4W2VnQoW/X23q7yd0TxYs0&#10;WllPm1nTpKLM0tWqqcAXpckX6ns9Vcg3Ui20Qkrl03rmtZ6yM0xTCwtwbu1PwDk/Q1W5rX8DXhCl&#10;Mvi0gJ3xgL9rO11uLesp/+bApDtbcILuWs63WEPXrjg3P5F8r1+uC/z5Ie9/AAAA//8DAFBLAwQU&#10;AAYACAAAACEAwbC0jtkAAAAMAQAADwAAAGRycy9kb3ducmV2LnhtbExPXUvEMBB8F/wPYQVfxEtr&#10;pZTa9DiEE1+98wfsNemHJpvS5HrVX+8WBH2b2RlmZ6rt4qyYzRQGTwrSTQLCUOP1QJ2C9+P+vgAR&#10;IpJG68ko+DIBtvX1VYWl9hd6M/MhdoJDKJSooI9xLKUMTW8cho0fDbHW+slhZDp1Uk944XBn5UOS&#10;5NLhQPyhx9E896b5PJydgrvie96/UGaxTTxafP3Idu1RqdubZfcEIpol/plhrc/VoeZOJ38mHYRl&#10;nuaPbF1BxmB15GnBa06/J1lX8v+I+gcAAP//AwBQSwECLQAUAAYACAAAACEAtoM4kv4AAADhAQAA&#10;EwAAAAAAAAAAAAAAAAAAAAAAW0NvbnRlbnRfVHlwZXNdLnhtbFBLAQItABQABgAIAAAAIQA4/SH/&#10;1gAAAJQBAAALAAAAAAAAAAAAAAAAAC8BAABfcmVscy8ucmVsc1BLAQItABQABgAIAAAAIQAVNepB&#10;3AEAABAEAAAOAAAAAAAAAAAAAAAAAC4CAABkcnMvZTJvRG9jLnhtbFBLAQItABQABgAIAAAAIQDB&#10;sLSO2QAAAAwBAAAPAAAAAAAAAAAAAAAAADYEAABkcnMvZG93bnJldi54bWxQSwUGAAAAAAQABADz&#10;AAAAPAUAAAAA&#10;" o:allowoverlap="f" strokecolor="#414042" strokeweight="2pt">
              <w10:wrap anchorx="page" anchory="page"/>
            </v:line>
          </w:pict>
        </mc:Fallback>
      </mc:AlternateContent>
    </w:r>
    <w:sdt>
      <w:sdtPr>
        <w:alias w:val="Client Company Name"/>
        <w:tag w:val="Cust_Co_Name"/>
        <w:id w:val="-69352583"/>
        <w:showingPlcHdr/>
        <w:dataBinding w:xpath="/root[1]/custCoName[1]" w:storeItemID="{AB744645-93F6-480A-9B81-25C04A394EE3}"/>
        <w:text/>
      </w:sdtPr>
      <w:sdtEndPr/>
      <w:sdtContent>
        <w:r>
          <w:t xml:space="preserve">     </w:t>
        </w:r>
      </w:sdtContent>
    </w:sdt>
    <w:r>
      <w:tab/>
    </w:r>
    <w:r>
      <w:tab/>
      <w:t>Chapter 7</w:t>
    </w:r>
    <w:r w:rsidRPr="00D571F8">
      <w:t xml:space="preserve">: </w:t>
    </w:r>
    <w:r>
      <w:t>Impact a</w:t>
    </w:r>
    <w:r w:rsidRPr="009A2194">
      <w:t xml:space="preserve">ssessment </w:t>
    </w:r>
    <w:r>
      <w:t>for nitrogen dioxide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BD0E6" w14:textId="38D73814" w:rsidR="00B246FA" w:rsidRPr="00855EF8" w:rsidRDefault="00B246FA" w:rsidP="000F3EEC">
    <w:pPr>
      <w:pStyle w:val="Header"/>
      <w:tabs>
        <w:tab w:val="clear" w:pos="9026"/>
        <w:tab w:val="right" w:pos="10065"/>
      </w:tabs>
      <w:ind w:left="0" w:right="-426"/>
    </w:pPr>
    <w:r>
      <w:rPr>
        <w:noProof/>
        <w:lang w:eastAsia="en-AU"/>
      </w:rPr>
      <mc:AlternateContent>
        <mc:Choice Requires="wps">
          <w:drawing>
            <wp:anchor distT="0" distB="0" distL="114300" distR="114300" simplePos="0" relativeHeight="251658282" behindDoc="1" locked="0" layoutInCell="1" allowOverlap="0" wp14:anchorId="7B69C960" wp14:editId="245F6ADA">
              <wp:simplePos x="0" y="0"/>
              <wp:positionH relativeFrom="page">
                <wp:posOffset>647700</wp:posOffset>
              </wp:positionH>
              <wp:positionV relativeFrom="page">
                <wp:posOffset>720090</wp:posOffset>
              </wp:positionV>
              <wp:extent cx="6480000" cy="0"/>
              <wp:effectExtent l="0" t="0" r="35560" b="19050"/>
              <wp:wrapNone/>
              <wp:docPr id="450" name="Straight Connector 450"/>
              <wp:cNvGraphicFramePr/>
              <a:graphic xmlns:a="http://schemas.openxmlformats.org/drawingml/2006/main">
                <a:graphicData uri="http://schemas.microsoft.com/office/word/2010/wordprocessingShape">
                  <wps:wsp>
                    <wps:cNvCnPr/>
                    <wps:spPr>
                      <a:xfrm>
                        <a:off x="0" y="0"/>
                        <a:ext cx="6480000" cy="0"/>
                      </a:xfrm>
                      <a:prstGeom prst="line">
                        <a:avLst/>
                      </a:prstGeom>
                      <a:ln w="25400">
                        <a:solidFill>
                          <a:srgbClr val="4140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4D9433" id="Straight Connector 450" o:spid="_x0000_s1026" style="position:absolute;z-index:-2516581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1pt,56.7pt" to="561.2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7Cq3gEAABIEAAAOAAAAZHJzL2Uyb0RvYy54bWysU01v3CAQvVfqf0Dcu7ZXThRZ681ho/RS&#10;taum/QEsBhuJLw107f33HbDXiZKqUqv4gBmY92beA3b3k9HkLCAoZ1tabUpKhOWuU7Zv6c8fj5/u&#10;KAmR2Y5pZ0VLLyLQ+/3HD7vRN2LrBqc7AQRJbGhG39IhRt8UReCDMCxsnBcWN6UDwyKG0BcdsBHZ&#10;jS62ZXlbjA46D46LEHD1Yd6k+8wvpeDxm5RBRKJbir3FPEIeT2ks9jvW9MD8oPjSBvuPLgxTFouu&#10;VA8sMvIL1Bsqozi44GTccGcKJ6XiImtANVX5Ss3TwLzIWtCc4FebwvvR8q/nIxDVtbS+QX8sM3hI&#10;TxGY6odIDs5atNABSbvo1ehDg5CDPcISBX+EJHySYNIfJZEp+3tZ/RVTJBwXb+u7Ej9K+HWveAZ6&#10;CPGzcIakSUu1skk6a9j5S4hYDFOvKWlZWzK2dHtTI1+Kg9Oqe1Ra5wD600EDOTM89rqqy3qbukeK&#10;F2kYaYuLSdOsIs/iRYu5wHch0Rnsu5orpDspVlrGubCxWni1xewEk9jCClxa+xtwyU9Qke/rv4BX&#10;RK7sbFzBRlkHf2o7TteW5Zx/dWDWnSw4ue6SzzdbgxcvO7c8knSzX8YZ/vyU978BAAD//wMAUEsD&#10;BBQABgAIAAAAIQAzLraH3QAAAAwBAAAPAAAAZHJzL2Rvd25yZXYueG1sTI/dSgMxEIXvBd8hjOCN&#10;2OyPStluthSh4q2tDzDdZH9qMlk26Xb16Z2CYO/mzBzOfKdcz86KyYyh96QgXSQgDNVe99Qq+Nxv&#10;H5cgQkTSaD0ZBd8mwLq6vSmx0P5MH2baxVZwCIUCFXQxDoWUoe6Mw7DwgyG+NX50GFmOrdQjnjnc&#10;WZklyYt02BN/6HAwr52pv3Ynp+Bh+TNt3yi32CQeLb4f802zV+r+bt6sQEQzx38zXPAZHSpmOvgT&#10;6SAs6yTjLpGHNH8CcXGkWfYM4vC3klUpr0tUvwAAAP//AwBQSwECLQAUAAYACAAAACEAtoM4kv4A&#10;AADhAQAAEwAAAAAAAAAAAAAAAAAAAAAAW0NvbnRlbnRfVHlwZXNdLnhtbFBLAQItABQABgAIAAAA&#10;IQA4/SH/1gAAAJQBAAALAAAAAAAAAAAAAAAAAC8BAABfcmVscy8ucmVsc1BLAQItABQABgAIAAAA&#10;IQCxQ7Cq3gEAABIEAAAOAAAAAAAAAAAAAAAAAC4CAABkcnMvZTJvRG9jLnhtbFBLAQItABQABgAI&#10;AAAAIQAzLraH3QAAAAwBAAAPAAAAAAAAAAAAAAAAADgEAABkcnMvZG93bnJldi54bWxQSwUGAAAA&#10;AAQABADzAAAAQgUAAAAA&#10;" o:allowoverlap="f" strokecolor="#414042" strokeweight="2pt">
              <w10:wrap anchorx="page" anchory="page"/>
            </v:line>
          </w:pict>
        </mc:Fallback>
      </mc:AlternateContent>
    </w:r>
    <w:sdt>
      <w:sdtPr>
        <w:alias w:val="Client Company Name"/>
        <w:tag w:val="Cust_Co_Name"/>
        <w:id w:val="917450692"/>
        <w:lock w:val="sdtLocked"/>
        <w:showingPlcHdr/>
        <w:dataBinding w:xpath="/root[1]/custCoName[1]" w:storeItemID="{AB744645-93F6-480A-9B81-25C04A394EE3}"/>
        <w:text/>
      </w:sdtPr>
      <w:sdtEndPr/>
      <w:sdtContent>
        <w:r>
          <w:t xml:space="preserve">     </w:t>
        </w:r>
      </w:sdtContent>
    </w:sdt>
    <w:r>
      <w:tab/>
    </w:r>
    <w:r>
      <w:tab/>
      <w:t>Chapter 7</w:t>
    </w:r>
    <w:r w:rsidRPr="00D571F8">
      <w:t xml:space="preserve">: </w:t>
    </w:r>
    <w:r>
      <w:t>Impact a</w:t>
    </w:r>
    <w:r w:rsidRPr="009A2194">
      <w:t xml:space="preserve">ssessment </w:t>
    </w:r>
    <w:r>
      <w:t>for nitrogen dioxide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7D9EE" w14:textId="77777777" w:rsidR="00B246FA" w:rsidRPr="00855EF8" w:rsidRDefault="00B246FA" w:rsidP="000F3EEC">
    <w:pPr>
      <w:pStyle w:val="Header"/>
      <w:tabs>
        <w:tab w:val="clear" w:pos="9026"/>
        <w:tab w:val="right" w:pos="10065"/>
      </w:tabs>
      <w:ind w:left="0" w:right="-426"/>
    </w:pPr>
    <w:r>
      <w:rPr>
        <w:noProof/>
        <w:lang w:eastAsia="en-AU"/>
      </w:rPr>
      <mc:AlternateContent>
        <mc:Choice Requires="wps">
          <w:drawing>
            <wp:anchor distT="0" distB="0" distL="114300" distR="114300" simplePos="0" relativeHeight="251670573" behindDoc="1" locked="0" layoutInCell="1" allowOverlap="0" wp14:anchorId="1B303DA7" wp14:editId="24BA005E">
              <wp:simplePos x="0" y="0"/>
              <wp:positionH relativeFrom="page">
                <wp:posOffset>647700</wp:posOffset>
              </wp:positionH>
              <wp:positionV relativeFrom="page">
                <wp:posOffset>720090</wp:posOffset>
              </wp:positionV>
              <wp:extent cx="6480000" cy="0"/>
              <wp:effectExtent l="0" t="0" r="35560" b="19050"/>
              <wp:wrapNone/>
              <wp:docPr id="8" name="Straight Connector 8"/>
              <wp:cNvGraphicFramePr/>
              <a:graphic xmlns:a="http://schemas.openxmlformats.org/drawingml/2006/main">
                <a:graphicData uri="http://schemas.microsoft.com/office/word/2010/wordprocessingShape">
                  <wps:wsp>
                    <wps:cNvCnPr/>
                    <wps:spPr>
                      <a:xfrm>
                        <a:off x="0" y="0"/>
                        <a:ext cx="6480000" cy="0"/>
                      </a:xfrm>
                      <a:prstGeom prst="line">
                        <a:avLst/>
                      </a:prstGeom>
                      <a:ln w="25400">
                        <a:solidFill>
                          <a:srgbClr val="4140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E306B3" id="Straight Connector 8" o:spid="_x0000_s1026" style="position:absolute;z-index:-2516459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1pt,56.7pt" to="561.2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it3AEAAA4EAAAOAAAAZHJzL2Uyb0RvYy54bWysU02P2yAQvVfqf0DcG9uRu4qsOHvIavdS&#10;tVG3/QEEg43ElwYaO/++A3a8q21VqVV9wAzMezPvAfv7yWhyERCUsy2tNiUlwnLXKdu39Pu3xw87&#10;SkJktmPaWdHSqwj0/vD+3X70jdi6welOAEESG5rRt3SI0TdFEfggDAsb54XFTenAsIgh9EUHbER2&#10;o4ttWd4Vo4POg+MiBFx9mDfpIfNLKXj8ImUQkeiWYm8xj5DHcxqLw541PTA/KL60wf6hC8OUxaIr&#10;1QOLjPwA9QuVURxccDJuuDOFk1JxkTWgmqp8o+Z5YF5kLWhO8KtN4f/R8s+XExDVtRQPyjKDR/Qc&#10;gal+iOTorEUDHZBd8mn0ocH0oz3BEgV/giR6kmDSH+WQKXt7Xb0VUyQcF+/qXYkfJfy2V7wAPYT4&#10;JJwhadJSrWySzRp2+RQiFsPUW0pa1paMLd1+rJEvxcFp1T0qrXMA/fmogVwYHnld1WW9Td0jxas0&#10;jLTFxaRpVpFn8arFXOCrkOgK9l3NFdJ9FCst41zYWC282mJ2gklsYQUurf0JuOQnqMh39W/AKyJX&#10;djauYKOsg9+1Hadby3LOvzkw604WnF13zeebrcFLl51bHki61a/jDH95xoefAAAA//8DAFBLAwQU&#10;AAYACAAAACEAMy62h90AAAAMAQAADwAAAGRycy9kb3ducmV2LnhtbEyP3UoDMRCF7wXfIYzgjdjs&#10;j0rZbrYUoeKtrQ8w3WR/ajJZNul29emdgmDv5swcznynXM/OismMofekIF0kIAzVXvfUKvjcbx+X&#10;IEJE0mg9GQXfJsC6ur0psdD+TB9m2sVWcAiFAhV0MQ6FlKHujMOw8IMhvjV+dBhZjq3UI5453FmZ&#10;JcmLdNgTf+hwMK+dqb92J6fgYfkzbd8ot9gkHi2+H/NNs1fq/m7erEBEM8d/M1zwGR0qZjr4E+kg&#10;LOsk4y6RhzR/AnFxpFn2DOLwt5JVKa9LVL8AAAD//wMAUEsBAi0AFAAGAAgAAAAhALaDOJL+AAAA&#10;4QEAABMAAAAAAAAAAAAAAAAAAAAAAFtDb250ZW50X1R5cGVzXS54bWxQSwECLQAUAAYACAAAACEA&#10;OP0h/9YAAACUAQAACwAAAAAAAAAAAAAAAAAvAQAAX3JlbHMvLnJlbHNQSwECLQAUAAYACAAAACEA&#10;xQvIrdwBAAAOBAAADgAAAAAAAAAAAAAAAAAuAgAAZHJzL2Uyb0RvYy54bWxQSwECLQAUAAYACAAA&#10;ACEAMy62h90AAAAMAQAADwAAAAAAAAAAAAAAAAA2BAAAZHJzL2Rvd25yZXYueG1sUEsFBgAAAAAE&#10;AAQA8wAAAEAFAAAAAA==&#10;" o:allowoverlap="f" strokecolor="#414042" strokeweight="2pt">
              <w10:wrap anchorx="page" anchory="page"/>
            </v:line>
          </w:pict>
        </mc:Fallback>
      </mc:AlternateContent>
    </w:r>
    <w:sdt>
      <w:sdtPr>
        <w:alias w:val="Client Company Name"/>
        <w:tag w:val="Cust_Co_Name"/>
        <w:id w:val="-556630089"/>
        <w:lock w:val="sdtLocked"/>
        <w:showingPlcHdr/>
        <w:dataBinding w:xpath="/root[1]/custCoName[1]" w:storeItemID="{AB744645-93F6-480A-9B81-25C04A394EE3}"/>
        <w:text/>
      </w:sdtPr>
      <w:sdtEndPr/>
      <w:sdtContent>
        <w:r>
          <w:t xml:space="preserve">     </w:t>
        </w:r>
      </w:sdtContent>
    </w:sdt>
    <w:r>
      <w:tab/>
    </w:r>
    <w:r>
      <w:tab/>
      <w:t>Chapter 8</w:t>
    </w:r>
    <w:r w:rsidRPr="00D571F8">
      <w:t xml:space="preserve">: </w:t>
    </w:r>
    <w:r>
      <w:t>Impact a</w:t>
    </w:r>
    <w:r w:rsidRPr="009A2194">
      <w:t xml:space="preserve">ssessment </w:t>
    </w:r>
    <w:r>
      <w:t>for ozone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35F4E" w14:textId="5409EDE7" w:rsidR="00B246FA" w:rsidRPr="00855EF8" w:rsidRDefault="00B246FA" w:rsidP="00CB5360">
    <w:pPr>
      <w:pStyle w:val="Header"/>
      <w:tabs>
        <w:tab w:val="clear" w:pos="4513"/>
        <w:tab w:val="clear" w:pos="9026"/>
        <w:tab w:val="center" w:pos="567"/>
        <w:tab w:val="right" w:pos="14884"/>
      </w:tabs>
      <w:ind w:left="0" w:right="-762"/>
    </w:pPr>
    <w:r>
      <w:rPr>
        <w:noProof/>
        <w:lang w:eastAsia="en-AU"/>
      </w:rPr>
      <mc:AlternateContent>
        <mc:Choice Requires="wps">
          <w:drawing>
            <wp:anchor distT="0" distB="0" distL="114300" distR="114300" simplePos="0" relativeHeight="251658267" behindDoc="1" locked="0" layoutInCell="1" allowOverlap="0" wp14:anchorId="3D8C2407" wp14:editId="1C1899CC">
              <wp:simplePos x="0" y="0"/>
              <wp:positionH relativeFrom="page">
                <wp:posOffset>763905</wp:posOffset>
              </wp:positionH>
              <wp:positionV relativeFrom="page">
                <wp:posOffset>720090</wp:posOffset>
              </wp:positionV>
              <wp:extent cx="9540000" cy="0"/>
              <wp:effectExtent l="0" t="0" r="23495" b="19050"/>
              <wp:wrapNone/>
              <wp:docPr id="29" name="Straight Connector 29"/>
              <wp:cNvGraphicFramePr/>
              <a:graphic xmlns:a="http://schemas.openxmlformats.org/drawingml/2006/main">
                <a:graphicData uri="http://schemas.microsoft.com/office/word/2010/wordprocessingShape">
                  <wps:wsp>
                    <wps:cNvCnPr/>
                    <wps:spPr>
                      <a:xfrm>
                        <a:off x="0" y="0"/>
                        <a:ext cx="9540000" cy="0"/>
                      </a:xfrm>
                      <a:prstGeom prst="line">
                        <a:avLst/>
                      </a:prstGeom>
                      <a:ln w="25400">
                        <a:solidFill>
                          <a:srgbClr val="4140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D72E42" id="Straight Connector 29" o:spid="_x0000_s1026" style="position:absolute;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0.15pt,56.7pt" to="811.3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I+v3AEAABAEAAAOAAAAZHJzL2Uyb0RvYy54bWysU8GO0zAUvCPxD5bvNGlVEBs13UNXywVB&#10;xcIHuI6dWLL9rGfTtH/Ps5NmV4CQQOTgxPabeTNjZ3d/cZadFUYDvuXrVc2Z8hI64/uWf/v6+OY9&#10;ZzEJ3wkLXrX8qiK/379+tRtDozYwgO0UMiLxsRlDy4eUQlNVUQ7KibiCoDxtakAnEk2xrzoUI7E7&#10;W23q+l01AnYBQaoYafVh2uT7wq+1kumz1lElZltO2lIZsYynPFb7nWh6FGEwcpYh/kGFE8ZT04Xq&#10;QSTBvqP5hcoZiRBBp5UEV4HWRqrigdys65/cPA0iqOKFwolhiSn+P1r56XxEZrqWb+4488LRGT0l&#10;FKYfEjuA95QgIKNNSmoMsSHAwR9xnsVwxGz7otHlNxlil5LudUlXXRKTtHj3dlvTw5m87VXPwIAx&#10;fVDgWP5ouTU+GxeNOH+MiZpR6a0kL1vPRpKcGUtZBGu6R2Nt3ozYnw4W2VnQoW/X23q7yeqJ4kUZ&#10;zaynxexpclG+0tWqqcEXpSkX0r2eOuQbqRZaIaXyaT3zWk/VGaZJwgKcpf0JONdnqCq39W/AC6J0&#10;Bp8WsDMe8Hey0+UmWU/1twQm3zmCE3TXcr4lGrp2Jbn5F8n3+uW8wJ9/5P0PAAAA//8DAFBLAwQU&#10;AAYACAAAACEATtJDqd0AAAAMAQAADwAAAGRycy9kb3ducmV2LnhtbEyPzU7DMBCE70i8g7VIXBC1&#10;m6BShThVhVTElZYH2MabH7DXUeymgafHlZDgtrM7mv2m3MzOionG0HvWsFwoEMS1Nz23Gt4Pu/s1&#10;iBCRDVrPpOGLAmyq66sSC+PP/EbTPrYihXAoUEMX41BIGeqOHIaFH4jTrfGjw5jk2Eoz4jmFOysz&#10;pVbSYc/pQ4cDPXdUf+5PTsPd+nvavXBusVEeLb5+5NvmoPXtzbx9AhFpjn9muOAndKgS09Gf2ARh&#10;k85UnqxpWOYPIC6OVZY9gjj+rmRVyv8lqh8AAAD//wMAUEsBAi0AFAAGAAgAAAAhALaDOJL+AAAA&#10;4QEAABMAAAAAAAAAAAAAAAAAAAAAAFtDb250ZW50X1R5cGVzXS54bWxQSwECLQAUAAYACAAAACEA&#10;OP0h/9YAAACUAQAACwAAAAAAAAAAAAAAAAAvAQAAX3JlbHMvLnJlbHNQSwECLQAUAAYACAAAACEA&#10;DOSPr9wBAAAQBAAADgAAAAAAAAAAAAAAAAAuAgAAZHJzL2Uyb0RvYy54bWxQSwECLQAUAAYACAAA&#10;ACEATtJDqd0AAAAMAQAADwAAAAAAAAAAAAAAAAA2BAAAZHJzL2Rvd25yZXYueG1sUEsFBgAAAAAE&#10;AAQA8wAAAEAFAAAAAA==&#10;" o:allowoverlap="f" strokecolor="#414042" strokeweight="2pt">
              <w10:wrap anchorx="page" anchory="page"/>
            </v:line>
          </w:pict>
        </mc:Fallback>
      </mc:AlternateContent>
    </w:r>
    <w:r>
      <w:tab/>
    </w:r>
    <w:sdt>
      <w:sdtPr>
        <w:alias w:val="Client Company Name"/>
        <w:tag w:val="Cust_Co_Name"/>
        <w:id w:val="-1052687814"/>
        <w:showingPlcHdr/>
        <w:dataBinding w:xpath="/root[1]/custCoName[1]" w:storeItemID="{AB744645-93F6-480A-9B81-25C04A394EE3}"/>
        <w:text/>
      </w:sdtPr>
      <w:sdtEndPr/>
      <w:sdtContent>
        <w:r>
          <w:t xml:space="preserve">     </w:t>
        </w:r>
      </w:sdtContent>
    </w:sdt>
    <w:r>
      <w:tab/>
      <w:t>Chapter 8</w:t>
    </w:r>
    <w:r w:rsidRPr="00D571F8">
      <w:t xml:space="preserve">: </w:t>
    </w:r>
    <w:r>
      <w:t>Impact a</w:t>
    </w:r>
    <w:r w:rsidRPr="009A2194">
      <w:t xml:space="preserve">ssessment </w:t>
    </w:r>
    <w:r>
      <w:t>for ozone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C66B" w14:textId="2A492EFA" w:rsidR="00B246FA" w:rsidRPr="00855EF8" w:rsidRDefault="00B246FA" w:rsidP="00CB5360">
    <w:pPr>
      <w:pStyle w:val="Header"/>
      <w:tabs>
        <w:tab w:val="clear" w:pos="9026"/>
        <w:tab w:val="right" w:pos="10065"/>
      </w:tabs>
      <w:ind w:left="0" w:right="-426"/>
    </w:pPr>
    <w:r>
      <w:rPr>
        <w:noProof/>
        <w:lang w:eastAsia="en-AU"/>
      </w:rPr>
      <mc:AlternateContent>
        <mc:Choice Requires="wps">
          <w:drawing>
            <wp:anchor distT="0" distB="0" distL="114300" distR="114300" simplePos="0" relativeHeight="251658265" behindDoc="1" locked="0" layoutInCell="1" allowOverlap="0" wp14:anchorId="3FBBE218" wp14:editId="25DD89DD">
              <wp:simplePos x="0" y="0"/>
              <wp:positionH relativeFrom="page">
                <wp:posOffset>647700</wp:posOffset>
              </wp:positionH>
              <wp:positionV relativeFrom="page">
                <wp:posOffset>720090</wp:posOffset>
              </wp:positionV>
              <wp:extent cx="6480000" cy="0"/>
              <wp:effectExtent l="0" t="0" r="35560" b="19050"/>
              <wp:wrapNone/>
              <wp:docPr id="26" name="Straight Connector 26"/>
              <wp:cNvGraphicFramePr/>
              <a:graphic xmlns:a="http://schemas.openxmlformats.org/drawingml/2006/main">
                <a:graphicData uri="http://schemas.microsoft.com/office/word/2010/wordprocessingShape">
                  <wps:wsp>
                    <wps:cNvCnPr/>
                    <wps:spPr>
                      <a:xfrm>
                        <a:off x="0" y="0"/>
                        <a:ext cx="6480000" cy="0"/>
                      </a:xfrm>
                      <a:prstGeom prst="line">
                        <a:avLst/>
                      </a:prstGeom>
                      <a:ln w="25400">
                        <a:solidFill>
                          <a:srgbClr val="4140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CD9DA9" id="Straight Connector 26" o:spid="_x0000_s1026" style="position:absolute;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1pt,56.7pt" to="561.2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1vt3QEAABAEAAAOAAAAZHJzL2Uyb0RvYy54bWysU02P2yAUvFfqf0DcG9uRG62sOHvIavdS&#10;tVG3/QEEg43Elx40dv59H9jxrrZVpVb1AfvBm2FmwPv7yWhyERCUsy2tNiUlwnLXKdu39Pu3xw93&#10;lITIbMe0s6KlVxHo/eH9u/3oG7F1g9OdAIIkNjSjb+kQo2+KIvBBGBY2zguLi9KBYRFL6IsO2Ijs&#10;RhfbstwVo4POg+MiBJx9mBfpIfNLKXj8ImUQkeiWoraYR8jjOY3FYc+aHpgfFF9ksH9QYZiyuOlK&#10;9cAiIz9A/UJlFAcXnIwb7kzhpFRcZA/opirfuHkemBfZC4YT/BpT+H+0/PPlBER1Ld3uKLHM4Bk9&#10;R2CqHyI5OmsxQQcEFzGp0YcGAUd7gqUK/gTJ9iTBpDcaIlNO97qmK6ZIOE7u6rsSH0r4ba14AXoI&#10;8Uk4Q9JHS7WyyThr2OVTiLgZtt5a0rS2ZETJH2vkS3VwWnWPSutcQH8+aiAXhodeV3VZb5N6pHjV&#10;hpW2OJk8zS7yV7xqMW/wVUjMBXVX8w7pRoqVlnEubKwWXm2xO8EkSliBi7Q/AZf+BBX5tv4NeEXk&#10;nZ2NK9go6+B3suN0kyzn/lsCs+8Uwdl113y+ORq8djm55RdJ9/p1neEvP/LhJwAAAP//AwBQSwME&#10;FAAGAAgAAAAhADMutofdAAAADAEAAA8AAABkcnMvZG93bnJldi54bWxMj91KAzEQhe8F3yGM4I3Y&#10;7I9K2W62FKHira0PMN1kf2oyWTbpdvXpnYJg7+bMHM58p1zPzorJjKH3pCBdJCAM1V731Cr43G8f&#10;lyBCRNJoPRkF3ybAurq9KbHQ/kwfZtrFVnAIhQIVdDEOhZSh7ozDsPCDIb41fnQYWY6t1COeOdxZ&#10;mSXJi3TYE3/ocDCvnam/dien4GH5M23fKLfYJB4tvh/zTbNX6v5u3qxARDPHfzNc8BkdKmY6+BPp&#10;ICzrJOMukYc0fwJxcaRZ9gzi8LeSVSmvS1S/AAAA//8DAFBLAQItABQABgAIAAAAIQC2gziS/gAA&#10;AOEBAAATAAAAAAAAAAAAAAAAAAAAAABbQ29udGVudF9UeXBlc10ueG1sUEsBAi0AFAAGAAgAAAAh&#10;ADj9If/WAAAAlAEAAAsAAAAAAAAAAAAAAAAALwEAAF9yZWxzLy5yZWxzUEsBAi0AFAAGAAgAAAAh&#10;ALmjW+3dAQAAEAQAAA4AAAAAAAAAAAAAAAAALgIAAGRycy9lMm9Eb2MueG1sUEsBAi0AFAAGAAgA&#10;AAAhADMutofdAAAADAEAAA8AAAAAAAAAAAAAAAAANwQAAGRycy9kb3ducmV2LnhtbFBLBQYAAAAA&#10;BAAEAPMAAABBBQAAAAA=&#10;" o:allowoverlap="f" strokecolor="#414042" strokeweight="2pt">
              <w10:wrap anchorx="page" anchory="page"/>
            </v:line>
          </w:pict>
        </mc:Fallback>
      </mc:AlternateContent>
    </w:r>
    <w:sdt>
      <w:sdtPr>
        <w:alias w:val="Client Company Name"/>
        <w:tag w:val="Cust_Co_Name"/>
        <w:id w:val="-912768219"/>
        <w:lock w:val="sdtLocked"/>
        <w:showingPlcHdr/>
        <w:dataBinding w:xpath="/root[1]/custCoName[1]" w:storeItemID="{AB744645-93F6-480A-9B81-25C04A394EE3}"/>
        <w:text/>
      </w:sdtPr>
      <w:sdtEndPr/>
      <w:sdtContent>
        <w:r>
          <w:t xml:space="preserve">     </w:t>
        </w:r>
      </w:sdtContent>
    </w:sdt>
    <w:r>
      <w:tab/>
    </w:r>
    <w:r>
      <w:tab/>
      <w:t>Chapter 8</w:t>
    </w:r>
    <w:r w:rsidRPr="00D571F8">
      <w:t xml:space="preserve">: </w:t>
    </w:r>
    <w:r>
      <w:t>Impact a</w:t>
    </w:r>
    <w:r w:rsidRPr="009A2194">
      <w:t xml:space="preserve">ssessment </w:t>
    </w:r>
    <w:r>
      <w:t>for ozone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ED82E" w14:textId="378004A4" w:rsidR="00B246FA" w:rsidRPr="00855EF8" w:rsidRDefault="00B246FA" w:rsidP="00CB5360">
    <w:pPr>
      <w:pStyle w:val="Header"/>
      <w:tabs>
        <w:tab w:val="clear" w:pos="9026"/>
        <w:tab w:val="right" w:pos="10065"/>
      </w:tabs>
      <w:ind w:left="0" w:right="-426"/>
    </w:pPr>
    <w:r>
      <w:rPr>
        <w:noProof/>
        <w:lang w:eastAsia="en-AU"/>
      </w:rPr>
      <mc:AlternateContent>
        <mc:Choice Requires="wps">
          <w:drawing>
            <wp:anchor distT="0" distB="0" distL="114300" distR="114300" simplePos="0" relativeHeight="251668525" behindDoc="1" locked="0" layoutInCell="1" allowOverlap="0" wp14:anchorId="09783FFF" wp14:editId="653BC099">
              <wp:simplePos x="0" y="0"/>
              <wp:positionH relativeFrom="page">
                <wp:posOffset>647700</wp:posOffset>
              </wp:positionH>
              <wp:positionV relativeFrom="page">
                <wp:posOffset>720090</wp:posOffset>
              </wp:positionV>
              <wp:extent cx="6480000" cy="0"/>
              <wp:effectExtent l="0" t="0" r="35560" b="19050"/>
              <wp:wrapNone/>
              <wp:docPr id="451" name="Straight Connector 451"/>
              <wp:cNvGraphicFramePr/>
              <a:graphic xmlns:a="http://schemas.openxmlformats.org/drawingml/2006/main">
                <a:graphicData uri="http://schemas.microsoft.com/office/word/2010/wordprocessingShape">
                  <wps:wsp>
                    <wps:cNvCnPr/>
                    <wps:spPr>
                      <a:xfrm>
                        <a:off x="0" y="0"/>
                        <a:ext cx="6480000" cy="0"/>
                      </a:xfrm>
                      <a:prstGeom prst="line">
                        <a:avLst/>
                      </a:prstGeom>
                      <a:ln w="25400">
                        <a:solidFill>
                          <a:srgbClr val="4140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DFA78D" id="Straight Connector 451" o:spid="_x0000_s1026" style="position:absolute;z-index:-2516479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1pt,56.7pt" to="561.2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K3gEAABIEAAAOAAAAZHJzL2Uyb0RvYy54bWysU01v3CAQvVfqf0Dcu7ZXThRZ681ho/RS&#10;taum/QEsBhuJLw107f33HbDXiZKqUqv4gBmY92beA3b3k9HkLCAoZ1tabUpKhOWuU7Zv6c8fj5/u&#10;KAmR2Y5pZ0VLLyLQ+/3HD7vRN2LrBqc7AQRJbGhG39IhRt8UReCDMCxsnBcWN6UDwyKG0BcdsBHZ&#10;jS62ZXlbjA46D46LEHD1Yd6k+8wvpeDxm5RBRKJbir3FPEIeT2ks9jvW9MD8oPjSBvuPLgxTFouu&#10;VA8sMvIL1Bsqozi44GTccGcKJ6XiImtANVX5Ss3TwLzIWtCc4FebwvvR8q/nIxDVtbS+qSixzOAh&#10;PUVgqh8iOThr0UIHJO2iV6MPDUIO9ghLFPwRkvBJgkl/lESm7O9l9VdMkXBcvK3vSvwo4de94hno&#10;IcTPwhmSJi3VyibprGHnLyFiMUy9pqRlbcnY0u1NjXwpDk6r7lFpnQPoTwcN5Mzw2OuqLutt6h4p&#10;XqRhpC0uJk2zijyLFy3mAt+FRGew72qukO6kWGkZ58LG7EpmwuwEk9jCClxa+xtwyU9Qke/rv4BX&#10;RK7sbFzBRlkHf2o7TteW5Zx/dWDWnSw4ue6SzzdbgxcvO7c8knSzX8YZ/vyU978BAAD//wMAUEsD&#10;BBQABgAIAAAAIQAzLraH3QAAAAwBAAAPAAAAZHJzL2Rvd25yZXYueG1sTI/dSgMxEIXvBd8hjOCN&#10;2OyPStluthSh4q2tDzDdZH9qMlk26Xb16Z2CYO/mzBzOfKdcz86KyYyh96QgXSQgDNVe99Qq+Nxv&#10;H5cgQkTSaD0ZBd8mwLq6vSmx0P5MH2baxVZwCIUCFXQxDoWUoe6Mw7DwgyG+NX50GFmOrdQjnjnc&#10;WZklyYt02BN/6HAwr52pv3Ynp+Bh+TNt3yi32CQeLb4f802zV+r+bt6sQEQzx38zXPAZHSpmOvgT&#10;6SAs6yTjLpGHNH8CcXGkWfYM4vC3klUpr0tUvwAAAP//AwBQSwECLQAUAAYACAAAACEAtoM4kv4A&#10;AADhAQAAEwAAAAAAAAAAAAAAAAAAAAAAW0NvbnRlbnRfVHlwZXNdLnhtbFBLAQItABQABgAIAAAA&#10;IQA4/SH/1gAAAJQBAAALAAAAAAAAAAAAAAAAAC8BAABfcmVscy8ucmVsc1BLAQItABQABgAIAAAA&#10;IQD/tsSK3gEAABIEAAAOAAAAAAAAAAAAAAAAAC4CAABkcnMvZTJvRG9jLnhtbFBLAQItABQABgAI&#10;AAAAIQAzLraH3QAAAAwBAAAPAAAAAAAAAAAAAAAAADgEAABkcnMvZG93bnJldi54bWxQSwUGAAAA&#10;AAQABADzAAAAQgUAAAAA&#10;" o:allowoverlap="f" strokecolor="#414042" strokeweight="2pt">
              <w10:wrap anchorx="page" anchory="page"/>
            </v:line>
          </w:pict>
        </mc:Fallback>
      </mc:AlternateContent>
    </w:r>
    <w:sdt>
      <w:sdtPr>
        <w:alias w:val="Client Company Name"/>
        <w:tag w:val="Cust_Co_Name"/>
        <w:id w:val="-927572032"/>
        <w:lock w:val="sdtLocked"/>
        <w:showingPlcHdr/>
        <w:dataBinding w:xpath="/root[1]/custCoName[1]" w:storeItemID="{AB744645-93F6-480A-9B81-25C04A394EE3}"/>
        <w:text/>
      </w:sdtPr>
      <w:sdtEndPr/>
      <w:sdtContent>
        <w:r>
          <w:t xml:space="preserve">     </w:t>
        </w:r>
      </w:sdtContent>
    </w:sdt>
    <w:r>
      <w:tab/>
    </w:r>
    <w:r>
      <w:tab/>
      <w:t>Chapter 9: Results of cost</w:t>
    </w:r>
    <w:r>
      <w:rPr>
        <w:rFonts w:cs="Arial"/>
      </w:rPr>
      <w:t>–</w:t>
    </w:r>
    <w:r>
      <w:t>benefit analysis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16CE3" w14:textId="77777777" w:rsidR="00B246FA" w:rsidRPr="00855EF8" w:rsidRDefault="00B246FA" w:rsidP="00CB5360">
    <w:pPr>
      <w:pStyle w:val="Header"/>
      <w:tabs>
        <w:tab w:val="clear" w:pos="9026"/>
        <w:tab w:val="right" w:pos="10065"/>
      </w:tabs>
      <w:ind w:left="0" w:right="-426"/>
    </w:pPr>
    <w:r>
      <w:rPr>
        <w:noProof/>
        <w:lang w:eastAsia="en-AU"/>
      </w:rPr>
      <mc:AlternateContent>
        <mc:Choice Requires="wps">
          <w:drawing>
            <wp:anchor distT="0" distB="0" distL="114300" distR="114300" simplePos="0" relativeHeight="251676717" behindDoc="1" locked="0" layoutInCell="1" allowOverlap="0" wp14:anchorId="037B1729" wp14:editId="24343971">
              <wp:simplePos x="0" y="0"/>
              <wp:positionH relativeFrom="page">
                <wp:posOffset>647700</wp:posOffset>
              </wp:positionH>
              <wp:positionV relativeFrom="page">
                <wp:posOffset>720090</wp:posOffset>
              </wp:positionV>
              <wp:extent cx="6480000" cy="0"/>
              <wp:effectExtent l="0" t="0" r="35560" b="19050"/>
              <wp:wrapNone/>
              <wp:docPr id="452" name="Straight Connector 452"/>
              <wp:cNvGraphicFramePr/>
              <a:graphic xmlns:a="http://schemas.openxmlformats.org/drawingml/2006/main">
                <a:graphicData uri="http://schemas.microsoft.com/office/word/2010/wordprocessingShape">
                  <wps:wsp>
                    <wps:cNvCnPr/>
                    <wps:spPr>
                      <a:xfrm>
                        <a:off x="0" y="0"/>
                        <a:ext cx="6480000" cy="0"/>
                      </a:xfrm>
                      <a:prstGeom prst="line">
                        <a:avLst/>
                      </a:prstGeom>
                      <a:ln w="25400">
                        <a:solidFill>
                          <a:srgbClr val="4140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44F588" id="Straight Connector 452" o:spid="_x0000_s1026" style="position:absolute;z-index:-2516397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1pt,56.7pt" to="561.2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nq3gEAABIEAAAOAAAAZHJzL2Uyb0RvYy54bWysU01v3CAQvVfqf0Dcu7ZXThRZ681ho/RS&#10;taum/QEsBhuJLw107f33HbDXiZKqUqv4gBmY92beA3b3k9HkLCAoZ1tabUpKhOWuU7Zv6c8fj5/u&#10;KAmR2Y5pZ0VLLyLQ+/3HD7vRN2LrBqc7AQRJbGhG39IhRt8UReCDMCxsnBcWN6UDwyKG0BcdsBHZ&#10;jS62ZXlbjA46D46LEHD1Yd6k+8wvpeDxm5RBRKJbir3FPEIeT2ks9jvW9MD8oPjSBvuPLgxTFouu&#10;VA8sMvIL1Bsqozi44GTccGcKJ6XiImtANVX5Ss3TwLzIWtCc4FebwvvR8q/nIxDVtbS+2VJimcFD&#10;eorAVD9EcnDWooUOSNpFr0YfGoQc7BGWKPgjJOGTBJP+KIlM2d/L6q+YIuG4eFvflfhRwq97xTPQ&#10;Q4ifhTMkTVqqlU3SWcPOX0LEYph6TUnL2pKxpdubGvlSHJxW3aPSOgfQnw4ayJnhsddVXda5e6R4&#10;kYaRtsibNM0q8ixetJgLfBcSncG+q7lCupNipWWcCxur5EpmwuwEk9jCClxa+xtwyU9Qke/rv4BX&#10;RK7sbFzBRlkHf2o7TteW5Zx/dWDWnSw4ue6SzzdbgxcvK1weSbrZL+MMf37K+98AAAD//wMAUEsD&#10;BBQABgAIAAAAIQAzLraH3QAAAAwBAAAPAAAAZHJzL2Rvd25yZXYueG1sTI/dSgMxEIXvBd8hjOCN&#10;2OyPStluthSh4q2tDzDdZH9qMlk26Xb16Z2CYO/mzBzOfKdcz86KyYyh96QgXSQgDNVe99Qq+Nxv&#10;H5cgQkTSaD0ZBd8mwLq6vSmx0P5MH2baxVZwCIUCFXQxDoWUoe6Mw7DwgyG+NX50GFmOrdQjnjnc&#10;WZklyYt02BN/6HAwr52pv3Ynp+Bh+TNt3yi32CQeLb4f802zV+r+bt6sQEQzx38zXPAZHSpmOvgT&#10;6SAs6yTjLpGHNH8CcXGkWfYM4vC3klUpr0tUvwAAAP//AwBQSwECLQAUAAYACAAAACEAtoM4kv4A&#10;AADhAQAAEwAAAAAAAAAAAAAAAAAAAAAAW0NvbnRlbnRfVHlwZXNdLnhtbFBLAQItABQABgAIAAAA&#10;IQA4/SH/1gAAAJQBAAALAAAAAAAAAAAAAAAAAC8BAABfcmVscy8ucmVsc1BLAQItABQABgAIAAAA&#10;IQAtqVnq3gEAABIEAAAOAAAAAAAAAAAAAAAAAC4CAABkcnMvZTJvRG9jLnhtbFBLAQItABQABgAI&#10;AAAAIQAzLraH3QAAAAwBAAAPAAAAAAAAAAAAAAAAADgEAABkcnMvZG93bnJldi54bWxQSwUGAAAA&#10;AAQABADzAAAAQgUAAAAA&#10;" o:allowoverlap="f" strokecolor="#414042" strokeweight="2pt">
              <w10:wrap anchorx="page" anchory="page"/>
            </v:line>
          </w:pict>
        </mc:Fallback>
      </mc:AlternateContent>
    </w:r>
    <w:sdt>
      <w:sdtPr>
        <w:alias w:val="Client Company Name"/>
        <w:tag w:val="Cust_Co_Name"/>
        <w:id w:val="-894898629"/>
        <w:lock w:val="sdtLocked"/>
        <w:showingPlcHdr/>
        <w:dataBinding w:xpath="/root[1]/custCoName[1]" w:storeItemID="{AB744645-93F6-480A-9B81-25C04A394EE3}"/>
        <w:text/>
      </w:sdtPr>
      <w:sdtEndPr/>
      <w:sdtContent>
        <w:r>
          <w:t xml:space="preserve">     </w:t>
        </w:r>
      </w:sdtContent>
    </w:sdt>
    <w:r>
      <w:tab/>
    </w:r>
    <w:r>
      <w:tab/>
      <w:t>Chapter 10: Overall summary and recommendations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920AF" w14:textId="40C573B9" w:rsidR="00B246FA" w:rsidRPr="00855EF8" w:rsidRDefault="00B246FA" w:rsidP="0094208B">
    <w:pPr>
      <w:pStyle w:val="Header"/>
      <w:tabs>
        <w:tab w:val="clear" w:pos="9026"/>
        <w:tab w:val="right" w:pos="10065"/>
      </w:tabs>
      <w:ind w:left="0" w:right="-733"/>
    </w:pPr>
    <w:r>
      <w:rPr>
        <w:noProof/>
        <w:lang w:eastAsia="en-AU"/>
      </w:rPr>
      <mc:AlternateContent>
        <mc:Choice Requires="wps">
          <w:drawing>
            <wp:anchor distT="0" distB="0" distL="114300" distR="114300" simplePos="0" relativeHeight="251658247" behindDoc="1" locked="0" layoutInCell="1" allowOverlap="0" wp14:anchorId="3CC7E1DF" wp14:editId="7430E23F">
              <wp:simplePos x="0" y="0"/>
              <wp:positionH relativeFrom="page">
                <wp:posOffset>647700</wp:posOffset>
              </wp:positionH>
              <wp:positionV relativeFrom="page">
                <wp:posOffset>720090</wp:posOffset>
              </wp:positionV>
              <wp:extent cx="6480000" cy="0"/>
              <wp:effectExtent l="0" t="0" r="35560" b="19050"/>
              <wp:wrapNone/>
              <wp:docPr id="1" name="Straight Connector 1"/>
              <wp:cNvGraphicFramePr/>
              <a:graphic xmlns:a="http://schemas.openxmlformats.org/drawingml/2006/main">
                <a:graphicData uri="http://schemas.microsoft.com/office/word/2010/wordprocessingShape">
                  <wps:wsp>
                    <wps:cNvCnPr/>
                    <wps:spPr>
                      <a:xfrm>
                        <a:off x="0" y="0"/>
                        <a:ext cx="6480000" cy="0"/>
                      </a:xfrm>
                      <a:prstGeom prst="line">
                        <a:avLst/>
                      </a:prstGeom>
                      <a:ln w="25400">
                        <a:solidFill>
                          <a:srgbClr val="4140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B45A1E" id="Straight Connector 1" o:spid="_x0000_s1026" style="position:absolute;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1pt,56.7pt" to="561.2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fPJ2wEAAA4EAAAOAAAAZHJzL2Uyb0RvYy54bWysU02P0zAQvSPxHyzfadIqrFZR0z10tVwQ&#10;VCz8ANcZN5b8pbFp0n/P2GmzK0BIIHJwPPa8N/Oe7e3DZA07A0btXcfXq5ozcNL32p06/u3r07t7&#10;zmISrhfGO+j4BSJ/2L19sx1DCxs/eNMDMiJxsR1Dx4eUQltVUQ5gRVz5AI42lUcrEoV4qnoUI7Fb&#10;U23q+q4aPfYBvYQYafVx3uS7wq8UyPRZqQiJmY5Tb6mMWMZjHqvdVrQnFGHQ8tqG+IcurNCOii5U&#10;jyIJ9h31L1RWS/TRq7SS3lZeKS2haCA16/onNc+DCFC0kDkxLDbF/0crP50PyHRPZ8eZE5aO6Dmh&#10;0Kchsb13jgz0yNbZpzHEltL37oDXKIYDZtGTQpv/JIdNxdvL4i1MiUlavGvua/o4k7e96gUYMKYP&#10;4C3Lk44b7bJs0Yrzx5ioGKXeUvKycWzs+OZ9Q3w5jt7o/kkbUwI8HfcG2VnQkTfrpm42uXuieJVG&#10;kXG0mDXNKsosXQzMBb6AIleo7/VcId9HWGiFlOBScaUwUXaGKWphAV5b+xPwmp+hUO7q34AXRKns&#10;XVrAVjuPv2s7TbeW1Zx/c2DWnS04+v5SzrdYQ5euOHd9IPlWv44L/OUZ734AAAD//wMAUEsDBBQA&#10;BgAIAAAAIQAzLraH3QAAAAwBAAAPAAAAZHJzL2Rvd25yZXYueG1sTI/dSgMxEIXvBd8hjOCN2OyP&#10;StluthSh4q2tDzDdZH9qMlk26Xb16Z2CYO/mzBzOfKdcz86KyYyh96QgXSQgDNVe99Qq+NxvH5cg&#10;QkTSaD0ZBd8mwLq6vSmx0P5MH2baxVZwCIUCFXQxDoWUoe6Mw7DwgyG+NX50GFmOrdQjnjncWZkl&#10;yYt02BN/6HAwr52pv3Ynp+Bh+TNt3yi32CQeLb4f802zV+r+bt6sQEQzx38zXPAZHSpmOvgT6SAs&#10;6yTjLpGHNH8CcXGkWfYM4vC3klUpr0tUvwAAAP//AwBQSwECLQAUAAYACAAAACEAtoM4kv4AAADh&#10;AQAAEwAAAAAAAAAAAAAAAAAAAAAAW0NvbnRlbnRfVHlwZXNdLnhtbFBLAQItABQABgAIAAAAIQA4&#10;/SH/1gAAAJQBAAALAAAAAAAAAAAAAAAAAC8BAABfcmVscy8ucmVsc1BLAQItABQABgAIAAAAIQAk&#10;WfPJ2wEAAA4EAAAOAAAAAAAAAAAAAAAAAC4CAABkcnMvZTJvRG9jLnhtbFBLAQItABQABgAIAAAA&#10;IQAzLraH3QAAAAwBAAAPAAAAAAAAAAAAAAAAADUEAABkcnMvZG93bnJldi54bWxQSwUGAAAAAAQA&#10;BADzAAAAPwUAAAAA&#10;" o:allowoverlap="f" strokecolor="#414042" strokeweight="2pt">
              <w10:wrap anchorx="page" anchory="page"/>
            </v:line>
          </w:pict>
        </mc:Fallback>
      </mc:AlternateContent>
    </w:r>
    <w:sdt>
      <w:sdtPr>
        <w:alias w:val="Client Company Name"/>
        <w:tag w:val="Cust_Co_Name"/>
        <w:id w:val="1721555126"/>
        <w:lock w:val="sdtLocked"/>
        <w:showingPlcHdr/>
        <w:dataBinding w:xpath="/root[1]/custCoName[1]" w:storeItemID="{AB744645-93F6-480A-9B81-25C04A394EE3}"/>
        <w:text/>
      </w:sdtPr>
      <w:sdtEndPr/>
      <w:sdtContent>
        <w:r>
          <w:t xml:space="preserve">     </w:t>
        </w:r>
      </w:sdtContent>
    </w:sdt>
    <w:r>
      <w:tab/>
    </w:r>
    <w:r>
      <w:tab/>
      <w:t>Chapter 1: Introduction</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C6B66" w14:textId="15807865" w:rsidR="00B246FA" w:rsidRPr="00855EF8" w:rsidRDefault="00B246FA" w:rsidP="00CB5360">
    <w:pPr>
      <w:pStyle w:val="Header"/>
      <w:tabs>
        <w:tab w:val="clear" w:pos="9026"/>
        <w:tab w:val="right" w:pos="10065"/>
      </w:tabs>
      <w:ind w:left="0" w:right="-426"/>
    </w:pPr>
    <w:r>
      <w:rPr>
        <w:noProof/>
        <w:lang w:eastAsia="en-AU"/>
      </w:rPr>
      <mc:AlternateContent>
        <mc:Choice Requires="wps">
          <w:drawing>
            <wp:anchor distT="0" distB="0" distL="114300" distR="114300" simplePos="0" relativeHeight="251658285" behindDoc="1" locked="0" layoutInCell="1" allowOverlap="0" wp14:anchorId="2C80F828" wp14:editId="6ABCD0AC">
              <wp:simplePos x="0" y="0"/>
              <wp:positionH relativeFrom="page">
                <wp:posOffset>647700</wp:posOffset>
              </wp:positionH>
              <wp:positionV relativeFrom="page">
                <wp:posOffset>720090</wp:posOffset>
              </wp:positionV>
              <wp:extent cx="6480000" cy="0"/>
              <wp:effectExtent l="0" t="0" r="35560" b="19050"/>
              <wp:wrapNone/>
              <wp:docPr id="457" name="Straight Connector 457"/>
              <wp:cNvGraphicFramePr/>
              <a:graphic xmlns:a="http://schemas.openxmlformats.org/drawingml/2006/main">
                <a:graphicData uri="http://schemas.microsoft.com/office/word/2010/wordprocessingShape">
                  <wps:wsp>
                    <wps:cNvCnPr/>
                    <wps:spPr>
                      <a:xfrm>
                        <a:off x="0" y="0"/>
                        <a:ext cx="6480000" cy="0"/>
                      </a:xfrm>
                      <a:prstGeom prst="line">
                        <a:avLst/>
                      </a:prstGeom>
                      <a:ln w="25400">
                        <a:solidFill>
                          <a:srgbClr val="4140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2FAE6C" id="Straight Connector 457" o:spid="_x0000_s1026" style="position:absolute;z-index:-2516581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1pt,56.7pt" to="561.2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5L3wEAABIEAAAOAAAAZHJzL2Uyb0RvYy54bWysU01v3CAQvVfqf0Dcu7ZXThpZ681ho/RS&#10;taum/QEsBhuJLw107f33HbDXidqqUqL6gBmY92beA3b3k9HkLCAoZ1tabUpKhOWuU7Zv6Y/vjx/u&#10;KAmR2Y5pZ0VLLyLQ+/37d7vRN2LrBqc7AQRJbGhG39IhRt8UReCDMCxsnBcWN6UDwyKG0BcdsBHZ&#10;jS62ZXlbjA46D46LEHD1Yd6k+8wvpeDxq5RBRKJbir3FPEIeT2ks9jvW9MD8oPjSBntDF4Ypi0VX&#10;qgcWGfkJ6g8qozi44GTccGcKJ6XiImtANVX5m5qngXmRtaA5wa82hf9Hy7+cj0BU19L65iMllhk8&#10;pKcITPVDJAdnLVrogKRd9Gr0oUHIwR5hiYI/QhI+STDpj5LIlP29rP6KKRKOi7f1XYkfJfy6VzwD&#10;PYT4SThD0qSlWtkknTXs/DlELIap15S0rC0ZW7q9qZEvxcFp1T0qrXMA/emggZwZHntd1WW9Td0j&#10;xYs0jLTFxaRpVpFn8aLFXOCbkOgM9l3NFdKdFCst41zYWC282mJ2gklsYQUurf0LuOQnqMj39TXg&#10;FZErOxtXsFHWwd/ajtO1ZTnnXx2YdScLTq675PPN1uDFy84tjyTd7Jdxhj8/5f0vAAAA//8DAFBL&#10;AwQUAAYACAAAACEAMy62h90AAAAMAQAADwAAAGRycy9kb3ducmV2LnhtbEyP3UoDMRCF7wXfIYzg&#10;jdjsj0rZbrYUoeKtrQ8w3WR/ajJZNul29emdgmDv5swcznynXM/OismMofekIF0kIAzVXvfUKvjc&#10;bx+XIEJE0mg9GQXfJsC6ur0psdD+TB9m2sVWcAiFAhV0MQ6FlKHujMOw8IMhvjV+dBhZjq3UI545&#10;3FmZJcmLdNgTf+hwMK+dqb92J6fgYfkzbd8ot9gkHi2+H/NNs1fq/m7erEBEM8d/M1zwGR0qZjr4&#10;E+kgLOsk4y6RhzR/AnFxpFn2DOLwt5JVKa9LVL8AAAD//wMAUEsBAi0AFAAGAAgAAAAhALaDOJL+&#10;AAAA4QEAABMAAAAAAAAAAAAAAAAAAAAAAFtDb250ZW50X1R5cGVzXS54bWxQSwECLQAUAAYACAAA&#10;ACEAOP0h/9YAAACUAQAACwAAAAAAAAAAAAAAAAAvAQAAX3JlbHMvLnJlbHNQSwECLQAUAAYACAAA&#10;ACEAW4n+S98BAAASBAAADgAAAAAAAAAAAAAAAAAuAgAAZHJzL2Uyb0RvYy54bWxQSwECLQAUAAYA&#10;CAAAACEAMy62h90AAAAMAQAADwAAAAAAAAAAAAAAAAA5BAAAZHJzL2Rvd25yZXYueG1sUEsFBgAA&#10;AAAEAAQA8wAAAEMFAAAAAA==&#10;" o:allowoverlap="f" strokecolor="#414042" strokeweight="2pt">
              <w10:wrap anchorx="page" anchory="page"/>
            </v:line>
          </w:pict>
        </mc:Fallback>
      </mc:AlternateContent>
    </w:r>
    <w:sdt>
      <w:sdtPr>
        <w:alias w:val="Client Company Name"/>
        <w:tag w:val="Cust_Co_Name"/>
        <w:id w:val="398491385"/>
        <w:lock w:val="sdtLocked"/>
        <w:showingPlcHdr/>
        <w:dataBinding w:xpath="/root[1]/custCoName[1]" w:storeItemID="{AB744645-93F6-480A-9B81-25C04A394EE3}"/>
        <w:text/>
      </w:sdtPr>
      <w:sdtEndPr/>
      <w:sdtContent>
        <w:r>
          <w:t xml:space="preserve">     </w:t>
        </w:r>
      </w:sdtContent>
    </w:sdt>
    <w:r>
      <w:tab/>
    </w:r>
    <w:r>
      <w:tab/>
      <w:t>Chapter 11: Limitations and uncertainties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E13E3" w14:textId="7C9778A7" w:rsidR="00B246FA" w:rsidRPr="00855EF8" w:rsidRDefault="00B246FA" w:rsidP="00CB5360">
    <w:pPr>
      <w:pStyle w:val="Header"/>
      <w:tabs>
        <w:tab w:val="clear" w:pos="9026"/>
        <w:tab w:val="right" w:pos="10065"/>
      </w:tabs>
      <w:ind w:left="0" w:right="-426"/>
    </w:pPr>
    <w:r>
      <w:rPr>
        <w:noProof/>
        <w:lang w:eastAsia="en-AU"/>
      </w:rPr>
      <mc:AlternateContent>
        <mc:Choice Requires="wps">
          <w:drawing>
            <wp:anchor distT="0" distB="0" distL="114300" distR="114300" simplePos="0" relativeHeight="251674669" behindDoc="1" locked="0" layoutInCell="1" allowOverlap="0" wp14:anchorId="146DE261" wp14:editId="569260D4">
              <wp:simplePos x="0" y="0"/>
              <wp:positionH relativeFrom="page">
                <wp:posOffset>647700</wp:posOffset>
              </wp:positionH>
              <wp:positionV relativeFrom="page">
                <wp:posOffset>720090</wp:posOffset>
              </wp:positionV>
              <wp:extent cx="6480000" cy="0"/>
              <wp:effectExtent l="0" t="0" r="35560" b="19050"/>
              <wp:wrapNone/>
              <wp:docPr id="12" name="Straight Connector 12"/>
              <wp:cNvGraphicFramePr/>
              <a:graphic xmlns:a="http://schemas.openxmlformats.org/drawingml/2006/main">
                <a:graphicData uri="http://schemas.microsoft.com/office/word/2010/wordprocessingShape">
                  <wps:wsp>
                    <wps:cNvCnPr/>
                    <wps:spPr>
                      <a:xfrm>
                        <a:off x="0" y="0"/>
                        <a:ext cx="6480000" cy="0"/>
                      </a:xfrm>
                      <a:prstGeom prst="line">
                        <a:avLst/>
                      </a:prstGeom>
                      <a:ln w="25400">
                        <a:solidFill>
                          <a:srgbClr val="4140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2F61E0" id="Straight Connector 12" o:spid="_x0000_s1026" style="position:absolute;z-index:-2516418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1pt,56.7pt" to="561.2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64v3AEAABAEAAAOAAAAZHJzL2Uyb0RvYy54bWysU8GO2yAQvVfqPyDujZ3IXa2sOHvIanup&#10;2qjbfgDBECMBgwYaO3/fASfeVVtValUfMAPz3sx7wPZhcpadFUYDvuPrVc2Z8hJ6408d//b16d09&#10;ZzEJ3wsLXnX8oiJ/2L19sx1DqzYwgO0VMiLxsR1Dx4eUQltVUQ7KibiCoDxtakAnEoV4qnoUI7E7&#10;W23q+q4aAfuAIFWMtPo4b/Jd4ddayfRZ66gSsx2n3lIZsYzHPFa7rWhPKMJg5LUN8Q9dOGE8FV2o&#10;HkUS7DuaX6ickQgRdFpJcBVobaQqGkjNuv5JzfMggipayJwYFpvi/6OVn84HZKans9tw5oWjM3pO&#10;KMxpSGwP3pODgIw2yakxxJYAe3/AaxTDAbPsSaPLfxLEpuLuZXFXTYlJWrxr7mv6OJO3veoFGDCm&#10;Dwocy5OOW+OzcNGK88eYqBil3lLysvVs7PjmfUN8OY5gTf9krC0Bno57i+ws6NCbdVM3pXuieJVG&#10;kfXEmzXNKsosXayaC3xRmnyhvtdzhXwj1UIrpFQ+rbMrhYmyM0xTCwvw2tqfgNf8DFXltv4NeEGU&#10;yuDTAnbGA/6u7TTdWtZz/s2BWXe24Aj9pZxvsYauXVF4fSL5Xr+OC/zlIe9+AAAA//8DAFBLAwQU&#10;AAYACAAAACEAMy62h90AAAAMAQAADwAAAGRycy9kb3ducmV2LnhtbEyP3UoDMRCF7wXfIYzgjdjs&#10;j0rZbrYUoeKtrQ8w3WR/ajJZNul29emdgmDv5swcznynXM/OismMofekIF0kIAzVXvfUKvjcbx+X&#10;IEJE0mg9GQXfJsC6ur0psdD+TB9m2sVWcAiFAhV0MQ6FlKHujMOw8IMhvjV+dBhZjq3UI5453FmZ&#10;JcmLdNgTf+hwMK+dqb92J6fgYfkzbd8ot9gkHi2+H/NNs1fq/m7erEBEM8d/M1zwGR0qZjr4E+kg&#10;LOsk4y6RhzR/AnFxpFn2DOLwt5JVKa9LVL8AAAD//wMAUEsBAi0AFAAGAAgAAAAhALaDOJL+AAAA&#10;4QEAABMAAAAAAAAAAAAAAAAAAAAAAFtDb250ZW50X1R5cGVzXS54bWxQSwECLQAUAAYACAAAACEA&#10;OP0h/9YAAACUAQAACwAAAAAAAAAAAAAAAAAvAQAAX3JlbHMvLnJlbHNQSwECLQAUAAYACAAAACEA&#10;Z8OuL9wBAAAQBAAADgAAAAAAAAAAAAAAAAAuAgAAZHJzL2Uyb0RvYy54bWxQSwECLQAUAAYACAAA&#10;ACEAMy62h90AAAAMAQAADwAAAAAAAAAAAAAAAAA2BAAAZHJzL2Rvd25yZXYueG1sUEsFBgAAAAAE&#10;AAQA8wAAAEAFAAAAAA==&#10;" o:allowoverlap="f" strokecolor="#414042" strokeweight="2pt">
              <w10:wrap anchorx="page" anchory="page"/>
            </v:line>
          </w:pict>
        </mc:Fallback>
      </mc:AlternateContent>
    </w:r>
    <w:sdt>
      <w:sdtPr>
        <w:alias w:val="Client Company Name"/>
        <w:tag w:val="Cust_Co_Name"/>
        <w:id w:val="416216442"/>
        <w:lock w:val="sdtLocked"/>
        <w:showingPlcHdr/>
        <w:dataBinding w:xpath="/root[1]/custCoName[1]" w:storeItemID="{AB744645-93F6-480A-9B81-25C04A394EE3}"/>
        <w:text/>
      </w:sdtPr>
      <w:sdtEndPr/>
      <w:sdtContent>
        <w:r>
          <w:t xml:space="preserve">     </w:t>
        </w:r>
      </w:sdtContent>
    </w:sdt>
    <w:r>
      <w:tab/>
    </w:r>
    <w:r>
      <w:tab/>
      <w:t>Chapter 12: Consultation</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F981C" w14:textId="59FCA730" w:rsidR="00B246FA" w:rsidRPr="00855EF8" w:rsidRDefault="00B246FA" w:rsidP="00CB5360">
    <w:pPr>
      <w:pStyle w:val="Header"/>
      <w:tabs>
        <w:tab w:val="clear" w:pos="9026"/>
        <w:tab w:val="right" w:pos="10065"/>
      </w:tabs>
      <w:ind w:left="0" w:right="-426"/>
    </w:pPr>
    <w:r>
      <w:rPr>
        <w:noProof/>
        <w:lang w:eastAsia="en-AU"/>
      </w:rPr>
      <mc:AlternateContent>
        <mc:Choice Requires="wps">
          <w:drawing>
            <wp:anchor distT="0" distB="0" distL="114300" distR="114300" simplePos="0" relativeHeight="251672621" behindDoc="1" locked="0" layoutInCell="1" allowOverlap="0" wp14:anchorId="374B6FFF" wp14:editId="64144CFF">
              <wp:simplePos x="0" y="0"/>
              <wp:positionH relativeFrom="page">
                <wp:posOffset>647700</wp:posOffset>
              </wp:positionH>
              <wp:positionV relativeFrom="page">
                <wp:posOffset>720090</wp:posOffset>
              </wp:positionV>
              <wp:extent cx="6480000" cy="0"/>
              <wp:effectExtent l="0" t="0" r="35560" b="19050"/>
              <wp:wrapNone/>
              <wp:docPr id="9" name="Straight Connector 9"/>
              <wp:cNvGraphicFramePr/>
              <a:graphic xmlns:a="http://schemas.openxmlformats.org/drawingml/2006/main">
                <a:graphicData uri="http://schemas.microsoft.com/office/word/2010/wordprocessingShape">
                  <wps:wsp>
                    <wps:cNvCnPr/>
                    <wps:spPr>
                      <a:xfrm>
                        <a:off x="0" y="0"/>
                        <a:ext cx="6480000" cy="0"/>
                      </a:xfrm>
                      <a:prstGeom prst="line">
                        <a:avLst/>
                      </a:prstGeom>
                      <a:ln w="25400">
                        <a:solidFill>
                          <a:srgbClr val="4140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20A3ED" id="Straight Connector 9" o:spid="_x0000_s1026" style="position:absolute;z-index:-2516438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1pt,56.7pt" to="561.2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Z3QEAAA4EAAAOAAAAZHJzL2Uyb0RvYy54bWysU01v3CAQvVfqf0Dcu7ZXbpRY681ho/RS&#10;taum/QEsBhuJLw107f33HbDXidqqUqL6gBmY92beA3b3k9HkLCAoZ1tabUpKhOWuU7Zv6Y/vjx9u&#10;KQmR2Y5pZ0VLLyLQ+/37d7vRN2LrBqc7AQRJbGhG39IhRt8UReCDMCxsnBcWN6UDwyKG0BcdsBHZ&#10;jS62ZXlTjA46D46LEHD1Yd6k+8wvpeDxq5RBRKJbir3FPEIeT2ks9jvW9MD8oPjSBntDF4Ypi0VX&#10;qgcWGfkJ6g8qozi44GTccGcKJ6XiImtANVX5m5qngXmRtaA5wa82hf9Hy7+cj0BU19I7SiwzeERP&#10;EZjqh0gOzlo00AG5Sz6NPjSYfrBHWKLgj5BETxJM+qMcMmVvL6u3YoqE4+JNfVviRwm/7hXPQA8h&#10;fhLOkDRpqVY2yWYNO38OEYth6jUlLWtLxpZuP9bIl+LgtOoeldY5gP500EDODI+8ruqy3qbukeJF&#10;Gkba4mLSNKvIs3jRYi7wTUh0Bfuu5grpPoqVlnEubKwWXm0xO8EktrACl9b+BVzyE1Tku/oa8IrI&#10;lZ2NK9go6+Bvbcfp2rKc868OzLqTBSfXXfL5Zmvw0mXnlgeSbvXLOMOfn/H+FwAAAP//AwBQSwME&#10;FAAGAAgAAAAhADMutofdAAAADAEAAA8AAABkcnMvZG93bnJldi54bWxMj91KAzEQhe8F3yGM4I3Y&#10;7I9K2W62FKHira0PMN1kf2oyWTbpdvXpnYJg7+bMHM58p1zPzorJjKH3pCBdJCAM1V731Cr43G8f&#10;lyBCRNJoPRkF3ybAurq9KbHQ/kwfZtrFVnAIhQIVdDEOhZSh7ozDsPCDIb41fnQYWY6t1COeOdxZ&#10;mSXJi3TYE3/ocDCvnam/dien4GH5M23fKLfYJB4tvh/zTbNX6v5u3qxARDPHfzNc8BkdKmY6+BPp&#10;ICzrJOMukYc0fwJxcaRZ9gzi8LeSVSmvS1S/AAAA//8DAFBLAQItABQABgAIAAAAIQC2gziS/gAA&#10;AOEBAAATAAAAAAAAAAAAAAAAAAAAAABbQ29udGVudF9UeXBlc10ueG1sUEsBAi0AFAAGAAgAAAAh&#10;ADj9If/WAAAAlAEAAAsAAAAAAAAAAAAAAAAALwEAAF9yZWxzLy5yZWxzUEsBAi0AFAAGAAgAAAAh&#10;AH5IC9ndAQAADgQAAA4AAAAAAAAAAAAAAAAALgIAAGRycy9lMm9Eb2MueG1sUEsBAi0AFAAGAAgA&#10;AAAhADMutofdAAAADAEAAA8AAAAAAAAAAAAAAAAANwQAAGRycy9kb3ducmV2LnhtbFBLBQYAAAAA&#10;BAAEAPMAAABBBQAAAAA=&#10;" o:allowoverlap="f" strokecolor="#414042" strokeweight="2pt">
              <w10:wrap anchorx="page" anchory="page"/>
            </v:line>
          </w:pict>
        </mc:Fallback>
      </mc:AlternateContent>
    </w:r>
    <w:sdt>
      <w:sdtPr>
        <w:alias w:val="Client Company Name"/>
        <w:tag w:val="Cust_Co_Name"/>
        <w:id w:val="-707877094"/>
        <w:lock w:val="sdtLocked"/>
        <w:showingPlcHdr/>
        <w:dataBinding w:xpath="/root[1]/custCoName[1]" w:storeItemID="{AB744645-93F6-480A-9B81-25C04A394EE3}"/>
        <w:text/>
      </w:sdtPr>
      <w:sdtEndPr/>
      <w:sdtContent>
        <w:r>
          <w:t xml:space="preserve">     </w:t>
        </w:r>
      </w:sdtContent>
    </w:sdt>
    <w:r>
      <w:tab/>
    </w:r>
    <w:r>
      <w:tab/>
      <w:t>Chapter 13: References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BC9C8" w14:textId="71F55134" w:rsidR="00B246FA" w:rsidRPr="00855EF8" w:rsidRDefault="00B246FA" w:rsidP="0094208B">
    <w:pPr>
      <w:pStyle w:val="Header"/>
      <w:tabs>
        <w:tab w:val="clear" w:pos="9026"/>
        <w:tab w:val="right" w:pos="10065"/>
      </w:tabs>
      <w:ind w:left="0" w:right="-733"/>
    </w:pPr>
    <w:r>
      <w:rPr>
        <w:noProof/>
        <w:lang w:eastAsia="en-AU"/>
      </w:rPr>
      <mc:AlternateContent>
        <mc:Choice Requires="wps">
          <w:drawing>
            <wp:anchor distT="0" distB="0" distL="114300" distR="114300" simplePos="0" relativeHeight="251658277" behindDoc="1" locked="0" layoutInCell="1" allowOverlap="0" wp14:anchorId="2228F4F2" wp14:editId="1849A1FC">
              <wp:simplePos x="0" y="0"/>
              <wp:positionH relativeFrom="page">
                <wp:posOffset>647700</wp:posOffset>
              </wp:positionH>
              <wp:positionV relativeFrom="page">
                <wp:posOffset>720090</wp:posOffset>
              </wp:positionV>
              <wp:extent cx="6480000" cy="0"/>
              <wp:effectExtent l="0" t="0" r="35560" b="19050"/>
              <wp:wrapNone/>
              <wp:docPr id="11" name="Straight Connector 11"/>
              <wp:cNvGraphicFramePr/>
              <a:graphic xmlns:a="http://schemas.openxmlformats.org/drawingml/2006/main">
                <a:graphicData uri="http://schemas.microsoft.com/office/word/2010/wordprocessingShape">
                  <wps:wsp>
                    <wps:cNvCnPr/>
                    <wps:spPr>
                      <a:xfrm>
                        <a:off x="0" y="0"/>
                        <a:ext cx="6480000" cy="0"/>
                      </a:xfrm>
                      <a:prstGeom prst="line">
                        <a:avLst/>
                      </a:prstGeom>
                      <a:ln w="25400">
                        <a:solidFill>
                          <a:srgbClr val="4140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57B89B" id="Straight Connector 11" o:spid="_x0000_s1026" style="position:absolute;z-index:-2516582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1pt,56.7pt" to="561.2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5E3AEAABAEAAAOAAAAZHJzL2Uyb0RvYy54bWysU8GO2yAQvVfqPyDujZ3IXa2sOHvIanup&#10;2qjbfgDBECMBgwYaO3/fASfeVVtValUfMAPz3sx7wPZhcpadFUYDvuPrVc2Z8hJ6408d//b16d09&#10;ZzEJ3wsLXnX8oiJ/2L19sx1DqzYwgO0VMiLxsR1Dx4eUQltVUQ7KibiCoDxtakAnEoV4qnoUI7E7&#10;W23q+q4aAfuAIFWMtPo4b/Jd4ddayfRZ66gSsx2n3lIZsYzHPFa7rWhPKMJg5LUN8Q9dOGE8FV2o&#10;HkUS7DuaX6ickQgRdFpJcBVobaQqGkjNuv5JzfMggipayJwYFpvi/6OVn84HZKans1tz5oWjM3pO&#10;KMxpSGwP3pODgIw2yakxxJYAe3/AaxTDAbPsSaPLfxLEpuLuZXFXTYlJWrxr7mv6OJO3veoFGDCm&#10;Dwocy5OOW+OzcNGK88eYqBil3lLysvVs7PjmfUN8OY5gTf9krC0Bno57i+ws6NCbdVM3m9w9UbxK&#10;o8h6WsyaZhVlli5WzQW+KE2+UN/ruUK+kWqhFVIqn4orhYmyM0xTCwvw2tqfgNf8DFXltv4NeEGU&#10;yuDTAnbGA/6u7TTdWtZz/s2BWXe24Aj9pZxvsYauXXHu+kTyvX4dF/jLQ979AAAA//8DAFBLAwQU&#10;AAYACAAAACEAMy62h90AAAAMAQAADwAAAGRycy9kb3ducmV2LnhtbEyP3UoDMRCF7wXfIYzgjdjs&#10;j0rZbrYUoeKtrQ8w3WR/ajJZNul29emdgmDv5swcznynXM/OismMofekIF0kIAzVXvfUKvjcbx+X&#10;IEJE0mg9GQXfJsC6ur0psdD+TB9m2sVWcAiFAhV0MQ6FlKHujMOw8IMhvjV+dBhZjq3UI5453FmZ&#10;JcmLdNgTf+hwMK+dqb92J6fgYfkzbd8ot9gkHi2+H/NNs1fq/m7erEBEM8d/M1zwGR0qZjr4E+kg&#10;LOsk4y6RhzR/AnFxpFn2DOLwt5JVKa9LVL8AAAD//wMAUEsBAi0AFAAGAAgAAAAhALaDOJL+AAAA&#10;4QEAABMAAAAAAAAAAAAAAAAAAAAAAFtDb250ZW50X1R5cGVzXS54bWxQSwECLQAUAAYACAAAACEA&#10;OP0h/9YAAACUAQAACwAAAAAAAAAAAAAAAAAvAQAAX3JlbHMvLnJlbHNQSwECLQAUAAYACAAAACEA&#10;ZfYeRNwBAAAQBAAADgAAAAAAAAAAAAAAAAAuAgAAZHJzL2Uyb0RvYy54bWxQSwECLQAUAAYACAAA&#10;ACEAMy62h90AAAAMAQAADwAAAAAAAAAAAAAAAAA2BAAAZHJzL2Rvd25yZXYueG1sUEsFBgAAAAAE&#10;AAQA8wAAAEAFAAAAAA==&#10;" o:allowoverlap="f" strokecolor="#414042" strokeweight="2pt">
              <w10:wrap anchorx="page" anchory="page"/>
            </v:line>
          </w:pict>
        </mc:Fallback>
      </mc:AlternateContent>
    </w:r>
    <w:sdt>
      <w:sdtPr>
        <w:alias w:val="Client Company Name"/>
        <w:tag w:val="Cust_Co_Name"/>
        <w:id w:val="419301245"/>
        <w:lock w:val="sdtLocked"/>
        <w:showingPlcHdr/>
        <w:dataBinding w:xpath="/root[1]/custCoName[1]" w:storeItemID="{AB744645-93F6-480A-9B81-25C04A394EE3}"/>
        <w:text/>
      </w:sdtPr>
      <w:sdtEndPr/>
      <w:sdtContent>
        <w:r>
          <w:t xml:space="preserve">     </w:t>
        </w:r>
      </w:sdtContent>
    </w:sdt>
    <w:r>
      <w:tab/>
    </w:r>
    <w:r>
      <w:tab/>
      <w:t>Chapter 2: Air quality management in Australia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4AF5C" w14:textId="6B391F4A" w:rsidR="00B246FA" w:rsidRPr="00855EF8" w:rsidRDefault="00B246FA" w:rsidP="0094208B">
    <w:pPr>
      <w:pStyle w:val="Header"/>
      <w:tabs>
        <w:tab w:val="clear" w:pos="9026"/>
        <w:tab w:val="right" w:pos="10065"/>
      </w:tabs>
      <w:ind w:left="0" w:right="-733"/>
    </w:pPr>
    <w:r>
      <w:rPr>
        <w:noProof/>
        <w:lang w:eastAsia="en-AU"/>
      </w:rPr>
      <mc:AlternateContent>
        <mc:Choice Requires="wps">
          <w:drawing>
            <wp:anchor distT="0" distB="0" distL="114300" distR="114300" simplePos="0" relativeHeight="251658278" behindDoc="1" locked="0" layoutInCell="1" allowOverlap="0" wp14:anchorId="20584699" wp14:editId="75991DD1">
              <wp:simplePos x="0" y="0"/>
              <wp:positionH relativeFrom="page">
                <wp:posOffset>647700</wp:posOffset>
              </wp:positionH>
              <wp:positionV relativeFrom="page">
                <wp:posOffset>720090</wp:posOffset>
              </wp:positionV>
              <wp:extent cx="6480000" cy="0"/>
              <wp:effectExtent l="0" t="0" r="35560" b="19050"/>
              <wp:wrapNone/>
              <wp:docPr id="14" name="Straight Connector 14"/>
              <wp:cNvGraphicFramePr/>
              <a:graphic xmlns:a="http://schemas.openxmlformats.org/drawingml/2006/main">
                <a:graphicData uri="http://schemas.microsoft.com/office/word/2010/wordprocessingShape">
                  <wps:wsp>
                    <wps:cNvCnPr/>
                    <wps:spPr>
                      <a:xfrm>
                        <a:off x="0" y="0"/>
                        <a:ext cx="6480000" cy="0"/>
                      </a:xfrm>
                      <a:prstGeom prst="line">
                        <a:avLst/>
                      </a:prstGeom>
                      <a:ln w="25400">
                        <a:solidFill>
                          <a:srgbClr val="4140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1576AC" id="Straight Connector 14" o:spid="_x0000_s1026" style="position:absolute;z-index:-2516582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1pt,56.7pt" to="561.2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743QEAABAEAAAOAAAAZHJzL2Uyb0RvYy54bWysU02P0zAQvSPxHyzfadIqrFZR0z10tVwQ&#10;VCz8ANcZN5b8pbFp2n/P2EmzK0BIIHJwPPa8N/Oe7e3DxRp2Bozau46vVzVn4KTvtTt1/NvXp3f3&#10;nMUkXC+Md9DxK0T+sHv7ZjuGFjZ+8KYHZETiYjuGjg8phbaqohzAirjyARxtKo9WJArxVPUoRmK3&#10;ptrU9V01euwDegkx0urjtMl3hV8pkOmzUhESMx2n3lIZsYzHPFa7rWhPKMKg5dyG+IcurNCOii5U&#10;jyIJ9h31L1RWS/TRq7SS3lZeKS2haCA16/onNc+DCFC0kDkxLDbF/0crP50PyHRPZ9dw5oSlM3pO&#10;KPRpSGzvnSMHPTLaJKfGEFsC7N0B5yiGA2bZF4U2/0kQuxR3r4u7cElM0uJdc1/Tx5m87VUvwIAx&#10;fQBvWZ503GiXhYtWnD/GRMUo9ZaSl41jY8c37xviy3H0RvdP2pgS4Om4N8jOgg69WTd1s8ndE8Wr&#10;NIqMo8WsaVJRZulqYCrwBRT5Qn2vpwr5RsJCK6QEl9Yzr3GUnWGKWliAc2t/As75GQrltv4NeEGU&#10;yt6lBWy18/i7ttPl1rKa8m8OTLqzBUffX8v5Fmvo2hXn5ieS7/XruMBfHvLuBwAAAP//AwBQSwME&#10;FAAGAAgAAAAhADMutofdAAAADAEAAA8AAABkcnMvZG93bnJldi54bWxMj91KAzEQhe8F3yGM4I3Y&#10;7I9K2W62FKHira0PMN1kf2oyWTbpdvXpnYJg7+bMHM58p1zPzorJjKH3pCBdJCAM1V731Cr43G8f&#10;lyBCRNJoPRkF3ybAurq9KbHQ/kwfZtrFVnAIhQIVdDEOhZSh7ozDsPCDIb41fnQYWY6t1COeOdxZ&#10;mSXJi3TYE3/ocDCvnam/dien4GH5M23fKLfYJB4tvh/zTbNX6v5u3qxARDPHfzNc8BkdKmY6+BPp&#10;ICzrJOMukYc0fwJxcaRZ9gzi8LeSVSmvS1S/AAAA//8DAFBLAQItABQABgAIAAAAIQC2gziS/gAA&#10;AOEBAAATAAAAAAAAAAAAAAAAAAAAAABbQ29udGVudF9UeXBlc10ueG1sUEsBAi0AFAAGAAgAAAAh&#10;ADj9If/WAAAAlAEAAAsAAAAAAAAAAAAAAAAALwEAAF9yZWxzLy5yZWxzUEsBAi0AFAAGAAgAAAAh&#10;AGOpzvjdAQAAEAQAAA4AAAAAAAAAAAAAAAAALgIAAGRycy9lMm9Eb2MueG1sUEsBAi0AFAAGAAgA&#10;AAAhADMutofdAAAADAEAAA8AAAAAAAAAAAAAAAAANwQAAGRycy9kb3ducmV2LnhtbFBLBQYAAAAA&#10;BAAEAPMAAABBBQAAAAA=&#10;" o:allowoverlap="f" strokecolor="#414042" strokeweight="2pt">
              <w10:wrap anchorx="page" anchory="page"/>
            </v:line>
          </w:pict>
        </mc:Fallback>
      </mc:AlternateContent>
    </w:r>
    <w:sdt>
      <w:sdtPr>
        <w:alias w:val="Client Company Name"/>
        <w:tag w:val="Cust_Co_Name"/>
        <w:id w:val="-952250537"/>
        <w:lock w:val="sdtLocked"/>
        <w:showingPlcHdr/>
        <w:dataBinding w:xpath="/root[1]/custCoName[1]" w:storeItemID="{AB744645-93F6-480A-9B81-25C04A394EE3}"/>
        <w:text/>
      </w:sdtPr>
      <w:sdtEndPr/>
      <w:sdtContent>
        <w:r>
          <w:t xml:space="preserve">     </w:t>
        </w:r>
      </w:sdtContent>
    </w:sdt>
    <w:r>
      <w:tab/>
    </w:r>
    <w:r>
      <w:tab/>
      <w:t>Chapter 3: Statement of the problem</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233FF" w14:textId="09724D33" w:rsidR="00B246FA" w:rsidRPr="00855EF8" w:rsidRDefault="00B246FA" w:rsidP="0094208B">
    <w:pPr>
      <w:pStyle w:val="Header"/>
      <w:tabs>
        <w:tab w:val="clear" w:pos="9026"/>
        <w:tab w:val="right" w:pos="10065"/>
      </w:tabs>
      <w:ind w:left="0" w:right="-733"/>
    </w:pPr>
    <w:r>
      <w:rPr>
        <w:noProof/>
        <w:lang w:eastAsia="en-AU"/>
      </w:rPr>
      <mc:AlternateContent>
        <mc:Choice Requires="wps">
          <w:drawing>
            <wp:anchor distT="0" distB="0" distL="114300" distR="114300" simplePos="0" relativeHeight="251658279" behindDoc="1" locked="0" layoutInCell="1" allowOverlap="0" wp14:anchorId="75118351" wp14:editId="3BE7B7C8">
              <wp:simplePos x="0" y="0"/>
              <wp:positionH relativeFrom="page">
                <wp:posOffset>647700</wp:posOffset>
              </wp:positionH>
              <wp:positionV relativeFrom="page">
                <wp:posOffset>720090</wp:posOffset>
              </wp:positionV>
              <wp:extent cx="6480000" cy="0"/>
              <wp:effectExtent l="0" t="0" r="35560" b="19050"/>
              <wp:wrapNone/>
              <wp:docPr id="16" name="Straight Connector 16"/>
              <wp:cNvGraphicFramePr/>
              <a:graphic xmlns:a="http://schemas.openxmlformats.org/drawingml/2006/main">
                <a:graphicData uri="http://schemas.microsoft.com/office/word/2010/wordprocessingShape">
                  <wps:wsp>
                    <wps:cNvCnPr/>
                    <wps:spPr>
                      <a:xfrm>
                        <a:off x="0" y="0"/>
                        <a:ext cx="6480000" cy="0"/>
                      </a:xfrm>
                      <a:prstGeom prst="line">
                        <a:avLst/>
                      </a:prstGeom>
                      <a:ln w="25400">
                        <a:solidFill>
                          <a:srgbClr val="4140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0F51BD" id="Straight Connector 16" o:spid="_x0000_s1026" style="position:absolute;z-index:-2516582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1pt,56.7pt" to="561.2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4D3QEAABAEAAAOAAAAZHJzL2Uyb0RvYy54bWysU02P2yAQvVfqf0DcG9uRG62sOHvIavdS&#10;tVG3/QEEg43ElwYaO/++A3a8q21VqVV9wAzMezPvAfv7yWhyERCUsy2tNiUlwnLXKdu39Pu3xw93&#10;lITIbMe0s6KlVxHo/eH9u/3oG7F1g9OdAIIkNjSjb+kQo2+KIvBBGBY2zguLm9KBYRFD6IsO2Ijs&#10;RhfbstwVo4POg+MiBFx9mDfpIfNLKXj8ImUQkeiWYm8xj5DHcxqLw541PTA/KL60wf6hC8OUxaIr&#10;1QOLjPwA9QuVURxccDJuuDOFk1JxkTWgmqp8o+Z5YF5kLWhO8KtN4f/R8s+XExDV4dntKLHM4Bk9&#10;R2CqHyI5OmvRQQcEN9Gp0YcGAUd7giUK/gRJ9iTBpD8KIlN297q6K6ZIOC7u6rsSP0r4ba94AXoI&#10;8Uk4Q9KkpVrZJJw17PIpRCyGqbeUtKwtGVu6/VgjX4qD06p7VFrnAPrzUQO5MDz0uqrLepu6R4pX&#10;aRhpi4tJ06wiz+JVi7nAVyHRF+y7miukGylWWsa5sLFaeLXF7AST2MIKXFr7E3DJT1CRb+vfgFdE&#10;ruxsXMFGWQe/aztOt5blnH9zYNadLDi77prPN1uD1y47tzyRdK9fxxn+8pAPPwEAAP//AwBQSwME&#10;FAAGAAgAAAAhADMutofdAAAADAEAAA8AAABkcnMvZG93bnJldi54bWxMj91KAzEQhe8F3yGM4I3Y&#10;7I9K2W62FKHira0PMN1kf2oyWTbpdvXpnYJg7+bMHM58p1zPzorJjKH3pCBdJCAM1V731Cr43G8f&#10;lyBCRNJoPRkF3ybAurq9KbHQ/kwfZtrFVnAIhQIVdDEOhZSh7ozDsPCDIb41fnQYWY6t1COeOdxZ&#10;mSXJi3TYE3/ocDCvnam/dien4GH5M23fKLfYJB4tvh/zTbNX6v5u3qxARDPHfzNc8BkdKmY6+BPp&#10;ICzrJOMukYc0fwJxcaRZ9gzi8LeSVSmvS1S/AAAA//8DAFBLAQItABQABgAIAAAAIQC2gziS/gAA&#10;AOEBAAATAAAAAAAAAAAAAAAAAAAAAABbQ29udGVudF9UeXBlc10ueG1sUEsBAi0AFAAGAAgAAAAh&#10;ADj9If/WAAAAlAEAAAsAAAAAAAAAAAAAAAAALwEAAF9yZWxzLy5yZWxzUEsBAi0AFAAGAAgAAAAh&#10;AKByPgPdAQAAEAQAAA4AAAAAAAAAAAAAAAAALgIAAGRycy9lMm9Eb2MueG1sUEsBAi0AFAAGAAgA&#10;AAAhADMutofdAAAADAEAAA8AAAAAAAAAAAAAAAAANwQAAGRycy9kb3ducmV2LnhtbFBLBQYAAAAA&#10;BAAEAPMAAABBBQAAAAA=&#10;" o:allowoverlap="f" strokecolor="#414042" strokeweight="2pt">
              <w10:wrap anchorx="page" anchory="page"/>
            </v:line>
          </w:pict>
        </mc:Fallback>
      </mc:AlternateContent>
    </w:r>
    <w:sdt>
      <w:sdtPr>
        <w:alias w:val="Client Company Name"/>
        <w:tag w:val="Cust_Co_Name"/>
        <w:id w:val="1097910861"/>
        <w:lock w:val="sdtLocked"/>
        <w:showingPlcHdr/>
        <w:dataBinding w:xpath="/root[1]/custCoName[1]" w:storeItemID="{AB744645-93F6-480A-9B81-25C04A394EE3}"/>
        <w:text/>
      </w:sdtPr>
      <w:sdtEndPr/>
      <w:sdtContent>
        <w:r>
          <w:t xml:space="preserve">     </w:t>
        </w:r>
      </w:sdtContent>
    </w:sdt>
    <w:r>
      <w:tab/>
    </w:r>
    <w:r>
      <w:tab/>
      <w:t>Chapter 4: Methodology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4681E" w14:textId="010865FD" w:rsidR="00B246FA" w:rsidRPr="00855EF8" w:rsidRDefault="00B246FA" w:rsidP="0094208B">
    <w:pPr>
      <w:pStyle w:val="Header"/>
      <w:tabs>
        <w:tab w:val="clear" w:pos="9026"/>
        <w:tab w:val="right" w:pos="13325"/>
      </w:tabs>
      <w:ind w:left="-426"/>
    </w:pPr>
    <w:r>
      <w:rPr>
        <w:noProof/>
        <w:lang w:eastAsia="en-AU"/>
      </w:rPr>
      <mc:AlternateContent>
        <mc:Choice Requires="wps">
          <w:drawing>
            <wp:anchor distT="0" distB="0" distL="114300" distR="114300" simplePos="0" relativeHeight="251658255" behindDoc="1" locked="0" layoutInCell="1" allowOverlap="0" wp14:anchorId="335B168C" wp14:editId="69131D8C">
              <wp:simplePos x="0" y="0"/>
              <wp:positionH relativeFrom="page">
                <wp:posOffset>647700</wp:posOffset>
              </wp:positionH>
              <wp:positionV relativeFrom="page">
                <wp:posOffset>720090</wp:posOffset>
              </wp:positionV>
              <wp:extent cx="8820000" cy="0"/>
              <wp:effectExtent l="0" t="0" r="19685" b="19050"/>
              <wp:wrapNone/>
              <wp:docPr id="692" name="Straight Connector 692"/>
              <wp:cNvGraphicFramePr/>
              <a:graphic xmlns:a="http://schemas.openxmlformats.org/drawingml/2006/main">
                <a:graphicData uri="http://schemas.microsoft.com/office/word/2010/wordprocessingShape">
                  <wps:wsp>
                    <wps:cNvCnPr/>
                    <wps:spPr>
                      <a:xfrm>
                        <a:off x="0" y="0"/>
                        <a:ext cx="8820000" cy="0"/>
                      </a:xfrm>
                      <a:prstGeom prst="line">
                        <a:avLst/>
                      </a:prstGeom>
                      <a:ln w="25400">
                        <a:solidFill>
                          <a:srgbClr val="4140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1ABA47" id="Straight Connector 692" o:spid="_x0000_s1026" style="position:absolute;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1pt,56.7pt" to="745.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sHl3gEAABIEAAAOAAAAZHJzL2Uyb0RvYy54bWysU8GO2yAQvVfqPyDujZ0oXaVWnD1ktb1U&#10;bdTtfgDBYCMBgwYaJ3/fASfeVVtVatUL9sC8N/PewPb+7Cw7KYwGfMuXi5oz5SV0xvctf/72+G7D&#10;WUzCd8KCVy2/qMjvd2/fbMfQqBUMYDuFjEh8bMbQ8iGl0FRVlINyIi4gKE+HGtCJRCH2VYdiJHZn&#10;q1Vd31UjYBcQpIqRdh+mQ74r/Formb5oHVVituXUWyorlvWY12q3FU2PIgxGXtsQ/9CFE8ZT0Znq&#10;QSTBvqP5hcoZiRBBp4UEV4HWRqqigdQs65/UPA0iqKKFzIlhtin+P1r5+XRAZrqW331YceaFoyE9&#10;JRSmHxLbg/dkISDLp+TVGGJDkL0/4DWK4YBZ+Fmjy1+SxM7F38vsrzonJmlzs6GR1TQGeTurXoAB&#10;Y/qowLH803JrfJYuGnH6FBMVo9RbSt62no0tX71fE1+OI1jTPRprS4D9cW+RnQSNfb1c1+vSPVG8&#10;SqPIeuLNmiYV5S9drJoKfFWanKG+l1OFfCfVTCukVD4tsyuFibIzTFMLM/Da2p+A1/wMVeW+/g14&#10;RpTK4NMMdsYD/q7tdL61rKf8mwOT7mzBEbpLmW+xhi5eUXh9JPlmv44L/OUp734AAAD//wMAUEsD&#10;BBQABgAIAAAAIQC6PHNs2wAAAAwBAAAPAAAAZHJzL2Rvd25yZXYueG1sTE/LTsMwELwj8Q/WInFB&#10;1E5ToRLiVBVSEVdaPmAbOw+w11HspoGvZyshwW3nodmZcjN7JyY7xj6QhmyhQFiqg+mp1fB+2N2v&#10;QcSEZNAFshq+bIRNdX1VYmHCmd7stE+t4BCKBWroUhoKKWPdWY9xEQZLrDVh9JgYjq00I5453Du5&#10;VOpBeuyJP3Q42OfO1p/7k9dwt/6edi+UO2xUQIevH/m2OWh9ezNvn0AkO6c/M1zqc3WouNMxnMhE&#10;4RirJW9JfGT5CsTFsXrMmDr+UrIq5f8R1Q8AAAD//wMAUEsBAi0AFAAGAAgAAAAhALaDOJL+AAAA&#10;4QEAABMAAAAAAAAAAAAAAAAAAAAAAFtDb250ZW50X1R5cGVzXS54bWxQSwECLQAUAAYACAAAACEA&#10;OP0h/9YAAACUAQAACwAAAAAAAAAAAAAAAAAvAQAAX3JlbHMvLnJlbHNQSwECLQAUAAYACAAAACEA&#10;C+rB5d4BAAASBAAADgAAAAAAAAAAAAAAAAAuAgAAZHJzL2Uyb0RvYy54bWxQSwECLQAUAAYACAAA&#10;ACEAujxzbNsAAAAMAQAADwAAAAAAAAAAAAAAAAA4BAAAZHJzL2Rvd25yZXYueG1sUEsFBgAAAAAE&#10;AAQA8wAAAEAFAAAAAA==&#10;" o:allowoverlap="f" strokecolor="#414042" strokeweight="2pt">
              <w10:wrap anchorx="page" anchory="page"/>
            </v:line>
          </w:pict>
        </mc:Fallback>
      </mc:AlternateContent>
    </w:r>
    <w:sdt>
      <w:sdtPr>
        <w:alias w:val="Client Company Name"/>
        <w:tag w:val="Cust_Co_Name"/>
        <w:id w:val="1143697021"/>
        <w:lock w:val="sdtLocked"/>
        <w:showingPlcHdr/>
        <w:dataBinding w:xpath="/root[1]/custCoName[1]" w:storeItemID="{AB744645-93F6-480A-9B81-25C04A394EE3}"/>
        <w:text/>
      </w:sdtPr>
      <w:sdtEndPr/>
      <w:sdtContent>
        <w:r>
          <w:t xml:space="preserve">     </w:t>
        </w:r>
      </w:sdtContent>
    </w:sdt>
    <w:r>
      <w:tab/>
    </w:r>
    <w:r>
      <w:tab/>
      <w:t>Chapter 4: Methodology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9FC7F" w14:textId="3A3D40D3" w:rsidR="00B246FA" w:rsidRPr="00855EF8" w:rsidRDefault="00B246FA" w:rsidP="0094208B">
    <w:pPr>
      <w:pStyle w:val="Header"/>
      <w:tabs>
        <w:tab w:val="clear" w:pos="9026"/>
        <w:tab w:val="right" w:pos="10065"/>
      </w:tabs>
      <w:ind w:left="0" w:right="-426"/>
    </w:pPr>
    <w:r>
      <w:rPr>
        <w:noProof/>
        <w:lang w:eastAsia="en-AU"/>
      </w:rPr>
      <mc:AlternateContent>
        <mc:Choice Requires="wps">
          <w:drawing>
            <wp:anchor distT="0" distB="0" distL="114300" distR="114300" simplePos="0" relativeHeight="251658258" behindDoc="1" locked="0" layoutInCell="1" allowOverlap="0" wp14:anchorId="38686D74" wp14:editId="2821A473">
              <wp:simplePos x="0" y="0"/>
              <wp:positionH relativeFrom="page">
                <wp:posOffset>647700</wp:posOffset>
              </wp:positionH>
              <wp:positionV relativeFrom="page">
                <wp:posOffset>720090</wp:posOffset>
              </wp:positionV>
              <wp:extent cx="6480000" cy="0"/>
              <wp:effectExtent l="0" t="0" r="35560" b="19050"/>
              <wp:wrapNone/>
              <wp:docPr id="34" name="Straight Connector 34"/>
              <wp:cNvGraphicFramePr/>
              <a:graphic xmlns:a="http://schemas.openxmlformats.org/drawingml/2006/main">
                <a:graphicData uri="http://schemas.microsoft.com/office/word/2010/wordprocessingShape">
                  <wps:wsp>
                    <wps:cNvCnPr/>
                    <wps:spPr>
                      <a:xfrm>
                        <a:off x="0" y="0"/>
                        <a:ext cx="6480000" cy="0"/>
                      </a:xfrm>
                      <a:prstGeom prst="line">
                        <a:avLst/>
                      </a:prstGeom>
                      <a:ln w="25400">
                        <a:solidFill>
                          <a:srgbClr val="4140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C22914" id="Straight Connector 34" o:spid="_x0000_s1026" style="position:absolute;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1pt,56.7pt" to="561.2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j63gEAABAEAAAOAAAAZHJzL2Uyb0RvYy54bWysU01v3CAQvVfqf0Dcu7a3bhRZ681ho/RS&#10;taum+QEsBhuJLw107f33HbDXidqqUqP4gBmY92beA3Z3k9HkLCAoZ1tabUpKhOWuU7Zv6dOPhw+3&#10;lITIbMe0s6KlFxHo3f79u93oG7F1g9OdAIIkNjSjb+kQo2+KIvBBGBY2zguLm9KBYRFD6IsO2Ijs&#10;RhfbsrwpRgedB8dFCLh6P2/SfeaXUvD4TcogItEtxd5iHiGPpzQW+x1remB+UHxpg72iC8OUxaIr&#10;1T2LjPwE9QeVURxccDJuuDOFk1JxkTWgmqr8Tc3jwLzIWtCc4FebwtvR8q/nIxDVtfRjTYllBs/o&#10;MQJT/RDJwVmLDjoguIlOjT40CDjYIyxR8EdIsicJJv1REJmyu5fVXTFFwnHxpr4t8aOEX/eKZ6CH&#10;ED8LZ0iatFQrm4Szhp2/hIjFMPWakpa1JWNLt59q5EtxcFp1D0rrHEB/OmggZ4aHXld1WW9T90jx&#10;Ig0jbXExaZpV5Fm8aDEX+C4k+oJ9V3OFdCPFSss4FzZWC6+2mJ1gEltYgUtr/wIu+Qkq8m39H/CK&#10;yJWdjSvYKOvgb23H6dqynPOvDsy6kwUn113y+WZr8Npl55Ynku71yzjDnx/y/hcAAAD//wMAUEsD&#10;BBQABgAIAAAAIQAzLraH3QAAAAwBAAAPAAAAZHJzL2Rvd25yZXYueG1sTI/dSgMxEIXvBd8hjOCN&#10;2OyPStluthSh4q2tDzDdZH9qMlk26Xb16Z2CYO/mzBzOfKdcz86KyYyh96QgXSQgDNVe99Qq+Nxv&#10;H5cgQkTSaD0ZBd8mwLq6vSmx0P5MH2baxVZwCIUCFXQxDoWUoe6Mw7DwgyG+NX50GFmOrdQjnjnc&#10;WZklyYt02BN/6HAwr52pv3Ynp+Bh+TNt3yi32CQeLb4f802zV+r+bt6sQEQzx38zXPAZHSpmOvgT&#10;6SAs6yTjLpGHNH8CcXGkWfYM4vC3klUpr0tUvwAAAP//AwBQSwECLQAUAAYACAAAACEAtoM4kv4A&#10;AADhAQAAEwAAAAAAAAAAAAAAAAAAAAAAW0NvbnRlbnRfVHlwZXNdLnhtbFBLAQItABQABgAIAAAA&#10;IQA4/SH/1gAAAJQBAAALAAAAAAAAAAAAAAAAAC8BAABfcmVscy8ucmVsc1BLAQItABQABgAIAAAA&#10;IQCyylj63gEAABAEAAAOAAAAAAAAAAAAAAAAAC4CAABkcnMvZTJvRG9jLnhtbFBLAQItABQABgAI&#10;AAAAIQAzLraH3QAAAAwBAAAPAAAAAAAAAAAAAAAAADgEAABkcnMvZG93bnJldi54bWxQSwUGAAAA&#10;AAQABADzAAAAQgUAAAAA&#10;" o:allowoverlap="f" strokecolor="#414042" strokeweight="2pt">
              <w10:wrap anchorx="page" anchory="page"/>
            </v:line>
          </w:pict>
        </mc:Fallback>
      </mc:AlternateContent>
    </w:r>
    <w:sdt>
      <w:sdtPr>
        <w:alias w:val="Client Company Name"/>
        <w:tag w:val="Cust_Co_Name"/>
        <w:id w:val="35861123"/>
        <w:lock w:val="sdtLocked"/>
        <w:showingPlcHdr/>
        <w:dataBinding w:xpath="/root[1]/custCoName[1]" w:storeItemID="{AB744645-93F6-480A-9B81-25C04A394EE3}"/>
        <w:text/>
      </w:sdtPr>
      <w:sdtEndPr/>
      <w:sdtContent>
        <w:r>
          <w:t xml:space="preserve">     </w:t>
        </w:r>
      </w:sdtContent>
    </w:sdt>
    <w:r>
      <w:tab/>
    </w:r>
    <w:r>
      <w:tab/>
      <w:t>Chapter 4: Methodology</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1DF05" w14:textId="5AECB50B" w:rsidR="00B246FA" w:rsidRPr="00855EF8" w:rsidRDefault="00B246FA" w:rsidP="0057135F">
    <w:pPr>
      <w:pStyle w:val="Header"/>
      <w:tabs>
        <w:tab w:val="clear" w:pos="4513"/>
        <w:tab w:val="clear" w:pos="9026"/>
        <w:tab w:val="center" w:pos="3544"/>
        <w:tab w:val="right" w:pos="10065"/>
      </w:tabs>
      <w:ind w:left="0" w:right="-426"/>
    </w:pPr>
    <w:r>
      <w:rPr>
        <w:noProof/>
        <w:lang w:eastAsia="en-AU"/>
      </w:rPr>
      <mc:AlternateContent>
        <mc:Choice Requires="wps">
          <w:drawing>
            <wp:anchor distT="0" distB="0" distL="114300" distR="114300" simplePos="0" relativeHeight="251658280" behindDoc="1" locked="0" layoutInCell="1" allowOverlap="0" wp14:anchorId="3C75AE7D" wp14:editId="09B3CBED">
              <wp:simplePos x="0" y="0"/>
              <wp:positionH relativeFrom="page">
                <wp:posOffset>647700</wp:posOffset>
              </wp:positionH>
              <wp:positionV relativeFrom="page">
                <wp:posOffset>720090</wp:posOffset>
              </wp:positionV>
              <wp:extent cx="6480000" cy="0"/>
              <wp:effectExtent l="0" t="0" r="35560" b="19050"/>
              <wp:wrapNone/>
              <wp:docPr id="448" name="Straight Connector 448"/>
              <wp:cNvGraphicFramePr/>
              <a:graphic xmlns:a="http://schemas.openxmlformats.org/drawingml/2006/main">
                <a:graphicData uri="http://schemas.microsoft.com/office/word/2010/wordprocessingShape">
                  <wps:wsp>
                    <wps:cNvCnPr/>
                    <wps:spPr>
                      <a:xfrm>
                        <a:off x="0" y="0"/>
                        <a:ext cx="6480000" cy="0"/>
                      </a:xfrm>
                      <a:prstGeom prst="line">
                        <a:avLst/>
                      </a:prstGeom>
                      <a:ln w="25400">
                        <a:solidFill>
                          <a:srgbClr val="4140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E1A0A5" id="Straight Connector 448" o:spid="_x0000_s1026" style="position:absolute;z-index:-251658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1pt,56.7pt" to="561.2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yLj3QEAABIEAAAOAAAAZHJzL2Uyb0RvYy54bWysU8GO2yAQvVfqPyDujZ3IXa2sOHvIanup&#10;2qjbfgDBECMBgwYaJ3/fATveVVtValUfMAPz3sx7wPbh4iw7K4wGfMfXq5oz5SX0xp86/u3r07t7&#10;zmISvhcWvOr4VUX+sHv7ZjuGVm1gANsrZETiYzuGjg8phbaqohyUE3EFQXna1IBOJArxVPUoRmJ3&#10;ttrU9V01AvYBQaoYafVx2uS7wq+1kumz1lElZjtOvaUyYhmPeax2W9GeUITByLkN8Q9dOGE8FV2o&#10;HkUS7DuaX6ickQgRdFpJcBVobaQqGkjNuv5JzfMggipayJwYFpvi/6OVn84HZKbveNPQUXnh6JCe&#10;EwpzGhLbg/dkISDLu+TVGGJLkL0/4BzFcMAs/KLR5T9JYpfi73XxV10Sk7R419zX9HEmb3vVCzBg&#10;TB8UOJYnHbfGZ+miFeePMVExSr2l5GXr2djxzfuG+HIcwZr+yVhbAjwd9xbZWdCxN+umbja5e6J4&#10;lUaR9bSYNU0qyixdrZoKfFGanKG+11OFfCfVQiukVD6tZ17rKTvDNLWwAOfW/gSc8zNUlfv6N+AF&#10;USqDTwvYGQ/4u7bT5daynvJvDky6swVH6K/lfIs1dPGKc/MjyTf7dVzgL0959wMAAP//AwBQSwME&#10;FAAGAAgAAAAhADMutofdAAAADAEAAA8AAABkcnMvZG93bnJldi54bWxMj91KAzEQhe8F3yGM4I3Y&#10;7I9K2W62FKHira0PMN1kf2oyWTbpdvXpnYJg7+bMHM58p1zPzorJjKH3pCBdJCAM1V731Cr43G8f&#10;lyBCRNJoPRkF3ybAurq9KbHQ/kwfZtrFVnAIhQIVdDEOhZSh7ozDsPCDIb41fnQYWY6t1COeOdxZ&#10;mSXJi3TYE3/ocDCvnam/dien4GH5M23fKLfYJB4tvh/zTbNX6v5u3qxARDPHfzNc8BkdKmY6+BPp&#10;ICzrJOMukYc0fwJxcaRZ9gzi8LeSVSmvS1S/AAAA//8DAFBLAQItABQABgAIAAAAIQC2gziS/gAA&#10;AOEBAAATAAAAAAAAAAAAAAAAAAAAAABbQ29udGVudF9UeXBlc10ueG1sUEsBAi0AFAAGAAgAAAAh&#10;ADj9If/WAAAAlAEAAAsAAAAAAAAAAAAAAAAALwEAAF9yZWxzLy5yZWxzUEsBAi0AFAAGAAgAAAAh&#10;AOL3IuPdAQAAEgQAAA4AAAAAAAAAAAAAAAAALgIAAGRycy9lMm9Eb2MueG1sUEsBAi0AFAAGAAgA&#10;AAAhADMutofdAAAADAEAAA8AAAAAAAAAAAAAAAAANwQAAGRycy9kb3ducmV2LnhtbFBLBQYAAAAA&#10;BAAEAPMAAABBBQAAAAA=&#10;" o:allowoverlap="f" strokecolor="#414042" strokeweight="2pt">
              <w10:wrap anchorx="page" anchory="page"/>
            </v:line>
          </w:pict>
        </mc:Fallback>
      </mc:AlternateContent>
    </w:r>
    <w:sdt>
      <w:sdtPr>
        <w:alias w:val="Client Company Name"/>
        <w:tag w:val="Cust_Co_Name"/>
        <w:id w:val="463013524"/>
        <w:lock w:val="sdtLocked"/>
        <w:showingPlcHdr/>
        <w:dataBinding w:xpath="/root[1]/custCoName[1]" w:storeItemID="{AB744645-93F6-480A-9B81-25C04A394EE3}"/>
        <w:text/>
      </w:sdtPr>
      <w:sdtEndPr/>
      <w:sdtContent>
        <w:r>
          <w:t xml:space="preserve">     </w:t>
        </w:r>
      </w:sdtContent>
    </w:sdt>
    <w:r>
      <w:tab/>
    </w:r>
    <w:r>
      <w:tab/>
      <w:t>Chapter 5</w:t>
    </w:r>
    <w:r w:rsidRPr="00D571F8">
      <w:t xml:space="preserve">: </w:t>
    </w:r>
    <w:r w:rsidRPr="009A2194">
      <w:t xml:space="preserve">Assessment </w:t>
    </w:r>
    <w:r w:rsidRPr="00D571F8">
      <w:t>of</w:t>
    </w:r>
    <w:r>
      <w:t xml:space="preserve"> desired environmental outcome and goal</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2F273" w14:textId="45EA5CDC" w:rsidR="00B246FA" w:rsidRPr="00855EF8" w:rsidRDefault="00B246FA" w:rsidP="0057135F">
    <w:pPr>
      <w:pStyle w:val="Header"/>
      <w:tabs>
        <w:tab w:val="clear" w:pos="4513"/>
        <w:tab w:val="clear" w:pos="9026"/>
        <w:tab w:val="center" w:pos="3544"/>
        <w:tab w:val="right" w:pos="10065"/>
      </w:tabs>
      <w:ind w:left="0" w:right="-426"/>
    </w:pPr>
    <w:r>
      <w:rPr>
        <w:noProof/>
        <w:lang w:eastAsia="en-AU"/>
      </w:rPr>
      <mc:AlternateContent>
        <mc:Choice Requires="wps">
          <w:drawing>
            <wp:anchor distT="0" distB="0" distL="114300" distR="114300" simplePos="0" relativeHeight="251666477" behindDoc="1" locked="0" layoutInCell="1" allowOverlap="0" wp14:anchorId="62DBF8B9" wp14:editId="2BE1ADF8">
              <wp:simplePos x="0" y="0"/>
              <wp:positionH relativeFrom="page">
                <wp:posOffset>647700</wp:posOffset>
              </wp:positionH>
              <wp:positionV relativeFrom="page">
                <wp:posOffset>720090</wp:posOffset>
              </wp:positionV>
              <wp:extent cx="6480000" cy="0"/>
              <wp:effectExtent l="0" t="0" r="35560" b="19050"/>
              <wp:wrapNone/>
              <wp:docPr id="23" name="Straight Connector 23"/>
              <wp:cNvGraphicFramePr/>
              <a:graphic xmlns:a="http://schemas.openxmlformats.org/drawingml/2006/main">
                <a:graphicData uri="http://schemas.microsoft.com/office/word/2010/wordprocessingShape">
                  <wps:wsp>
                    <wps:cNvCnPr/>
                    <wps:spPr>
                      <a:xfrm>
                        <a:off x="0" y="0"/>
                        <a:ext cx="6480000" cy="0"/>
                      </a:xfrm>
                      <a:prstGeom prst="line">
                        <a:avLst/>
                      </a:prstGeom>
                      <a:ln w="25400">
                        <a:solidFill>
                          <a:srgbClr val="4140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001EDA" id="Straight Connector 23" o:spid="_x0000_s1026" style="position:absolute;z-index:-2516500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1pt,56.7pt" to="561.2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3QEAABAEAAAOAAAAZHJzL2Uyb0RvYy54bWysU8tu2zAQvBfoPxC815JcNQgEyzk4SC9F&#10;azTNB9AUKRHgC0vWkv++S0pWgrYo0CA6UFpyZzgzpHZ3k9HkLCAoZ1tabUpKhOWuU7Zv6dOPhw+3&#10;lITIbMe0s6KlFxHo3f79u93oG7F1g9OdAIIkNjSjb+kQo2+KIvBBGBY2zguLi9KBYRFL6IsO2Ijs&#10;RhfbsrwpRgedB8dFCDh7Py/SfeaXUvD4TcogItEtRW0xj5DHUxqL/Y41PTA/KL7IYK9QYZiyuOlK&#10;dc8iIz9B/UFlFAcXnIwb7kzhpFRcZA/opip/c/M4MC+yFwwn+DWm8Ha0/Ov5CER1Ld1+pMQyg2f0&#10;GIGpfojk4KzFBB0QXMSkRh8aBBzsEZYq+CMk25MEk95oiEw53cuarpgi4Th5U9+W+FDCr2vFM9BD&#10;iJ+FMyR9tFQrm4yzhp2/hIibYeu1JU1rS0aU/KlGvlQHp1X3oLTOBfSngwZyZnjodVWX9TapR4oX&#10;bVhpi5PJ0+wif8WLFvMG34XEXFB3Ne+QbqRYaRnnwsZq4dUWuxNMooQVuEj7F3DpT1CRb+v/gFdE&#10;3tnZuIKNsg7+JjtOV8ly7r8mMPtOEZxcd8nnm6PBa5eTW36RdK9f1hn+/CPvfwEAAP//AwBQSwME&#10;FAAGAAgAAAAhADMutofdAAAADAEAAA8AAABkcnMvZG93bnJldi54bWxMj91KAzEQhe8F3yGM4I3Y&#10;7I9K2W62FKHira0PMN1kf2oyWTbpdvXpnYJg7+bMHM58p1zPzorJjKH3pCBdJCAM1V731Cr43G8f&#10;lyBCRNJoPRkF3ybAurq9KbHQ/kwfZtrFVnAIhQIVdDEOhZSh7ozDsPCDIb41fnQYWY6t1COeOdxZ&#10;mSXJi3TYE3/ocDCvnam/dien4GH5M23fKLfYJB4tvh/zTbNX6v5u3qxARDPHfzNc8BkdKmY6+BPp&#10;ICzrJOMukYc0fwJxcaRZ9gzi8LeSVSmvS1S/AAAA//8DAFBLAQItABQABgAIAAAAIQC2gziS/gAA&#10;AOEBAAATAAAAAAAAAAAAAAAAAAAAAABbQ29udGVudF9UeXBlc10ueG1sUEsBAi0AFAAGAAgAAAAh&#10;ADj9If/WAAAAlAEAAAsAAAAAAAAAAAAAAAAALwEAAF9yZWxzLy5yZWxzUEsBAi0AFAAGAAgAAAAh&#10;AL/8i1HdAQAAEAQAAA4AAAAAAAAAAAAAAAAALgIAAGRycy9lMm9Eb2MueG1sUEsBAi0AFAAGAAgA&#10;AAAhADMutofdAAAADAEAAA8AAAAAAAAAAAAAAAAANwQAAGRycy9kb3ducmV2LnhtbFBLBQYAAAAA&#10;BAAEAPMAAABBBQAAAAA=&#10;" o:allowoverlap="f" strokecolor="#414042" strokeweight="2pt">
              <w10:wrap anchorx="page" anchory="page"/>
            </v:line>
          </w:pict>
        </mc:Fallback>
      </mc:AlternateContent>
    </w:r>
    <w:sdt>
      <w:sdtPr>
        <w:alias w:val="Client Company Name"/>
        <w:tag w:val="Cust_Co_Name"/>
        <w:id w:val="1097754876"/>
        <w:lock w:val="sdtLocked"/>
        <w:showingPlcHdr/>
        <w:dataBinding w:xpath="/root[1]/custCoName[1]" w:storeItemID="{AB744645-93F6-480A-9B81-25C04A394EE3}"/>
        <w:text/>
      </w:sdtPr>
      <w:sdtEndPr/>
      <w:sdtContent>
        <w:r>
          <w:t xml:space="preserve">     </w:t>
        </w:r>
      </w:sdtContent>
    </w:sdt>
    <w:r>
      <w:tab/>
    </w:r>
    <w:r>
      <w:tab/>
      <w:t>Chapter 6</w:t>
    </w:r>
    <w:r w:rsidRPr="00D571F8">
      <w:t xml:space="preserve">: </w:t>
    </w:r>
    <w:r>
      <w:t>Impact a</w:t>
    </w:r>
    <w:r w:rsidRPr="009A2194">
      <w:t xml:space="preserve">ssessment </w:t>
    </w:r>
    <w:r>
      <w:t>for sulfur dioxide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F0ED1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0431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16C5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8A938E"/>
    <w:lvl w:ilvl="0">
      <w:start w:val="1"/>
      <w:numFmt w:val="lowerLetter"/>
      <w:pStyle w:val="ListNumber2"/>
      <w:lvlText w:val="%1."/>
      <w:lvlJc w:val="left"/>
      <w:pPr>
        <w:ind w:left="700" w:hanging="360"/>
      </w:pPr>
      <w:rPr>
        <w:rFonts w:ascii="Source Sans Pro" w:hAnsi="Source Sans Pro" w:hint="default"/>
        <w:b/>
        <w:i w:val="0"/>
        <w:color w:val="0076C0"/>
        <w:sz w:val="20"/>
      </w:rPr>
    </w:lvl>
  </w:abstractNum>
  <w:abstractNum w:abstractNumId="4" w15:restartNumberingAfterBreak="0">
    <w:nsid w:val="FFFFFF80"/>
    <w:multiLevelType w:val="singleLevel"/>
    <w:tmpl w:val="617642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DA4AFE60"/>
    <w:lvl w:ilvl="0">
      <w:start w:val="1"/>
      <w:numFmt w:val="bullet"/>
      <w:lvlText w:val=""/>
      <w:lvlJc w:val="left"/>
      <w:pPr>
        <w:tabs>
          <w:tab w:val="num" w:pos="926"/>
        </w:tabs>
        <w:ind w:left="926" w:hanging="360"/>
      </w:pPr>
      <w:rPr>
        <w:rFonts w:ascii="Symbol" w:hAnsi="Symbol" w:hint="default"/>
        <w:color w:val="0070C0"/>
      </w:rPr>
    </w:lvl>
  </w:abstractNum>
  <w:abstractNum w:abstractNumId="6" w15:restartNumberingAfterBreak="0">
    <w:nsid w:val="FFFFFF83"/>
    <w:multiLevelType w:val="singleLevel"/>
    <w:tmpl w:val="01100C0C"/>
    <w:lvl w:ilvl="0">
      <w:start w:val="1"/>
      <w:numFmt w:val="bullet"/>
      <w:pStyle w:val="ListBullet2"/>
      <w:lvlText w:val="-"/>
      <w:lvlJc w:val="left"/>
      <w:pPr>
        <w:ind w:left="643" w:hanging="360"/>
      </w:pPr>
      <w:rPr>
        <w:rFonts w:ascii="Source Sans Pro" w:hAnsi="Source Sans Pro" w:hint="default"/>
        <w:b/>
        <w:i w:val="0"/>
        <w:sz w:val="20"/>
      </w:rPr>
    </w:lvl>
  </w:abstractNum>
  <w:abstractNum w:abstractNumId="7" w15:restartNumberingAfterBreak="0">
    <w:nsid w:val="FFFFFF89"/>
    <w:multiLevelType w:val="singleLevel"/>
    <w:tmpl w:val="B7E8F4D2"/>
    <w:lvl w:ilvl="0">
      <w:start w:val="1"/>
      <w:numFmt w:val="bullet"/>
      <w:pStyle w:val="ListBullet"/>
      <w:lvlText w:val=""/>
      <w:lvlJc w:val="left"/>
      <w:pPr>
        <w:ind w:left="717" w:hanging="360"/>
      </w:pPr>
      <w:rPr>
        <w:rFonts w:ascii="Symbol" w:hAnsi="Symbol" w:hint="default"/>
        <w:color w:val="0076C0"/>
      </w:rPr>
    </w:lvl>
  </w:abstractNum>
  <w:abstractNum w:abstractNumId="8"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9" w15:restartNumberingAfterBreak="0">
    <w:nsid w:val="01E26D86"/>
    <w:multiLevelType w:val="hybridMultilevel"/>
    <w:tmpl w:val="E6862132"/>
    <w:lvl w:ilvl="0" w:tplc="FB92AC42">
      <w:start w:val="1"/>
      <w:numFmt w:val="lowerLetter"/>
      <w:lvlText w:val="(%1)"/>
      <w:lvlJc w:val="left"/>
      <w:pPr>
        <w:ind w:left="405" w:hanging="360"/>
      </w:pPr>
      <w:rPr>
        <w:rFonts w:eastAsiaTheme="minorHAnsi" w:hint="default"/>
        <w:sz w:val="16"/>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0" w15:restartNumberingAfterBreak="0">
    <w:nsid w:val="01F409DD"/>
    <w:multiLevelType w:val="multilevel"/>
    <w:tmpl w:val="07801D44"/>
    <w:numStyleLink w:val="AureconBullets"/>
  </w:abstractNum>
  <w:abstractNum w:abstractNumId="11" w15:restartNumberingAfterBreak="0">
    <w:nsid w:val="02AE7D71"/>
    <w:multiLevelType w:val="hybridMultilevel"/>
    <w:tmpl w:val="43DCBD18"/>
    <w:lvl w:ilvl="0" w:tplc="B12A3644">
      <w:start w:val="1"/>
      <w:numFmt w:val="bullet"/>
      <w:pStyle w:val="Asterisk"/>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49460CA"/>
    <w:multiLevelType w:val="hybridMultilevel"/>
    <w:tmpl w:val="F67A43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551E0F"/>
    <w:multiLevelType w:val="hybridMultilevel"/>
    <w:tmpl w:val="E6862132"/>
    <w:lvl w:ilvl="0" w:tplc="FB92AC42">
      <w:start w:val="1"/>
      <w:numFmt w:val="lowerLetter"/>
      <w:lvlText w:val="(%1)"/>
      <w:lvlJc w:val="left"/>
      <w:pPr>
        <w:ind w:left="405" w:hanging="360"/>
      </w:pPr>
      <w:rPr>
        <w:rFonts w:eastAsiaTheme="minorHAnsi" w:hint="default"/>
        <w:sz w:val="16"/>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4" w15:restartNumberingAfterBreak="0">
    <w:nsid w:val="0699546A"/>
    <w:multiLevelType w:val="hybridMultilevel"/>
    <w:tmpl w:val="E604ABC2"/>
    <w:lvl w:ilvl="0" w:tplc="E5C8B9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7515E00"/>
    <w:multiLevelType w:val="hybridMultilevel"/>
    <w:tmpl w:val="E8C0BA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08C06389"/>
    <w:multiLevelType w:val="hybridMultilevel"/>
    <w:tmpl w:val="85767ED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09FD5B16"/>
    <w:multiLevelType w:val="hybridMultilevel"/>
    <w:tmpl w:val="FAF413AE"/>
    <w:lvl w:ilvl="0" w:tplc="605AF43A">
      <w:numFmt w:val="bullet"/>
      <w:pStyle w:val="PELTableBullet"/>
      <w:lvlText w:val="-"/>
      <w:lvlJc w:val="left"/>
      <w:pPr>
        <w:ind w:left="720" w:hanging="360"/>
      </w:pPr>
      <w:rPr>
        <w:rFonts w:ascii="Century Gothic" w:eastAsia="Times New Roman" w:hAnsi="Century Gothic"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A116478"/>
    <w:multiLevelType w:val="hybridMultilevel"/>
    <w:tmpl w:val="3E106812"/>
    <w:lvl w:ilvl="0" w:tplc="A01857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C97400A"/>
    <w:multiLevelType w:val="multilevel"/>
    <w:tmpl w:val="9BE6647A"/>
    <w:styleLink w:val="PacEnvMultiLevelList1"/>
    <w:lvl w:ilvl="0">
      <w:start w:val="1"/>
      <w:numFmt w:val="decimal"/>
      <w:lvlText w:val="%1."/>
      <w:lvlJc w:val="left"/>
      <w:pPr>
        <w:ind w:left="714" w:hanging="714"/>
      </w:pPr>
      <w:rPr>
        <w:rFonts w:ascii="Source Sans Pro" w:hAnsi="Source Sans Pro" w:hint="default"/>
        <w:b/>
        <w:i w:val="0"/>
        <w:color w:val="0076C0"/>
        <w:sz w:val="20"/>
      </w:rPr>
    </w:lvl>
    <w:lvl w:ilvl="1">
      <w:start w:val="1"/>
      <w:numFmt w:val="decimal"/>
      <w:lvlText w:val="%1.%2"/>
      <w:lvlJc w:val="left"/>
      <w:pPr>
        <w:ind w:left="714" w:hanging="714"/>
      </w:pPr>
      <w:rPr>
        <w:rFonts w:ascii="Source Sans Pro" w:hAnsi="Source Sans Pro" w:hint="default"/>
        <w:b/>
        <w:color w:val="66ADD9"/>
        <w:sz w:val="20"/>
      </w:rPr>
    </w:lvl>
    <w:lvl w:ilvl="2">
      <w:start w:val="1"/>
      <w:numFmt w:val="decimal"/>
      <w:lvlText w:val="%1.%2.%3"/>
      <w:lvlJc w:val="left"/>
      <w:pPr>
        <w:ind w:left="714" w:hanging="714"/>
      </w:pPr>
      <w:rPr>
        <w:rFonts w:ascii="Source Sans Pro" w:hAnsi="Source Sans Pro" w:hint="default"/>
        <w:b/>
        <w:color w:val="66ADD9"/>
        <w:sz w:val="20"/>
      </w:rPr>
    </w:lvl>
    <w:lvl w:ilvl="3">
      <w:start w:val="1"/>
      <w:numFmt w:val="decimal"/>
      <w:lvlText w:val="%1.%2.%3.%4"/>
      <w:lvlJc w:val="left"/>
      <w:pPr>
        <w:ind w:left="714" w:hanging="714"/>
      </w:pPr>
      <w:rPr>
        <w:rFonts w:hint="default"/>
      </w:rPr>
    </w:lvl>
    <w:lvl w:ilvl="4">
      <w:start w:val="1"/>
      <w:numFmt w:val="decimal"/>
      <w:lvlText w:val="%1.%2.%3.%4.%5"/>
      <w:lvlJc w:val="left"/>
      <w:pPr>
        <w:ind w:left="714" w:hanging="714"/>
      </w:pPr>
      <w:rPr>
        <w:rFonts w:hint="default"/>
      </w:rPr>
    </w:lvl>
    <w:lvl w:ilvl="5">
      <w:start w:val="1"/>
      <w:numFmt w:val="decimal"/>
      <w:lvlText w:val="%1.%2.%3.%4.%5.%6"/>
      <w:lvlJc w:val="left"/>
      <w:pPr>
        <w:ind w:left="714" w:hanging="714"/>
      </w:pPr>
      <w:rPr>
        <w:rFonts w:hint="default"/>
      </w:rPr>
    </w:lvl>
    <w:lvl w:ilvl="6">
      <w:start w:val="1"/>
      <w:numFmt w:val="decimal"/>
      <w:lvlText w:val="%1.%2.%3.%4.%5.%6.%7"/>
      <w:lvlJc w:val="left"/>
      <w:pPr>
        <w:ind w:left="714" w:hanging="714"/>
      </w:pPr>
      <w:rPr>
        <w:rFonts w:hint="default"/>
      </w:rPr>
    </w:lvl>
    <w:lvl w:ilvl="7">
      <w:start w:val="1"/>
      <w:numFmt w:val="decimal"/>
      <w:lvlText w:val="%1.%2.%3.%4.%5.%6.%7.%8"/>
      <w:lvlJc w:val="left"/>
      <w:pPr>
        <w:ind w:left="714" w:hanging="714"/>
      </w:pPr>
      <w:rPr>
        <w:rFonts w:hint="default"/>
      </w:rPr>
    </w:lvl>
    <w:lvl w:ilvl="8">
      <w:start w:val="1"/>
      <w:numFmt w:val="decimal"/>
      <w:lvlText w:val="%1.%2.%3.%4.%5.%6.%7.%8.%9"/>
      <w:lvlJc w:val="left"/>
      <w:pPr>
        <w:ind w:left="714" w:hanging="714"/>
      </w:pPr>
      <w:rPr>
        <w:rFonts w:hint="default"/>
      </w:rPr>
    </w:lvl>
  </w:abstractNum>
  <w:abstractNum w:abstractNumId="20" w15:restartNumberingAfterBreak="0">
    <w:nsid w:val="0CA1248C"/>
    <w:multiLevelType w:val="hybridMultilevel"/>
    <w:tmpl w:val="E6862132"/>
    <w:lvl w:ilvl="0" w:tplc="FB92AC42">
      <w:start w:val="1"/>
      <w:numFmt w:val="lowerLetter"/>
      <w:lvlText w:val="(%1)"/>
      <w:lvlJc w:val="left"/>
      <w:pPr>
        <w:ind w:left="405" w:hanging="360"/>
      </w:pPr>
      <w:rPr>
        <w:rFonts w:eastAsiaTheme="minorHAnsi" w:hint="default"/>
        <w:sz w:val="16"/>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1" w15:restartNumberingAfterBreak="0">
    <w:nsid w:val="0DA362C7"/>
    <w:multiLevelType w:val="hybridMultilevel"/>
    <w:tmpl w:val="61C88CBA"/>
    <w:lvl w:ilvl="0" w:tplc="42008802">
      <w:start w:val="1"/>
      <w:numFmt w:val="decimal"/>
      <w:pStyle w:val="List"/>
      <w:lvlText w:val="%1."/>
      <w:lvlJc w:val="left"/>
      <w:pPr>
        <w:ind w:left="1077" w:hanging="360"/>
      </w:pPr>
      <w:rPr>
        <w:rFonts w:ascii="Source Sans Pro" w:hAnsi="Source Sans Pro" w:hint="default"/>
        <w:b/>
        <w:i w:val="0"/>
        <w:color w:val="0076C0"/>
        <w:sz w:val="20"/>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2" w15:restartNumberingAfterBreak="0">
    <w:nsid w:val="0E237DC3"/>
    <w:multiLevelType w:val="hybridMultilevel"/>
    <w:tmpl w:val="3DE27358"/>
    <w:lvl w:ilvl="0" w:tplc="8C1C7090">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E36711A"/>
    <w:multiLevelType w:val="hybridMultilevel"/>
    <w:tmpl w:val="54C45D62"/>
    <w:lvl w:ilvl="0" w:tplc="182237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0F027A0F"/>
    <w:multiLevelType w:val="hybridMultilevel"/>
    <w:tmpl w:val="5A92FDDC"/>
    <w:lvl w:ilvl="0" w:tplc="ED2A0E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0FBC535B"/>
    <w:multiLevelType w:val="multilevel"/>
    <w:tmpl w:val="CC5C7C98"/>
    <w:styleLink w:val="ACILAllenDashedList"/>
    <w:lvl w:ilvl="0">
      <w:start w:val="1"/>
      <w:numFmt w:val="bullet"/>
      <w:pStyle w:val="ListDash"/>
      <w:lvlText w:val=""/>
      <w:lvlJc w:val="left"/>
      <w:pPr>
        <w:ind w:left="284" w:hanging="284"/>
      </w:pPr>
      <w:rPr>
        <w:rFonts w:ascii="Symbol" w:hAnsi="Symbol" w:hint="default"/>
      </w:rPr>
    </w:lvl>
    <w:lvl w:ilvl="1">
      <w:start w:val="1"/>
      <w:numFmt w:val="bullet"/>
      <w:pStyle w:val="ListDash2"/>
      <w:lvlText w:val=""/>
      <w:lvlJc w:val="left"/>
      <w:pPr>
        <w:ind w:left="851" w:hanging="284"/>
      </w:pPr>
      <w:rPr>
        <w:rFonts w:ascii="Symbol" w:hAnsi="Symbol" w:hint="default"/>
      </w:rPr>
    </w:lvl>
    <w:lvl w:ilvl="2">
      <w:start w:val="1"/>
      <w:numFmt w:val="bullet"/>
      <w:pStyle w:val="ListDash3"/>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26" w15:restartNumberingAfterBreak="0">
    <w:nsid w:val="10814784"/>
    <w:multiLevelType w:val="hybridMultilevel"/>
    <w:tmpl w:val="00C62B5E"/>
    <w:lvl w:ilvl="0" w:tplc="3DCC4E4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09973E6"/>
    <w:multiLevelType w:val="hybridMultilevel"/>
    <w:tmpl w:val="07F6AC78"/>
    <w:lvl w:ilvl="0" w:tplc="575E3650">
      <w:start w:val="1"/>
      <w:numFmt w:val="lowerLetter"/>
      <w:lvlText w:val="(%1)"/>
      <w:lvlJc w:val="left"/>
      <w:pPr>
        <w:ind w:left="2487" w:hanging="36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28" w15:restartNumberingAfterBreak="0">
    <w:nsid w:val="121B3CA8"/>
    <w:multiLevelType w:val="hybridMultilevel"/>
    <w:tmpl w:val="37C04F10"/>
    <w:lvl w:ilvl="0" w:tplc="0C090001">
      <w:start w:val="1"/>
      <w:numFmt w:val="bullet"/>
      <w:lvlText w:val=""/>
      <w:lvlJc w:val="left"/>
      <w:pPr>
        <w:ind w:left="720" w:hanging="360"/>
      </w:pPr>
      <w:rPr>
        <w:rFonts w:ascii="Symbol" w:hAnsi="Symbol" w:hint="default"/>
      </w:rPr>
    </w:lvl>
    <w:lvl w:ilvl="1" w:tplc="73FC1C00">
      <w:start w:val="1"/>
      <w:numFmt w:val="bullet"/>
      <w:pStyle w:val="BullettL2PB"/>
      <w:lvlText w:val="o"/>
      <w:lvlJc w:val="left"/>
      <w:pPr>
        <w:ind w:left="1440" w:hanging="360"/>
      </w:pPr>
      <w:rPr>
        <w:rFonts w:ascii="Courier New" w:hAnsi="Courier New" w:hint="default"/>
        <w:color w:val="0070C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3776AB0"/>
    <w:multiLevelType w:val="hybridMultilevel"/>
    <w:tmpl w:val="7BC4A8CE"/>
    <w:lvl w:ilvl="0" w:tplc="9238E928">
      <w:start w:val="1"/>
      <w:numFmt w:val="lowerLetter"/>
      <w:lvlText w:val="(%1)"/>
      <w:lvlJc w:val="left"/>
      <w:pPr>
        <w:ind w:left="720" w:hanging="360"/>
      </w:pPr>
      <w:rPr>
        <w:rFonts w:hint="default"/>
        <w:sz w:val="15"/>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5476AAA"/>
    <w:multiLevelType w:val="hybridMultilevel"/>
    <w:tmpl w:val="D80E3B38"/>
    <w:lvl w:ilvl="0" w:tplc="4A923F62">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59B0DF5"/>
    <w:multiLevelType w:val="multilevel"/>
    <w:tmpl w:val="45DC7EE0"/>
    <w:lvl w:ilvl="0">
      <w:start w:val="1"/>
      <w:numFmt w:val="decimal"/>
      <w:pStyle w:val="DLAHEADING1"/>
      <w:lvlText w:val="%1.0"/>
      <w:lvlJc w:val="left"/>
      <w:pPr>
        <w:tabs>
          <w:tab w:val="num" w:pos="720"/>
        </w:tabs>
        <w:ind w:left="720" w:hanging="720"/>
      </w:pPr>
      <w:rPr>
        <w:b/>
        <w:bCs w:val="0"/>
        <w:i w:val="0"/>
        <w:iCs w:val="0"/>
        <w:caps w:val="0"/>
        <w:smallCaps w:val="0"/>
        <w:strike w:val="0"/>
        <w:dstrike w:val="0"/>
        <w:noProof w:val="0"/>
        <w:vanish w:val="0"/>
        <w:color w:val="0076C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720" w:hanging="720"/>
      </w:pPr>
      <w:rPr>
        <w:b/>
        <w:bCs w:val="0"/>
        <w:i w:val="0"/>
        <w:iCs w:val="0"/>
        <w:caps w:val="0"/>
        <w:smallCaps w:val="0"/>
        <w:strike w:val="0"/>
        <w:dstrike w:val="0"/>
        <w:noProof w:val="0"/>
        <w:vanish w:val="0"/>
        <w:color w:val="0076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DLAHeading3"/>
      <w:lvlText w:val="%1.%2.%3"/>
      <w:lvlJc w:val="left"/>
      <w:pPr>
        <w:tabs>
          <w:tab w:val="num" w:pos="720"/>
        </w:tabs>
        <w:ind w:left="720" w:hanging="720"/>
      </w:pPr>
      <w:rPr>
        <w:b/>
        <w:bCs w:val="0"/>
        <w:i w:val="0"/>
        <w:iCs w:val="0"/>
        <w:caps w:val="0"/>
        <w:smallCaps w:val="0"/>
        <w:strike w:val="0"/>
        <w:dstrike w:val="0"/>
        <w:noProof w:val="0"/>
        <w:vanish w:val="0"/>
        <w:color w:val="0076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16502D63"/>
    <w:multiLevelType w:val="hybridMultilevel"/>
    <w:tmpl w:val="E6862132"/>
    <w:lvl w:ilvl="0" w:tplc="FB92AC42">
      <w:start w:val="1"/>
      <w:numFmt w:val="lowerLetter"/>
      <w:lvlText w:val="(%1)"/>
      <w:lvlJc w:val="left"/>
      <w:pPr>
        <w:ind w:left="405" w:hanging="360"/>
      </w:pPr>
      <w:rPr>
        <w:rFonts w:eastAsiaTheme="minorHAnsi" w:hint="default"/>
        <w:sz w:val="16"/>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3" w15:restartNumberingAfterBreak="0">
    <w:nsid w:val="184A0171"/>
    <w:multiLevelType w:val="multilevel"/>
    <w:tmpl w:val="CC5C7C98"/>
    <w:numStyleLink w:val="ACILAllenDashedList"/>
  </w:abstractNum>
  <w:abstractNum w:abstractNumId="34" w15:restartNumberingAfterBreak="0">
    <w:nsid w:val="1932547A"/>
    <w:multiLevelType w:val="hybridMultilevel"/>
    <w:tmpl w:val="E6862132"/>
    <w:lvl w:ilvl="0" w:tplc="FB92AC42">
      <w:start w:val="1"/>
      <w:numFmt w:val="lowerLetter"/>
      <w:lvlText w:val="(%1)"/>
      <w:lvlJc w:val="left"/>
      <w:pPr>
        <w:ind w:left="405" w:hanging="360"/>
      </w:pPr>
      <w:rPr>
        <w:rFonts w:eastAsiaTheme="minorHAnsi" w:hint="default"/>
        <w:sz w:val="16"/>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5" w15:restartNumberingAfterBreak="0">
    <w:nsid w:val="1AB41730"/>
    <w:multiLevelType w:val="hybridMultilevel"/>
    <w:tmpl w:val="421A5B3E"/>
    <w:lvl w:ilvl="0" w:tplc="D53621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B5E113B"/>
    <w:multiLevelType w:val="multilevel"/>
    <w:tmpl w:val="2A72B64E"/>
    <w:lvl w:ilvl="0">
      <w:start w:val="1"/>
      <w:numFmt w:val="decimal"/>
      <w:pStyle w:val="RFQPartA-Level2"/>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1C942140"/>
    <w:multiLevelType w:val="hybridMultilevel"/>
    <w:tmpl w:val="9594EB86"/>
    <w:lvl w:ilvl="0" w:tplc="13CCEA9E">
      <w:start w:val="1"/>
      <w:numFmt w:val="bullet"/>
      <w:pStyle w:val="BullettL1PB"/>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0FF0E9A"/>
    <w:multiLevelType w:val="hybridMultilevel"/>
    <w:tmpl w:val="E6862132"/>
    <w:lvl w:ilvl="0" w:tplc="FB92AC42">
      <w:start w:val="1"/>
      <w:numFmt w:val="lowerLetter"/>
      <w:lvlText w:val="(%1)"/>
      <w:lvlJc w:val="left"/>
      <w:pPr>
        <w:ind w:left="405" w:hanging="360"/>
      </w:pPr>
      <w:rPr>
        <w:rFonts w:eastAsiaTheme="minorHAnsi" w:hint="default"/>
        <w:sz w:val="16"/>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9" w15:restartNumberingAfterBreak="0">
    <w:nsid w:val="228E58D8"/>
    <w:multiLevelType w:val="hybridMultilevel"/>
    <w:tmpl w:val="85767ED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241C0E32"/>
    <w:multiLevelType w:val="hybridMultilevel"/>
    <w:tmpl w:val="7B8C1F28"/>
    <w:lvl w:ilvl="0" w:tplc="AE3CA2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52B2E03"/>
    <w:multiLevelType w:val="hybridMultilevel"/>
    <w:tmpl w:val="A5681DF8"/>
    <w:lvl w:ilvl="0" w:tplc="628AC0FE">
      <w:start w:val="1"/>
      <w:numFmt w:val="decimal"/>
      <w:pStyle w:val="ListNumber"/>
      <w:lvlText w:val="%1."/>
      <w:lvlJc w:val="left"/>
      <w:pPr>
        <w:ind w:left="720" w:hanging="360"/>
      </w:pPr>
      <w:rPr>
        <w:rFonts w:ascii="HelveticaNeue LT 55 Roman" w:hAnsi="HelveticaNeue LT 55 Roman" w:hint="default"/>
        <w:color w:val="0076C0" w:themeColor="accent1"/>
      </w:rPr>
    </w:lvl>
    <w:lvl w:ilvl="1" w:tplc="0C090019" w:tentative="1">
      <w:start w:val="1"/>
      <w:numFmt w:val="lowerLetter"/>
      <w:pStyle w:val="L2PB"/>
      <w:lvlText w:val="%2."/>
      <w:lvlJc w:val="left"/>
      <w:pPr>
        <w:ind w:left="1440" w:hanging="360"/>
      </w:pPr>
    </w:lvl>
    <w:lvl w:ilvl="2" w:tplc="0C09001B" w:tentative="1">
      <w:start w:val="1"/>
      <w:numFmt w:val="lowerRoman"/>
      <w:pStyle w:val="L3PB"/>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5600D1F"/>
    <w:multiLevelType w:val="hybridMultilevel"/>
    <w:tmpl w:val="5A92FDDC"/>
    <w:lvl w:ilvl="0" w:tplc="ED2A0E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64A0B9D"/>
    <w:multiLevelType w:val="hybridMultilevel"/>
    <w:tmpl w:val="54C45D62"/>
    <w:lvl w:ilvl="0" w:tplc="182237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83539C0"/>
    <w:multiLevelType w:val="hybridMultilevel"/>
    <w:tmpl w:val="85767ED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2870067B"/>
    <w:multiLevelType w:val="hybridMultilevel"/>
    <w:tmpl w:val="80BE9D3A"/>
    <w:lvl w:ilvl="0" w:tplc="AE3CA2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AA82478"/>
    <w:multiLevelType w:val="hybridMultilevel"/>
    <w:tmpl w:val="E6862132"/>
    <w:lvl w:ilvl="0" w:tplc="FB92AC42">
      <w:start w:val="1"/>
      <w:numFmt w:val="lowerLetter"/>
      <w:lvlText w:val="(%1)"/>
      <w:lvlJc w:val="left"/>
      <w:pPr>
        <w:ind w:left="405" w:hanging="360"/>
      </w:pPr>
      <w:rPr>
        <w:rFonts w:eastAsiaTheme="minorHAnsi" w:hint="default"/>
        <w:sz w:val="16"/>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47" w15:restartNumberingAfterBreak="0">
    <w:nsid w:val="2C9047D5"/>
    <w:multiLevelType w:val="hybridMultilevel"/>
    <w:tmpl w:val="F63C2638"/>
    <w:lvl w:ilvl="0" w:tplc="902A48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CB60128"/>
    <w:multiLevelType w:val="multilevel"/>
    <w:tmpl w:val="BA5CDFC2"/>
    <w:styleLink w:val="PacEnvAppendixHeadings"/>
    <w:lvl w:ilvl="0">
      <w:start w:val="1"/>
      <w:numFmt w:val="upperLetter"/>
      <w:pStyle w:val="Appendix"/>
      <w:suff w:val="nothing"/>
      <w:lvlText w:val="Appendix %1"/>
      <w:lvlJc w:val="left"/>
      <w:pPr>
        <w:ind w:left="0" w:firstLine="0"/>
      </w:pPr>
      <w:rPr>
        <w:rFonts w:hint="default"/>
      </w:rPr>
    </w:lvl>
    <w:lvl w:ilvl="1">
      <w:start w:val="1"/>
      <w:numFmt w:val="decimal"/>
      <w:pStyle w:val="Appendix1"/>
      <w:suff w:val="space"/>
      <w:lvlText w:val="%1%2"/>
      <w:lvlJc w:val="left"/>
      <w:pPr>
        <w:ind w:left="0" w:firstLine="0"/>
      </w:pPr>
      <w:rPr>
        <w:rFonts w:hint="default"/>
      </w:rPr>
    </w:lvl>
    <w:lvl w:ilvl="2">
      <w:start w:val="1"/>
      <w:numFmt w:val="decimal"/>
      <w:pStyle w:val="Appendix2"/>
      <w:suff w:val="space"/>
      <w:lvlText w:val="%1%2.%3"/>
      <w:lvlJc w:val="left"/>
      <w:pPr>
        <w:ind w:left="0" w:firstLine="0"/>
      </w:pPr>
      <w:rPr>
        <w:rFonts w:hint="default"/>
      </w:rPr>
    </w:lvl>
    <w:lvl w:ilvl="3">
      <w:start w:val="1"/>
      <w:numFmt w:val="decimal"/>
      <w:pStyle w:val="Appendix3"/>
      <w:suff w:val="space"/>
      <w:lvlText w:val="%1%2.%3.%4"/>
      <w:lvlJc w:val="left"/>
      <w:pPr>
        <w:ind w:left="0" w:firstLine="0"/>
      </w:pPr>
      <w:rPr>
        <w:rFonts w:hint="default"/>
      </w:rPr>
    </w:lvl>
    <w:lvl w:ilvl="4">
      <w:start w:val="1"/>
      <w:numFmt w:val="decimal"/>
      <w:pStyle w:val="Appendix4"/>
      <w:suff w:val="space"/>
      <w:lvlText w:val="%1%2.%3.%4.%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F644763"/>
    <w:multiLevelType w:val="hybridMultilevel"/>
    <w:tmpl w:val="D3F87E5C"/>
    <w:lvl w:ilvl="0" w:tplc="AE3CA2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2D554BF"/>
    <w:multiLevelType w:val="hybridMultilevel"/>
    <w:tmpl w:val="B212F942"/>
    <w:lvl w:ilvl="0" w:tplc="A498FB54">
      <w:start w:val="1"/>
      <w:numFmt w:val="lowerLetter"/>
      <w:pStyle w:val="List2"/>
      <w:lvlText w:val="%1."/>
      <w:lvlJc w:val="left"/>
      <w:pPr>
        <w:ind w:left="1077" w:hanging="360"/>
      </w:pPr>
      <w:rPr>
        <w:rFonts w:ascii="Source Sans Pro" w:hAnsi="Source Sans Pro" w:hint="default"/>
        <w:b/>
        <w:i w:val="0"/>
        <w:color w:val="0076C0"/>
        <w:sz w:val="20"/>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1" w15:restartNumberingAfterBreak="0">
    <w:nsid w:val="33E52132"/>
    <w:multiLevelType w:val="multilevel"/>
    <w:tmpl w:val="843C63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347C3C93"/>
    <w:multiLevelType w:val="hybridMultilevel"/>
    <w:tmpl w:val="3EE67850"/>
    <w:lvl w:ilvl="0" w:tplc="0C090017">
      <w:start w:val="1"/>
      <w:numFmt w:val="lowerLetter"/>
      <w:lvlText w:val="%1)"/>
      <w:lvlJc w:val="left"/>
      <w:pPr>
        <w:ind w:left="1286" w:hanging="360"/>
      </w:pPr>
    </w:lvl>
    <w:lvl w:ilvl="1" w:tplc="0C090019" w:tentative="1">
      <w:start w:val="1"/>
      <w:numFmt w:val="lowerLetter"/>
      <w:lvlText w:val="%2."/>
      <w:lvlJc w:val="left"/>
      <w:pPr>
        <w:ind w:left="2006" w:hanging="360"/>
      </w:pPr>
    </w:lvl>
    <w:lvl w:ilvl="2" w:tplc="0C09001B" w:tentative="1">
      <w:start w:val="1"/>
      <w:numFmt w:val="lowerRoman"/>
      <w:lvlText w:val="%3."/>
      <w:lvlJc w:val="right"/>
      <w:pPr>
        <w:ind w:left="2726" w:hanging="180"/>
      </w:pPr>
    </w:lvl>
    <w:lvl w:ilvl="3" w:tplc="0C09000F" w:tentative="1">
      <w:start w:val="1"/>
      <w:numFmt w:val="decimal"/>
      <w:lvlText w:val="%4."/>
      <w:lvlJc w:val="left"/>
      <w:pPr>
        <w:ind w:left="3446" w:hanging="360"/>
      </w:pPr>
    </w:lvl>
    <w:lvl w:ilvl="4" w:tplc="0C090019" w:tentative="1">
      <w:start w:val="1"/>
      <w:numFmt w:val="lowerLetter"/>
      <w:lvlText w:val="%5."/>
      <w:lvlJc w:val="left"/>
      <w:pPr>
        <w:ind w:left="4166" w:hanging="360"/>
      </w:pPr>
    </w:lvl>
    <w:lvl w:ilvl="5" w:tplc="0C09001B" w:tentative="1">
      <w:start w:val="1"/>
      <w:numFmt w:val="lowerRoman"/>
      <w:lvlText w:val="%6."/>
      <w:lvlJc w:val="right"/>
      <w:pPr>
        <w:ind w:left="4886" w:hanging="180"/>
      </w:pPr>
    </w:lvl>
    <w:lvl w:ilvl="6" w:tplc="0C09000F" w:tentative="1">
      <w:start w:val="1"/>
      <w:numFmt w:val="decimal"/>
      <w:lvlText w:val="%7."/>
      <w:lvlJc w:val="left"/>
      <w:pPr>
        <w:ind w:left="5606" w:hanging="360"/>
      </w:pPr>
    </w:lvl>
    <w:lvl w:ilvl="7" w:tplc="0C090019" w:tentative="1">
      <w:start w:val="1"/>
      <w:numFmt w:val="lowerLetter"/>
      <w:lvlText w:val="%8."/>
      <w:lvlJc w:val="left"/>
      <w:pPr>
        <w:ind w:left="6326" w:hanging="360"/>
      </w:pPr>
    </w:lvl>
    <w:lvl w:ilvl="8" w:tplc="0C09001B" w:tentative="1">
      <w:start w:val="1"/>
      <w:numFmt w:val="lowerRoman"/>
      <w:lvlText w:val="%9."/>
      <w:lvlJc w:val="right"/>
      <w:pPr>
        <w:ind w:left="7046" w:hanging="180"/>
      </w:pPr>
    </w:lvl>
  </w:abstractNum>
  <w:abstractNum w:abstractNumId="53" w15:restartNumberingAfterBreak="0">
    <w:nsid w:val="358F5F7A"/>
    <w:multiLevelType w:val="hybridMultilevel"/>
    <w:tmpl w:val="07F6AC78"/>
    <w:lvl w:ilvl="0" w:tplc="575E3650">
      <w:start w:val="1"/>
      <w:numFmt w:val="lowerLetter"/>
      <w:lvlText w:val="(%1)"/>
      <w:lvlJc w:val="left"/>
      <w:pPr>
        <w:ind w:left="2487" w:hanging="36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54" w15:restartNumberingAfterBreak="0">
    <w:nsid w:val="38F25644"/>
    <w:multiLevelType w:val="multilevel"/>
    <w:tmpl w:val="07801D44"/>
    <w:styleLink w:val="AureconBullets"/>
    <w:lvl w:ilvl="0">
      <w:start w:val="1"/>
      <w:numFmt w:val="bullet"/>
      <w:pStyle w:val="Bullet1"/>
      <w:lvlText w:val=""/>
      <w:lvlJc w:val="left"/>
      <w:pPr>
        <w:ind w:left="284" w:hanging="284"/>
      </w:pPr>
      <w:rPr>
        <w:rFonts w:ascii="Wingdings" w:hAnsi="Wingdings" w:hint="default"/>
        <w:color w:val="0076C0" w:themeColor="accent1"/>
        <w:position w:val="2"/>
        <w:sz w:val="14"/>
      </w:rPr>
    </w:lvl>
    <w:lvl w:ilvl="1">
      <w:start w:val="1"/>
      <w:numFmt w:val="bullet"/>
      <w:pStyle w:val="Bullet2"/>
      <w:lvlText w:val=""/>
      <w:lvlJc w:val="left"/>
      <w:pPr>
        <w:ind w:left="567" w:hanging="283"/>
      </w:pPr>
      <w:rPr>
        <w:rFonts w:ascii="Symbol" w:hAnsi="Symbol" w:hint="default"/>
        <w:color w:val="D7BC3E" w:themeColor="accent2"/>
      </w:rPr>
    </w:lvl>
    <w:lvl w:ilvl="2">
      <w:start w:val="1"/>
      <w:numFmt w:val="bullet"/>
      <w:pStyle w:val="Bullet3"/>
      <w:lvlText w:val=""/>
      <w:lvlJc w:val="left"/>
      <w:pPr>
        <w:ind w:left="851" w:hanging="284"/>
      </w:pPr>
      <w:rPr>
        <w:rFonts w:ascii="Wingdings" w:hAnsi="Wingdings" w:hint="default"/>
        <w:color w:val="606372" w:themeColor="text2"/>
        <w:position w:val="2"/>
        <w:sz w:val="14"/>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55" w15:restartNumberingAfterBreak="0">
    <w:nsid w:val="3B171E8E"/>
    <w:multiLevelType w:val="hybridMultilevel"/>
    <w:tmpl w:val="11486A52"/>
    <w:lvl w:ilvl="0" w:tplc="355466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DEF2DB0"/>
    <w:multiLevelType w:val="hybridMultilevel"/>
    <w:tmpl w:val="158E5C8C"/>
    <w:lvl w:ilvl="0" w:tplc="EC8C34E8">
      <w:start w:val="1"/>
      <w:numFmt w:val="lowerLetter"/>
      <w:lvlText w:val="(%1)"/>
      <w:lvlJc w:val="left"/>
      <w:pPr>
        <w:ind w:left="720" w:hanging="360"/>
      </w:pPr>
      <w:rPr>
        <w:rFonts w:ascii="Arial" w:hAnsi="Arial" w:cstheme="minorBidi" w:hint="default"/>
        <w:b w:val="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E770BC2"/>
    <w:multiLevelType w:val="hybridMultilevel"/>
    <w:tmpl w:val="6674D180"/>
    <w:lvl w:ilvl="0" w:tplc="B7F6FF8C">
      <w:start w:val="1"/>
      <w:numFmt w:val="bullet"/>
      <w:pStyle w:val="BulletArrows"/>
      <w:lvlText w:val=""/>
      <w:lvlJc w:val="left"/>
      <w:pPr>
        <w:ind w:left="720" w:hanging="360"/>
      </w:pPr>
      <w:rPr>
        <w:rFonts w:ascii="Wingdings" w:hAnsi="Wingdings" w:hint="default"/>
        <w:color w:val="auto"/>
        <w:sz w:val="18"/>
        <w:szCs w:val="18"/>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3E876F25"/>
    <w:multiLevelType w:val="hybridMultilevel"/>
    <w:tmpl w:val="FCBC74B0"/>
    <w:lvl w:ilvl="0" w:tplc="D55A7558">
      <w:start w:val="1"/>
      <w:numFmt w:val="decimal"/>
      <w:lvlText w:val="%1."/>
      <w:lvlJc w:val="left"/>
      <w:pPr>
        <w:ind w:left="720" w:hanging="360"/>
      </w:pPr>
      <w:rPr>
        <w:b w:val="0"/>
      </w:rPr>
    </w:lvl>
    <w:lvl w:ilvl="1" w:tplc="0C09000F">
      <w:start w:val="1"/>
      <w:numFmt w:val="decimal"/>
      <w:lvlText w:val="%2."/>
      <w:lvlJc w:val="left"/>
      <w:pPr>
        <w:ind w:left="1440" w:hanging="360"/>
      </w:pPr>
    </w:lvl>
    <w:lvl w:ilvl="2" w:tplc="E1B8D954">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F1B3FD8"/>
    <w:multiLevelType w:val="hybridMultilevel"/>
    <w:tmpl w:val="E6862132"/>
    <w:lvl w:ilvl="0" w:tplc="FB92AC42">
      <w:start w:val="1"/>
      <w:numFmt w:val="lowerLetter"/>
      <w:lvlText w:val="(%1)"/>
      <w:lvlJc w:val="left"/>
      <w:pPr>
        <w:ind w:left="405" w:hanging="360"/>
      </w:pPr>
      <w:rPr>
        <w:rFonts w:eastAsiaTheme="minorHAnsi" w:hint="default"/>
        <w:sz w:val="16"/>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60" w15:restartNumberingAfterBreak="0">
    <w:nsid w:val="417445C2"/>
    <w:multiLevelType w:val="multilevel"/>
    <w:tmpl w:val="A7EA2576"/>
    <w:lvl w:ilvl="0">
      <w:start w:val="1"/>
      <w:numFmt w:val="decimal"/>
      <w:pStyle w:val="Heading1"/>
      <w:suff w:val="space"/>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1" w15:restartNumberingAfterBreak="0">
    <w:nsid w:val="46847BF2"/>
    <w:multiLevelType w:val="hybridMultilevel"/>
    <w:tmpl w:val="EB6ABE6E"/>
    <w:lvl w:ilvl="0" w:tplc="FA227EC2">
      <w:start w:val="1"/>
      <w:numFmt w:val="bullet"/>
      <w:pStyle w:val="PBL2bullet"/>
      <w:lvlText w:val="o"/>
      <w:lvlJc w:val="left"/>
      <w:pPr>
        <w:ind w:left="717" w:hanging="360"/>
      </w:pPr>
      <w:rPr>
        <w:rFonts w:ascii="Courier New" w:hAnsi="Courier New" w:hint="default"/>
        <w:color w:val="0070C0"/>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62" w15:restartNumberingAfterBreak="0">
    <w:nsid w:val="48FA7478"/>
    <w:multiLevelType w:val="multilevel"/>
    <w:tmpl w:val="2A741D82"/>
    <w:lvl w:ilvl="0">
      <w:start w:val="1"/>
      <w:numFmt w:val="decimal"/>
      <w:pStyle w:val="ESHeading1"/>
      <w:lvlText w:val="ES%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2"/>
      <w:lvlJc w:val="left"/>
      <w:pPr>
        <w:tabs>
          <w:tab w:val="num" w:pos="720"/>
        </w:tabs>
        <w:ind w:left="720" w:hanging="720"/>
      </w:pPr>
      <w:rPr>
        <w:rFonts w:hint="default"/>
      </w:rPr>
    </w:lvl>
    <w:lvl w:ilvl="3">
      <w:start w:val="1"/>
      <w:numFmt w:val="decimal"/>
      <w:lvlText w:val="%1.%2.%4.%3"/>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AAC6CAC"/>
    <w:multiLevelType w:val="hybridMultilevel"/>
    <w:tmpl w:val="DA22E052"/>
    <w:lvl w:ilvl="0" w:tplc="6158E720">
      <w:start w:val="1"/>
      <w:numFmt w:val="bullet"/>
      <w:pStyle w:val="PBListL2"/>
      <w:lvlText w:val="o"/>
      <w:lvlJc w:val="left"/>
      <w:pPr>
        <w:ind w:left="1571" w:hanging="360"/>
      </w:pPr>
      <w:rPr>
        <w:rFonts w:ascii="Courier New" w:hAnsi="Courier New" w:hint="default"/>
        <w:color w:val="0070C0"/>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4" w15:restartNumberingAfterBreak="0">
    <w:nsid w:val="525C50C2"/>
    <w:multiLevelType w:val="hybridMultilevel"/>
    <w:tmpl w:val="E0944B82"/>
    <w:styleLink w:val="PacEnvNumberedHeadings7"/>
    <w:lvl w:ilvl="0" w:tplc="4B00D204">
      <w:start w:val="1"/>
      <w:numFmt w:val="bullet"/>
      <w:lvlText w:val=""/>
      <w:lvlJc w:val="center"/>
      <w:pPr>
        <w:ind w:left="720" w:hanging="360"/>
      </w:pPr>
      <w:rPr>
        <w:rFonts w:ascii="Wingdings" w:hAnsi="Wingdings" w:hint="default"/>
        <w:color w:val="0070C0"/>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2EA1C79"/>
    <w:multiLevelType w:val="hybridMultilevel"/>
    <w:tmpl w:val="07F6AC78"/>
    <w:lvl w:ilvl="0" w:tplc="575E3650">
      <w:start w:val="1"/>
      <w:numFmt w:val="lowerLetter"/>
      <w:lvlText w:val="(%1)"/>
      <w:lvlJc w:val="left"/>
      <w:pPr>
        <w:ind w:left="2487" w:hanging="360"/>
      </w:pPr>
      <w:rPr>
        <w:rFonts w:hint="default"/>
      </w:rPr>
    </w:lvl>
    <w:lvl w:ilvl="1" w:tplc="0C090019">
      <w:start w:val="1"/>
      <w:numFmt w:val="lowerLetter"/>
      <w:lvlText w:val="%2."/>
      <w:lvlJc w:val="left"/>
      <w:pPr>
        <w:ind w:left="3207" w:hanging="360"/>
      </w:pPr>
    </w:lvl>
    <w:lvl w:ilvl="2" w:tplc="0C09001B">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66" w15:restartNumberingAfterBreak="0">
    <w:nsid w:val="53DE359A"/>
    <w:multiLevelType w:val="hybridMultilevel"/>
    <w:tmpl w:val="FF4E0E5E"/>
    <w:lvl w:ilvl="0" w:tplc="3DCC4E40">
      <w:start w:val="1"/>
      <w:numFmt w:val="bullet"/>
      <w:lvlText w:val=""/>
      <w:lvlJc w:val="left"/>
      <w:pPr>
        <w:ind w:left="720" w:hanging="360"/>
      </w:pPr>
      <w:rPr>
        <w:rFonts w:ascii="Symbol" w:hAnsi="Symbol" w:hint="default"/>
        <w:color w:val="0070C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3FB12FE"/>
    <w:multiLevelType w:val="multilevel"/>
    <w:tmpl w:val="682AA366"/>
    <w:styleLink w:val="PacEnvNumberedHeading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8" w15:restartNumberingAfterBreak="0">
    <w:nsid w:val="57936E20"/>
    <w:multiLevelType w:val="hybridMultilevel"/>
    <w:tmpl w:val="7A801EF6"/>
    <w:lvl w:ilvl="0" w:tplc="5FCEDA16">
      <w:start w:val="1"/>
      <w:numFmt w:val="bullet"/>
      <w:pStyle w:val="BulletsLevel3Dash"/>
      <w:lvlText w:val="-"/>
      <w:lvlJc w:val="left"/>
      <w:pPr>
        <w:ind w:left="927" w:hanging="360"/>
      </w:pPr>
      <w:rPr>
        <w:rFonts w:ascii="Verdana" w:hAnsi="Verdana" w:hint="default"/>
        <w:color w:val="auto"/>
        <w:sz w:val="24"/>
      </w:rPr>
    </w:lvl>
    <w:lvl w:ilvl="1" w:tplc="4058DC30">
      <w:start w:val="1"/>
      <w:numFmt w:val="bullet"/>
      <w:lvlText w:val="o"/>
      <w:lvlJc w:val="left"/>
      <w:pPr>
        <w:tabs>
          <w:tab w:val="num" w:pos="1440"/>
        </w:tabs>
        <w:ind w:left="1440" w:hanging="360"/>
      </w:pPr>
      <w:rPr>
        <w:rFonts w:ascii="Courier New" w:hAnsi="Courier New" w:hint="default"/>
      </w:rPr>
    </w:lvl>
    <w:lvl w:ilvl="2" w:tplc="AFC83A10" w:tentative="1">
      <w:start w:val="1"/>
      <w:numFmt w:val="bullet"/>
      <w:lvlText w:val=""/>
      <w:lvlJc w:val="left"/>
      <w:pPr>
        <w:tabs>
          <w:tab w:val="num" w:pos="2160"/>
        </w:tabs>
        <w:ind w:left="2160" w:hanging="360"/>
      </w:pPr>
      <w:rPr>
        <w:rFonts w:ascii="Wingdings" w:hAnsi="Wingdings" w:hint="default"/>
      </w:rPr>
    </w:lvl>
    <w:lvl w:ilvl="3" w:tplc="E4065386" w:tentative="1">
      <w:start w:val="1"/>
      <w:numFmt w:val="bullet"/>
      <w:lvlText w:val=""/>
      <w:lvlJc w:val="left"/>
      <w:pPr>
        <w:tabs>
          <w:tab w:val="num" w:pos="2880"/>
        </w:tabs>
        <w:ind w:left="2880" w:hanging="360"/>
      </w:pPr>
      <w:rPr>
        <w:rFonts w:ascii="Symbol" w:hAnsi="Symbol" w:hint="default"/>
      </w:rPr>
    </w:lvl>
    <w:lvl w:ilvl="4" w:tplc="D292CA06" w:tentative="1">
      <w:start w:val="1"/>
      <w:numFmt w:val="bullet"/>
      <w:lvlText w:val="o"/>
      <w:lvlJc w:val="left"/>
      <w:pPr>
        <w:tabs>
          <w:tab w:val="num" w:pos="3600"/>
        </w:tabs>
        <w:ind w:left="3600" w:hanging="360"/>
      </w:pPr>
      <w:rPr>
        <w:rFonts w:ascii="Courier New" w:hAnsi="Courier New" w:hint="default"/>
      </w:rPr>
    </w:lvl>
    <w:lvl w:ilvl="5" w:tplc="FCA86E50" w:tentative="1">
      <w:start w:val="1"/>
      <w:numFmt w:val="bullet"/>
      <w:lvlText w:val=""/>
      <w:lvlJc w:val="left"/>
      <w:pPr>
        <w:tabs>
          <w:tab w:val="num" w:pos="4320"/>
        </w:tabs>
        <w:ind w:left="4320" w:hanging="360"/>
      </w:pPr>
      <w:rPr>
        <w:rFonts w:ascii="Wingdings" w:hAnsi="Wingdings" w:hint="default"/>
      </w:rPr>
    </w:lvl>
    <w:lvl w:ilvl="6" w:tplc="537A09D4" w:tentative="1">
      <w:start w:val="1"/>
      <w:numFmt w:val="bullet"/>
      <w:lvlText w:val=""/>
      <w:lvlJc w:val="left"/>
      <w:pPr>
        <w:tabs>
          <w:tab w:val="num" w:pos="5040"/>
        </w:tabs>
        <w:ind w:left="5040" w:hanging="360"/>
      </w:pPr>
      <w:rPr>
        <w:rFonts w:ascii="Symbol" w:hAnsi="Symbol" w:hint="default"/>
      </w:rPr>
    </w:lvl>
    <w:lvl w:ilvl="7" w:tplc="5C00F7EC" w:tentative="1">
      <w:start w:val="1"/>
      <w:numFmt w:val="bullet"/>
      <w:lvlText w:val="o"/>
      <w:lvlJc w:val="left"/>
      <w:pPr>
        <w:tabs>
          <w:tab w:val="num" w:pos="5760"/>
        </w:tabs>
        <w:ind w:left="5760" w:hanging="360"/>
      </w:pPr>
      <w:rPr>
        <w:rFonts w:ascii="Courier New" w:hAnsi="Courier New" w:hint="default"/>
      </w:rPr>
    </w:lvl>
    <w:lvl w:ilvl="8" w:tplc="B6C67A1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D861D9D"/>
    <w:multiLevelType w:val="hybridMultilevel"/>
    <w:tmpl w:val="AA561008"/>
    <w:lvl w:ilvl="0" w:tplc="8884D38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DAA203D"/>
    <w:multiLevelType w:val="multilevel"/>
    <w:tmpl w:val="BA5CDFC2"/>
    <w:numStyleLink w:val="PacEnvAppendixHeadings"/>
  </w:abstractNum>
  <w:abstractNum w:abstractNumId="71" w15:restartNumberingAfterBreak="0">
    <w:nsid w:val="614D2404"/>
    <w:multiLevelType w:val="hybridMultilevel"/>
    <w:tmpl w:val="B484999C"/>
    <w:lvl w:ilvl="0" w:tplc="3DCC4E4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37556EE"/>
    <w:multiLevelType w:val="hybridMultilevel"/>
    <w:tmpl w:val="6E0A105E"/>
    <w:lvl w:ilvl="0" w:tplc="3DCC4E4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C444A9A"/>
    <w:multiLevelType w:val="multilevel"/>
    <w:tmpl w:val="C44C0DBE"/>
    <w:styleLink w:val="DLANumbered"/>
    <w:lvl w:ilvl="0">
      <w:start w:val="1"/>
      <w:numFmt w:val="decimal"/>
      <w:lvlText w:val="%1."/>
      <w:lvlJc w:val="left"/>
      <w:pPr>
        <w:tabs>
          <w:tab w:val="num" w:pos="720"/>
        </w:tabs>
        <w:ind w:left="720" w:hanging="36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6E156241"/>
    <w:multiLevelType w:val="hybridMultilevel"/>
    <w:tmpl w:val="249600B8"/>
    <w:lvl w:ilvl="0" w:tplc="D22EE7C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F764EC5"/>
    <w:multiLevelType w:val="multilevel"/>
    <w:tmpl w:val="CAB89AB2"/>
    <w:lvl w:ilvl="0">
      <w:start w:val="1"/>
      <w:numFmt w:val="decimal"/>
      <w:pStyle w:val="ScheduleHeading"/>
      <w:lvlText w:val="Schedule %1"/>
      <w:lvlJc w:val="left"/>
      <w:pPr>
        <w:tabs>
          <w:tab w:val="num" w:pos="1418"/>
        </w:tabs>
        <w:ind w:left="1418" w:hanging="1418"/>
      </w:pPr>
      <w:rPr>
        <w:rFonts w:hint="default"/>
      </w:rPr>
    </w:lvl>
    <w:lvl w:ilvl="1">
      <w:start w:val="1"/>
      <w:numFmt w:val="decimal"/>
      <w:pStyle w:val="ScheduleLevel1"/>
      <w:lvlText w:val="%2."/>
      <w:lvlJc w:val="left"/>
      <w:pPr>
        <w:tabs>
          <w:tab w:val="num" w:pos="1134"/>
        </w:tabs>
        <w:ind w:left="1134" w:hanging="1134"/>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Level2"/>
      <w:lvlText w:val="%2.%3."/>
      <w:lvlJc w:val="left"/>
      <w:pPr>
        <w:tabs>
          <w:tab w:val="num" w:pos="1134"/>
        </w:tabs>
        <w:ind w:left="1134" w:hanging="1134"/>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cheduleLevel3"/>
      <w:lvlText w:val="%2.%3.%4."/>
      <w:lvlJc w:val="left"/>
      <w:pPr>
        <w:tabs>
          <w:tab w:val="num" w:pos="1134"/>
        </w:tabs>
        <w:ind w:left="1134" w:hanging="1134"/>
      </w:pPr>
      <w:rPr>
        <w:rFonts w:hint="default"/>
        <w:color w:val="auto"/>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abstractNum w:abstractNumId="76" w15:restartNumberingAfterBreak="0">
    <w:nsid w:val="70967EA0"/>
    <w:multiLevelType w:val="hybridMultilevel"/>
    <w:tmpl w:val="BF5CD660"/>
    <w:lvl w:ilvl="0" w:tplc="53208942">
      <w:start w:val="1"/>
      <w:numFmt w:val="lowerLetter"/>
      <w:lvlText w:val="(%1)"/>
      <w:lvlJc w:val="left"/>
      <w:pPr>
        <w:ind w:left="720" w:hanging="360"/>
      </w:pPr>
      <w:rPr>
        <w:rFonts w:hint="default"/>
      </w:rPr>
    </w:lvl>
    <w:lvl w:ilvl="1" w:tplc="D4DCB80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3A37718"/>
    <w:multiLevelType w:val="multilevel"/>
    <w:tmpl w:val="78EEB2F4"/>
    <w:lvl w:ilvl="0">
      <w:start w:val="1"/>
      <w:numFmt w:val="bullet"/>
      <w:pStyle w:val="EYTablebullet1"/>
      <w:lvlText w:val="•"/>
      <w:lvlJc w:val="left"/>
      <w:pPr>
        <w:tabs>
          <w:tab w:val="num" w:pos="1436"/>
        </w:tabs>
        <w:ind w:left="1440" w:hanging="288"/>
      </w:pPr>
      <w:rPr>
        <w:rFonts w:ascii="EYInterstate Light" w:hAnsi="EYInterstate Light" w:hint="default"/>
        <w:b w:val="0"/>
        <w:bCs/>
        <w:i w:val="0"/>
        <w:color w:val="FFD200"/>
        <w:sz w:val="16"/>
        <w:szCs w:val="24"/>
      </w:rPr>
    </w:lvl>
    <w:lvl w:ilvl="1">
      <w:start w:val="1"/>
      <w:numFmt w:val="bullet"/>
      <w:pStyle w:val="EYTablebullet2"/>
      <w:lvlText w:val="•"/>
      <w:lvlJc w:val="left"/>
      <w:pPr>
        <w:tabs>
          <w:tab w:val="num" w:pos="1724"/>
        </w:tabs>
        <w:ind w:left="1728" w:hanging="288"/>
      </w:pPr>
      <w:rPr>
        <w:rFonts w:ascii="EYInterstate Light" w:hAnsi="EYInterstate Light" w:hint="default"/>
        <w:b w:val="0"/>
        <w:i w:val="0"/>
        <w:color w:val="FFD200"/>
        <w:sz w:val="16"/>
        <w:szCs w:val="24"/>
      </w:rPr>
    </w:lvl>
    <w:lvl w:ilvl="2">
      <w:start w:val="1"/>
      <w:numFmt w:val="none"/>
      <w:lvlText w:val=""/>
      <w:lvlJc w:val="left"/>
      <w:pPr>
        <w:tabs>
          <w:tab w:val="num" w:pos="2012"/>
        </w:tabs>
        <w:ind w:left="2016" w:hanging="288"/>
      </w:pPr>
      <w:rPr>
        <w:rFonts w:hint="default"/>
        <w:color w:val="002261"/>
      </w:rPr>
    </w:lvl>
    <w:lvl w:ilvl="3">
      <w:start w:val="1"/>
      <w:numFmt w:val="none"/>
      <w:lvlText w:val=""/>
      <w:lvlJc w:val="left"/>
      <w:pPr>
        <w:tabs>
          <w:tab w:val="num" w:pos="2300"/>
        </w:tabs>
        <w:ind w:left="2304" w:hanging="288"/>
      </w:pPr>
      <w:rPr>
        <w:rFonts w:hint="default"/>
      </w:rPr>
    </w:lvl>
    <w:lvl w:ilvl="4">
      <w:start w:val="1"/>
      <w:numFmt w:val="none"/>
      <w:lvlText w:val=""/>
      <w:lvlJc w:val="left"/>
      <w:pPr>
        <w:tabs>
          <w:tab w:val="num" w:pos="2588"/>
        </w:tabs>
        <w:ind w:left="2592" w:hanging="288"/>
      </w:pPr>
      <w:rPr>
        <w:rFonts w:hint="default"/>
      </w:rPr>
    </w:lvl>
    <w:lvl w:ilvl="5">
      <w:start w:val="1"/>
      <w:numFmt w:val="none"/>
      <w:lvlText w:val=""/>
      <w:lvlJc w:val="left"/>
      <w:pPr>
        <w:tabs>
          <w:tab w:val="num" w:pos="2876"/>
        </w:tabs>
        <w:ind w:left="2880" w:hanging="288"/>
      </w:pPr>
      <w:rPr>
        <w:rFonts w:hint="default"/>
      </w:rPr>
    </w:lvl>
    <w:lvl w:ilvl="6">
      <w:start w:val="1"/>
      <w:numFmt w:val="none"/>
      <w:lvlText w:val=""/>
      <w:lvlJc w:val="left"/>
      <w:pPr>
        <w:tabs>
          <w:tab w:val="num" w:pos="3164"/>
        </w:tabs>
        <w:ind w:left="3168" w:hanging="288"/>
      </w:pPr>
      <w:rPr>
        <w:rFonts w:hint="default"/>
      </w:rPr>
    </w:lvl>
    <w:lvl w:ilvl="7">
      <w:start w:val="1"/>
      <w:numFmt w:val="none"/>
      <w:lvlText w:val=""/>
      <w:lvlJc w:val="left"/>
      <w:pPr>
        <w:tabs>
          <w:tab w:val="num" w:pos="3452"/>
        </w:tabs>
        <w:ind w:left="3456" w:hanging="288"/>
      </w:pPr>
      <w:rPr>
        <w:rFonts w:hint="default"/>
      </w:rPr>
    </w:lvl>
    <w:lvl w:ilvl="8">
      <w:start w:val="1"/>
      <w:numFmt w:val="none"/>
      <w:lvlText w:val=""/>
      <w:lvlJc w:val="left"/>
      <w:pPr>
        <w:tabs>
          <w:tab w:val="num" w:pos="3740"/>
        </w:tabs>
        <w:ind w:left="3744" w:hanging="288"/>
      </w:pPr>
      <w:rPr>
        <w:rFonts w:hint="default"/>
      </w:rPr>
    </w:lvl>
  </w:abstractNum>
  <w:abstractNum w:abstractNumId="78" w15:restartNumberingAfterBreak="0">
    <w:nsid w:val="74AB2773"/>
    <w:multiLevelType w:val="hybridMultilevel"/>
    <w:tmpl w:val="FB70B732"/>
    <w:lvl w:ilvl="0" w:tplc="7A4E6B48">
      <w:start w:val="1"/>
      <w:numFmt w:val="bullet"/>
      <w:pStyle w:val="BulletCircles"/>
      <w:lvlText w:val="o"/>
      <w:lvlJc w:val="left"/>
      <w:pPr>
        <w:ind w:left="644" w:hanging="360"/>
      </w:pPr>
      <w:rPr>
        <w:rFonts w:ascii="Courier New" w:hAnsi="Courier New" w:hint="default"/>
        <w:color w:val="auto"/>
        <w:sz w:val="24"/>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63A5095"/>
    <w:multiLevelType w:val="hybridMultilevel"/>
    <w:tmpl w:val="4740B512"/>
    <w:lvl w:ilvl="0" w:tplc="057A7E18">
      <w:start w:val="1"/>
      <w:numFmt w:val="decimal"/>
      <w:pStyle w:val="Numbered1"/>
      <w:lvlText w:val="%1."/>
      <w:lvlJc w:val="left"/>
      <w:pPr>
        <w:ind w:left="786" w:hanging="360"/>
      </w:pPr>
    </w:lvl>
    <w:lvl w:ilvl="1" w:tplc="7134457C">
      <w:start w:val="1"/>
      <w:numFmt w:val="lowerLetter"/>
      <w:pStyle w:val="Numbered2"/>
      <w:lvlText w:val="%2."/>
      <w:lvlJc w:val="left"/>
      <w:pPr>
        <w:ind w:left="1506" w:hanging="360"/>
      </w:pPr>
    </w:lvl>
    <w:lvl w:ilvl="2" w:tplc="195A11E8">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0" w15:restartNumberingAfterBreak="0">
    <w:nsid w:val="77F379A6"/>
    <w:multiLevelType w:val="hybridMultilevel"/>
    <w:tmpl w:val="4654667E"/>
    <w:lvl w:ilvl="0" w:tplc="07BCFA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D976118"/>
    <w:multiLevelType w:val="hybridMultilevel"/>
    <w:tmpl w:val="1E60AFB6"/>
    <w:styleLink w:val="PacEnvNumberedHeadings1"/>
    <w:lvl w:ilvl="0" w:tplc="4FF02066">
      <w:start w:val="1"/>
      <w:numFmt w:val="bullet"/>
      <w:lvlText w:val=""/>
      <w:lvlJc w:val="left"/>
      <w:pPr>
        <w:ind w:left="717" w:hanging="360"/>
      </w:pPr>
      <w:rPr>
        <w:rFonts w:ascii="Wingdings 2" w:hAnsi="Wingdings 2" w:hint="default"/>
        <w:color w:val="0070C0"/>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num w:numId="1">
    <w:abstractNumId w:val="41"/>
  </w:num>
  <w:num w:numId="2">
    <w:abstractNumId w:val="21"/>
  </w:num>
  <w:num w:numId="3">
    <w:abstractNumId w:val="50"/>
  </w:num>
  <w:num w:numId="4">
    <w:abstractNumId w:val="7"/>
  </w:num>
  <w:num w:numId="5">
    <w:abstractNumId w:val="6"/>
  </w:num>
  <w:num w:numId="6">
    <w:abstractNumId w:val="4"/>
  </w:num>
  <w:num w:numId="7">
    <w:abstractNumId w:val="3"/>
  </w:num>
  <w:num w:numId="8">
    <w:abstractNumId w:val="19"/>
  </w:num>
  <w:num w:numId="9">
    <w:abstractNumId w:val="48"/>
  </w:num>
  <w:num w:numId="10">
    <w:abstractNumId w:val="70"/>
  </w:num>
  <w:num w:numId="11">
    <w:abstractNumId w:val="67"/>
  </w:num>
  <w:num w:numId="12">
    <w:abstractNumId w:val="49"/>
  </w:num>
  <w:num w:numId="13">
    <w:abstractNumId w:val="40"/>
  </w:num>
  <w:num w:numId="14">
    <w:abstractNumId w:val="45"/>
  </w:num>
  <w:num w:numId="15">
    <w:abstractNumId w:val="76"/>
  </w:num>
  <w:num w:numId="16">
    <w:abstractNumId w:val="57"/>
  </w:num>
  <w:num w:numId="17">
    <w:abstractNumId w:val="77"/>
  </w:num>
  <w:num w:numId="18">
    <w:abstractNumId w:val="17"/>
  </w:num>
  <w:num w:numId="19">
    <w:abstractNumId w:val="35"/>
  </w:num>
  <w:num w:numId="20">
    <w:abstractNumId w:val="62"/>
  </w:num>
  <w:num w:numId="21">
    <w:abstractNumId w:val="64"/>
  </w:num>
  <w:num w:numId="22">
    <w:abstractNumId w:val="8"/>
  </w:num>
  <w:num w:numId="23">
    <w:abstractNumId w:val="61"/>
  </w:num>
  <w:num w:numId="24">
    <w:abstractNumId w:val="78"/>
  </w:num>
  <w:num w:numId="25">
    <w:abstractNumId w:val="68"/>
  </w:num>
  <w:num w:numId="26">
    <w:abstractNumId w:val="2"/>
  </w:num>
  <w:num w:numId="27">
    <w:abstractNumId w:val="1"/>
  </w:num>
  <w:num w:numId="28">
    <w:abstractNumId w:val="0"/>
  </w:num>
  <w:num w:numId="29">
    <w:abstractNumId w:val="31"/>
  </w:num>
  <w:num w:numId="30">
    <w:abstractNumId w:val="73"/>
  </w:num>
  <w:num w:numId="31">
    <w:abstractNumId w:val="55"/>
  </w:num>
  <w:num w:numId="32">
    <w:abstractNumId w:val="43"/>
  </w:num>
  <w:num w:numId="33">
    <w:abstractNumId w:val="58"/>
  </w:num>
  <w:num w:numId="34">
    <w:abstractNumId w:val="14"/>
  </w:num>
  <w:num w:numId="35">
    <w:abstractNumId w:val="65"/>
  </w:num>
  <w:num w:numId="36">
    <w:abstractNumId w:val="63"/>
  </w:num>
  <w:num w:numId="37">
    <w:abstractNumId w:val="37"/>
  </w:num>
  <w:num w:numId="38">
    <w:abstractNumId w:val="28"/>
  </w:num>
  <w:num w:numId="39">
    <w:abstractNumId w:val="74"/>
  </w:num>
  <w:num w:numId="40">
    <w:abstractNumId w:val="81"/>
  </w:num>
  <w:num w:numId="41">
    <w:abstractNumId w:val="11"/>
  </w:num>
  <w:num w:numId="42">
    <w:abstractNumId w:val="25"/>
  </w:num>
  <w:num w:numId="43">
    <w:abstractNumId w:val="33"/>
  </w:num>
  <w:num w:numId="44">
    <w:abstractNumId w:val="79"/>
  </w:num>
  <w:num w:numId="45">
    <w:abstractNumId w:val="75"/>
  </w:num>
  <w:num w:numId="46">
    <w:abstractNumId w:val="36"/>
  </w:num>
  <w:num w:numId="47">
    <w:abstractNumId w:val="54"/>
  </w:num>
  <w:num w:numId="48">
    <w:abstractNumId w:val="10"/>
  </w:num>
  <w:num w:numId="49">
    <w:abstractNumId w:val="23"/>
  </w:num>
  <w:num w:numId="50">
    <w:abstractNumId w:val="27"/>
  </w:num>
  <w:num w:numId="51">
    <w:abstractNumId w:val="18"/>
  </w:num>
  <w:num w:numId="52">
    <w:abstractNumId w:val="60"/>
  </w:num>
  <w:num w:numId="53">
    <w:abstractNumId w:val="60"/>
  </w:num>
  <w:num w:numId="54">
    <w:abstractNumId w:val="60"/>
    <w:lvlOverride w:ilvl="0">
      <w:lvl w:ilvl="0">
        <w:start w:val="1"/>
        <w:numFmt w:val="decimal"/>
        <w:pStyle w:val="Heading1"/>
        <w:lvlText w:val="%1"/>
        <w:lvlJc w:val="left"/>
        <w:pPr>
          <w:ind w:left="0" w:firstLine="0"/>
        </w:pPr>
        <w:rPr>
          <w:rFonts w:hint="default"/>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decimal"/>
        <w:pStyle w:val="Heading4"/>
        <w:lvlText w:val="%1.%2.%3.%4"/>
        <w:lvlJc w:val="left"/>
        <w:pPr>
          <w:ind w:left="0" w:firstLine="0"/>
        </w:pPr>
        <w:rPr>
          <w:rFonts w:hint="default"/>
        </w:rPr>
      </w:lvl>
    </w:lvlOverride>
    <w:lvlOverride w:ilvl="4">
      <w:lvl w:ilvl="4">
        <w:start w:val="1"/>
        <w:numFmt w:val="decimal"/>
        <w:suff w:val="space"/>
        <w:lvlText w:val="%1.%2.%3.%4.%5"/>
        <w:lvlJc w:val="left"/>
        <w:pPr>
          <w:ind w:left="0" w:firstLine="0"/>
        </w:pPr>
        <w:rPr>
          <w:rFonts w:hint="default"/>
        </w:rPr>
      </w:lvl>
    </w:lvlOverride>
    <w:lvlOverride w:ilvl="5">
      <w:lvl w:ilvl="5">
        <w:start w:val="1"/>
        <w:numFmt w:val="decimal"/>
        <w:suff w:val="space"/>
        <w:lvlText w:val="%1.%2.%3.%4.%5.%6"/>
        <w:lvlJc w:val="left"/>
        <w:pPr>
          <w:ind w:left="0" w:firstLine="0"/>
        </w:pPr>
        <w:rPr>
          <w:rFonts w:hint="default"/>
        </w:rPr>
      </w:lvl>
    </w:lvlOverride>
    <w:lvlOverride w:ilvl="6">
      <w:lvl w:ilvl="6">
        <w:start w:val="1"/>
        <w:numFmt w:val="decimal"/>
        <w:suff w:val="space"/>
        <w:lvlText w:val="%1.%2.%3.%4.%5.%6.%7"/>
        <w:lvlJc w:val="left"/>
        <w:pPr>
          <w:ind w:left="0" w:firstLine="0"/>
        </w:pPr>
        <w:rPr>
          <w:rFonts w:hint="default"/>
        </w:rPr>
      </w:lvl>
    </w:lvlOverride>
    <w:lvlOverride w:ilvl="7">
      <w:lvl w:ilvl="7">
        <w:start w:val="1"/>
        <w:numFmt w:val="decimal"/>
        <w:suff w:val="space"/>
        <w:lvlText w:val="%1.%2.%3.%4.%5.%6.%7.%8"/>
        <w:lvlJc w:val="left"/>
        <w:pPr>
          <w:ind w:left="0" w:firstLine="0"/>
        </w:pPr>
        <w:rPr>
          <w:rFonts w:hint="default"/>
        </w:rPr>
      </w:lvl>
    </w:lvlOverride>
    <w:lvlOverride w:ilvl="8">
      <w:lvl w:ilvl="8">
        <w:start w:val="1"/>
        <w:numFmt w:val="decimal"/>
        <w:suff w:val="space"/>
        <w:lvlText w:val="%1.%2.%3.%4.%5.%6.%7.%8.%9"/>
        <w:lvlJc w:val="left"/>
        <w:pPr>
          <w:ind w:left="0" w:firstLine="0"/>
        </w:pPr>
        <w:rPr>
          <w:rFonts w:hint="default"/>
        </w:rPr>
      </w:lvl>
    </w:lvlOverride>
  </w:num>
  <w:num w:numId="55">
    <w:abstractNumId w:val="56"/>
  </w:num>
  <w:num w:numId="56">
    <w:abstractNumId w:val="29"/>
  </w:num>
  <w:num w:numId="57">
    <w:abstractNumId w:val="80"/>
  </w:num>
  <w:num w:numId="58">
    <w:abstractNumId w:val="53"/>
  </w:num>
  <w:num w:numId="59">
    <w:abstractNumId w:val="47"/>
  </w:num>
  <w:num w:numId="60">
    <w:abstractNumId w:val="42"/>
  </w:num>
  <w:num w:numId="61">
    <w:abstractNumId w:val="32"/>
  </w:num>
  <w:num w:numId="62">
    <w:abstractNumId w:val="34"/>
  </w:num>
  <w:num w:numId="63">
    <w:abstractNumId w:val="13"/>
  </w:num>
  <w:num w:numId="64">
    <w:abstractNumId w:val="9"/>
  </w:num>
  <w:num w:numId="65">
    <w:abstractNumId w:val="59"/>
  </w:num>
  <w:num w:numId="66">
    <w:abstractNumId w:val="38"/>
  </w:num>
  <w:num w:numId="67">
    <w:abstractNumId w:val="20"/>
  </w:num>
  <w:num w:numId="68">
    <w:abstractNumId w:val="46"/>
  </w:num>
  <w:num w:numId="69">
    <w:abstractNumId w:val="5"/>
  </w:num>
  <w:num w:numId="70">
    <w:abstractNumId w:val="30"/>
  </w:num>
  <w:num w:numId="71">
    <w:abstractNumId w:val="66"/>
  </w:num>
  <w:num w:numId="72">
    <w:abstractNumId w:val="22"/>
  </w:num>
  <w:num w:numId="73">
    <w:abstractNumId w:val="7"/>
  </w:num>
  <w:num w:numId="74">
    <w:abstractNumId w:val="69"/>
  </w:num>
  <w:num w:numId="75">
    <w:abstractNumId w:val="12"/>
  </w:num>
  <w:num w:numId="76">
    <w:abstractNumId w:val="26"/>
  </w:num>
  <w:num w:numId="77">
    <w:abstractNumId w:val="71"/>
  </w:num>
  <w:num w:numId="78">
    <w:abstractNumId w:val="72"/>
  </w:num>
  <w:num w:numId="79">
    <w:abstractNumId w:val="44"/>
  </w:num>
  <w:num w:numId="80">
    <w:abstractNumId w:val="52"/>
  </w:num>
  <w:num w:numId="81">
    <w:abstractNumId w:val="16"/>
  </w:num>
  <w:num w:numId="82">
    <w:abstractNumId w:val="51"/>
  </w:num>
  <w:num w:numId="8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9"/>
  </w:num>
  <w:num w:numId="87">
    <w:abstractNumId w:val="7"/>
  </w:num>
  <w:num w:numId="88">
    <w:abstractNumId w:val="24"/>
  </w:num>
  <w:num w:numId="89">
    <w:abstractNumId w:val="1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8D1"/>
    <w:rsid w:val="000020F1"/>
    <w:rsid w:val="00002BA2"/>
    <w:rsid w:val="00002BAC"/>
    <w:rsid w:val="00002D46"/>
    <w:rsid w:val="00002F9A"/>
    <w:rsid w:val="0000368F"/>
    <w:rsid w:val="00003694"/>
    <w:rsid w:val="00003B07"/>
    <w:rsid w:val="0000460E"/>
    <w:rsid w:val="00005654"/>
    <w:rsid w:val="00005C8F"/>
    <w:rsid w:val="000065EC"/>
    <w:rsid w:val="00011D4A"/>
    <w:rsid w:val="00011FB2"/>
    <w:rsid w:val="00013EC4"/>
    <w:rsid w:val="0001408A"/>
    <w:rsid w:val="0001665F"/>
    <w:rsid w:val="000169C8"/>
    <w:rsid w:val="00017DBE"/>
    <w:rsid w:val="00017EB8"/>
    <w:rsid w:val="00020E51"/>
    <w:rsid w:val="000221FB"/>
    <w:rsid w:val="00022E80"/>
    <w:rsid w:val="00023B5A"/>
    <w:rsid w:val="000244EB"/>
    <w:rsid w:val="0002680E"/>
    <w:rsid w:val="00027E94"/>
    <w:rsid w:val="00032E2F"/>
    <w:rsid w:val="00033E49"/>
    <w:rsid w:val="00034D04"/>
    <w:rsid w:val="000356C9"/>
    <w:rsid w:val="00037342"/>
    <w:rsid w:val="0003741E"/>
    <w:rsid w:val="000377F9"/>
    <w:rsid w:val="00040725"/>
    <w:rsid w:val="00041D9B"/>
    <w:rsid w:val="00041EFF"/>
    <w:rsid w:val="000421AD"/>
    <w:rsid w:val="00043E12"/>
    <w:rsid w:val="000445FC"/>
    <w:rsid w:val="0004650E"/>
    <w:rsid w:val="00052A48"/>
    <w:rsid w:val="00052D26"/>
    <w:rsid w:val="00053743"/>
    <w:rsid w:val="00053D6F"/>
    <w:rsid w:val="00053DA0"/>
    <w:rsid w:val="00054042"/>
    <w:rsid w:val="000544DC"/>
    <w:rsid w:val="00054521"/>
    <w:rsid w:val="00055457"/>
    <w:rsid w:val="000563CC"/>
    <w:rsid w:val="00057A03"/>
    <w:rsid w:val="00060BB8"/>
    <w:rsid w:val="0006120E"/>
    <w:rsid w:val="000614B2"/>
    <w:rsid w:val="0006160F"/>
    <w:rsid w:val="00062149"/>
    <w:rsid w:val="000623C7"/>
    <w:rsid w:val="00063AC7"/>
    <w:rsid w:val="00064364"/>
    <w:rsid w:val="00064F3E"/>
    <w:rsid w:val="000659CC"/>
    <w:rsid w:val="00065ED4"/>
    <w:rsid w:val="000666D5"/>
    <w:rsid w:val="000672FB"/>
    <w:rsid w:val="00067BD6"/>
    <w:rsid w:val="000704F3"/>
    <w:rsid w:val="00071284"/>
    <w:rsid w:val="000714EF"/>
    <w:rsid w:val="000728D6"/>
    <w:rsid w:val="0007329F"/>
    <w:rsid w:val="00073E64"/>
    <w:rsid w:val="00074608"/>
    <w:rsid w:val="00075DED"/>
    <w:rsid w:val="00076A9D"/>
    <w:rsid w:val="00080B5B"/>
    <w:rsid w:val="00080C8D"/>
    <w:rsid w:val="00080CEA"/>
    <w:rsid w:val="00080F5B"/>
    <w:rsid w:val="0008130C"/>
    <w:rsid w:val="00081455"/>
    <w:rsid w:val="00090178"/>
    <w:rsid w:val="00090DAC"/>
    <w:rsid w:val="000925B2"/>
    <w:rsid w:val="00092CA0"/>
    <w:rsid w:val="000949BD"/>
    <w:rsid w:val="00095881"/>
    <w:rsid w:val="000958BB"/>
    <w:rsid w:val="000958E4"/>
    <w:rsid w:val="00095ABF"/>
    <w:rsid w:val="000965F9"/>
    <w:rsid w:val="000966C3"/>
    <w:rsid w:val="0009766B"/>
    <w:rsid w:val="000A2A88"/>
    <w:rsid w:val="000A36A2"/>
    <w:rsid w:val="000A3916"/>
    <w:rsid w:val="000A5918"/>
    <w:rsid w:val="000A5E97"/>
    <w:rsid w:val="000A6058"/>
    <w:rsid w:val="000A64EA"/>
    <w:rsid w:val="000A67B6"/>
    <w:rsid w:val="000A7597"/>
    <w:rsid w:val="000A7EB0"/>
    <w:rsid w:val="000B0A7D"/>
    <w:rsid w:val="000B2ACA"/>
    <w:rsid w:val="000B2D24"/>
    <w:rsid w:val="000B3823"/>
    <w:rsid w:val="000B3B3D"/>
    <w:rsid w:val="000B5ED7"/>
    <w:rsid w:val="000C148B"/>
    <w:rsid w:val="000C157C"/>
    <w:rsid w:val="000C22D8"/>
    <w:rsid w:val="000C3F24"/>
    <w:rsid w:val="000C4CE8"/>
    <w:rsid w:val="000C5404"/>
    <w:rsid w:val="000C6EB7"/>
    <w:rsid w:val="000C7CC2"/>
    <w:rsid w:val="000C7DF4"/>
    <w:rsid w:val="000D0BFA"/>
    <w:rsid w:val="000D0F5C"/>
    <w:rsid w:val="000D18A4"/>
    <w:rsid w:val="000D1996"/>
    <w:rsid w:val="000D2F98"/>
    <w:rsid w:val="000D5F36"/>
    <w:rsid w:val="000D6944"/>
    <w:rsid w:val="000D6CD7"/>
    <w:rsid w:val="000D6DE4"/>
    <w:rsid w:val="000D7902"/>
    <w:rsid w:val="000E151B"/>
    <w:rsid w:val="000E22A3"/>
    <w:rsid w:val="000E2FCC"/>
    <w:rsid w:val="000E3B95"/>
    <w:rsid w:val="000E3D02"/>
    <w:rsid w:val="000E3D1D"/>
    <w:rsid w:val="000E3F92"/>
    <w:rsid w:val="000E5119"/>
    <w:rsid w:val="000E55BB"/>
    <w:rsid w:val="000E6B5D"/>
    <w:rsid w:val="000E706E"/>
    <w:rsid w:val="000E7957"/>
    <w:rsid w:val="000F1609"/>
    <w:rsid w:val="000F2B45"/>
    <w:rsid w:val="000F38E2"/>
    <w:rsid w:val="000F3EEC"/>
    <w:rsid w:val="000F4AAA"/>
    <w:rsid w:val="000F505C"/>
    <w:rsid w:val="000F5A05"/>
    <w:rsid w:val="000F5B19"/>
    <w:rsid w:val="000F6B25"/>
    <w:rsid w:val="000F6F2F"/>
    <w:rsid w:val="000F7968"/>
    <w:rsid w:val="00100B30"/>
    <w:rsid w:val="00101040"/>
    <w:rsid w:val="00101B67"/>
    <w:rsid w:val="00102878"/>
    <w:rsid w:val="00102CBE"/>
    <w:rsid w:val="0010485B"/>
    <w:rsid w:val="00105930"/>
    <w:rsid w:val="00105C04"/>
    <w:rsid w:val="001060E2"/>
    <w:rsid w:val="0010657F"/>
    <w:rsid w:val="001066A0"/>
    <w:rsid w:val="0010763C"/>
    <w:rsid w:val="00107665"/>
    <w:rsid w:val="001102CF"/>
    <w:rsid w:val="00110665"/>
    <w:rsid w:val="00111569"/>
    <w:rsid w:val="00111739"/>
    <w:rsid w:val="00111E3B"/>
    <w:rsid w:val="00111E4C"/>
    <w:rsid w:val="001126CF"/>
    <w:rsid w:val="00113933"/>
    <w:rsid w:val="001163C4"/>
    <w:rsid w:val="00116F85"/>
    <w:rsid w:val="0011733C"/>
    <w:rsid w:val="001202D0"/>
    <w:rsid w:val="001210A9"/>
    <w:rsid w:val="00121570"/>
    <w:rsid w:val="001239D8"/>
    <w:rsid w:val="001248BB"/>
    <w:rsid w:val="00126BED"/>
    <w:rsid w:val="0012775A"/>
    <w:rsid w:val="001279D0"/>
    <w:rsid w:val="00130210"/>
    <w:rsid w:val="00130643"/>
    <w:rsid w:val="001316BD"/>
    <w:rsid w:val="00132113"/>
    <w:rsid w:val="00132F6B"/>
    <w:rsid w:val="001340D4"/>
    <w:rsid w:val="00134319"/>
    <w:rsid w:val="001359DA"/>
    <w:rsid w:val="00135D57"/>
    <w:rsid w:val="00135EF7"/>
    <w:rsid w:val="00136163"/>
    <w:rsid w:val="001364B9"/>
    <w:rsid w:val="00137FD0"/>
    <w:rsid w:val="00140743"/>
    <w:rsid w:val="00141A4D"/>
    <w:rsid w:val="00142795"/>
    <w:rsid w:val="00142A03"/>
    <w:rsid w:val="00144163"/>
    <w:rsid w:val="001449F4"/>
    <w:rsid w:val="00144F23"/>
    <w:rsid w:val="00145064"/>
    <w:rsid w:val="001465C8"/>
    <w:rsid w:val="00147BCF"/>
    <w:rsid w:val="00147FCD"/>
    <w:rsid w:val="00151EEC"/>
    <w:rsid w:val="001559AA"/>
    <w:rsid w:val="00155B6D"/>
    <w:rsid w:val="00157D17"/>
    <w:rsid w:val="00160B63"/>
    <w:rsid w:val="00160E38"/>
    <w:rsid w:val="0016193B"/>
    <w:rsid w:val="001623D4"/>
    <w:rsid w:val="0016386C"/>
    <w:rsid w:val="00163A33"/>
    <w:rsid w:val="00163A48"/>
    <w:rsid w:val="00163D34"/>
    <w:rsid w:val="00164837"/>
    <w:rsid w:val="00164BE5"/>
    <w:rsid w:val="001666B2"/>
    <w:rsid w:val="00166A2F"/>
    <w:rsid w:val="001702E3"/>
    <w:rsid w:val="001704BB"/>
    <w:rsid w:val="00171182"/>
    <w:rsid w:val="00171706"/>
    <w:rsid w:val="00171974"/>
    <w:rsid w:val="001726ED"/>
    <w:rsid w:val="00172B35"/>
    <w:rsid w:val="00172F18"/>
    <w:rsid w:val="001735DD"/>
    <w:rsid w:val="00173D35"/>
    <w:rsid w:val="001747F7"/>
    <w:rsid w:val="001751A6"/>
    <w:rsid w:val="00175227"/>
    <w:rsid w:val="001764F1"/>
    <w:rsid w:val="00176857"/>
    <w:rsid w:val="00176DBC"/>
    <w:rsid w:val="00176E54"/>
    <w:rsid w:val="00177409"/>
    <w:rsid w:val="001777F7"/>
    <w:rsid w:val="00180241"/>
    <w:rsid w:val="0018059B"/>
    <w:rsid w:val="00184048"/>
    <w:rsid w:val="00185039"/>
    <w:rsid w:val="00185165"/>
    <w:rsid w:val="00185325"/>
    <w:rsid w:val="001855BE"/>
    <w:rsid w:val="00186506"/>
    <w:rsid w:val="00192FF8"/>
    <w:rsid w:val="00193B91"/>
    <w:rsid w:val="00194341"/>
    <w:rsid w:val="001944F4"/>
    <w:rsid w:val="00195A4E"/>
    <w:rsid w:val="00196834"/>
    <w:rsid w:val="001969DF"/>
    <w:rsid w:val="00196AA2"/>
    <w:rsid w:val="0019735C"/>
    <w:rsid w:val="00197547"/>
    <w:rsid w:val="0019772E"/>
    <w:rsid w:val="001A00C7"/>
    <w:rsid w:val="001A2904"/>
    <w:rsid w:val="001A3CB1"/>
    <w:rsid w:val="001A510D"/>
    <w:rsid w:val="001A5DE2"/>
    <w:rsid w:val="001A671C"/>
    <w:rsid w:val="001A6E56"/>
    <w:rsid w:val="001A75F8"/>
    <w:rsid w:val="001B1338"/>
    <w:rsid w:val="001B26C8"/>
    <w:rsid w:val="001B3328"/>
    <w:rsid w:val="001B3859"/>
    <w:rsid w:val="001B4349"/>
    <w:rsid w:val="001B4552"/>
    <w:rsid w:val="001B4749"/>
    <w:rsid w:val="001B5371"/>
    <w:rsid w:val="001B7150"/>
    <w:rsid w:val="001B7198"/>
    <w:rsid w:val="001B732C"/>
    <w:rsid w:val="001B7EDE"/>
    <w:rsid w:val="001C083D"/>
    <w:rsid w:val="001C09FB"/>
    <w:rsid w:val="001C1BFC"/>
    <w:rsid w:val="001C1E4C"/>
    <w:rsid w:val="001C2514"/>
    <w:rsid w:val="001C2A0A"/>
    <w:rsid w:val="001C3A02"/>
    <w:rsid w:val="001C3B88"/>
    <w:rsid w:val="001C5441"/>
    <w:rsid w:val="001C5B9C"/>
    <w:rsid w:val="001C660D"/>
    <w:rsid w:val="001C69DC"/>
    <w:rsid w:val="001C7D66"/>
    <w:rsid w:val="001C7DD0"/>
    <w:rsid w:val="001D14BD"/>
    <w:rsid w:val="001D1DA5"/>
    <w:rsid w:val="001D4428"/>
    <w:rsid w:val="001D45D7"/>
    <w:rsid w:val="001D58CF"/>
    <w:rsid w:val="001D5B1F"/>
    <w:rsid w:val="001D5E69"/>
    <w:rsid w:val="001D7E38"/>
    <w:rsid w:val="001E0A5A"/>
    <w:rsid w:val="001E133C"/>
    <w:rsid w:val="001E1535"/>
    <w:rsid w:val="001E2A91"/>
    <w:rsid w:val="001E3774"/>
    <w:rsid w:val="001E3FEE"/>
    <w:rsid w:val="001E41DB"/>
    <w:rsid w:val="001E4376"/>
    <w:rsid w:val="001E58FB"/>
    <w:rsid w:val="001E68FB"/>
    <w:rsid w:val="001F20BA"/>
    <w:rsid w:val="001F261C"/>
    <w:rsid w:val="001F2B09"/>
    <w:rsid w:val="001F2BC5"/>
    <w:rsid w:val="001F5323"/>
    <w:rsid w:val="001F5B1A"/>
    <w:rsid w:val="001F63CF"/>
    <w:rsid w:val="001F66C0"/>
    <w:rsid w:val="001F672E"/>
    <w:rsid w:val="001F6D84"/>
    <w:rsid w:val="001F7E89"/>
    <w:rsid w:val="00201EF5"/>
    <w:rsid w:val="002027FF"/>
    <w:rsid w:val="002043F7"/>
    <w:rsid w:val="00205698"/>
    <w:rsid w:val="00205B41"/>
    <w:rsid w:val="00205CD4"/>
    <w:rsid w:val="002062F8"/>
    <w:rsid w:val="002065EA"/>
    <w:rsid w:val="00206C90"/>
    <w:rsid w:val="00207797"/>
    <w:rsid w:val="002102F4"/>
    <w:rsid w:val="00210476"/>
    <w:rsid w:val="00211188"/>
    <w:rsid w:val="00211618"/>
    <w:rsid w:val="00211FFD"/>
    <w:rsid w:val="00213B7D"/>
    <w:rsid w:val="00213DDF"/>
    <w:rsid w:val="00216279"/>
    <w:rsid w:val="00216CC0"/>
    <w:rsid w:val="00216D6A"/>
    <w:rsid w:val="0021713F"/>
    <w:rsid w:val="00221414"/>
    <w:rsid w:val="00221FEF"/>
    <w:rsid w:val="002237E0"/>
    <w:rsid w:val="00223AD4"/>
    <w:rsid w:val="002244A3"/>
    <w:rsid w:val="00224567"/>
    <w:rsid w:val="002246E9"/>
    <w:rsid w:val="0022499D"/>
    <w:rsid w:val="0022501C"/>
    <w:rsid w:val="002255BB"/>
    <w:rsid w:val="0022661F"/>
    <w:rsid w:val="00230609"/>
    <w:rsid w:val="002307B0"/>
    <w:rsid w:val="002311C3"/>
    <w:rsid w:val="002319F1"/>
    <w:rsid w:val="002337B9"/>
    <w:rsid w:val="002341A2"/>
    <w:rsid w:val="00234F48"/>
    <w:rsid w:val="00235B1C"/>
    <w:rsid w:val="00235EAB"/>
    <w:rsid w:val="002363F1"/>
    <w:rsid w:val="00236A25"/>
    <w:rsid w:val="00240B1D"/>
    <w:rsid w:val="00240C35"/>
    <w:rsid w:val="00242A6D"/>
    <w:rsid w:val="0024378C"/>
    <w:rsid w:val="00243C29"/>
    <w:rsid w:val="002442B2"/>
    <w:rsid w:val="00244865"/>
    <w:rsid w:val="00245005"/>
    <w:rsid w:val="00245AA9"/>
    <w:rsid w:val="00245CA9"/>
    <w:rsid w:val="00245DF5"/>
    <w:rsid w:val="00246C48"/>
    <w:rsid w:val="002475C8"/>
    <w:rsid w:val="00250533"/>
    <w:rsid w:val="00250951"/>
    <w:rsid w:val="00253F1C"/>
    <w:rsid w:val="00253F1E"/>
    <w:rsid w:val="002541B0"/>
    <w:rsid w:val="00254208"/>
    <w:rsid w:val="002543A7"/>
    <w:rsid w:val="00254A3B"/>
    <w:rsid w:val="00255903"/>
    <w:rsid w:val="00255E95"/>
    <w:rsid w:val="002561F1"/>
    <w:rsid w:val="00256F23"/>
    <w:rsid w:val="00261D21"/>
    <w:rsid w:val="00261DFD"/>
    <w:rsid w:val="00262278"/>
    <w:rsid w:val="002623F5"/>
    <w:rsid w:val="002633FA"/>
    <w:rsid w:val="00263545"/>
    <w:rsid w:val="00264EBC"/>
    <w:rsid w:val="002651AB"/>
    <w:rsid w:val="00266375"/>
    <w:rsid w:val="00266DA0"/>
    <w:rsid w:val="002672AD"/>
    <w:rsid w:val="002703FD"/>
    <w:rsid w:val="002706E5"/>
    <w:rsid w:val="002707D7"/>
    <w:rsid w:val="00270D1E"/>
    <w:rsid w:val="002720E3"/>
    <w:rsid w:val="0027306C"/>
    <w:rsid w:val="00273544"/>
    <w:rsid w:val="002745E4"/>
    <w:rsid w:val="00275C2C"/>
    <w:rsid w:val="002760BD"/>
    <w:rsid w:val="002770B6"/>
    <w:rsid w:val="00277D5E"/>
    <w:rsid w:val="002804EF"/>
    <w:rsid w:val="00282CC7"/>
    <w:rsid w:val="0028345E"/>
    <w:rsid w:val="00283823"/>
    <w:rsid w:val="00284327"/>
    <w:rsid w:val="00284AAE"/>
    <w:rsid w:val="00285128"/>
    <w:rsid w:val="0028549E"/>
    <w:rsid w:val="002854C0"/>
    <w:rsid w:val="0028558E"/>
    <w:rsid w:val="00287064"/>
    <w:rsid w:val="00287C9D"/>
    <w:rsid w:val="0029044E"/>
    <w:rsid w:val="00290827"/>
    <w:rsid w:val="00291B04"/>
    <w:rsid w:val="00293BF2"/>
    <w:rsid w:val="00293CCD"/>
    <w:rsid w:val="00294BD0"/>
    <w:rsid w:val="00294FA8"/>
    <w:rsid w:val="00295168"/>
    <w:rsid w:val="00295B11"/>
    <w:rsid w:val="0029644C"/>
    <w:rsid w:val="00296A38"/>
    <w:rsid w:val="00297B5A"/>
    <w:rsid w:val="002A01ED"/>
    <w:rsid w:val="002A129B"/>
    <w:rsid w:val="002A23E1"/>
    <w:rsid w:val="002A312F"/>
    <w:rsid w:val="002A3687"/>
    <w:rsid w:val="002A36BA"/>
    <w:rsid w:val="002A58B1"/>
    <w:rsid w:val="002A5B8E"/>
    <w:rsid w:val="002A5CDA"/>
    <w:rsid w:val="002A5CEE"/>
    <w:rsid w:val="002A64DF"/>
    <w:rsid w:val="002A65DF"/>
    <w:rsid w:val="002B0EFD"/>
    <w:rsid w:val="002B1B15"/>
    <w:rsid w:val="002B4ACE"/>
    <w:rsid w:val="002B5934"/>
    <w:rsid w:val="002B7279"/>
    <w:rsid w:val="002B7393"/>
    <w:rsid w:val="002B7ECC"/>
    <w:rsid w:val="002C09FF"/>
    <w:rsid w:val="002C17C1"/>
    <w:rsid w:val="002C3806"/>
    <w:rsid w:val="002C4108"/>
    <w:rsid w:val="002C4CDD"/>
    <w:rsid w:val="002C5105"/>
    <w:rsid w:val="002C6866"/>
    <w:rsid w:val="002C7B2B"/>
    <w:rsid w:val="002D0812"/>
    <w:rsid w:val="002D1FB6"/>
    <w:rsid w:val="002D338B"/>
    <w:rsid w:val="002D4D11"/>
    <w:rsid w:val="002D520A"/>
    <w:rsid w:val="002D5929"/>
    <w:rsid w:val="002D5A4A"/>
    <w:rsid w:val="002D5A97"/>
    <w:rsid w:val="002D7DFE"/>
    <w:rsid w:val="002E0527"/>
    <w:rsid w:val="002E210D"/>
    <w:rsid w:val="002E2154"/>
    <w:rsid w:val="002E270C"/>
    <w:rsid w:val="002E2E08"/>
    <w:rsid w:val="002E4EB4"/>
    <w:rsid w:val="002E4EF4"/>
    <w:rsid w:val="002E54BF"/>
    <w:rsid w:val="002E6A1D"/>
    <w:rsid w:val="002E731E"/>
    <w:rsid w:val="002E7C55"/>
    <w:rsid w:val="002F0371"/>
    <w:rsid w:val="002F04C5"/>
    <w:rsid w:val="002F2179"/>
    <w:rsid w:val="002F22B4"/>
    <w:rsid w:val="002F2857"/>
    <w:rsid w:val="002F344E"/>
    <w:rsid w:val="002F398F"/>
    <w:rsid w:val="002F50F9"/>
    <w:rsid w:val="002F6DCC"/>
    <w:rsid w:val="002F7139"/>
    <w:rsid w:val="002F73BD"/>
    <w:rsid w:val="002F793C"/>
    <w:rsid w:val="002F7A37"/>
    <w:rsid w:val="0030109C"/>
    <w:rsid w:val="00301BB5"/>
    <w:rsid w:val="00302EA3"/>
    <w:rsid w:val="00303467"/>
    <w:rsid w:val="00303C31"/>
    <w:rsid w:val="00304328"/>
    <w:rsid w:val="00305514"/>
    <w:rsid w:val="00307CD5"/>
    <w:rsid w:val="00307F3F"/>
    <w:rsid w:val="003100FE"/>
    <w:rsid w:val="00310BD2"/>
    <w:rsid w:val="00310CA6"/>
    <w:rsid w:val="00310D88"/>
    <w:rsid w:val="00310DD5"/>
    <w:rsid w:val="003110C7"/>
    <w:rsid w:val="003133C5"/>
    <w:rsid w:val="00314543"/>
    <w:rsid w:val="003147E2"/>
    <w:rsid w:val="003150A1"/>
    <w:rsid w:val="003152EC"/>
    <w:rsid w:val="003172C0"/>
    <w:rsid w:val="00320237"/>
    <w:rsid w:val="003202DB"/>
    <w:rsid w:val="00320AF9"/>
    <w:rsid w:val="00320EE6"/>
    <w:rsid w:val="00323576"/>
    <w:rsid w:val="00323767"/>
    <w:rsid w:val="00323AED"/>
    <w:rsid w:val="00323B81"/>
    <w:rsid w:val="003243EB"/>
    <w:rsid w:val="003244F4"/>
    <w:rsid w:val="00324888"/>
    <w:rsid w:val="00324EFF"/>
    <w:rsid w:val="00326071"/>
    <w:rsid w:val="003267EA"/>
    <w:rsid w:val="00327686"/>
    <w:rsid w:val="00330DCE"/>
    <w:rsid w:val="0033222C"/>
    <w:rsid w:val="0033255C"/>
    <w:rsid w:val="003337E6"/>
    <w:rsid w:val="00333D4B"/>
    <w:rsid w:val="003344BB"/>
    <w:rsid w:val="0033499A"/>
    <w:rsid w:val="00336341"/>
    <w:rsid w:val="003376DF"/>
    <w:rsid w:val="00340710"/>
    <w:rsid w:val="0034157E"/>
    <w:rsid w:val="00341810"/>
    <w:rsid w:val="00341F50"/>
    <w:rsid w:val="00342A59"/>
    <w:rsid w:val="00343B38"/>
    <w:rsid w:val="003442FA"/>
    <w:rsid w:val="003447B4"/>
    <w:rsid w:val="00344CBB"/>
    <w:rsid w:val="003460CB"/>
    <w:rsid w:val="003465A0"/>
    <w:rsid w:val="00347CDF"/>
    <w:rsid w:val="003505F4"/>
    <w:rsid w:val="00350D8F"/>
    <w:rsid w:val="00352188"/>
    <w:rsid w:val="00352A5A"/>
    <w:rsid w:val="0035346E"/>
    <w:rsid w:val="00353567"/>
    <w:rsid w:val="00354ADF"/>
    <w:rsid w:val="00355B88"/>
    <w:rsid w:val="00356202"/>
    <w:rsid w:val="00356928"/>
    <w:rsid w:val="00356A54"/>
    <w:rsid w:val="00360058"/>
    <w:rsid w:val="00360CF3"/>
    <w:rsid w:val="003614B2"/>
    <w:rsid w:val="003633B3"/>
    <w:rsid w:val="00363680"/>
    <w:rsid w:val="00363FA9"/>
    <w:rsid w:val="0036448D"/>
    <w:rsid w:val="00364886"/>
    <w:rsid w:val="00364D08"/>
    <w:rsid w:val="00364E80"/>
    <w:rsid w:val="003664C2"/>
    <w:rsid w:val="00370317"/>
    <w:rsid w:val="003707B0"/>
    <w:rsid w:val="00373E34"/>
    <w:rsid w:val="00373ECC"/>
    <w:rsid w:val="00374068"/>
    <w:rsid w:val="003742E1"/>
    <w:rsid w:val="00374C71"/>
    <w:rsid w:val="00374CBE"/>
    <w:rsid w:val="00376B78"/>
    <w:rsid w:val="00381F18"/>
    <w:rsid w:val="00382CF4"/>
    <w:rsid w:val="003830E9"/>
    <w:rsid w:val="003832E7"/>
    <w:rsid w:val="003878CA"/>
    <w:rsid w:val="0039027E"/>
    <w:rsid w:val="0039105F"/>
    <w:rsid w:val="00392047"/>
    <w:rsid w:val="00392DB2"/>
    <w:rsid w:val="0039313F"/>
    <w:rsid w:val="00393AFA"/>
    <w:rsid w:val="00394E18"/>
    <w:rsid w:val="003A3471"/>
    <w:rsid w:val="003A36AB"/>
    <w:rsid w:val="003A52A5"/>
    <w:rsid w:val="003A5A3F"/>
    <w:rsid w:val="003A6C4F"/>
    <w:rsid w:val="003A73B2"/>
    <w:rsid w:val="003B2046"/>
    <w:rsid w:val="003B2992"/>
    <w:rsid w:val="003B2FA8"/>
    <w:rsid w:val="003B3DE5"/>
    <w:rsid w:val="003B40CD"/>
    <w:rsid w:val="003B47C6"/>
    <w:rsid w:val="003B4EC9"/>
    <w:rsid w:val="003B56A0"/>
    <w:rsid w:val="003B645B"/>
    <w:rsid w:val="003B6843"/>
    <w:rsid w:val="003B6CAB"/>
    <w:rsid w:val="003B74AE"/>
    <w:rsid w:val="003C0DA8"/>
    <w:rsid w:val="003C1073"/>
    <w:rsid w:val="003C1DB2"/>
    <w:rsid w:val="003C1EBF"/>
    <w:rsid w:val="003C3AC9"/>
    <w:rsid w:val="003C3CCB"/>
    <w:rsid w:val="003C424F"/>
    <w:rsid w:val="003C44D5"/>
    <w:rsid w:val="003C58A6"/>
    <w:rsid w:val="003C6A7A"/>
    <w:rsid w:val="003C7B27"/>
    <w:rsid w:val="003D0AAB"/>
    <w:rsid w:val="003D0C1F"/>
    <w:rsid w:val="003D1650"/>
    <w:rsid w:val="003D18C1"/>
    <w:rsid w:val="003D1CEF"/>
    <w:rsid w:val="003D2884"/>
    <w:rsid w:val="003D2D76"/>
    <w:rsid w:val="003D3381"/>
    <w:rsid w:val="003D4723"/>
    <w:rsid w:val="003D48D1"/>
    <w:rsid w:val="003D62CC"/>
    <w:rsid w:val="003E0EF4"/>
    <w:rsid w:val="003E1267"/>
    <w:rsid w:val="003E19FA"/>
    <w:rsid w:val="003E1C9F"/>
    <w:rsid w:val="003E2A3B"/>
    <w:rsid w:val="003E35D6"/>
    <w:rsid w:val="003E45A3"/>
    <w:rsid w:val="003E45E2"/>
    <w:rsid w:val="003E47C9"/>
    <w:rsid w:val="003E54C1"/>
    <w:rsid w:val="003E5A82"/>
    <w:rsid w:val="003E66EC"/>
    <w:rsid w:val="003E7DBD"/>
    <w:rsid w:val="003F086D"/>
    <w:rsid w:val="003F317C"/>
    <w:rsid w:val="003F4301"/>
    <w:rsid w:val="003F4E80"/>
    <w:rsid w:val="003F51AB"/>
    <w:rsid w:val="003F7341"/>
    <w:rsid w:val="00402EED"/>
    <w:rsid w:val="00403D20"/>
    <w:rsid w:val="004077DA"/>
    <w:rsid w:val="00407ACF"/>
    <w:rsid w:val="00407AD4"/>
    <w:rsid w:val="00410099"/>
    <w:rsid w:val="00413FBC"/>
    <w:rsid w:val="004144BC"/>
    <w:rsid w:val="00415713"/>
    <w:rsid w:val="00415A1D"/>
    <w:rsid w:val="004163FE"/>
    <w:rsid w:val="00416F40"/>
    <w:rsid w:val="00420A2E"/>
    <w:rsid w:val="00421B7A"/>
    <w:rsid w:val="00422DD1"/>
    <w:rsid w:val="00425694"/>
    <w:rsid w:val="004257B6"/>
    <w:rsid w:val="00426F79"/>
    <w:rsid w:val="004272A9"/>
    <w:rsid w:val="004315C8"/>
    <w:rsid w:val="004316B3"/>
    <w:rsid w:val="00432B41"/>
    <w:rsid w:val="004335C7"/>
    <w:rsid w:val="004339A6"/>
    <w:rsid w:val="0043533F"/>
    <w:rsid w:val="00435BE5"/>
    <w:rsid w:val="004364D3"/>
    <w:rsid w:val="00437D17"/>
    <w:rsid w:val="00440C9D"/>
    <w:rsid w:val="00441E33"/>
    <w:rsid w:val="00442094"/>
    <w:rsid w:val="00443345"/>
    <w:rsid w:val="00443352"/>
    <w:rsid w:val="00446349"/>
    <w:rsid w:val="004473F4"/>
    <w:rsid w:val="00447ACD"/>
    <w:rsid w:val="00451BC7"/>
    <w:rsid w:val="00451DA8"/>
    <w:rsid w:val="004526E3"/>
    <w:rsid w:val="00452CCE"/>
    <w:rsid w:val="0045371F"/>
    <w:rsid w:val="004553B7"/>
    <w:rsid w:val="00455531"/>
    <w:rsid w:val="004567B4"/>
    <w:rsid w:val="00457129"/>
    <w:rsid w:val="0045737D"/>
    <w:rsid w:val="00457380"/>
    <w:rsid w:val="00457F36"/>
    <w:rsid w:val="004606FF"/>
    <w:rsid w:val="004614F3"/>
    <w:rsid w:val="00461B14"/>
    <w:rsid w:val="00462514"/>
    <w:rsid w:val="00462E66"/>
    <w:rsid w:val="004635D6"/>
    <w:rsid w:val="00463F7E"/>
    <w:rsid w:val="0046474F"/>
    <w:rsid w:val="00464820"/>
    <w:rsid w:val="004661CB"/>
    <w:rsid w:val="004673F3"/>
    <w:rsid w:val="00471007"/>
    <w:rsid w:val="0047123A"/>
    <w:rsid w:val="00474B0A"/>
    <w:rsid w:val="00475B35"/>
    <w:rsid w:val="00475B8E"/>
    <w:rsid w:val="0048169B"/>
    <w:rsid w:val="004826E7"/>
    <w:rsid w:val="00482F46"/>
    <w:rsid w:val="004833B6"/>
    <w:rsid w:val="004835DF"/>
    <w:rsid w:val="00490C0C"/>
    <w:rsid w:val="00491435"/>
    <w:rsid w:val="00491E7C"/>
    <w:rsid w:val="00493175"/>
    <w:rsid w:val="0049398C"/>
    <w:rsid w:val="00495ED5"/>
    <w:rsid w:val="004962E3"/>
    <w:rsid w:val="00497A97"/>
    <w:rsid w:val="004A02FA"/>
    <w:rsid w:val="004A078A"/>
    <w:rsid w:val="004A2732"/>
    <w:rsid w:val="004A2892"/>
    <w:rsid w:val="004A3349"/>
    <w:rsid w:val="004A446F"/>
    <w:rsid w:val="004A4B44"/>
    <w:rsid w:val="004A5271"/>
    <w:rsid w:val="004A537E"/>
    <w:rsid w:val="004A6099"/>
    <w:rsid w:val="004A69AA"/>
    <w:rsid w:val="004A7662"/>
    <w:rsid w:val="004A7670"/>
    <w:rsid w:val="004B00CE"/>
    <w:rsid w:val="004B0E58"/>
    <w:rsid w:val="004B1439"/>
    <w:rsid w:val="004B18DD"/>
    <w:rsid w:val="004B1B09"/>
    <w:rsid w:val="004B291D"/>
    <w:rsid w:val="004B40ED"/>
    <w:rsid w:val="004B5316"/>
    <w:rsid w:val="004B5EE8"/>
    <w:rsid w:val="004B5FB0"/>
    <w:rsid w:val="004B61CF"/>
    <w:rsid w:val="004B7BB7"/>
    <w:rsid w:val="004C009F"/>
    <w:rsid w:val="004C2595"/>
    <w:rsid w:val="004C298B"/>
    <w:rsid w:val="004C3A74"/>
    <w:rsid w:val="004C4EF3"/>
    <w:rsid w:val="004C5E03"/>
    <w:rsid w:val="004C63D4"/>
    <w:rsid w:val="004C6D81"/>
    <w:rsid w:val="004C7BFE"/>
    <w:rsid w:val="004D01D5"/>
    <w:rsid w:val="004D0210"/>
    <w:rsid w:val="004D1055"/>
    <w:rsid w:val="004D2712"/>
    <w:rsid w:val="004D37AA"/>
    <w:rsid w:val="004D62A1"/>
    <w:rsid w:val="004D7880"/>
    <w:rsid w:val="004D79B4"/>
    <w:rsid w:val="004E2AD2"/>
    <w:rsid w:val="004E34F4"/>
    <w:rsid w:val="004E391B"/>
    <w:rsid w:val="004E4773"/>
    <w:rsid w:val="004E5544"/>
    <w:rsid w:val="004E5B8E"/>
    <w:rsid w:val="004E60AB"/>
    <w:rsid w:val="004E638C"/>
    <w:rsid w:val="004E6843"/>
    <w:rsid w:val="004E6D7A"/>
    <w:rsid w:val="004E72E6"/>
    <w:rsid w:val="004F0D7D"/>
    <w:rsid w:val="004F0F10"/>
    <w:rsid w:val="004F17A2"/>
    <w:rsid w:val="004F3E3D"/>
    <w:rsid w:val="004F4B59"/>
    <w:rsid w:val="004F4E3D"/>
    <w:rsid w:val="004F7DE7"/>
    <w:rsid w:val="0050071A"/>
    <w:rsid w:val="00500752"/>
    <w:rsid w:val="00501C83"/>
    <w:rsid w:val="0050418A"/>
    <w:rsid w:val="00504317"/>
    <w:rsid w:val="00504DC8"/>
    <w:rsid w:val="00504DCE"/>
    <w:rsid w:val="0050524B"/>
    <w:rsid w:val="00505542"/>
    <w:rsid w:val="005060E0"/>
    <w:rsid w:val="005072E1"/>
    <w:rsid w:val="0050770A"/>
    <w:rsid w:val="00511A30"/>
    <w:rsid w:val="00512208"/>
    <w:rsid w:val="005128BC"/>
    <w:rsid w:val="00512B87"/>
    <w:rsid w:val="00513234"/>
    <w:rsid w:val="00513C38"/>
    <w:rsid w:val="00515600"/>
    <w:rsid w:val="00517F81"/>
    <w:rsid w:val="0052172F"/>
    <w:rsid w:val="00521ED7"/>
    <w:rsid w:val="00522077"/>
    <w:rsid w:val="005220BC"/>
    <w:rsid w:val="005225D9"/>
    <w:rsid w:val="00523416"/>
    <w:rsid w:val="00525EFD"/>
    <w:rsid w:val="0052730A"/>
    <w:rsid w:val="0053090A"/>
    <w:rsid w:val="00530B0E"/>
    <w:rsid w:val="00531AF4"/>
    <w:rsid w:val="005325C0"/>
    <w:rsid w:val="005330C5"/>
    <w:rsid w:val="00533542"/>
    <w:rsid w:val="00533FC5"/>
    <w:rsid w:val="00535C25"/>
    <w:rsid w:val="00535D38"/>
    <w:rsid w:val="00536B5E"/>
    <w:rsid w:val="00536E5D"/>
    <w:rsid w:val="005373CF"/>
    <w:rsid w:val="00537BC5"/>
    <w:rsid w:val="00537E65"/>
    <w:rsid w:val="005414E4"/>
    <w:rsid w:val="00541EE3"/>
    <w:rsid w:val="0054266E"/>
    <w:rsid w:val="005455DD"/>
    <w:rsid w:val="0054579A"/>
    <w:rsid w:val="00545A39"/>
    <w:rsid w:val="0054621B"/>
    <w:rsid w:val="00546485"/>
    <w:rsid w:val="0054669C"/>
    <w:rsid w:val="00546975"/>
    <w:rsid w:val="00547A52"/>
    <w:rsid w:val="00547B27"/>
    <w:rsid w:val="00550439"/>
    <w:rsid w:val="0055113C"/>
    <w:rsid w:val="005519A4"/>
    <w:rsid w:val="00551B13"/>
    <w:rsid w:val="00552683"/>
    <w:rsid w:val="00552EE5"/>
    <w:rsid w:val="00553262"/>
    <w:rsid w:val="00555C16"/>
    <w:rsid w:val="005572D2"/>
    <w:rsid w:val="00557F96"/>
    <w:rsid w:val="005605A1"/>
    <w:rsid w:val="00561D49"/>
    <w:rsid w:val="00561FB2"/>
    <w:rsid w:val="00563CF0"/>
    <w:rsid w:val="005646D9"/>
    <w:rsid w:val="005662CD"/>
    <w:rsid w:val="005669DE"/>
    <w:rsid w:val="00566BB0"/>
    <w:rsid w:val="00566F94"/>
    <w:rsid w:val="00570483"/>
    <w:rsid w:val="0057067F"/>
    <w:rsid w:val="005710EF"/>
    <w:rsid w:val="0057135F"/>
    <w:rsid w:val="00571994"/>
    <w:rsid w:val="00572881"/>
    <w:rsid w:val="005733DD"/>
    <w:rsid w:val="00573E77"/>
    <w:rsid w:val="005746EE"/>
    <w:rsid w:val="00575B69"/>
    <w:rsid w:val="005778F6"/>
    <w:rsid w:val="00577E1D"/>
    <w:rsid w:val="00580094"/>
    <w:rsid w:val="00580759"/>
    <w:rsid w:val="00580E16"/>
    <w:rsid w:val="00582B6E"/>
    <w:rsid w:val="00583233"/>
    <w:rsid w:val="00583932"/>
    <w:rsid w:val="00583AD0"/>
    <w:rsid w:val="00584B53"/>
    <w:rsid w:val="005858E7"/>
    <w:rsid w:val="00587467"/>
    <w:rsid w:val="00590028"/>
    <w:rsid w:val="00590D7A"/>
    <w:rsid w:val="0059135D"/>
    <w:rsid w:val="00591477"/>
    <w:rsid w:val="0059156D"/>
    <w:rsid w:val="00591AB1"/>
    <w:rsid w:val="00591E29"/>
    <w:rsid w:val="00592351"/>
    <w:rsid w:val="00593DE8"/>
    <w:rsid w:val="005948E0"/>
    <w:rsid w:val="00594DA2"/>
    <w:rsid w:val="0059761E"/>
    <w:rsid w:val="005A2B3F"/>
    <w:rsid w:val="005A3A19"/>
    <w:rsid w:val="005A403B"/>
    <w:rsid w:val="005A5C6C"/>
    <w:rsid w:val="005A6400"/>
    <w:rsid w:val="005A7373"/>
    <w:rsid w:val="005A7FD8"/>
    <w:rsid w:val="005B04D5"/>
    <w:rsid w:val="005B20C6"/>
    <w:rsid w:val="005B248C"/>
    <w:rsid w:val="005B2677"/>
    <w:rsid w:val="005B28C7"/>
    <w:rsid w:val="005B2C4B"/>
    <w:rsid w:val="005B3113"/>
    <w:rsid w:val="005B3776"/>
    <w:rsid w:val="005B394E"/>
    <w:rsid w:val="005B5511"/>
    <w:rsid w:val="005B73CB"/>
    <w:rsid w:val="005B75ED"/>
    <w:rsid w:val="005B789F"/>
    <w:rsid w:val="005B78B2"/>
    <w:rsid w:val="005B7C40"/>
    <w:rsid w:val="005B7DCD"/>
    <w:rsid w:val="005C00DC"/>
    <w:rsid w:val="005C0179"/>
    <w:rsid w:val="005C086E"/>
    <w:rsid w:val="005C0DD1"/>
    <w:rsid w:val="005C1DF9"/>
    <w:rsid w:val="005C2AB3"/>
    <w:rsid w:val="005C2B86"/>
    <w:rsid w:val="005C434C"/>
    <w:rsid w:val="005C4E19"/>
    <w:rsid w:val="005C5828"/>
    <w:rsid w:val="005C5D78"/>
    <w:rsid w:val="005C5ED4"/>
    <w:rsid w:val="005C70EF"/>
    <w:rsid w:val="005D04BB"/>
    <w:rsid w:val="005D0600"/>
    <w:rsid w:val="005D0756"/>
    <w:rsid w:val="005D0B67"/>
    <w:rsid w:val="005D109B"/>
    <w:rsid w:val="005D111F"/>
    <w:rsid w:val="005D12BA"/>
    <w:rsid w:val="005D1C3D"/>
    <w:rsid w:val="005D3208"/>
    <w:rsid w:val="005D5AFF"/>
    <w:rsid w:val="005D60DA"/>
    <w:rsid w:val="005D6712"/>
    <w:rsid w:val="005D7748"/>
    <w:rsid w:val="005E0643"/>
    <w:rsid w:val="005E1D18"/>
    <w:rsid w:val="005E1DD3"/>
    <w:rsid w:val="005E25CE"/>
    <w:rsid w:val="005E365E"/>
    <w:rsid w:val="005E4128"/>
    <w:rsid w:val="005E455E"/>
    <w:rsid w:val="005E5782"/>
    <w:rsid w:val="005E5AFE"/>
    <w:rsid w:val="005E5BAF"/>
    <w:rsid w:val="005E639D"/>
    <w:rsid w:val="005E65A7"/>
    <w:rsid w:val="005E79FB"/>
    <w:rsid w:val="005E7DE8"/>
    <w:rsid w:val="005F000A"/>
    <w:rsid w:val="005F1328"/>
    <w:rsid w:val="005F13C6"/>
    <w:rsid w:val="005F1BFA"/>
    <w:rsid w:val="005F2997"/>
    <w:rsid w:val="005F3F40"/>
    <w:rsid w:val="005F44A6"/>
    <w:rsid w:val="005F4DC1"/>
    <w:rsid w:val="005F5E4B"/>
    <w:rsid w:val="005F638A"/>
    <w:rsid w:val="005F64A2"/>
    <w:rsid w:val="005F7351"/>
    <w:rsid w:val="005F78CC"/>
    <w:rsid w:val="00600AA7"/>
    <w:rsid w:val="00601C05"/>
    <w:rsid w:val="00601D59"/>
    <w:rsid w:val="006021AD"/>
    <w:rsid w:val="00604847"/>
    <w:rsid w:val="00605751"/>
    <w:rsid w:val="00607283"/>
    <w:rsid w:val="006074FF"/>
    <w:rsid w:val="00610503"/>
    <w:rsid w:val="00612B15"/>
    <w:rsid w:val="006132E7"/>
    <w:rsid w:val="0061388D"/>
    <w:rsid w:val="006164C2"/>
    <w:rsid w:val="0061656E"/>
    <w:rsid w:val="0061663C"/>
    <w:rsid w:val="00616B3E"/>
    <w:rsid w:val="00616C47"/>
    <w:rsid w:val="0061787D"/>
    <w:rsid w:val="00617948"/>
    <w:rsid w:val="0062042E"/>
    <w:rsid w:val="006211F3"/>
    <w:rsid w:val="00621E5F"/>
    <w:rsid w:val="0062251B"/>
    <w:rsid w:val="00622534"/>
    <w:rsid w:val="006228DD"/>
    <w:rsid w:val="00622D07"/>
    <w:rsid w:val="00622DDB"/>
    <w:rsid w:val="006233CD"/>
    <w:rsid w:val="006238E7"/>
    <w:rsid w:val="00624265"/>
    <w:rsid w:val="0062453C"/>
    <w:rsid w:val="006257EB"/>
    <w:rsid w:val="00625AE3"/>
    <w:rsid w:val="0062600C"/>
    <w:rsid w:val="00626095"/>
    <w:rsid w:val="0062664E"/>
    <w:rsid w:val="00626B33"/>
    <w:rsid w:val="00627461"/>
    <w:rsid w:val="00627CAE"/>
    <w:rsid w:val="00630D91"/>
    <w:rsid w:val="0063198D"/>
    <w:rsid w:val="00631D2C"/>
    <w:rsid w:val="00631FC7"/>
    <w:rsid w:val="006331A5"/>
    <w:rsid w:val="00633245"/>
    <w:rsid w:val="00635F01"/>
    <w:rsid w:val="00636643"/>
    <w:rsid w:val="006369B0"/>
    <w:rsid w:val="00637818"/>
    <w:rsid w:val="00640850"/>
    <w:rsid w:val="00641A1D"/>
    <w:rsid w:val="00642537"/>
    <w:rsid w:val="006427DF"/>
    <w:rsid w:val="006428E7"/>
    <w:rsid w:val="0064332A"/>
    <w:rsid w:val="00643BE5"/>
    <w:rsid w:val="00644AA4"/>
    <w:rsid w:val="00644C18"/>
    <w:rsid w:val="00644D00"/>
    <w:rsid w:val="00645071"/>
    <w:rsid w:val="00645766"/>
    <w:rsid w:val="00645F89"/>
    <w:rsid w:val="00646112"/>
    <w:rsid w:val="00646181"/>
    <w:rsid w:val="00647475"/>
    <w:rsid w:val="0065253C"/>
    <w:rsid w:val="006542C4"/>
    <w:rsid w:val="00654C32"/>
    <w:rsid w:val="00656555"/>
    <w:rsid w:val="00656583"/>
    <w:rsid w:val="0065717A"/>
    <w:rsid w:val="006571BE"/>
    <w:rsid w:val="006578CB"/>
    <w:rsid w:val="00657DD1"/>
    <w:rsid w:val="00657E9C"/>
    <w:rsid w:val="006611B3"/>
    <w:rsid w:val="00661931"/>
    <w:rsid w:val="006626C1"/>
    <w:rsid w:val="00663996"/>
    <w:rsid w:val="00665172"/>
    <w:rsid w:val="00665631"/>
    <w:rsid w:val="00665C9E"/>
    <w:rsid w:val="00665EEF"/>
    <w:rsid w:val="00666BAB"/>
    <w:rsid w:val="006674FE"/>
    <w:rsid w:val="00670862"/>
    <w:rsid w:val="006716C4"/>
    <w:rsid w:val="00673E29"/>
    <w:rsid w:val="00673F82"/>
    <w:rsid w:val="0067493E"/>
    <w:rsid w:val="00675BE3"/>
    <w:rsid w:val="00677312"/>
    <w:rsid w:val="006811BD"/>
    <w:rsid w:val="00681631"/>
    <w:rsid w:val="00681D0F"/>
    <w:rsid w:val="00682AE2"/>
    <w:rsid w:val="00683225"/>
    <w:rsid w:val="00683FD8"/>
    <w:rsid w:val="006844B2"/>
    <w:rsid w:val="006854B7"/>
    <w:rsid w:val="0068636A"/>
    <w:rsid w:val="00686979"/>
    <w:rsid w:val="00687990"/>
    <w:rsid w:val="00690F83"/>
    <w:rsid w:val="00691B72"/>
    <w:rsid w:val="00691F17"/>
    <w:rsid w:val="00692056"/>
    <w:rsid w:val="0069227F"/>
    <w:rsid w:val="00692972"/>
    <w:rsid w:val="00692C8F"/>
    <w:rsid w:val="006946E6"/>
    <w:rsid w:val="00696415"/>
    <w:rsid w:val="00696457"/>
    <w:rsid w:val="00696C6E"/>
    <w:rsid w:val="00696C9B"/>
    <w:rsid w:val="00696F0C"/>
    <w:rsid w:val="00697E90"/>
    <w:rsid w:val="006A0913"/>
    <w:rsid w:val="006A1A76"/>
    <w:rsid w:val="006A1CF7"/>
    <w:rsid w:val="006A2CE0"/>
    <w:rsid w:val="006A3315"/>
    <w:rsid w:val="006A33BD"/>
    <w:rsid w:val="006A3DD6"/>
    <w:rsid w:val="006A3F42"/>
    <w:rsid w:val="006A48A4"/>
    <w:rsid w:val="006A4E7D"/>
    <w:rsid w:val="006A543F"/>
    <w:rsid w:val="006A575B"/>
    <w:rsid w:val="006A5DFA"/>
    <w:rsid w:val="006B061B"/>
    <w:rsid w:val="006B10AC"/>
    <w:rsid w:val="006B34D3"/>
    <w:rsid w:val="006B3C35"/>
    <w:rsid w:val="006B3FF5"/>
    <w:rsid w:val="006B5382"/>
    <w:rsid w:val="006B5EE9"/>
    <w:rsid w:val="006B6070"/>
    <w:rsid w:val="006B6774"/>
    <w:rsid w:val="006B68D4"/>
    <w:rsid w:val="006B6C26"/>
    <w:rsid w:val="006B77BE"/>
    <w:rsid w:val="006B7A50"/>
    <w:rsid w:val="006B7BFA"/>
    <w:rsid w:val="006C0547"/>
    <w:rsid w:val="006C0F1D"/>
    <w:rsid w:val="006C16BE"/>
    <w:rsid w:val="006C1943"/>
    <w:rsid w:val="006C1CD8"/>
    <w:rsid w:val="006C36EA"/>
    <w:rsid w:val="006C390D"/>
    <w:rsid w:val="006C3E88"/>
    <w:rsid w:val="006C48BD"/>
    <w:rsid w:val="006C576F"/>
    <w:rsid w:val="006C6B7C"/>
    <w:rsid w:val="006C6F8C"/>
    <w:rsid w:val="006D0317"/>
    <w:rsid w:val="006D0D8F"/>
    <w:rsid w:val="006D0E47"/>
    <w:rsid w:val="006D11DC"/>
    <w:rsid w:val="006D2029"/>
    <w:rsid w:val="006D30CD"/>
    <w:rsid w:val="006D43B6"/>
    <w:rsid w:val="006D54D0"/>
    <w:rsid w:val="006D7356"/>
    <w:rsid w:val="006E1664"/>
    <w:rsid w:val="006E17BE"/>
    <w:rsid w:val="006E3289"/>
    <w:rsid w:val="006E36F1"/>
    <w:rsid w:val="006E41C1"/>
    <w:rsid w:val="006E4393"/>
    <w:rsid w:val="006E52EE"/>
    <w:rsid w:val="006E615F"/>
    <w:rsid w:val="006E76C7"/>
    <w:rsid w:val="006E7BBA"/>
    <w:rsid w:val="006F0791"/>
    <w:rsid w:val="006F08DD"/>
    <w:rsid w:val="006F1D77"/>
    <w:rsid w:val="006F24E5"/>
    <w:rsid w:val="006F2D8C"/>
    <w:rsid w:val="006F2E9A"/>
    <w:rsid w:val="006F2F4E"/>
    <w:rsid w:val="006F3875"/>
    <w:rsid w:val="006F42C6"/>
    <w:rsid w:val="006F49C7"/>
    <w:rsid w:val="006F4BAE"/>
    <w:rsid w:val="006F51A1"/>
    <w:rsid w:val="006F5A00"/>
    <w:rsid w:val="006F7667"/>
    <w:rsid w:val="006F7782"/>
    <w:rsid w:val="00701756"/>
    <w:rsid w:val="00701CCB"/>
    <w:rsid w:val="00702ACD"/>
    <w:rsid w:val="00704921"/>
    <w:rsid w:val="00704BAC"/>
    <w:rsid w:val="0070517D"/>
    <w:rsid w:val="00705DB8"/>
    <w:rsid w:val="00706175"/>
    <w:rsid w:val="00706397"/>
    <w:rsid w:val="007102F8"/>
    <w:rsid w:val="00710716"/>
    <w:rsid w:val="007116E3"/>
    <w:rsid w:val="00711A38"/>
    <w:rsid w:val="00711E3E"/>
    <w:rsid w:val="007126F7"/>
    <w:rsid w:val="00713658"/>
    <w:rsid w:val="00713775"/>
    <w:rsid w:val="00713D81"/>
    <w:rsid w:val="007141EF"/>
    <w:rsid w:val="0071544B"/>
    <w:rsid w:val="00716702"/>
    <w:rsid w:val="00720D83"/>
    <w:rsid w:val="00721639"/>
    <w:rsid w:val="007221F3"/>
    <w:rsid w:val="00722B5E"/>
    <w:rsid w:val="00722D23"/>
    <w:rsid w:val="007232A0"/>
    <w:rsid w:val="00724187"/>
    <w:rsid w:val="0072560D"/>
    <w:rsid w:val="007260A8"/>
    <w:rsid w:val="007274E5"/>
    <w:rsid w:val="007275CF"/>
    <w:rsid w:val="007308F4"/>
    <w:rsid w:val="007314BB"/>
    <w:rsid w:val="0073231A"/>
    <w:rsid w:val="007324B4"/>
    <w:rsid w:val="00732511"/>
    <w:rsid w:val="00733D8B"/>
    <w:rsid w:val="00733F81"/>
    <w:rsid w:val="007351A9"/>
    <w:rsid w:val="00736235"/>
    <w:rsid w:val="0073647A"/>
    <w:rsid w:val="00737BF1"/>
    <w:rsid w:val="00740374"/>
    <w:rsid w:val="00742169"/>
    <w:rsid w:val="007430FC"/>
    <w:rsid w:val="0074409B"/>
    <w:rsid w:val="00744200"/>
    <w:rsid w:val="007444E2"/>
    <w:rsid w:val="00744722"/>
    <w:rsid w:val="00745445"/>
    <w:rsid w:val="00745DB6"/>
    <w:rsid w:val="00747678"/>
    <w:rsid w:val="00747BA6"/>
    <w:rsid w:val="00750FB0"/>
    <w:rsid w:val="007512BE"/>
    <w:rsid w:val="00754202"/>
    <w:rsid w:val="007549C6"/>
    <w:rsid w:val="00754E67"/>
    <w:rsid w:val="00755784"/>
    <w:rsid w:val="0075652D"/>
    <w:rsid w:val="00756AB7"/>
    <w:rsid w:val="00757CBB"/>
    <w:rsid w:val="00760B7D"/>
    <w:rsid w:val="00761CD7"/>
    <w:rsid w:val="00762AAA"/>
    <w:rsid w:val="00762C3C"/>
    <w:rsid w:val="00763688"/>
    <w:rsid w:val="00763706"/>
    <w:rsid w:val="00765ECB"/>
    <w:rsid w:val="00766AE3"/>
    <w:rsid w:val="00766F61"/>
    <w:rsid w:val="0077021A"/>
    <w:rsid w:val="007714FE"/>
    <w:rsid w:val="00772A2C"/>
    <w:rsid w:val="0077300B"/>
    <w:rsid w:val="007735D8"/>
    <w:rsid w:val="00773BC9"/>
    <w:rsid w:val="007741C0"/>
    <w:rsid w:val="0077540B"/>
    <w:rsid w:val="00775C5C"/>
    <w:rsid w:val="00775EEB"/>
    <w:rsid w:val="00777045"/>
    <w:rsid w:val="00777367"/>
    <w:rsid w:val="0078088E"/>
    <w:rsid w:val="00780AC2"/>
    <w:rsid w:val="0078293A"/>
    <w:rsid w:val="0078296E"/>
    <w:rsid w:val="00782AFF"/>
    <w:rsid w:val="007846BC"/>
    <w:rsid w:val="00785F0A"/>
    <w:rsid w:val="007861BC"/>
    <w:rsid w:val="00786B67"/>
    <w:rsid w:val="007902F3"/>
    <w:rsid w:val="00790557"/>
    <w:rsid w:val="007905A5"/>
    <w:rsid w:val="00790F21"/>
    <w:rsid w:val="00791463"/>
    <w:rsid w:val="00791995"/>
    <w:rsid w:val="00791B54"/>
    <w:rsid w:val="007928D7"/>
    <w:rsid w:val="0079331C"/>
    <w:rsid w:val="0079367E"/>
    <w:rsid w:val="00793AED"/>
    <w:rsid w:val="00793E6E"/>
    <w:rsid w:val="007949D7"/>
    <w:rsid w:val="0079506B"/>
    <w:rsid w:val="00795BFE"/>
    <w:rsid w:val="00796306"/>
    <w:rsid w:val="007968AF"/>
    <w:rsid w:val="0079721C"/>
    <w:rsid w:val="00797370"/>
    <w:rsid w:val="00797EC8"/>
    <w:rsid w:val="007A06FA"/>
    <w:rsid w:val="007A0C21"/>
    <w:rsid w:val="007A0C6A"/>
    <w:rsid w:val="007A1CA9"/>
    <w:rsid w:val="007A2BE0"/>
    <w:rsid w:val="007A2D94"/>
    <w:rsid w:val="007A3343"/>
    <w:rsid w:val="007A3B2D"/>
    <w:rsid w:val="007A58D1"/>
    <w:rsid w:val="007A6245"/>
    <w:rsid w:val="007A63A1"/>
    <w:rsid w:val="007A6D8D"/>
    <w:rsid w:val="007A7446"/>
    <w:rsid w:val="007B029B"/>
    <w:rsid w:val="007B0B4C"/>
    <w:rsid w:val="007B18AE"/>
    <w:rsid w:val="007B224E"/>
    <w:rsid w:val="007B23BD"/>
    <w:rsid w:val="007B37BF"/>
    <w:rsid w:val="007B40C7"/>
    <w:rsid w:val="007B6FA0"/>
    <w:rsid w:val="007B736C"/>
    <w:rsid w:val="007B7447"/>
    <w:rsid w:val="007C026A"/>
    <w:rsid w:val="007C0389"/>
    <w:rsid w:val="007C0600"/>
    <w:rsid w:val="007C0A77"/>
    <w:rsid w:val="007C0EDA"/>
    <w:rsid w:val="007C1F33"/>
    <w:rsid w:val="007C261A"/>
    <w:rsid w:val="007C32DF"/>
    <w:rsid w:val="007C39C2"/>
    <w:rsid w:val="007C3E3D"/>
    <w:rsid w:val="007C5231"/>
    <w:rsid w:val="007C54C7"/>
    <w:rsid w:val="007C78C2"/>
    <w:rsid w:val="007D07C6"/>
    <w:rsid w:val="007D0863"/>
    <w:rsid w:val="007D0B69"/>
    <w:rsid w:val="007D1BFD"/>
    <w:rsid w:val="007D1D99"/>
    <w:rsid w:val="007D1E9F"/>
    <w:rsid w:val="007D2795"/>
    <w:rsid w:val="007D3800"/>
    <w:rsid w:val="007D3F69"/>
    <w:rsid w:val="007D4B55"/>
    <w:rsid w:val="007D514E"/>
    <w:rsid w:val="007D569F"/>
    <w:rsid w:val="007D6759"/>
    <w:rsid w:val="007D6DB9"/>
    <w:rsid w:val="007D6FFC"/>
    <w:rsid w:val="007D785D"/>
    <w:rsid w:val="007D7BA6"/>
    <w:rsid w:val="007E1DEA"/>
    <w:rsid w:val="007E2121"/>
    <w:rsid w:val="007E2CC5"/>
    <w:rsid w:val="007E5FBE"/>
    <w:rsid w:val="007E6026"/>
    <w:rsid w:val="007F0225"/>
    <w:rsid w:val="007F02EB"/>
    <w:rsid w:val="007F081E"/>
    <w:rsid w:val="007F15A2"/>
    <w:rsid w:val="007F167A"/>
    <w:rsid w:val="007F1D03"/>
    <w:rsid w:val="007F24DF"/>
    <w:rsid w:val="007F29B4"/>
    <w:rsid w:val="007F2F89"/>
    <w:rsid w:val="007F3312"/>
    <w:rsid w:val="007F43DA"/>
    <w:rsid w:val="007F482F"/>
    <w:rsid w:val="007F6516"/>
    <w:rsid w:val="007F742E"/>
    <w:rsid w:val="007F77AB"/>
    <w:rsid w:val="007F7CB5"/>
    <w:rsid w:val="0080301A"/>
    <w:rsid w:val="00803661"/>
    <w:rsid w:val="00803DDE"/>
    <w:rsid w:val="008051B8"/>
    <w:rsid w:val="00805D1C"/>
    <w:rsid w:val="00810910"/>
    <w:rsid w:val="00810BAA"/>
    <w:rsid w:val="00810D66"/>
    <w:rsid w:val="00810D77"/>
    <w:rsid w:val="00812125"/>
    <w:rsid w:val="00812290"/>
    <w:rsid w:val="00813365"/>
    <w:rsid w:val="008149F4"/>
    <w:rsid w:val="00814FFD"/>
    <w:rsid w:val="0081690E"/>
    <w:rsid w:val="0081720A"/>
    <w:rsid w:val="00817957"/>
    <w:rsid w:val="008205C2"/>
    <w:rsid w:val="00821FF7"/>
    <w:rsid w:val="008222F8"/>
    <w:rsid w:val="00822463"/>
    <w:rsid w:val="00822562"/>
    <w:rsid w:val="008230E3"/>
    <w:rsid w:val="00823D01"/>
    <w:rsid w:val="008241B0"/>
    <w:rsid w:val="008258BB"/>
    <w:rsid w:val="00827241"/>
    <w:rsid w:val="00827AC7"/>
    <w:rsid w:val="00832660"/>
    <w:rsid w:val="0083431F"/>
    <w:rsid w:val="0083446D"/>
    <w:rsid w:val="00835A8C"/>
    <w:rsid w:val="00836815"/>
    <w:rsid w:val="00837B7D"/>
    <w:rsid w:val="008418F1"/>
    <w:rsid w:val="00841B48"/>
    <w:rsid w:val="00842B3B"/>
    <w:rsid w:val="00844B36"/>
    <w:rsid w:val="00844E52"/>
    <w:rsid w:val="00844FB3"/>
    <w:rsid w:val="008452A2"/>
    <w:rsid w:val="008474CC"/>
    <w:rsid w:val="00850899"/>
    <w:rsid w:val="00851B00"/>
    <w:rsid w:val="00851D6C"/>
    <w:rsid w:val="008537CD"/>
    <w:rsid w:val="00854333"/>
    <w:rsid w:val="00855DB2"/>
    <w:rsid w:val="00855EF8"/>
    <w:rsid w:val="00857E54"/>
    <w:rsid w:val="00861C04"/>
    <w:rsid w:val="0086219F"/>
    <w:rsid w:val="008622DE"/>
    <w:rsid w:val="00863C65"/>
    <w:rsid w:val="008650BC"/>
    <w:rsid w:val="008668C7"/>
    <w:rsid w:val="00866AA4"/>
    <w:rsid w:val="00866C2D"/>
    <w:rsid w:val="00867720"/>
    <w:rsid w:val="00870132"/>
    <w:rsid w:val="008708E0"/>
    <w:rsid w:val="0087247E"/>
    <w:rsid w:val="00874140"/>
    <w:rsid w:val="008742AB"/>
    <w:rsid w:val="0087433C"/>
    <w:rsid w:val="0087445D"/>
    <w:rsid w:val="00875B93"/>
    <w:rsid w:val="00876444"/>
    <w:rsid w:val="00876F30"/>
    <w:rsid w:val="00880949"/>
    <w:rsid w:val="00880A2F"/>
    <w:rsid w:val="00881696"/>
    <w:rsid w:val="00882FFC"/>
    <w:rsid w:val="0088407B"/>
    <w:rsid w:val="0088689A"/>
    <w:rsid w:val="00886AA9"/>
    <w:rsid w:val="00887A89"/>
    <w:rsid w:val="00890632"/>
    <w:rsid w:val="00890723"/>
    <w:rsid w:val="00891698"/>
    <w:rsid w:val="008920EC"/>
    <w:rsid w:val="00892A8B"/>
    <w:rsid w:val="00892FD3"/>
    <w:rsid w:val="008934EB"/>
    <w:rsid w:val="00893899"/>
    <w:rsid w:val="00894883"/>
    <w:rsid w:val="00894C6B"/>
    <w:rsid w:val="008969F1"/>
    <w:rsid w:val="00896C0E"/>
    <w:rsid w:val="00896D76"/>
    <w:rsid w:val="008A06CF"/>
    <w:rsid w:val="008A1D6D"/>
    <w:rsid w:val="008A2407"/>
    <w:rsid w:val="008A42A5"/>
    <w:rsid w:val="008A42EB"/>
    <w:rsid w:val="008A480C"/>
    <w:rsid w:val="008A4856"/>
    <w:rsid w:val="008A5DEA"/>
    <w:rsid w:val="008A6692"/>
    <w:rsid w:val="008A68A2"/>
    <w:rsid w:val="008A6FA8"/>
    <w:rsid w:val="008A7A41"/>
    <w:rsid w:val="008B09AB"/>
    <w:rsid w:val="008B0BA9"/>
    <w:rsid w:val="008B0DBB"/>
    <w:rsid w:val="008B2B8E"/>
    <w:rsid w:val="008B3A04"/>
    <w:rsid w:val="008B44CA"/>
    <w:rsid w:val="008B4B71"/>
    <w:rsid w:val="008B7AAF"/>
    <w:rsid w:val="008C0502"/>
    <w:rsid w:val="008C15D4"/>
    <w:rsid w:val="008C15EA"/>
    <w:rsid w:val="008C16CE"/>
    <w:rsid w:val="008C181D"/>
    <w:rsid w:val="008C2DCD"/>
    <w:rsid w:val="008C3CDA"/>
    <w:rsid w:val="008C3EAF"/>
    <w:rsid w:val="008C5416"/>
    <w:rsid w:val="008C736C"/>
    <w:rsid w:val="008C7FBF"/>
    <w:rsid w:val="008D12A0"/>
    <w:rsid w:val="008D1659"/>
    <w:rsid w:val="008D1B76"/>
    <w:rsid w:val="008D270F"/>
    <w:rsid w:val="008D41BF"/>
    <w:rsid w:val="008D48F6"/>
    <w:rsid w:val="008D4A96"/>
    <w:rsid w:val="008D50BE"/>
    <w:rsid w:val="008D53B0"/>
    <w:rsid w:val="008D678D"/>
    <w:rsid w:val="008E11C7"/>
    <w:rsid w:val="008E1710"/>
    <w:rsid w:val="008E1787"/>
    <w:rsid w:val="008E2FFF"/>
    <w:rsid w:val="008E31FD"/>
    <w:rsid w:val="008E496A"/>
    <w:rsid w:val="008E4DCC"/>
    <w:rsid w:val="008E5AB4"/>
    <w:rsid w:val="008E671A"/>
    <w:rsid w:val="008E74DE"/>
    <w:rsid w:val="008F2559"/>
    <w:rsid w:val="008F5E3D"/>
    <w:rsid w:val="008F6014"/>
    <w:rsid w:val="00900383"/>
    <w:rsid w:val="009027F1"/>
    <w:rsid w:val="009036EB"/>
    <w:rsid w:val="009067CE"/>
    <w:rsid w:val="00906A6C"/>
    <w:rsid w:val="00906D41"/>
    <w:rsid w:val="00906F80"/>
    <w:rsid w:val="00906FD2"/>
    <w:rsid w:val="00907C07"/>
    <w:rsid w:val="009105D5"/>
    <w:rsid w:val="009106B0"/>
    <w:rsid w:val="00910703"/>
    <w:rsid w:val="00910EE3"/>
    <w:rsid w:val="009112EA"/>
    <w:rsid w:val="0091231E"/>
    <w:rsid w:val="009123AC"/>
    <w:rsid w:val="00912EAF"/>
    <w:rsid w:val="00915C4A"/>
    <w:rsid w:val="0091668A"/>
    <w:rsid w:val="00917ED8"/>
    <w:rsid w:val="0092210A"/>
    <w:rsid w:val="009221B6"/>
    <w:rsid w:val="00922214"/>
    <w:rsid w:val="00925345"/>
    <w:rsid w:val="009271A3"/>
    <w:rsid w:val="00927D56"/>
    <w:rsid w:val="00930042"/>
    <w:rsid w:val="009307CB"/>
    <w:rsid w:val="00930DD3"/>
    <w:rsid w:val="00930DE1"/>
    <w:rsid w:val="00930E42"/>
    <w:rsid w:val="00930F22"/>
    <w:rsid w:val="00931EBD"/>
    <w:rsid w:val="009328B2"/>
    <w:rsid w:val="00933461"/>
    <w:rsid w:val="009337A3"/>
    <w:rsid w:val="00933A65"/>
    <w:rsid w:val="00933EE2"/>
    <w:rsid w:val="00933F2D"/>
    <w:rsid w:val="009347DB"/>
    <w:rsid w:val="00936BB2"/>
    <w:rsid w:val="009370D9"/>
    <w:rsid w:val="0094208B"/>
    <w:rsid w:val="009428A8"/>
    <w:rsid w:val="00944469"/>
    <w:rsid w:val="00944504"/>
    <w:rsid w:val="009458D2"/>
    <w:rsid w:val="00946589"/>
    <w:rsid w:val="0094736B"/>
    <w:rsid w:val="0094743D"/>
    <w:rsid w:val="0095006A"/>
    <w:rsid w:val="009523E3"/>
    <w:rsid w:val="009529A6"/>
    <w:rsid w:val="00953336"/>
    <w:rsid w:val="00954798"/>
    <w:rsid w:val="00954940"/>
    <w:rsid w:val="0095572A"/>
    <w:rsid w:val="009567A4"/>
    <w:rsid w:val="009579B6"/>
    <w:rsid w:val="0096068B"/>
    <w:rsid w:val="00960F06"/>
    <w:rsid w:val="00961152"/>
    <w:rsid w:val="009629ED"/>
    <w:rsid w:val="009649DC"/>
    <w:rsid w:val="00964B74"/>
    <w:rsid w:val="00964CD3"/>
    <w:rsid w:val="009670AC"/>
    <w:rsid w:val="00967413"/>
    <w:rsid w:val="0096796A"/>
    <w:rsid w:val="009715D0"/>
    <w:rsid w:val="00971E5B"/>
    <w:rsid w:val="009728E2"/>
    <w:rsid w:val="00973AD4"/>
    <w:rsid w:val="00973CFB"/>
    <w:rsid w:val="00974AB1"/>
    <w:rsid w:val="00975888"/>
    <w:rsid w:val="009765F3"/>
    <w:rsid w:val="00976970"/>
    <w:rsid w:val="009772AA"/>
    <w:rsid w:val="00977E35"/>
    <w:rsid w:val="0098352D"/>
    <w:rsid w:val="009844A5"/>
    <w:rsid w:val="00985047"/>
    <w:rsid w:val="009863AA"/>
    <w:rsid w:val="0098783F"/>
    <w:rsid w:val="0098794F"/>
    <w:rsid w:val="00990467"/>
    <w:rsid w:val="0099075F"/>
    <w:rsid w:val="00990896"/>
    <w:rsid w:val="00990E21"/>
    <w:rsid w:val="00991C1D"/>
    <w:rsid w:val="00991CBD"/>
    <w:rsid w:val="00992225"/>
    <w:rsid w:val="00992A71"/>
    <w:rsid w:val="00993653"/>
    <w:rsid w:val="00993830"/>
    <w:rsid w:val="0099383F"/>
    <w:rsid w:val="00995388"/>
    <w:rsid w:val="00996624"/>
    <w:rsid w:val="0099662D"/>
    <w:rsid w:val="0099766D"/>
    <w:rsid w:val="00997C62"/>
    <w:rsid w:val="00997D14"/>
    <w:rsid w:val="009A166B"/>
    <w:rsid w:val="009A2194"/>
    <w:rsid w:val="009A3BCF"/>
    <w:rsid w:val="009A42A7"/>
    <w:rsid w:val="009A5651"/>
    <w:rsid w:val="009A6097"/>
    <w:rsid w:val="009A634F"/>
    <w:rsid w:val="009A6430"/>
    <w:rsid w:val="009A6989"/>
    <w:rsid w:val="009A6E04"/>
    <w:rsid w:val="009B0776"/>
    <w:rsid w:val="009B11DF"/>
    <w:rsid w:val="009B137C"/>
    <w:rsid w:val="009B19CD"/>
    <w:rsid w:val="009B2B4D"/>
    <w:rsid w:val="009B36FC"/>
    <w:rsid w:val="009B52C1"/>
    <w:rsid w:val="009B6414"/>
    <w:rsid w:val="009B69CD"/>
    <w:rsid w:val="009B7316"/>
    <w:rsid w:val="009B74E1"/>
    <w:rsid w:val="009B7E60"/>
    <w:rsid w:val="009C04F5"/>
    <w:rsid w:val="009C1192"/>
    <w:rsid w:val="009C1B9C"/>
    <w:rsid w:val="009C21A8"/>
    <w:rsid w:val="009C2EA8"/>
    <w:rsid w:val="009C4DD0"/>
    <w:rsid w:val="009C51DD"/>
    <w:rsid w:val="009C7095"/>
    <w:rsid w:val="009C768B"/>
    <w:rsid w:val="009C78A7"/>
    <w:rsid w:val="009C7C52"/>
    <w:rsid w:val="009D246F"/>
    <w:rsid w:val="009D3053"/>
    <w:rsid w:val="009D3FA0"/>
    <w:rsid w:val="009D42CE"/>
    <w:rsid w:val="009D7C4F"/>
    <w:rsid w:val="009E1687"/>
    <w:rsid w:val="009E31D3"/>
    <w:rsid w:val="009E46CD"/>
    <w:rsid w:val="009E5307"/>
    <w:rsid w:val="009F0509"/>
    <w:rsid w:val="009F0777"/>
    <w:rsid w:val="009F1CFE"/>
    <w:rsid w:val="009F414F"/>
    <w:rsid w:val="009F470F"/>
    <w:rsid w:val="009F497A"/>
    <w:rsid w:val="009F4E3D"/>
    <w:rsid w:val="009F5971"/>
    <w:rsid w:val="009F7C8E"/>
    <w:rsid w:val="00A00CBB"/>
    <w:rsid w:val="00A00F75"/>
    <w:rsid w:val="00A021DF"/>
    <w:rsid w:val="00A02431"/>
    <w:rsid w:val="00A03060"/>
    <w:rsid w:val="00A04225"/>
    <w:rsid w:val="00A046A0"/>
    <w:rsid w:val="00A05095"/>
    <w:rsid w:val="00A05292"/>
    <w:rsid w:val="00A052EF"/>
    <w:rsid w:val="00A056E7"/>
    <w:rsid w:val="00A069EC"/>
    <w:rsid w:val="00A07F05"/>
    <w:rsid w:val="00A1178E"/>
    <w:rsid w:val="00A11B8F"/>
    <w:rsid w:val="00A12B64"/>
    <w:rsid w:val="00A12B78"/>
    <w:rsid w:val="00A13202"/>
    <w:rsid w:val="00A14DF0"/>
    <w:rsid w:val="00A14E75"/>
    <w:rsid w:val="00A20E5B"/>
    <w:rsid w:val="00A211F4"/>
    <w:rsid w:val="00A2198E"/>
    <w:rsid w:val="00A220B1"/>
    <w:rsid w:val="00A22284"/>
    <w:rsid w:val="00A24675"/>
    <w:rsid w:val="00A24878"/>
    <w:rsid w:val="00A2582D"/>
    <w:rsid w:val="00A26425"/>
    <w:rsid w:val="00A26FF3"/>
    <w:rsid w:val="00A303EE"/>
    <w:rsid w:val="00A30964"/>
    <w:rsid w:val="00A31DAE"/>
    <w:rsid w:val="00A32424"/>
    <w:rsid w:val="00A334C7"/>
    <w:rsid w:val="00A335F7"/>
    <w:rsid w:val="00A3543F"/>
    <w:rsid w:val="00A36219"/>
    <w:rsid w:val="00A36784"/>
    <w:rsid w:val="00A36BAB"/>
    <w:rsid w:val="00A3758D"/>
    <w:rsid w:val="00A406A3"/>
    <w:rsid w:val="00A40A44"/>
    <w:rsid w:val="00A42044"/>
    <w:rsid w:val="00A4204F"/>
    <w:rsid w:val="00A42629"/>
    <w:rsid w:val="00A42F74"/>
    <w:rsid w:val="00A435FA"/>
    <w:rsid w:val="00A45578"/>
    <w:rsid w:val="00A46746"/>
    <w:rsid w:val="00A500EB"/>
    <w:rsid w:val="00A50510"/>
    <w:rsid w:val="00A50B47"/>
    <w:rsid w:val="00A50EE7"/>
    <w:rsid w:val="00A5275D"/>
    <w:rsid w:val="00A52AD4"/>
    <w:rsid w:val="00A53636"/>
    <w:rsid w:val="00A54BE0"/>
    <w:rsid w:val="00A55CFB"/>
    <w:rsid w:val="00A56B47"/>
    <w:rsid w:val="00A56F12"/>
    <w:rsid w:val="00A614F0"/>
    <w:rsid w:val="00A616E8"/>
    <w:rsid w:val="00A61B92"/>
    <w:rsid w:val="00A62447"/>
    <w:rsid w:val="00A634A5"/>
    <w:rsid w:val="00A6487C"/>
    <w:rsid w:val="00A650B0"/>
    <w:rsid w:val="00A65FAF"/>
    <w:rsid w:val="00A67BCA"/>
    <w:rsid w:val="00A70751"/>
    <w:rsid w:val="00A72445"/>
    <w:rsid w:val="00A72561"/>
    <w:rsid w:val="00A729D5"/>
    <w:rsid w:val="00A72EFC"/>
    <w:rsid w:val="00A739CA"/>
    <w:rsid w:val="00A74296"/>
    <w:rsid w:val="00A75BB6"/>
    <w:rsid w:val="00A77226"/>
    <w:rsid w:val="00A77752"/>
    <w:rsid w:val="00A80123"/>
    <w:rsid w:val="00A81C7C"/>
    <w:rsid w:val="00A84D9A"/>
    <w:rsid w:val="00A850FD"/>
    <w:rsid w:val="00A8514E"/>
    <w:rsid w:val="00A867CC"/>
    <w:rsid w:val="00A8785E"/>
    <w:rsid w:val="00A902EB"/>
    <w:rsid w:val="00A90DFC"/>
    <w:rsid w:val="00A9250D"/>
    <w:rsid w:val="00A931E8"/>
    <w:rsid w:val="00A939B6"/>
    <w:rsid w:val="00A93C92"/>
    <w:rsid w:val="00A93D28"/>
    <w:rsid w:val="00A95C12"/>
    <w:rsid w:val="00A968D2"/>
    <w:rsid w:val="00A974F1"/>
    <w:rsid w:val="00A97F4B"/>
    <w:rsid w:val="00AA0340"/>
    <w:rsid w:val="00AA0AD8"/>
    <w:rsid w:val="00AA287D"/>
    <w:rsid w:val="00AA2F41"/>
    <w:rsid w:val="00AA4712"/>
    <w:rsid w:val="00AA4725"/>
    <w:rsid w:val="00AA5983"/>
    <w:rsid w:val="00AA62D0"/>
    <w:rsid w:val="00AB0C77"/>
    <w:rsid w:val="00AB238F"/>
    <w:rsid w:val="00AB28AA"/>
    <w:rsid w:val="00AB3531"/>
    <w:rsid w:val="00AB3A41"/>
    <w:rsid w:val="00AB4C36"/>
    <w:rsid w:val="00AB76BB"/>
    <w:rsid w:val="00AB79EC"/>
    <w:rsid w:val="00AC2B17"/>
    <w:rsid w:val="00AC341B"/>
    <w:rsid w:val="00AC3EFB"/>
    <w:rsid w:val="00AC4555"/>
    <w:rsid w:val="00AC51B3"/>
    <w:rsid w:val="00AC5615"/>
    <w:rsid w:val="00AC5BC6"/>
    <w:rsid w:val="00AC5F3B"/>
    <w:rsid w:val="00AC688D"/>
    <w:rsid w:val="00AC6D12"/>
    <w:rsid w:val="00AC737F"/>
    <w:rsid w:val="00AD078E"/>
    <w:rsid w:val="00AD108B"/>
    <w:rsid w:val="00AD12A7"/>
    <w:rsid w:val="00AD238A"/>
    <w:rsid w:val="00AD3909"/>
    <w:rsid w:val="00AD3DB0"/>
    <w:rsid w:val="00AD5D2E"/>
    <w:rsid w:val="00AD5E63"/>
    <w:rsid w:val="00AD641A"/>
    <w:rsid w:val="00AD6949"/>
    <w:rsid w:val="00AD6FF2"/>
    <w:rsid w:val="00AD787E"/>
    <w:rsid w:val="00AD7FCF"/>
    <w:rsid w:val="00AE207A"/>
    <w:rsid w:val="00AE339B"/>
    <w:rsid w:val="00AE3BD4"/>
    <w:rsid w:val="00AE4C8B"/>
    <w:rsid w:val="00AE4CE8"/>
    <w:rsid w:val="00AE616A"/>
    <w:rsid w:val="00AF0F54"/>
    <w:rsid w:val="00AF2E07"/>
    <w:rsid w:val="00AF2F3C"/>
    <w:rsid w:val="00AF41EC"/>
    <w:rsid w:val="00AF44BA"/>
    <w:rsid w:val="00AF710B"/>
    <w:rsid w:val="00AF7729"/>
    <w:rsid w:val="00B001BF"/>
    <w:rsid w:val="00B00321"/>
    <w:rsid w:val="00B0062C"/>
    <w:rsid w:val="00B00703"/>
    <w:rsid w:val="00B007CE"/>
    <w:rsid w:val="00B01723"/>
    <w:rsid w:val="00B018C7"/>
    <w:rsid w:val="00B027B0"/>
    <w:rsid w:val="00B02F01"/>
    <w:rsid w:val="00B035A1"/>
    <w:rsid w:val="00B044A0"/>
    <w:rsid w:val="00B048BF"/>
    <w:rsid w:val="00B0576F"/>
    <w:rsid w:val="00B102C1"/>
    <w:rsid w:val="00B11C4E"/>
    <w:rsid w:val="00B11F54"/>
    <w:rsid w:val="00B1260E"/>
    <w:rsid w:val="00B1280F"/>
    <w:rsid w:val="00B175E3"/>
    <w:rsid w:val="00B20774"/>
    <w:rsid w:val="00B20BB1"/>
    <w:rsid w:val="00B234E7"/>
    <w:rsid w:val="00B23A39"/>
    <w:rsid w:val="00B23CC1"/>
    <w:rsid w:val="00B246FA"/>
    <w:rsid w:val="00B25493"/>
    <w:rsid w:val="00B255D2"/>
    <w:rsid w:val="00B272B8"/>
    <w:rsid w:val="00B272EE"/>
    <w:rsid w:val="00B274F5"/>
    <w:rsid w:val="00B277A0"/>
    <w:rsid w:val="00B27A58"/>
    <w:rsid w:val="00B27CE3"/>
    <w:rsid w:val="00B3024B"/>
    <w:rsid w:val="00B307AE"/>
    <w:rsid w:val="00B30D28"/>
    <w:rsid w:val="00B31EE0"/>
    <w:rsid w:val="00B323FF"/>
    <w:rsid w:val="00B33E34"/>
    <w:rsid w:val="00B345F9"/>
    <w:rsid w:val="00B35285"/>
    <w:rsid w:val="00B3682D"/>
    <w:rsid w:val="00B36AEC"/>
    <w:rsid w:val="00B37DFC"/>
    <w:rsid w:val="00B40DA3"/>
    <w:rsid w:val="00B4207F"/>
    <w:rsid w:val="00B42638"/>
    <w:rsid w:val="00B435E0"/>
    <w:rsid w:val="00B43B39"/>
    <w:rsid w:val="00B447DD"/>
    <w:rsid w:val="00B452DA"/>
    <w:rsid w:val="00B45D6C"/>
    <w:rsid w:val="00B46425"/>
    <w:rsid w:val="00B46619"/>
    <w:rsid w:val="00B46E90"/>
    <w:rsid w:val="00B500C0"/>
    <w:rsid w:val="00B50827"/>
    <w:rsid w:val="00B5104E"/>
    <w:rsid w:val="00B51319"/>
    <w:rsid w:val="00B53730"/>
    <w:rsid w:val="00B5444C"/>
    <w:rsid w:val="00B5472D"/>
    <w:rsid w:val="00B55189"/>
    <w:rsid w:val="00B5529F"/>
    <w:rsid w:val="00B556A1"/>
    <w:rsid w:val="00B561C0"/>
    <w:rsid w:val="00B56C8C"/>
    <w:rsid w:val="00B5758C"/>
    <w:rsid w:val="00B604C7"/>
    <w:rsid w:val="00B62578"/>
    <w:rsid w:val="00B62E96"/>
    <w:rsid w:val="00B63381"/>
    <w:rsid w:val="00B63763"/>
    <w:rsid w:val="00B63C20"/>
    <w:rsid w:val="00B64AAD"/>
    <w:rsid w:val="00B64D39"/>
    <w:rsid w:val="00B66108"/>
    <w:rsid w:val="00B66119"/>
    <w:rsid w:val="00B67484"/>
    <w:rsid w:val="00B707A4"/>
    <w:rsid w:val="00B70B84"/>
    <w:rsid w:val="00B71038"/>
    <w:rsid w:val="00B71847"/>
    <w:rsid w:val="00B718BD"/>
    <w:rsid w:val="00B7273D"/>
    <w:rsid w:val="00B72E32"/>
    <w:rsid w:val="00B73831"/>
    <w:rsid w:val="00B73CF3"/>
    <w:rsid w:val="00B75229"/>
    <w:rsid w:val="00B75972"/>
    <w:rsid w:val="00B75BD8"/>
    <w:rsid w:val="00B75CC4"/>
    <w:rsid w:val="00B772E9"/>
    <w:rsid w:val="00B8044F"/>
    <w:rsid w:val="00B80970"/>
    <w:rsid w:val="00B81325"/>
    <w:rsid w:val="00B835EA"/>
    <w:rsid w:val="00B839E0"/>
    <w:rsid w:val="00B83C20"/>
    <w:rsid w:val="00B8450B"/>
    <w:rsid w:val="00B84DDB"/>
    <w:rsid w:val="00B85498"/>
    <w:rsid w:val="00B92231"/>
    <w:rsid w:val="00B92589"/>
    <w:rsid w:val="00B92909"/>
    <w:rsid w:val="00B92D55"/>
    <w:rsid w:val="00B93A78"/>
    <w:rsid w:val="00B94BEF"/>
    <w:rsid w:val="00B96B27"/>
    <w:rsid w:val="00BA0C08"/>
    <w:rsid w:val="00BA17DE"/>
    <w:rsid w:val="00BA2AE2"/>
    <w:rsid w:val="00BA2C91"/>
    <w:rsid w:val="00BA4DB9"/>
    <w:rsid w:val="00BA5E03"/>
    <w:rsid w:val="00BA6488"/>
    <w:rsid w:val="00BA7705"/>
    <w:rsid w:val="00BA7C89"/>
    <w:rsid w:val="00BB11A5"/>
    <w:rsid w:val="00BB1AE6"/>
    <w:rsid w:val="00BB2154"/>
    <w:rsid w:val="00BB2BE7"/>
    <w:rsid w:val="00BB2C20"/>
    <w:rsid w:val="00BB358A"/>
    <w:rsid w:val="00BB38EE"/>
    <w:rsid w:val="00BB48AE"/>
    <w:rsid w:val="00BB5081"/>
    <w:rsid w:val="00BB516C"/>
    <w:rsid w:val="00BB547A"/>
    <w:rsid w:val="00BB603E"/>
    <w:rsid w:val="00BB6AA7"/>
    <w:rsid w:val="00BB6DF8"/>
    <w:rsid w:val="00BB7301"/>
    <w:rsid w:val="00BB7D5A"/>
    <w:rsid w:val="00BC0A66"/>
    <w:rsid w:val="00BC18DE"/>
    <w:rsid w:val="00BC2B5F"/>
    <w:rsid w:val="00BC4062"/>
    <w:rsid w:val="00BC4F5D"/>
    <w:rsid w:val="00BC5589"/>
    <w:rsid w:val="00BC6CE8"/>
    <w:rsid w:val="00BC71AE"/>
    <w:rsid w:val="00BD1230"/>
    <w:rsid w:val="00BD2D1E"/>
    <w:rsid w:val="00BD30B8"/>
    <w:rsid w:val="00BD3480"/>
    <w:rsid w:val="00BD39EA"/>
    <w:rsid w:val="00BD4C11"/>
    <w:rsid w:val="00BD55B3"/>
    <w:rsid w:val="00BD5CB9"/>
    <w:rsid w:val="00BD5E3B"/>
    <w:rsid w:val="00BD5E7D"/>
    <w:rsid w:val="00BE09B4"/>
    <w:rsid w:val="00BE0CE8"/>
    <w:rsid w:val="00BE0F99"/>
    <w:rsid w:val="00BE1303"/>
    <w:rsid w:val="00BE186E"/>
    <w:rsid w:val="00BE1EFB"/>
    <w:rsid w:val="00BE2BA4"/>
    <w:rsid w:val="00BE4A8A"/>
    <w:rsid w:val="00BE4AAB"/>
    <w:rsid w:val="00BE53F8"/>
    <w:rsid w:val="00BE5933"/>
    <w:rsid w:val="00BE657C"/>
    <w:rsid w:val="00BE6D7F"/>
    <w:rsid w:val="00BE6FF6"/>
    <w:rsid w:val="00BF011A"/>
    <w:rsid w:val="00BF1774"/>
    <w:rsid w:val="00BF1B28"/>
    <w:rsid w:val="00BF6011"/>
    <w:rsid w:val="00BF7BF2"/>
    <w:rsid w:val="00BF7C21"/>
    <w:rsid w:val="00BF7E9F"/>
    <w:rsid w:val="00BF7F96"/>
    <w:rsid w:val="00C029CC"/>
    <w:rsid w:val="00C042F0"/>
    <w:rsid w:val="00C04638"/>
    <w:rsid w:val="00C07623"/>
    <w:rsid w:val="00C07904"/>
    <w:rsid w:val="00C10001"/>
    <w:rsid w:val="00C10AD6"/>
    <w:rsid w:val="00C11F36"/>
    <w:rsid w:val="00C13007"/>
    <w:rsid w:val="00C143F1"/>
    <w:rsid w:val="00C14F6B"/>
    <w:rsid w:val="00C1553D"/>
    <w:rsid w:val="00C159C7"/>
    <w:rsid w:val="00C16567"/>
    <w:rsid w:val="00C17AB5"/>
    <w:rsid w:val="00C2053D"/>
    <w:rsid w:val="00C21EFB"/>
    <w:rsid w:val="00C22533"/>
    <w:rsid w:val="00C22FF7"/>
    <w:rsid w:val="00C2390F"/>
    <w:rsid w:val="00C250B4"/>
    <w:rsid w:val="00C274EC"/>
    <w:rsid w:val="00C27E31"/>
    <w:rsid w:val="00C30402"/>
    <w:rsid w:val="00C31A1C"/>
    <w:rsid w:val="00C334DB"/>
    <w:rsid w:val="00C33AD3"/>
    <w:rsid w:val="00C33FEF"/>
    <w:rsid w:val="00C34BD3"/>
    <w:rsid w:val="00C35443"/>
    <w:rsid w:val="00C3705C"/>
    <w:rsid w:val="00C3721A"/>
    <w:rsid w:val="00C37C89"/>
    <w:rsid w:val="00C400D8"/>
    <w:rsid w:val="00C403D4"/>
    <w:rsid w:val="00C40468"/>
    <w:rsid w:val="00C404B3"/>
    <w:rsid w:val="00C4054F"/>
    <w:rsid w:val="00C41023"/>
    <w:rsid w:val="00C420DD"/>
    <w:rsid w:val="00C43D99"/>
    <w:rsid w:val="00C44268"/>
    <w:rsid w:val="00C448EA"/>
    <w:rsid w:val="00C46397"/>
    <w:rsid w:val="00C479FE"/>
    <w:rsid w:val="00C514EF"/>
    <w:rsid w:val="00C5185E"/>
    <w:rsid w:val="00C5198B"/>
    <w:rsid w:val="00C51AB3"/>
    <w:rsid w:val="00C51EE9"/>
    <w:rsid w:val="00C521A0"/>
    <w:rsid w:val="00C52773"/>
    <w:rsid w:val="00C52A80"/>
    <w:rsid w:val="00C543C5"/>
    <w:rsid w:val="00C54682"/>
    <w:rsid w:val="00C550BB"/>
    <w:rsid w:val="00C566B2"/>
    <w:rsid w:val="00C60D75"/>
    <w:rsid w:val="00C61E86"/>
    <w:rsid w:val="00C61ED2"/>
    <w:rsid w:val="00C62188"/>
    <w:rsid w:val="00C63746"/>
    <w:rsid w:val="00C64103"/>
    <w:rsid w:val="00C64516"/>
    <w:rsid w:val="00C6573F"/>
    <w:rsid w:val="00C65826"/>
    <w:rsid w:val="00C65969"/>
    <w:rsid w:val="00C65FA8"/>
    <w:rsid w:val="00C6694E"/>
    <w:rsid w:val="00C66B61"/>
    <w:rsid w:val="00C67F6B"/>
    <w:rsid w:val="00C702AC"/>
    <w:rsid w:val="00C70F53"/>
    <w:rsid w:val="00C72106"/>
    <w:rsid w:val="00C73A87"/>
    <w:rsid w:val="00C74B5E"/>
    <w:rsid w:val="00C750BC"/>
    <w:rsid w:val="00C75231"/>
    <w:rsid w:val="00C75B58"/>
    <w:rsid w:val="00C76615"/>
    <w:rsid w:val="00C77667"/>
    <w:rsid w:val="00C80082"/>
    <w:rsid w:val="00C8024A"/>
    <w:rsid w:val="00C80E5F"/>
    <w:rsid w:val="00C812B1"/>
    <w:rsid w:val="00C816F5"/>
    <w:rsid w:val="00C81B1C"/>
    <w:rsid w:val="00C82A7A"/>
    <w:rsid w:val="00C85A71"/>
    <w:rsid w:val="00C85F66"/>
    <w:rsid w:val="00C86626"/>
    <w:rsid w:val="00C87CDD"/>
    <w:rsid w:val="00C90BA6"/>
    <w:rsid w:val="00C91604"/>
    <w:rsid w:val="00C91F63"/>
    <w:rsid w:val="00C9215E"/>
    <w:rsid w:val="00C92C9C"/>
    <w:rsid w:val="00C934C4"/>
    <w:rsid w:val="00C94524"/>
    <w:rsid w:val="00C953EB"/>
    <w:rsid w:val="00C96D2B"/>
    <w:rsid w:val="00C9711C"/>
    <w:rsid w:val="00CA014F"/>
    <w:rsid w:val="00CA0DE6"/>
    <w:rsid w:val="00CA14CF"/>
    <w:rsid w:val="00CA1CE3"/>
    <w:rsid w:val="00CA273F"/>
    <w:rsid w:val="00CA4B99"/>
    <w:rsid w:val="00CA5253"/>
    <w:rsid w:val="00CA57E3"/>
    <w:rsid w:val="00CA61B8"/>
    <w:rsid w:val="00CA6964"/>
    <w:rsid w:val="00CB0B9A"/>
    <w:rsid w:val="00CB16C9"/>
    <w:rsid w:val="00CB1E99"/>
    <w:rsid w:val="00CB2DBE"/>
    <w:rsid w:val="00CB3583"/>
    <w:rsid w:val="00CB3A58"/>
    <w:rsid w:val="00CB3BB4"/>
    <w:rsid w:val="00CB4EBD"/>
    <w:rsid w:val="00CB5360"/>
    <w:rsid w:val="00CB56F4"/>
    <w:rsid w:val="00CB6059"/>
    <w:rsid w:val="00CB6B11"/>
    <w:rsid w:val="00CB6DA6"/>
    <w:rsid w:val="00CB74CF"/>
    <w:rsid w:val="00CB7951"/>
    <w:rsid w:val="00CC137F"/>
    <w:rsid w:val="00CC1A25"/>
    <w:rsid w:val="00CC209D"/>
    <w:rsid w:val="00CC2143"/>
    <w:rsid w:val="00CC2469"/>
    <w:rsid w:val="00CC2969"/>
    <w:rsid w:val="00CC296A"/>
    <w:rsid w:val="00CC3E6D"/>
    <w:rsid w:val="00CC4223"/>
    <w:rsid w:val="00CC4B7B"/>
    <w:rsid w:val="00CC6B39"/>
    <w:rsid w:val="00CC6C40"/>
    <w:rsid w:val="00CC74C2"/>
    <w:rsid w:val="00CD0823"/>
    <w:rsid w:val="00CD08E7"/>
    <w:rsid w:val="00CD0949"/>
    <w:rsid w:val="00CD0B52"/>
    <w:rsid w:val="00CD0E10"/>
    <w:rsid w:val="00CD13FB"/>
    <w:rsid w:val="00CD14CC"/>
    <w:rsid w:val="00CD1D99"/>
    <w:rsid w:val="00CD26B9"/>
    <w:rsid w:val="00CD2A72"/>
    <w:rsid w:val="00CD2C87"/>
    <w:rsid w:val="00CD2F38"/>
    <w:rsid w:val="00CD2FB2"/>
    <w:rsid w:val="00CD5091"/>
    <w:rsid w:val="00CD571E"/>
    <w:rsid w:val="00CD5B49"/>
    <w:rsid w:val="00CD6464"/>
    <w:rsid w:val="00CD7DD4"/>
    <w:rsid w:val="00CE05CC"/>
    <w:rsid w:val="00CE06E9"/>
    <w:rsid w:val="00CE0714"/>
    <w:rsid w:val="00CE2A67"/>
    <w:rsid w:val="00CE318A"/>
    <w:rsid w:val="00CE402F"/>
    <w:rsid w:val="00CE4067"/>
    <w:rsid w:val="00CE41A6"/>
    <w:rsid w:val="00CE47A9"/>
    <w:rsid w:val="00CE4B34"/>
    <w:rsid w:val="00CE5917"/>
    <w:rsid w:val="00CE59DD"/>
    <w:rsid w:val="00CE70E7"/>
    <w:rsid w:val="00CE770C"/>
    <w:rsid w:val="00CF24BD"/>
    <w:rsid w:val="00CF27C0"/>
    <w:rsid w:val="00CF35A9"/>
    <w:rsid w:val="00CF3B8C"/>
    <w:rsid w:val="00CF4FA3"/>
    <w:rsid w:val="00CF538B"/>
    <w:rsid w:val="00CF56AF"/>
    <w:rsid w:val="00CF5B52"/>
    <w:rsid w:val="00CF6C83"/>
    <w:rsid w:val="00CF6F29"/>
    <w:rsid w:val="00CF767A"/>
    <w:rsid w:val="00CF7D67"/>
    <w:rsid w:val="00D00A16"/>
    <w:rsid w:val="00D01493"/>
    <w:rsid w:val="00D0324D"/>
    <w:rsid w:val="00D038C2"/>
    <w:rsid w:val="00D045FE"/>
    <w:rsid w:val="00D0602D"/>
    <w:rsid w:val="00D07B0A"/>
    <w:rsid w:val="00D105B2"/>
    <w:rsid w:val="00D11BB0"/>
    <w:rsid w:val="00D121B5"/>
    <w:rsid w:val="00D12542"/>
    <w:rsid w:val="00D12D3D"/>
    <w:rsid w:val="00D13691"/>
    <w:rsid w:val="00D1369D"/>
    <w:rsid w:val="00D13F57"/>
    <w:rsid w:val="00D14AE2"/>
    <w:rsid w:val="00D14F2D"/>
    <w:rsid w:val="00D15047"/>
    <w:rsid w:val="00D15B3D"/>
    <w:rsid w:val="00D164BF"/>
    <w:rsid w:val="00D16C58"/>
    <w:rsid w:val="00D17127"/>
    <w:rsid w:val="00D1748F"/>
    <w:rsid w:val="00D17924"/>
    <w:rsid w:val="00D17C37"/>
    <w:rsid w:val="00D222C8"/>
    <w:rsid w:val="00D226B4"/>
    <w:rsid w:val="00D23D58"/>
    <w:rsid w:val="00D242D0"/>
    <w:rsid w:val="00D248FA"/>
    <w:rsid w:val="00D26814"/>
    <w:rsid w:val="00D26E5C"/>
    <w:rsid w:val="00D26EA1"/>
    <w:rsid w:val="00D304AC"/>
    <w:rsid w:val="00D30CB6"/>
    <w:rsid w:val="00D32672"/>
    <w:rsid w:val="00D3316F"/>
    <w:rsid w:val="00D347BE"/>
    <w:rsid w:val="00D34A77"/>
    <w:rsid w:val="00D35442"/>
    <w:rsid w:val="00D35C2D"/>
    <w:rsid w:val="00D365FA"/>
    <w:rsid w:val="00D37083"/>
    <w:rsid w:val="00D3779E"/>
    <w:rsid w:val="00D37CE6"/>
    <w:rsid w:val="00D40292"/>
    <w:rsid w:val="00D40507"/>
    <w:rsid w:val="00D40D18"/>
    <w:rsid w:val="00D41AAE"/>
    <w:rsid w:val="00D41B03"/>
    <w:rsid w:val="00D41B95"/>
    <w:rsid w:val="00D42ACC"/>
    <w:rsid w:val="00D42CC4"/>
    <w:rsid w:val="00D43A85"/>
    <w:rsid w:val="00D44F1A"/>
    <w:rsid w:val="00D4679F"/>
    <w:rsid w:val="00D46A8D"/>
    <w:rsid w:val="00D474D2"/>
    <w:rsid w:val="00D47540"/>
    <w:rsid w:val="00D50C9A"/>
    <w:rsid w:val="00D50EBA"/>
    <w:rsid w:val="00D50F74"/>
    <w:rsid w:val="00D52313"/>
    <w:rsid w:val="00D532CD"/>
    <w:rsid w:val="00D5388B"/>
    <w:rsid w:val="00D545F6"/>
    <w:rsid w:val="00D54C2B"/>
    <w:rsid w:val="00D54E34"/>
    <w:rsid w:val="00D550E8"/>
    <w:rsid w:val="00D556E8"/>
    <w:rsid w:val="00D5676E"/>
    <w:rsid w:val="00D56B82"/>
    <w:rsid w:val="00D571F8"/>
    <w:rsid w:val="00D575D9"/>
    <w:rsid w:val="00D61514"/>
    <w:rsid w:val="00D6157B"/>
    <w:rsid w:val="00D62883"/>
    <w:rsid w:val="00D6481C"/>
    <w:rsid w:val="00D64962"/>
    <w:rsid w:val="00D64975"/>
    <w:rsid w:val="00D66523"/>
    <w:rsid w:val="00D67691"/>
    <w:rsid w:val="00D67AAE"/>
    <w:rsid w:val="00D67E9A"/>
    <w:rsid w:val="00D7031C"/>
    <w:rsid w:val="00D71DFC"/>
    <w:rsid w:val="00D7467D"/>
    <w:rsid w:val="00D75B7C"/>
    <w:rsid w:val="00D76146"/>
    <w:rsid w:val="00D76BFF"/>
    <w:rsid w:val="00D77014"/>
    <w:rsid w:val="00D779E9"/>
    <w:rsid w:val="00D805CA"/>
    <w:rsid w:val="00D80C09"/>
    <w:rsid w:val="00D814FF"/>
    <w:rsid w:val="00D81583"/>
    <w:rsid w:val="00D84C67"/>
    <w:rsid w:val="00D852AA"/>
    <w:rsid w:val="00D869E1"/>
    <w:rsid w:val="00D86ADB"/>
    <w:rsid w:val="00D86BAE"/>
    <w:rsid w:val="00D86E84"/>
    <w:rsid w:val="00D919DA"/>
    <w:rsid w:val="00D91BEB"/>
    <w:rsid w:val="00D91E41"/>
    <w:rsid w:val="00D91F99"/>
    <w:rsid w:val="00D92875"/>
    <w:rsid w:val="00D93132"/>
    <w:rsid w:val="00D94967"/>
    <w:rsid w:val="00D94CA5"/>
    <w:rsid w:val="00D97098"/>
    <w:rsid w:val="00D97E94"/>
    <w:rsid w:val="00DA0A5D"/>
    <w:rsid w:val="00DA1824"/>
    <w:rsid w:val="00DA1B4E"/>
    <w:rsid w:val="00DA25CF"/>
    <w:rsid w:val="00DA3756"/>
    <w:rsid w:val="00DA4046"/>
    <w:rsid w:val="00DA447E"/>
    <w:rsid w:val="00DA4F38"/>
    <w:rsid w:val="00DA58F4"/>
    <w:rsid w:val="00DA5B68"/>
    <w:rsid w:val="00DA68CD"/>
    <w:rsid w:val="00DA712D"/>
    <w:rsid w:val="00DA7E86"/>
    <w:rsid w:val="00DB049A"/>
    <w:rsid w:val="00DB0E6E"/>
    <w:rsid w:val="00DB1A41"/>
    <w:rsid w:val="00DB20F0"/>
    <w:rsid w:val="00DB3202"/>
    <w:rsid w:val="00DB400D"/>
    <w:rsid w:val="00DB497A"/>
    <w:rsid w:val="00DC152E"/>
    <w:rsid w:val="00DC17C3"/>
    <w:rsid w:val="00DC4623"/>
    <w:rsid w:val="00DC4829"/>
    <w:rsid w:val="00DC5206"/>
    <w:rsid w:val="00DC528A"/>
    <w:rsid w:val="00DC5564"/>
    <w:rsid w:val="00DC6511"/>
    <w:rsid w:val="00DC6CE1"/>
    <w:rsid w:val="00DC7D98"/>
    <w:rsid w:val="00DD01DA"/>
    <w:rsid w:val="00DD067B"/>
    <w:rsid w:val="00DD2B58"/>
    <w:rsid w:val="00DD4714"/>
    <w:rsid w:val="00DD5061"/>
    <w:rsid w:val="00DD7583"/>
    <w:rsid w:val="00DD764B"/>
    <w:rsid w:val="00DE0522"/>
    <w:rsid w:val="00DE1D4E"/>
    <w:rsid w:val="00DE1F6D"/>
    <w:rsid w:val="00DE33E7"/>
    <w:rsid w:val="00DE3D54"/>
    <w:rsid w:val="00DE3E24"/>
    <w:rsid w:val="00DE4877"/>
    <w:rsid w:val="00DE61F1"/>
    <w:rsid w:val="00DE6D6C"/>
    <w:rsid w:val="00DE75D3"/>
    <w:rsid w:val="00DE7EB0"/>
    <w:rsid w:val="00DF05A9"/>
    <w:rsid w:val="00DF0B29"/>
    <w:rsid w:val="00DF0D66"/>
    <w:rsid w:val="00DF24E9"/>
    <w:rsid w:val="00DF340D"/>
    <w:rsid w:val="00DF3873"/>
    <w:rsid w:val="00DF3BFD"/>
    <w:rsid w:val="00DF3F80"/>
    <w:rsid w:val="00DF4928"/>
    <w:rsid w:val="00DF4D3A"/>
    <w:rsid w:val="00DF504C"/>
    <w:rsid w:val="00DF6730"/>
    <w:rsid w:val="00DF70E0"/>
    <w:rsid w:val="00DF73FA"/>
    <w:rsid w:val="00DF7967"/>
    <w:rsid w:val="00E002EA"/>
    <w:rsid w:val="00E00FC4"/>
    <w:rsid w:val="00E0189C"/>
    <w:rsid w:val="00E01EBE"/>
    <w:rsid w:val="00E0382E"/>
    <w:rsid w:val="00E042C3"/>
    <w:rsid w:val="00E04EC4"/>
    <w:rsid w:val="00E05A01"/>
    <w:rsid w:val="00E0706C"/>
    <w:rsid w:val="00E0794D"/>
    <w:rsid w:val="00E07FE4"/>
    <w:rsid w:val="00E10169"/>
    <w:rsid w:val="00E11170"/>
    <w:rsid w:val="00E11D73"/>
    <w:rsid w:val="00E122AE"/>
    <w:rsid w:val="00E12CD8"/>
    <w:rsid w:val="00E13A78"/>
    <w:rsid w:val="00E14262"/>
    <w:rsid w:val="00E14BA2"/>
    <w:rsid w:val="00E14CE3"/>
    <w:rsid w:val="00E14FA0"/>
    <w:rsid w:val="00E153F4"/>
    <w:rsid w:val="00E15AC5"/>
    <w:rsid w:val="00E15BE1"/>
    <w:rsid w:val="00E175BB"/>
    <w:rsid w:val="00E206BB"/>
    <w:rsid w:val="00E20C55"/>
    <w:rsid w:val="00E2312A"/>
    <w:rsid w:val="00E251DF"/>
    <w:rsid w:val="00E25B6D"/>
    <w:rsid w:val="00E2625B"/>
    <w:rsid w:val="00E27FA4"/>
    <w:rsid w:val="00E31380"/>
    <w:rsid w:val="00E31609"/>
    <w:rsid w:val="00E322F5"/>
    <w:rsid w:val="00E33BA6"/>
    <w:rsid w:val="00E33E63"/>
    <w:rsid w:val="00E35B48"/>
    <w:rsid w:val="00E364C2"/>
    <w:rsid w:val="00E36CDD"/>
    <w:rsid w:val="00E37AD1"/>
    <w:rsid w:val="00E40950"/>
    <w:rsid w:val="00E419F6"/>
    <w:rsid w:val="00E41E8C"/>
    <w:rsid w:val="00E444B5"/>
    <w:rsid w:val="00E44728"/>
    <w:rsid w:val="00E450EE"/>
    <w:rsid w:val="00E45522"/>
    <w:rsid w:val="00E467E7"/>
    <w:rsid w:val="00E471E5"/>
    <w:rsid w:val="00E473CC"/>
    <w:rsid w:val="00E4788E"/>
    <w:rsid w:val="00E50A94"/>
    <w:rsid w:val="00E50ABF"/>
    <w:rsid w:val="00E512FE"/>
    <w:rsid w:val="00E51F51"/>
    <w:rsid w:val="00E54015"/>
    <w:rsid w:val="00E545F9"/>
    <w:rsid w:val="00E55218"/>
    <w:rsid w:val="00E55616"/>
    <w:rsid w:val="00E55B79"/>
    <w:rsid w:val="00E560F1"/>
    <w:rsid w:val="00E56576"/>
    <w:rsid w:val="00E567AB"/>
    <w:rsid w:val="00E6148D"/>
    <w:rsid w:val="00E615BA"/>
    <w:rsid w:val="00E62E8F"/>
    <w:rsid w:val="00E64585"/>
    <w:rsid w:val="00E6466C"/>
    <w:rsid w:val="00E649EA"/>
    <w:rsid w:val="00E6555C"/>
    <w:rsid w:val="00E6769A"/>
    <w:rsid w:val="00E67F43"/>
    <w:rsid w:val="00E70BD0"/>
    <w:rsid w:val="00E718D0"/>
    <w:rsid w:val="00E7204C"/>
    <w:rsid w:val="00E729FD"/>
    <w:rsid w:val="00E72C3A"/>
    <w:rsid w:val="00E72C9F"/>
    <w:rsid w:val="00E73163"/>
    <w:rsid w:val="00E74B92"/>
    <w:rsid w:val="00E74CA6"/>
    <w:rsid w:val="00E75392"/>
    <w:rsid w:val="00E754D9"/>
    <w:rsid w:val="00E7697B"/>
    <w:rsid w:val="00E77AC3"/>
    <w:rsid w:val="00E803E0"/>
    <w:rsid w:val="00E819E8"/>
    <w:rsid w:val="00E81CA3"/>
    <w:rsid w:val="00E82702"/>
    <w:rsid w:val="00E82720"/>
    <w:rsid w:val="00E83005"/>
    <w:rsid w:val="00E84950"/>
    <w:rsid w:val="00E8578B"/>
    <w:rsid w:val="00E90504"/>
    <w:rsid w:val="00E91731"/>
    <w:rsid w:val="00E921D6"/>
    <w:rsid w:val="00E92583"/>
    <w:rsid w:val="00E932C2"/>
    <w:rsid w:val="00E96D3E"/>
    <w:rsid w:val="00E975CE"/>
    <w:rsid w:val="00EA0AB6"/>
    <w:rsid w:val="00EA2078"/>
    <w:rsid w:val="00EA23F1"/>
    <w:rsid w:val="00EA2475"/>
    <w:rsid w:val="00EA263A"/>
    <w:rsid w:val="00EA2B5D"/>
    <w:rsid w:val="00EA30C5"/>
    <w:rsid w:val="00EA3158"/>
    <w:rsid w:val="00EA37B6"/>
    <w:rsid w:val="00EA39AB"/>
    <w:rsid w:val="00EA4383"/>
    <w:rsid w:val="00EA4B54"/>
    <w:rsid w:val="00EA4D44"/>
    <w:rsid w:val="00EA66DB"/>
    <w:rsid w:val="00EA7C20"/>
    <w:rsid w:val="00EA7C8F"/>
    <w:rsid w:val="00EB11D5"/>
    <w:rsid w:val="00EB15BF"/>
    <w:rsid w:val="00EB1A5A"/>
    <w:rsid w:val="00EB28AE"/>
    <w:rsid w:val="00EB37AE"/>
    <w:rsid w:val="00EB37B8"/>
    <w:rsid w:val="00EB3851"/>
    <w:rsid w:val="00EB3ADA"/>
    <w:rsid w:val="00EB42D5"/>
    <w:rsid w:val="00EB430D"/>
    <w:rsid w:val="00EB48AB"/>
    <w:rsid w:val="00EB57C9"/>
    <w:rsid w:val="00EB5911"/>
    <w:rsid w:val="00EB6914"/>
    <w:rsid w:val="00EB7FBC"/>
    <w:rsid w:val="00EC02B2"/>
    <w:rsid w:val="00EC04D2"/>
    <w:rsid w:val="00EC18F0"/>
    <w:rsid w:val="00EC258E"/>
    <w:rsid w:val="00EC28BE"/>
    <w:rsid w:val="00EC296D"/>
    <w:rsid w:val="00EC2A5C"/>
    <w:rsid w:val="00EC32D9"/>
    <w:rsid w:val="00EC412A"/>
    <w:rsid w:val="00EC41A5"/>
    <w:rsid w:val="00EC4356"/>
    <w:rsid w:val="00EC4B31"/>
    <w:rsid w:val="00EC70F0"/>
    <w:rsid w:val="00EC768F"/>
    <w:rsid w:val="00EC78A5"/>
    <w:rsid w:val="00ED0136"/>
    <w:rsid w:val="00ED0147"/>
    <w:rsid w:val="00ED0DDE"/>
    <w:rsid w:val="00ED0F43"/>
    <w:rsid w:val="00ED1321"/>
    <w:rsid w:val="00ED2185"/>
    <w:rsid w:val="00ED25E6"/>
    <w:rsid w:val="00ED4300"/>
    <w:rsid w:val="00ED45AE"/>
    <w:rsid w:val="00ED5605"/>
    <w:rsid w:val="00EE0738"/>
    <w:rsid w:val="00EE3084"/>
    <w:rsid w:val="00EE3551"/>
    <w:rsid w:val="00EE428C"/>
    <w:rsid w:val="00EE5D48"/>
    <w:rsid w:val="00EE63F2"/>
    <w:rsid w:val="00EE790C"/>
    <w:rsid w:val="00EF0003"/>
    <w:rsid w:val="00EF0D82"/>
    <w:rsid w:val="00EF0F6E"/>
    <w:rsid w:val="00EF2FD6"/>
    <w:rsid w:val="00EF4B02"/>
    <w:rsid w:val="00EF63D1"/>
    <w:rsid w:val="00EF72CA"/>
    <w:rsid w:val="00F00BFB"/>
    <w:rsid w:val="00F0369E"/>
    <w:rsid w:val="00F03936"/>
    <w:rsid w:val="00F03C65"/>
    <w:rsid w:val="00F0433B"/>
    <w:rsid w:val="00F047B1"/>
    <w:rsid w:val="00F04FC8"/>
    <w:rsid w:val="00F0620D"/>
    <w:rsid w:val="00F078BE"/>
    <w:rsid w:val="00F10439"/>
    <w:rsid w:val="00F1089C"/>
    <w:rsid w:val="00F127E3"/>
    <w:rsid w:val="00F12B58"/>
    <w:rsid w:val="00F12FD0"/>
    <w:rsid w:val="00F138CE"/>
    <w:rsid w:val="00F140FD"/>
    <w:rsid w:val="00F1454E"/>
    <w:rsid w:val="00F14A80"/>
    <w:rsid w:val="00F1528A"/>
    <w:rsid w:val="00F15B1A"/>
    <w:rsid w:val="00F1667A"/>
    <w:rsid w:val="00F1768F"/>
    <w:rsid w:val="00F17F6B"/>
    <w:rsid w:val="00F205C0"/>
    <w:rsid w:val="00F20644"/>
    <w:rsid w:val="00F2067C"/>
    <w:rsid w:val="00F22591"/>
    <w:rsid w:val="00F2290E"/>
    <w:rsid w:val="00F2495D"/>
    <w:rsid w:val="00F26DAB"/>
    <w:rsid w:val="00F30B35"/>
    <w:rsid w:val="00F30CFF"/>
    <w:rsid w:val="00F3140C"/>
    <w:rsid w:val="00F315A6"/>
    <w:rsid w:val="00F31C42"/>
    <w:rsid w:val="00F3292D"/>
    <w:rsid w:val="00F32E33"/>
    <w:rsid w:val="00F32FCB"/>
    <w:rsid w:val="00F36019"/>
    <w:rsid w:val="00F362CD"/>
    <w:rsid w:val="00F363BB"/>
    <w:rsid w:val="00F36CAB"/>
    <w:rsid w:val="00F37424"/>
    <w:rsid w:val="00F41566"/>
    <w:rsid w:val="00F4213F"/>
    <w:rsid w:val="00F42C83"/>
    <w:rsid w:val="00F43B7C"/>
    <w:rsid w:val="00F43BC0"/>
    <w:rsid w:val="00F456A1"/>
    <w:rsid w:val="00F502F2"/>
    <w:rsid w:val="00F516E1"/>
    <w:rsid w:val="00F51C6D"/>
    <w:rsid w:val="00F51ED1"/>
    <w:rsid w:val="00F5204D"/>
    <w:rsid w:val="00F527CE"/>
    <w:rsid w:val="00F5586E"/>
    <w:rsid w:val="00F55AD6"/>
    <w:rsid w:val="00F55D4F"/>
    <w:rsid w:val="00F57ACA"/>
    <w:rsid w:val="00F60665"/>
    <w:rsid w:val="00F61D32"/>
    <w:rsid w:val="00F625BC"/>
    <w:rsid w:val="00F632A7"/>
    <w:rsid w:val="00F65A03"/>
    <w:rsid w:val="00F65CC7"/>
    <w:rsid w:val="00F65D91"/>
    <w:rsid w:val="00F66F9B"/>
    <w:rsid w:val="00F6727E"/>
    <w:rsid w:val="00F70230"/>
    <w:rsid w:val="00F71F90"/>
    <w:rsid w:val="00F72AEB"/>
    <w:rsid w:val="00F7362B"/>
    <w:rsid w:val="00F738A5"/>
    <w:rsid w:val="00F74401"/>
    <w:rsid w:val="00F76DCE"/>
    <w:rsid w:val="00F77066"/>
    <w:rsid w:val="00F77666"/>
    <w:rsid w:val="00F80AAA"/>
    <w:rsid w:val="00F825E3"/>
    <w:rsid w:val="00F8686C"/>
    <w:rsid w:val="00F8722F"/>
    <w:rsid w:val="00F9006E"/>
    <w:rsid w:val="00F90A10"/>
    <w:rsid w:val="00F912C0"/>
    <w:rsid w:val="00F91743"/>
    <w:rsid w:val="00F91D05"/>
    <w:rsid w:val="00F91E8F"/>
    <w:rsid w:val="00F93082"/>
    <w:rsid w:val="00F95255"/>
    <w:rsid w:val="00F96393"/>
    <w:rsid w:val="00FA1506"/>
    <w:rsid w:val="00FA17F0"/>
    <w:rsid w:val="00FA208B"/>
    <w:rsid w:val="00FA3E74"/>
    <w:rsid w:val="00FA418D"/>
    <w:rsid w:val="00FA4CCB"/>
    <w:rsid w:val="00FA4D6C"/>
    <w:rsid w:val="00FA523F"/>
    <w:rsid w:val="00FA5B50"/>
    <w:rsid w:val="00FA66A1"/>
    <w:rsid w:val="00FA6BE1"/>
    <w:rsid w:val="00FA6F12"/>
    <w:rsid w:val="00FA7DBB"/>
    <w:rsid w:val="00FB1521"/>
    <w:rsid w:val="00FB5957"/>
    <w:rsid w:val="00FB7DB4"/>
    <w:rsid w:val="00FC044E"/>
    <w:rsid w:val="00FC34CD"/>
    <w:rsid w:val="00FC3729"/>
    <w:rsid w:val="00FC3778"/>
    <w:rsid w:val="00FC3844"/>
    <w:rsid w:val="00FC5565"/>
    <w:rsid w:val="00FC6237"/>
    <w:rsid w:val="00FC636C"/>
    <w:rsid w:val="00FC63B2"/>
    <w:rsid w:val="00FC74FF"/>
    <w:rsid w:val="00FC7DD9"/>
    <w:rsid w:val="00FD0BD8"/>
    <w:rsid w:val="00FD0D39"/>
    <w:rsid w:val="00FD108C"/>
    <w:rsid w:val="00FD153D"/>
    <w:rsid w:val="00FD166C"/>
    <w:rsid w:val="00FD1F97"/>
    <w:rsid w:val="00FD22B4"/>
    <w:rsid w:val="00FD3241"/>
    <w:rsid w:val="00FD409A"/>
    <w:rsid w:val="00FD4674"/>
    <w:rsid w:val="00FD5124"/>
    <w:rsid w:val="00FD5FF0"/>
    <w:rsid w:val="00FD6358"/>
    <w:rsid w:val="00FD63B9"/>
    <w:rsid w:val="00FD70C4"/>
    <w:rsid w:val="00FD73F1"/>
    <w:rsid w:val="00FD756E"/>
    <w:rsid w:val="00FE23DB"/>
    <w:rsid w:val="00FE2AF4"/>
    <w:rsid w:val="00FE429E"/>
    <w:rsid w:val="00FE4CD8"/>
    <w:rsid w:val="00FE4EA2"/>
    <w:rsid w:val="00FE54DA"/>
    <w:rsid w:val="00FE680D"/>
    <w:rsid w:val="00FE7ABA"/>
    <w:rsid w:val="00FF014A"/>
    <w:rsid w:val="00FF06B1"/>
    <w:rsid w:val="00FF1D23"/>
    <w:rsid w:val="00FF1E38"/>
    <w:rsid w:val="00FF218D"/>
    <w:rsid w:val="00FF2B85"/>
    <w:rsid w:val="00FF41D2"/>
    <w:rsid w:val="00FF64A7"/>
    <w:rsid w:val="00FF67BE"/>
    <w:rsid w:val="00FF743A"/>
    <w:rsid w:val="00FF75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A4D7583"/>
  <w15:docId w15:val="{0AB6EB3C-EDDC-48A9-8D8C-0CC756EB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lsdException w:name="List 5" w:semiHidden="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6A1"/>
    <w:pPr>
      <w:spacing w:after="170" w:line="280" w:lineRule="atLeast"/>
    </w:pPr>
    <w:rPr>
      <w:rFonts w:ascii="Arial" w:hAnsi="Arial"/>
      <w:sz w:val="20"/>
    </w:rPr>
  </w:style>
  <w:style w:type="paragraph" w:styleId="Heading1">
    <w:name w:val="heading 1"/>
    <w:aliases w:val="h1,D&amp;M,D&amp;M 1,Heading 1 Char Char1,Heading 1 Char1 Char Char,Heading 1 Char Char Char Char,Heading 1 Char1,Heading 1 Char Char,Heading 10,Subheading1,D&amp;M1,D&amp;M 11,Subheading2,D&amp;M5,D&amp;M 12,Main Heading"/>
    <w:basedOn w:val="Normal"/>
    <w:next w:val="BodyText"/>
    <w:link w:val="Heading1Char"/>
    <w:qFormat/>
    <w:rsid w:val="0087433C"/>
    <w:pPr>
      <w:keepNext/>
      <w:numPr>
        <w:numId w:val="54"/>
      </w:numPr>
      <w:tabs>
        <w:tab w:val="left" w:pos="567"/>
      </w:tabs>
      <w:spacing w:after="480" w:line="240" w:lineRule="auto"/>
      <w:outlineLvl w:val="0"/>
    </w:pPr>
    <w:rPr>
      <w:rFonts w:eastAsiaTheme="majorEastAsia" w:cstheme="majorBidi"/>
      <w:b/>
      <w:color w:val="0076C0" w:themeColor="accent1"/>
      <w:sz w:val="40"/>
      <w:szCs w:val="40"/>
    </w:rPr>
  </w:style>
  <w:style w:type="paragraph" w:styleId="Heading2">
    <w:name w:val="heading 2"/>
    <w:aliases w:val="h2,D&amp;M2,D&amp;M 2,D&amp;M Heading 2,2,Heading 2 Char1,Heading 2 Char Char,Major Heading,Major Heading1,Major Heading2,Major Heading3"/>
    <w:basedOn w:val="Heading1"/>
    <w:next w:val="BodyText"/>
    <w:link w:val="Heading2Char"/>
    <w:qFormat/>
    <w:rsid w:val="0043533F"/>
    <w:pPr>
      <w:numPr>
        <w:ilvl w:val="1"/>
        <w:numId w:val="53"/>
      </w:numPr>
      <w:tabs>
        <w:tab w:val="clear" w:pos="567"/>
        <w:tab w:val="left" w:pos="709"/>
      </w:tabs>
      <w:spacing w:before="360" w:after="240"/>
      <w:outlineLvl w:val="1"/>
    </w:pPr>
    <w:rPr>
      <w:sz w:val="28"/>
      <w:szCs w:val="28"/>
    </w:rPr>
  </w:style>
  <w:style w:type="paragraph" w:styleId="Heading3">
    <w:name w:val="heading 3"/>
    <w:aliases w:val="h3,D&amp;M3,D&amp;M 3"/>
    <w:basedOn w:val="Normal"/>
    <w:next w:val="BodyText"/>
    <w:link w:val="Heading3Char"/>
    <w:qFormat/>
    <w:rsid w:val="000B3B3D"/>
    <w:pPr>
      <w:keepNext/>
      <w:numPr>
        <w:ilvl w:val="2"/>
        <w:numId w:val="53"/>
      </w:numPr>
      <w:tabs>
        <w:tab w:val="left" w:pos="851"/>
      </w:tabs>
      <w:spacing w:before="360" w:after="240" w:line="240" w:lineRule="auto"/>
      <w:ind w:right="284"/>
      <w:jc w:val="both"/>
      <w:outlineLvl w:val="2"/>
    </w:pPr>
    <w:rPr>
      <w:rFonts w:eastAsiaTheme="majorEastAsia" w:cstheme="majorBidi"/>
      <w:b/>
      <w:color w:val="0076C0"/>
      <w:sz w:val="22"/>
    </w:rPr>
  </w:style>
  <w:style w:type="paragraph" w:styleId="Heading4">
    <w:name w:val="heading 4"/>
    <w:aliases w:val="PB L4,D&amp;M4,D&amp;M 4"/>
    <w:basedOn w:val="Heading3"/>
    <w:next w:val="BodyText"/>
    <w:link w:val="Heading4Char"/>
    <w:qFormat/>
    <w:rsid w:val="00352A5A"/>
    <w:pPr>
      <w:numPr>
        <w:ilvl w:val="3"/>
      </w:numPr>
      <w:tabs>
        <w:tab w:val="left" w:pos="993"/>
      </w:tabs>
      <w:jc w:val="left"/>
      <w:outlineLvl w:val="3"/>
    </w:pPr>
    <w:rPr>
      <w:b w:val="0"/>
      <w:i/>
      <w:iCs/>
      <w:sz w:val="20"/>
      <w:szCs w:val="20"/>
    </w:rPr>
  </w:style>
  <w:style w:type="paragraph" w:styleId="Heading5">
    <w:name w:val="heading 5"/>
    <w:aliases w:val="h5"/>
    <w:basedOn w:val="Heading4"/>
    <w:next w:val="BodyText"/>
    <w:link w:val="Heading5Char"/>
    <w:qFormat/>
    <w:rsid w:val="0065253C"/>
    <w:pPr>
      <w:spacing w:before="60"/>
      <w:outlineLvl w:val="4"/>
    </w:pPr>
    <w:rPr>
      <w:color w:val="00578F" w:themeColor="accent1" w:themeShade="BF"/>
    </w:rPr>
  </w:style>
  <w:style w:type="paragraph" w:styleId="Heading6">
    <w:name w:val="heading 6"/>
    <w:basedOn w:val="Heading5"/>
    <w:next w:val="BodyText"/>
    <w:link w:val="Heading6Char"/>
    <w:qFormat/>
    <w:rsid w:val="0065253C"/>
    <w:pPr>
      <w:outlineLvl w:val="5"/>
    </w:pPr>
    <w:rPr>
      <w:color w:val="003A5F" w:themeColor="accent1" w:themeShade="7F"/>
    </w:rPr>
  </w:style>
  <w:style w:type="paragraph" w:styleId="Heading7">
    <w:name w:val="heading 7"/>
    <w:basedOn w:val="Heading6"/>
    <w:next w:val="Normal"/>
    <w:link w:val="Heading7Char"/>
    <w:qFormat/>
    <w:rsid w:val="0065253C"/>
    <w:pPr>
      <w:outlineLvl w:val="6"/>
    </w:pPr>
    <w:rPr>
      <w:i w:val="0"/>
      <w:iCs w:val="0"/>
    </w:rPr>
  </w:style>
  <w:style w:type="paragraph" w:styleId="Heading8">
    <w:name w:val="heading 8"/>
    <w:basedOn w:val="Heading7"/>
    <w:next w:val="BodyText"/>
    <w:link w:val="Heading8Char"/>
    <w:qFormat/>
    <w:rsid w:val="0065253C"/>
    <w:pPr>
      <w:outlineLvl w:val="7"/>
    </w:pPr>
    <w:rPr>
      <w:color w:val="606372" w:themeColor="text2"/>
      <w:szCs w:val="21"/>
    </w:rPr>
  </w:style>
  <w:style w:type="paragraph" w:styleId="Heading9">
    <w:name w:val="heading 9"/>
    <w:basedOn w:val="Heading8"/>
    <w:next w:val="BodyText"/>
    <w:link w:val="Heading9Char"/>
    <w:qFormat/>
    <w:rsid w:val="0065253C"/>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rsid w:val="00835A8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D248FA"/>
    <w:rPr>
      <w:rFonts w:ascii="Consolas" w:hAnsi="Consolas" w:cs="Consolas"/>
      <w:sz w:val="20"/>
      <w:szCs w:val="20"/>
    </w:rPr>
  </w:style>
  <w:style w:type="paragraph" w:styleId="Header">
    <w:name w:val="header"/>
    <w:aliases w:val="odd"/>
    <w:basedOn w:val="Normal"/>
    <w:link w:val="HeaderChar"/>
    <w:uiPriority w:val="99"/>
    <w:qFormat/>
    <w:rsid w:val="0022501C"/>
    <w:pPr>
      <w:tabs>
        <w:tab w:val="center" w:pos="4513"/>
        <w:tab w:val="right" w:pos="9026"/>
      </w:tabs>
      <w:spacing w:after="0" w:line="280" w:lineRule="exact"/>
      <w:ind w:left="-731"/>
    </w:pPr>
  </w:style>
  <w:style w:type="character" w:customStyle="1" w:styleId="HeaderChar">
    <w:name w:val="Header Char"/>
    <w:aliases w:val="odd Char"/>
    <w:basedOn w:val="DefaultParagraphFont"/>
    <w:link w:val="Header"/>
    <w:uiPriority w:val="99"/>
    <w:rsid w:val="0022501C"/>
    <w:rPr>
      <w:rFonts w:ascii="Arial" w:hAnsi="Arial"/>
      <w:color w:val="1A1A1A"/>
      <w:sz w:val="20"/>
    </w:rPr>
  </w:style>
  <w:style w:type="paragraph" w:styleId="Footer">
    <w:name w:val="footer"/>
    <w:basedOn w:val="Normal"/>
    <w:link w:val="FooterChar"/>
    <w:uiPriority w:val="99"/>
    <w:qFormat/>
    <w:rsid w:val="0022501C"/>
    <w:pPr>
      <w:tabs>
        <w:tab w:val="center" w:pos="4513"/>
        <w:tab w:val="right" w:pos="9026"/>
      </w:tabs>
      <w:spacing w:after="0" w:line="280" w:lineRule="exact"/>
      <w:jc w:val="right"/>
    </w:pPr>
    <w:rPr>
      <w:sz w:val="14"/>
    </w:rPr>
  </w:style>
  <w:style w:type="character" w:customStyle="1" w:styleId="FooterChar">
    <w:name w:val="Footer Char"/>
    <w:basedOn w:val="DefaultParagraphFont"/>
    <w:link w:val="Footer"/>
    <w:uiPriority w:val="99"/>
    <w:rsid w:val="0022501C"/>
    <w:rPr>
      <w:rFonts w:ascii="Arial" w:hAnsi="Arial"/>
      <w:color w:val="1A1A1A"/>
      <w:sz w:val="14"/>
    </w:rPr>
  </w:style>
  <w:style w:type="table" w:styleId="TableGrid">
    <w:name w:val="Table Grid"/>
    <w:basedOn w:val="TableNormal"/>
    <w:uiPriority w:val="39"/>
    <w:rsid w:val="00652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22501C"/>
    <w:rPr>
      <w:rFonts w:ascii="Arial" w:hAnsi="Arial"/>
      <w:b/>
      <w:noProof w:val="0"/>
      <w:sz w:val="20"/>
      <w:lang w:val="en-AU"/>
    </w:rPr>
  </w:style>
  <w:style w:type="paragraph" w:customStyle="1" w:styleId="DocumentControlFooter">
    <w:name w:val="Document Control Footer"/>
    <w:basedOn w:val="Footer"/>
    <w:qFormat/>
    <w:rsid w:val="0022501C"/>
    <w:pPr>
      <w:tabs>
        <w:tab w:val="clear" w:pos="9026"/>
      </w:tabs>
      <w:spacing w:line="232" w:lineRule="exact"/>
    </w:pPr>
    <w:rPr>
      <w:sz w:val="16"/>
    </w:rPr>
  </w:style>
  <w:style w:type="paragraph" w:styleId="TOCHeading">
    <w:name w:val="TOC Heading"/>
    <w:next w:val="Normal"/>
    <w:uiPriority w:val="39"/>
    <w:qFormat/>
    <w:rsid w:val="0022501C"/>
    <w:rPr>
      <w:rFonts w:ascii="Arial" w:eastAsiaTheme="majorEastAsia" w:hAnsi="Arial" w:cstheme="majorBidi"/>
      <w:b/>
      <w:color w:val="0076C0" w:themeColor="accent1"/>
      <w:sz w:val="48"/>
      <w:szCs w:val="32"/>
    </w:rPr>
  </w:style>
  <w:style w:type="paragraph" w:styleId="TOC1">
    <w:name w:val="toc 1"/>
    <w:basedOn w:val="Normal"/>
    <w:uiPriority w:val="39"/>
    <w:qFormat/>
    <w:rsid w:val="00B246FA"/>
    <w:pPr>
      <w:keepNext/>
      <w:tabs>
        <w:tab w:val="right" w:leader="dot" w:pos="9611"/>
      </w:tabs>
      <w:spacing w:before="80" w:after="0" w:line="240" w:lineRule="auto"/>
      <w:ind w:left="567" w:right="142" w:hanging="567"/>
    </w:pPr>
    <w:rPr>
      <w:noProof/>
      <w:color w:val="0076C0"/>
      <w:sz w:val="23"/>
    </w:rPr>
  </w:style>
  <w:style w:type="paragraph" w:styleId="TOC2">
    <w:name w:val="toc 2"/>
    <w:basedOn w:val="TOC1"/>
    <w:uiPriority w:val="39"/>
    <w:qFormat/>
    <w:rsid w:val="00A974F1"/>
    <w:pPr>
      <w:keepNext w:val="0"/>
      <w:spacing w:before="0" w:line="260" w:lineRule="exact"/>
      <w:ind w:left="992" w:hanging="652"/>
    </w:pPr>
    <w:rPr>
      <w:color w:val="1A1A1A"/>
      <w:sz w:val="20"/>
    </w:rPr>
  </w:style>
  <w:style w:type="character" w:customStyle="1" w:styleId="Heading1Char">
    <w:name w:val="Heading 1 Char"/>
    <w:aliases w:val="h1 Char,D&amp;M Char,D&amp;M 1 Char,Heading 1 Char Char1 Char,Heading 1 Char1 Char Char Char,Heading 1 Char Char Char Char Char,Heading 1 Char1 Char,Heading 1 Char Char Char,Heading 10 Char,Subheading1 Char,D&amp;M1 Char,D&amp;M 11 Char,Subheading2 Char"/>
    <w:basedOn w:val="DefaultParagraphFont"/>
    <w:link w:val="Heading1"/>
    <w:rsid w:val="0087433C"/>
    <w:rPr>
      <w:rFonts w:ascii="Arial" w:eastAsiaTheme="majorEastAsia" w:hAnsi="Arial" w:cstheme="majorBidi"/>
      <w:b/>
      <w:color w:val="0076C0" w:themeColor="accent1"/>
      <w:sz w:val="40"/>
      <w:szCs w:val="40"/>
    </w:rPr>
  </w:style>
  <w:style w:type="paragraph" w:styleId="BodyText">
    <w:name w:val="Body Text"/>
    <w:aliases w:val="indent50"/>
    <w:basedOn w:val="Normal"/>
    <w:link w:val="BodyTextChar"/>
    <w:uiPriority w:val="99"/>
    <w:qFormat/>
    <w:rsid w:val="0022501C"/>
  </w:style>
  <w:style w:type="character" w:customStyle="1" w:styleId="BodyTextChar">
    <w:name w:val="Body Text Char"/>
    <w:aliases w:val="indent50 Char"/>
    <w:basedOn w:val="DefaultParagraphFont"/>
    <w:link w:val="BodyText"/>
    <w:uiPriority w:val="99"/>
    <w:rsid w:val="0022501C"/>
    <w:rPr>
      <w:rFonts w:ascii="Arial" w:hAnsi="Arial"/>
      <w:color w:val="1A1A1A"/>
      <w:sz w:val="20"/>
    </w:rPr>
  </w:style>
  <w:style w:type="paragraph" w:customStyle="1" w:styleId="IntroductionText">
    <w:name w:val="Introduction Text"/>
    <w:basedOn w:val="BodyText"/>
    <w:next w:val="BodyText"/>
    <w:qFormat/>
    <w:rsid w:val="0022501C"/>
    <w:pPr>
      <w:pBdr>
        <w:bottom w:val="dotted" w:sz="6" w:space="14" w:color="0076C0"/>
      </w:pBdr>
      <w:spacing w:after="624" w:line="300" w:lineRule="atLeast"/>
    </w:pPr>
    <w:rPr>
      <w:color w:val="0076C0"/>
      <w:sz w:val="22"/>
    </w:rPr>
  </w:style>
  <w:style w:type="paragraph" w:styleId="TOC3">
    <w:name w:val="toc 3"/>
    <w:basedOn w:val="TOC2"/>
    <w:uiPriority w:val="39"/>
    <w:qFormat/>
    <w:rsid w:val="0053090A"/>
    <w:pPr>
      <w:ind w:left="1219"/>
    </w:pPr>
    <w:rPr>
      <w:color w:val="292929"/>
    </w:rPr>
  </w:style>
  <w:style w:type="paragraph" w:styleId="TOC4">
    <w:name w:val="toc 4"/>
    <w:basedOn w:val="TOC3"/>
    <w:uiPriority w:val="39"/>
    <w:qFormat/>
    <w:rsid w:val="0022501C"/>
    <w:pPr>
      <w:ind w:left="794"/>
    </w:pPr>
    <w:rPr>
      <w:color w:val="383838"/>
    </w:rPr>
  </w:style>
  <w:style w:type="character" w:customStyle="1" w:styleId="Heading2Char">
    <w:name w:val="Heading 2 Char"/>
    <w:aliases w:val="h2 Char,D&amp;M2 Char,D&amp;M 2 Char,D&amp;M Heading 2 Char,2 Char,Heading 2 Char1 Char,Heading 2 Char Char Char,Major Heading Char,Major Heading1 Char,Major Heading2 Char,Major Heading3 Char"/>
    <w:basedOn w:val="DefaultParagraphFont"/>
    <w:link w:val="Heading2"/>
    <w:rsid w:val="0043533F"/>
    <w:rPr>
      <w:rFonts w:ascii="Arial" w:eastAsiaTheme="majorEastAsia" w:hAnsi="Arial" w:cstheme="majorBidi"/>
      <w:b/>
      <w:color w:val="0076C0" w:themeColor="accent1"/>
      <w:sz w:val="28"/>
      <w:szCs w:val="28"/>
    </w:rPr>
  </w:style>
  <w:style w:type="character" w:customStyle="1" w:styleId="Heading3Char">
    <w:name w:val="Heading 3 Char"/>
    <w:aliases w:val="h3 Char,D&amp;M3 Char,D&amp;M 3 Char"/>
    <w:basedOn w:val="DefaultParagraphFont"/>
    <w:link w:val="Heading3"/>
    <w:rsid w:val="000B3B3D"/>
    <w:rPr>
      <w:rFonts w:ascii="Arial" w:eastAsiaTheme="majorEastAsia" w:hAnsi="Arial" w:cstheme="majorBidi"/>
      <w:b/>
      <w:color w:val="0076C0"/>
    </w:rPr>
  </w:style>
  <w:style w:type="character" w:customStyle="1" w:styleId="Heading4Char">
    <w:name w:val="Heading 4 Char"/>
    <w:aliases w:val="PB L4 Char,D&amp;M4 Char,D&amp;M 4 Char"/>
    <w:basedOn w:val="DefaultParagraphFont"/>
    <w:link w:val="Heading4"/>
    <w:rsid w:val="00352A5A"/>
    <w:rPr>
      <w:rFonts w:ascii="Arial" w:eastAsiaTheme="majorEastAsia" w:hAnsi="Arial" w:cstheme="majorBidi"/>
      <w:i/>
      <w:iCs/>
      <w:color w:val="0076C0"/>
      <w:sz w:val="20"/>
      <w:szCs w:val="20"/>
    </w:rPr>
  </w:style>
  <w:style w:type="paragraph" w:styleId="ListNumber">
    <w:name w:val="List Number"/>
    <w:basedOn w:val="BodyText"/>
    <w:uiPriority w:val="99"/>
    <w:qFormat/>
    <w:rsid w:val="0065253C"/>
    <w:pPr>
      <w:numPr>
        <w:numId w:val="1"/>
      </w:numPr>
    </w:pPr>
    <w:rPr>
      <w:noProof/>
      <w:color w:val="292929"/>
    </w:rPr>
  </w:style>
  <w:style w:type="paragraph" w:styleId="ListNumber2">
    <w:name w:val="List Number 2"/>
    <w:basedOn w:val="ListNumber"/>
    <w:uiPriority w:val="99"/>
    <w:rsid w:val="0065253C"/>
    <w:pPr>
      <w:numPr>
        <w:numId w:val="7"/>
      </w:numPr>
      <w:tabs>
        <w:tab w:val="num" w:pos="360"/>
      </w:tabs>
      <w:ind w:left="720"/>
    </w:pPr>
  </w:style>
  <w:style w:type="paragraph" w:styleId="ListBullet">
    <w:name w:val="List Bullet"/>
    <w:basedOn w:val="BodyText"/>
    <w:link w:val="ListBulletChar"/>
    <w:uiPriority w:val="99"/>
    <w:qFormat/>
    <w:rsid w:val="00287064"/>
    <w:pPr>
      <w:numPr>
        <w:numId w:val="4"/>
      </w:numPr>
    </w:pPr>
  </w:style>
  <w:style w:type="paragraph" w:styleId="ListBullet2">
    <w:name w:val="List Bullet 2"/>
    <w:basedOn w:val="ListBullet"/>
    <w:uiPriority w:val="99"/>
    <w:qFormat/>
    <w:rsid w:val="0022501C"/>
    <w:pPr>
      <w:numPr>
        <w:numId w:val="5"/>
      </w:numPr>
      <w:ind w:left="714" w:hanging="357"/>
      <w:contextualSpacing/>
    </w:pPr>
    <w:rPr>
      <w:color w:val="383838"/>
    </w:rPr>
  </w:style>
  <w:style w:type="paragraph" w:styleId="Caption">
    <w:name w:val="caption"/>
    <w:aliases w:val="Char, Char,Caption Char Char,Caption Char1 Char,Caption Char1 Char Char Char,Caption Char Char Char,Table Caption,TABLE,Figure,Caption: FIGURES,Caption-tables Char,Caption-tables,Header List of Tables,Abbrev,Caption Char1,Char Char Char,Figures"/>
    <w:basedOn w:val="Normal"/>
    <w:next w:val="Normal"/>
    <w:link w:val="CaptionChar"/>
    <w:qFormat/>
    <w:rsid w:val="0022501C"/>
    <w:pPr>
      <w:spacing w:after="240" w:line="280" w:lineRule="exact"/>
    </w:pPr>
    <w:rPr>
      <w:iCs/>
      <w:sz w:val="18"/>
      <w:szCs w:val="18"/>
    </w:rPr>
  </w:style>
  <w:style w:type="paragraph" w:customStyle="1" w:styleId="PullQuoteText">
    <w:name w:val="Pull Quote Text"/>
    <w:basedOn w:val="Normal"/>
    <w:next w:val="BodyText"/>
    <w:qFormat/>
    <w:rsid w:val="0065253C"/>
    <w:pPr>
      <w:pBdr>
        <w:top w:val="dotted" w:sz="12" w:space="6" w:color="0076C0"/>
        <w:bottom w:val="dotted" w:sz="12" w:space="9" w:color="0076C0"/>
      </w:pBdr>
      <w:spacing w:after="0" w:line="280" w:lineRule="exact"/>
    </w:pPr>
    <w:rPr>
      <w:color w:val="0076C0"/>
    </w:rPr>
  </w:style>
  <w:style w:type="paragraph" w:styleId="Quote">
    <w:name w:val="Quote"/>
    <w:basedOn w:val="Normal"/>
    <w:next w:val="Normal"/>
    <w:link w:val="QuoteChar"/>
    <w:uiPriority w:val="29"/>
    <w:qFormat/>
    <w:rsid w:val="0065253C"/>
    <w:pPr>
      <w:spacing w:after="284" w:line="380" w:lineRule="atLeast"/>
      <w:jc w:val="center"/>
    </w:pPr>
    <w:rPr>
      <w:i/>
      <w:iCs/>
      <w:color w:val="42454C"/>
      <w:sz w:val="26"/>
    </w:rPr>
  </w:style>
  <w:style w:type="character" w:customStyle="1" w:styleId="QuoteChar">
    <w:name w:val="Quote Char"/>
    <w:basedOn w:val="DefaultParagraphFont"/>
    <w:link w:val="Quote"/>
    <w:uiPriority w:val="29"/>
    <w:rsid w:val="00D248FA"/>
    <w:rPr>
      <w:rFonts w:ascii="Arial" w:hAnsi="Arial"/>
      <w:i/>
      <w:iCs/>
      <w:color w:val="42454C"/>
      <w:sz w:val="26"/>
    </w:rPr>
  </w:style>
  <w:style w:type="paragraph" w:customStyle="1" w:styleId="QuoteName">
    <w:name w:val="Quote Name"/>
    <w:basedOn w:val="BodyText"/>
    <w:qFormat/>
    <w:rsid w:val="0065253C"/>
    <w:pPr>
      <w:spacing w:after="0"/>
      <w:jc w:val="center"/>
    </w:pPr>
    <w:rPr>
      <w:b/>
      <w:color w:val="26272E"/>
    </w:rPr>
  </w:style>
  <w:style w:type="character" w:customStyle="1" w:styleId="QuoteNameItalicCharacter">
    <w:name w:val="Quote Name Italic Character"/>
    <w:basedOn w:val="DefaultParagraphFont"/>
    <w:uiPriority w:val="1"/>
    <w:qFormat/>
    <w:rsid w:val="0065253C"/>
    <w:rPr>
      <w:rFonts w:ascii="Arial" w:hAnsi="Arial"/>
      <w:b w:val="0"/>
      <w:i/>
      <w:noProof w:val="0"/>
      <w:color w:val="1A1A1A"/>
      <w:sz w:val="20"/>
      <w:lang w:val="en-AU"/>
    </w:rPr>
  </w:style>
  <w:style w:type="paragraph" w:customStyle="1" w:styleId="Quote2">
    <w:name w:val="Quote 2"/>
    <w:basedOn w:val="Quote"/>
    <w:qFormat/>
    <w:rsid w:val="0065253C"/>
    <w:pPr>
      <w:ind w:left="454"/>
      <w:jc w:val="left"/>
    </w:pPr>
    <w:rPr>
      <w:szCs w:val="26"/>
    </w:rPr>
  </w:style>
  <w:style w:type="paragraph" w:customStyle="1" w:styleId="QuoteName2">
    <w:name w:val="Quote Name 2"/>
    <w:basedOn w:val="QuoteName"/>
    <w:qFormat/>
    <w:rsid w:val="0065253C"/>
    <w:pPr>
      <w:ind w:left="454"/>
      <w:jc w:val="left"/>
    </w:pPr>
  </w:style>
  <w:style w:type="paragraph" w:customStyle="1" w:styleId="Appendix">
    <w:name w:val="Appendix"/>
    <w:basedOn w:val="BodyText"/>
    <w:next w:val="Normal"/>
    <w:qFormat/>
    <w:rsid w:val="00511A30"/>
    <w:pPr>
      <w:numPr>
        <w:numId w:val="10"/>
      </w:numPr>
      <w:spacing w:after="0" w:line="520" w:lineRule="atLeast"/>
    </w:pPr>
    <w:rPr>
      <w:b/>
      <w:color w:val="0076C0" w:themeColor="accent1"/>
      <w:sz w:val="48"/>
      <w:szCs w:val="48"/>
    </w:rPr>
  </w:style>
  <w:style w:type="paragraph" w:customStyle="1" w:styleId="AppendixTitle">
    <w:name w:val="Appendix Title"/>
    <w:basedOn w:val="BodyText"/>
    <w:next w:val="BodyText"/>
    <w:qFormat/>
    <w:rsid w:val="0022501C"/>
    <w:pPr>
      <w:pBdr>
        <w:bottom w:val="dotted" w:sz="8" w:space="12" w:color="0076C0" w:themeColor="accent1"/>
      </w:pBdr>
      <w:spacing w:after="0" w:line="680" w:lineRule="atLeast"/>
    </w:pPr>
    <w:rPr>
      <w:color w:val="0076C0" w:themeColor="accent1"/>
      <w:sz w:val="44"/>
      <w:szCs w:val="48"/>
    </w:rPr>
  </w:style>
  <w:style w:type="paragraph" w:customStyle="1" w:styleId="HeaderLandscape">
    <w:name w:val="Header Landscape"/>
    <w:basedOn w:val="Header"/>
    <w:qFormat/>
    <w:rsid w:val="0022501C"/>
    <w:pPr>
      <w:ind w:left="-1077"/>
    </w:pPr>
  </w:style>
  <w:style w:type="character" w:styleId="Hyperlink">
    <w:name w:val="Hyperlink"/>
    <w:basedOn w:val="DefaultParagraphFont"/>
    <w:uiPriority w:val="99"/>
    <w:rsid w:val="00FD1F97"/>
    <w:rPr>
      <w:color w:val="0076C0"/>
      <w:u w:val="single"/>
    </w:rPr>
  </w:style>
  <w:style w:type="paragraph" w:styleId="Title">
    <w:name w:val="Title"/>
    <w:basedOn w:val="Normal"/>
    <w:next w:val="Subtitle"/>
    <w:link w:val="TitleChar"/>
    <w:uiPriority w:val="10"/>
    <w:qFormat/>
    <w:rsid w:val="0022501C"/>
    <w:pPr>
      <w:pBdr>
        <w:bottom w:val="dotted" w:sz="4" w:space="18" w:color="FFFFFF" w:themeColor="background1"/>
      </w:pBdr>
      <w:spacing w:after="320" w:line="520" w:lineRule="exact"/>
    </w:pPr>
    <w:rPr>
      <w:rFonts w:eastAsiaTheme="majorEastAsia" w:cstheme="majorBidi"/>
      <w:b/>
      <w:color w:val="FFFFFF" w:themeColor="background1"/>
      <w:spacing w:val="-10"/>
      <w:kern w:val="28"/>
      <w:sz w:val="48"/>
      <w:szCs w:val="56"/>
    </w:rPr>
  </w:style>
  <w:style w:type="character" w:customStyle="1" w:styleId="TitleChar">
    <w:name w:val="Title Char"/>
    <w:basedOn w:val="DefaultParagraphFont"/>
    <w:link w:val="Title"/>
    <w:uiPriority w:val="10"/>
    <w:rsid w:val="0022501C"/>
    <w:rPr>
      <w:rFonts w:ascii="Arial" w:eastAsiaTheme="majorEastAsia" w:hAnsi="Arial" w:cstheme="majorBidi"/>
      <w:b/>
      <w:color w:val="FFFFFF" w:themeColor="background1"/>
      <w:spacing w:val="-10"/>
      <w:kern w:val="28"/>
      <w:sz w:val="48"/>
      <w:szCs w:val="56"/>
    </w:rPr>
  </w:style>
  <w:style w:type="paragraph" w:styleId="Subtitle">
    <w:name w:val="Subtitle"/>
    <w:basedOn w:val="Title"/>
    <w:next w:val="Normal"/>
    <w:link w:val="SubtitleChar"/>
    <w:uiPriority w:val="11"/>
    <w:qFormat/>
    <w:rsid w:val="0022501C"/>
    <w:pPr>
      <w:numPr>
        <w:ilvl w:val="1"/>
      </w:numPr>
      <w:pBdr>
        <w:bottom w:val="dotted" w:sz="4" w:space="18" w:color="FFFFFF"/>
      </w:pBdr>
      <w:spacing w:after="720"/>
    </w:pPr>
    <w:rPr>
      <w:rFonts w:eastAsiaTheme="minorEastAsia"/>
      <w:b w:val="0"/>
      <w:color w:val="FFFFFF"/>
      <w:spacing w:val="0"/>
      <w:sz w:val="40"/>
    </w:rPr>
  </w:style>
  <w:style w:type="character" w:customStyle="1" w:styleId="SubtitleChar">
    <w:name w:val="Subtitle Char"/>
    <w:basedOn w:val="DefaultParagraphFont"/>
    <w:link w:val="Subtitle"/>
    <w:uiPriority w:val="11"/>
    <w:rsid w:val="0022501C"/>
    <w:rPr>
      <w:rFonts w:ascii="Arial" w:eastAsiaTheme="minorEastAsia" w:hAnsi="Arial" w:cstheme="majorBidi"/>
      <w:color w:val="FFFFFF"/>
      <w:kern w:val="28"/>
      <w:sz w:val="40"/>
      <w:szCs w:val="56"/>
    </w:rPr>
  </w:style>
  <w:style w:type="paragraph" w:customStyle="1" w:styleId="DocControlNumber">
    <w:name w:val="Doc Control Number"/>
    <w:basedOn w:val="Normal"/>
    <w:next w:val="Date"/>
    <w:qFormat/>
    <w:rsid w:val="0022501C"/>
    <w:pPr>
      <w:spacing w:line="280" w:lineRule="exact"/>
    </w:pPr>
    <w:rPr>
      <w:color w:val="A5ACBF"/>
      <w:sz w:val="28"/>
    </w:rPr>
  </w:style>
  <w:style w:type="paragraph" w:styleId="Date">
    <w:name w:val="Date"/>
    <w:basedOn w:val="Normal"/>
    <w:next w:val="Normal"/>
    <w:link w:val="DateChar"/>
    <w:uiPriority w:val="99"/>
    <w:qFormat/>
    <w:rsid w:val="0022501C"/>
    <w:pPr>
      <w:spacing w:line="280" w:lineRule="exact"/>
    </w:pPr>
    <w:rPr>
      <w:color w:val="A5ACBF"/>
      <w:sz w:val="28"/>
    </w:rPr>
  </w:style>
  <w:style w:type="character" w:customStyle="1" w:styleId="DateChar">
    <w:name w:val="Date Char"/>
    <w:basedOn w:val="DefaultParagraphFont"/>
    <w:link w:val="Date"/>
    <w:uiPriority w:val="99"/>
    <w:rsid w:val="0022501C"/>
    <w:rPr>
      <w:rFonts w:ascii="Arial" w:hAnsi="Arial"/>
      <w:color w:val="A5ACBF"/>
      <w:sz w:val="28"/>
    </w:rPr>
  </w:style>
  <w:style w:type="character" w:customStyle="1" w:styleId="CaptionItalicCharacter">
    <w:name w:val="Caption Italic Character"/>
    <w:basedOn w:val="DefaultParagraphFont"/>
    <w:uiPriority w:val="1"/>
    <w:qFormat/>
    <w:rsid w:val="0022501C"/>
    <w:rPr>
      <w:rFonts w:ascii="Arial" w:hAnsi="Arial"/>
      <w:b w:val="0"/>
      <w:i/>
      <w:noProof w:val="0"/>
      <w:color w:val="1A1A1A"/>
      <w:sz w:val="18"/>
      <w:lang w:val="en-AU"/>
    </w:rPr>
  </w:style>
  <w:style w:type="character" w:customStyle="1" w:styleId="Heading5Char">
    <w:name w:val="Heading 5 Char"/>
    <w:aliases w:val="h5 Char"/>
    <w:basedOn w:val="DefaultParagraphFont"/>
    <w:link w:val="Heading5"/>
    <w:rsid w:val="00D248FA"/>
    <w:rPr>
      <w:rFonts w:ascii="Arial" w:eastAsiaTheme="majorEastAsia" w:hAnsi="Arial" w:cstheme="majorBidi"/>
      <w:i/>
      <w:iCs/>
      <w:color w:val="00578F" w:themeColor="accent1" w:themeShade="BF"/>
      <w:sz w:val="20"/>
      <w:szCs w:val="20"/>
    </w:rPr>
  </w:style>
  <w:style w:type="character" w:customStyle="1" w:styleId="Heading6Char">
    <w:name w:val="Heading 6 Char"/>
    <w:basedOn w:val="DefaultParagraphFont"/>
    <w:link w:val="Heading6"/>
    <w:rsid w:val="00D248FA"/>
    <w:rPr>
      <w:rFonts w:ascii="Arial" w:eastAsiaTheme="majorEastAsia" w:hAnsi="Arial" w:cstheme="majorBidi"/>
      <w:i/>
      <w:iCs/>
      <w:color w:val="003A5F" w:themeColor="accent1" w:themeShade="7F"/>
      <w:sz w:val="20"/>
      <w:szCs w:val="20"/>
    </w:rPr>
  </w:style>
  <w:style w:type="character" w:customStyle="1" w:styleId="Heading7Char">
    <w:name w:val="Heading 7 Char"/>
    <w:basedOn w:val="DefaultParagraphFont"/>
    <w:link w:val="Heading7"/>
    <w:rsid w:val="00D248FA"/>
    <w:rPr>
      <w:rFonts w:ascii="Arial" w:eastAsiaTheme="majorEastAsia" w:hAnsi="Arial" w:cstheme="majorBidi"/>
      <w:color w:val="003A5F" w:themeColor="accent1" w:themeShade="7F"/>
      <w:sz w:val="20"/>
      <w:szCs w:val="20"/>
    </w:rPr>
  </w:style>
  <w:style w:type="character" w:customStyle="1" w:styleId="Heading8Char">
    <w:name w:val="Heading 8 Char"/>
    <w:basedOn w:val="DefaultParagraphFont"/>
    <w:link w:val="Heading8"/>
    <w:rsid w:val="00D248FA"/>
    <w:rPr>
      <w:rFonts w:ascii="Arial" w:eastAsiaTheme="majorEastAsia" w:hAnsi="Arial" w:cstheme="majorBidi"/>
      <w:color w:val="606372" w:themeColor="text2"/>
      <w:sz w:val="20"/>
      <w:szCs w:val="21"/>
    </w:rPr>
  </w:style>
  <w:style w:type="character" w:customStyle="1" w:styleId="Heading9Char">
    <w:name w:val="Heading 9 Char"/>
    <w:basedOn w:val="DefaultParagraphFont"/>
    <w:link w:val="Heading9"/>
    <w:rsid w:val="00D248FA"/>
    <w:rPr>
      <w:rFonts w:ascii="Arial" w:eastAsiaTheme="majorEastAsia" w:hAnsi="Arial" w:cstheme="majorBidi"/>
      <w:i/>
      <w:iCs/>
      <w:color w:val="606372" w:themeColor="text2"/>
      <w:sz w:val="20"/>
      <w:szCs w:val="21"/>
    </w:rPr>
  </w:style>
  <w:style w:type="numbering" w:customStyle="1" w:styleId="PacEnvNumberedHeadings">
    <w:name w:val="Pac Env Numbered Headings"/>
    <w:uiPriority w:val="99"/>
    <w:rsid w:val="00BE186E"/>
    <w:pPr>
      <w:numPr>
        <w:numId w:val="11"/>
      </w:numPr>
    </w:pPr>
  </w:style>
  <w:style w:type="numbering" w:customStyle="1" w:styleId="PacEnvMultiLevelList">
    <w:name w:val="Pac Env Multi Level List"/>
    <w:uiPriority w:val="99"/>
    <w:rsid w:val="0065253C"/>
  </w:style>
  <w:style w:type="paragraph" w:styleId="List">
    <w:name w:val="List"/>
    <w:basedOn w:val="ListNumber"/>
    <w:uiPriority w:val="99"/>
    <w:qFormat/>
    <w:rsid w:val="0022501C"/>
    <w:pPr>
      <w:numPr>
        <w:numId w:val="2"/>
      </w:numPr>
      <w:ind w:left="1071" w:hanging="357"/>
    </w:pPr>
    <w:rPr>
      <w:noProof w:val="0"/>
    </w:rPr>
  </w:style>
  <w:style w:type="paragraph" w:styleId="List2">
    <w:name w:val="List 2"/>
    <w:basedOn w:val="List"/>
    <w:uiPriority w:val="99"/>
    <w:qFormat/>
    <w:rsid w:val="0022501C"/>
    <w:pPr>
      <w:numPr>
        <w:numId w:val="3"/>
      </w:numPr>
      <w:ind w:left="1071" w:hanging="357"/>
    </w:pPr>
  </w:style>
  <w:style w:type="paragraph" w:customStyle="1" w:styleId="TableHeadings">
    <w:name w:val="Table Headings"/>
    <w:basedOn w:val="Normal"/>
    <w:qFormat/>
    <w:rsid w:val="0022501C"/>
    <w:pPr>
      <w:spacing w:before="60" w:after="60" w:line="240" w:lineRule="auto"/>
    </w:pPr>
    <w:rPr>
      <w:color w:val="FFFFFF" w:themeColor="background1"/>
      <w:sz w:val="18"/>
      <w:szCs w:val="18"/>
    </w:rPr>
  </w:style>
  <w:style w:type="paragraph" w:customStyle="1" w:styleId="TableBodyText">
    <w:name w:val="Table Body Text"/>
    <w:basedOn w:val="Normal"/>
    <w:qFormat/>
    <w:rsid w:val="0022501C"/>
    <w:pPr>
      <w:spacing w:before="60" w:after="60" w:line="240" w:lineRule="auto"/>
    </w:pPr>
    <w:rPr>
      <w:color w:val="292929"/>
      <w:sz w:val="16"/>
      <w:szCs w:val="16"/>
    </w:rPr>
  </w:style>
  <w:style w:type="paragraph" w:customStyle="1" w:styleId="TableBodyTextBold">
    <w:name w:val="Table Body Text Bold"/>
    <w:basedOn w:val="TableBodyText"/>
    <w:qFormat/>
    <w:rsid w:val="0022501C"/>
    <w:rPr>
      <w:b/>
    </w:rPr>
  </w:style>
  <w:style w:type="paragraph" w:customStyle="1" w:styleId="Notes">
    <w:name w:val="Notes"/>
    <w:basedOn w:val="BodyText"/>
    <w:qFormat/>
    <w:rsid w:val="0022501C"/>
    <w:pPr>
      <w:spacing w:before="240" w:after="240" w:line="240" w:lineRule="auto"/>
    </w:pPr>
    <w:rPr>
      <w:sz w:val="14"/>
      <w:szCs w:val="14"/>
    </w:rPr>
  </w:style>
  <w:style w:type="paragraph" w:customStyle="1" w:styleId="TableBodyTextItalic">
    <w:name w:val="Table Body Text Italic"/>
    <w:basedOn w:val="TableBodyText"/>
    <w:qFormat/>
    <w:rsid w:val="0022501C"/>
    <w:rPr>
      <w:i/>
    </w:rPr>
  </w:style>
  <w:style w:type="paragraph" w:styleId="TableofFigures">
    <w:name w:val="table of figures"/>
    <w:basedOn w:val="Normal"/>
    <w:next w:val="Normal"/>
    <w:uiPriority w:val="99"/>
    <w:rsid w:val="0022501C"/>
    <w:pPr>
      <w:tabs>
        <w:tab w:val="right" w:leader="dot" w:pos="8312"/>
      </w:tabs>
      <w:spacing w:after="0"/>
    </w:pPr>
  </w:style>
  <w:style w:type="character" w:customStyle="1" w:styleId="DocControlNumberCharacter">
    <w:name w:val="Doc Control Number Character"/>
    <w:basedOn w:val="DefaultParagraphFont"/>
    <w:uiPriority w:val="1"/>
    <w:qFormat/>
    <w:rsid w:val="0022501C"/>
    <w:rPr>
      <w:rFonts w:ascii="Arial" w:hAnsi="Arial"/>
      <w:noProof w:val="0"/>
      <w:color w:val="FFFFFF"/>
      <w:sz w:val="28"/>
      <w:lang w:val="en-AU"/>
    </w:rPr>
  </w:style>
  <w:style w:type="character" w:customStyle="1" w:styleId="DateCharacter">
    <w:name w:val="Date Character"/>
    <w:basedOn w:val="DocControlNumberCharacter"/>
    <w:uiPriority w:val="1"/>
    <w:qFormat/>
    <w:rsid w:val="0022501C"/>
    <w:rPr>
      <w:rFonts w:ascii="Arial" w:hAnsi="Arial"/>
      <w:noProof w:val="0"/>
      <w:color w:val="FFFFFF"/>
      <w:sz w:val="28"/>
      <w:lang w:val="en-AU"/>
    </w:rPr>
  </w:style>
  <w:style w:type="paragraph" w:styleId="BalloonText">
    <w:name w:val="Balloon Text"/>
    <w:basedOn w:val="Normal"/>
    <w:link w:val="BalloonTextChar"/>
    <w:uiPriority w:val="99"/>
    <w:semiHidden/>
    <w:rsid w:val="00652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8FA"/>
    <w:rPr>
      <w:rFonts w:ascii="Segoe UI" w:hAnsi="Segoe UI" w:cs="Segoe UI"/>
      <w:color w:val="1A1A1A"/>
      <w:sz w:val="18"/>
      <w:szCs w:val="18"/>
    </w:rPr>
  </w:style>
  <w:style w:type="table" w:customStyle="1" w:styleId="PacEnvTablewithHeader">
    <w:name w:val="Pac Env Table with Header"/>
    <w:basedOn w:val="TableNormal"/>
    <w:uiPriority w:val="99"/>
    <w:rsid w:val="0065253C"/>
    <w:pPr>
      <w:spacing w:before="60" w:after="60" w:line="240" w:lineRule="auto"/>
    </w:pPr>
    <w:rPr>
      <w:rFonts w:ascii="Source Sans Pro" w:hAnsi="Source Sans Pro"/>
      <w:color w:val="606372" w:themeColor="text2"/>
      <w:sz w:val="18"/>
    </w:rPr>
    <w:tblPr>
      <w:tblStyleRowBandSize w:val="1"/>
      <w:tblInd w:w="284" w:type="dxa"/>
      <w:tblCellMar>
        <w:left w:w="284" w:type="dxa"/>
        <w:right w:w="170" w:type="dxa"/>
      </w:tblCellMar>
    </w:tblPr>
    <w:trPr>
      <w:cantSplit/>
    </w:trPr>
    <w:tblStylePr w:type="firstRow">
      <w:pPr>
        <w:wordWrap/>
        <w:spacing w:beforeLines="0" w:before="60" w:beforeAutospacing="0" w:afterLines="0" w:after="60" w:afterAutospacing="0" w:line="280" w:lineRule="exact"/>
        <w:ind w:leftChars="0" w:left="0" w:rightChars="0" w:right="0" w:firstLineChars="0" w:firstLine="0"/>
        <w:contextualSpacing w:val="0"/>
        <w:mirrorIndents w:val="0"/>
        <w:jc w:val="left"/>
        <w:outlineLvl w:val="9"/>
      </w:pPr>
      <w:rPr>
        <w:rFonts w:ascii="Source Sans Pro" w:hAnsi="Source Sans Pro"/>
        <w:color w:val="FFFFFF" w:themeColor="background1"/>
        <w:sz w:val="18"/>
      </w:rPr>
      <w:tblPr/>
      <w:tcPr>
        <w:shd w:val="clear" w:color="auto" w:fill="606372"/>
      </w:tcPr>
    </w:tblStylePr>
    <w:tblStylePr w:type="band1Horz">
      <w:pPr>
        <w:wordWrap/>
        <w:spacing w:beforeLines="0" w:before="0" w:beforeAutospacing="0" w:afterLines="0" w:after="0" w:afterAutospacing="0" w:line="280" w:lineRule="exact"/>
        <w:ind w:leftChars="0" w:left="0" w:rightChars="0" w:right="0" w:firstLineChars="0" w:firstLine="0"/>
        <w:contextualSpacing w:val="0"/>
        <w:mirrorIndents w:val="0"/>
        <w:outlineLvl w:val="9"/>
      </w:pPr>
      <w:rPr>
        <w:rFonts w:ascii="Source Sans Pro" w:hAnsi="Source Sans Pro"/>
        <w:color w:val="676668"/>
        <w:sz w:val="16"/>
      </w:rPr>
      <w:tblPr/>
      <w:tcPr>
        <w:tcBorders>
          <w:top w:val="nil"/>
          <w:left w:val="nil"/>
          <w:bottom w:val="single" w:sz="4" w:space="0" w:color="DEE1E0"/>
          <w:right w:val="nil"/>
          <w:insideH w:val="single" w:sz="4" w:space="0" w:color="DEE1E0"/>
          <w:insideV w:val="nil"/>
          <w:tl2br w:val="nil"/>
          <w:tr2bl w:val="nil"/>
        </w:tcBorders>
        <w:shd w:val="clear" w:color="auto" w:fill="FFFFFF" w:themeFill="background1"/>
      </w:tcPr>
    </w:tblStylePr>
    <w:tblStylePr w:type="band2Horz">
      <w:pPr>
        <w:wordWrap/>
        <w:spacing w:beforeLines="0" w:before="0" w:beforeAutospacing="0" w:afterLines="0" w:after="0" w:afterAutospacing="0" w:line="280" w:lineRule="exact"/>
        <w:ind w:leftChars="0" w:left="0" w:rightChars="0" w:right="0" w:firstLineChars="0" w:firstLine="0"/>
        <w:contextualSpacing w:val="0"/>
        <w:mirrorIndents w:val="0"/>
        <w:jc w:val="left"/>
        <w:outlineLvl w:val="9"/>
      </w:pPr>
      <w:rPr>
        <w:rFonts w:ascii="Source Sans Pro" w:hAnsi="Source Sans Pro"/>
        <w:color w:val="676668"/>
        <w:sz w:val="16"/>
      </w:rPr>
      <w:tblPr/>
      <w:tcPr>
        <w:tcBorders>
          <w:top w:val="nil"/>
          <w:left w:val="nil"/>
          <w:bottom w:val="single" w:sz="4" w:space="0" w:color="DEE1E0"/>
          <w:right w:val="nil"/>
          <w:insideH w:val="single" w:sz="4" w:space="0" w:color="DEE1E0"/>
          <w:insideV w:val="nil"/>
          <w:tl2br w:val="nil"/>
          <w:tr2bl w:val="nil"/>
        </w:tcBorders>
        <w:shd w:val="clear" w:color="auto" w:fill="F0F7FB"/>
      </w:tcPr>
    </w:tblStylePr>
  </w:style>
  <w:style w:type="table" w:customStyle="1" w:styleId="PacEnvBasicTable">
    <w:name w:val="Pac Env Basic Table"/>
    <w:basedOn w:val="TableNormal"/>
    <w:uiPriority w:val="40"/>
    <w:rsid w:val="0065253C"/>
    <w:pPr>
      <w:spacing w:after="0" w:line="280" w:lineRule="exact"/>
    </w:pPr>
    <w:rPr>
      <w:rFonts w:ascii="Source Sans Pro" w:hAnsi="Source Sans Pro"/>
      <w:color w:val="676668"/>
      <w:sz w:val="16"/>
    </w:rPr>
    <w:tblPr>
      <w:tblStyleRowBandSize w:val="1"/>
      <w:tblInd w:w="284" w:type="dxa"/>
      <w:tblBorders>
        <w:top w:val="single" w:sz="8" w:space="0" w:color="DEE1E0"/>
        <w:bottom w:val="single" w:sz="8" w:space="0" w:color="DEE1E0"/>
        <w:insideH w:val="single" w:sz="8" w:space="0" w:color="DEE1E0"/>
      </w:tblBorders>
      <w:tblCellMar>
        <w:left w:w="284" w:type="dxa"/>
        <w:right w:w="170" w:type="dxa"/>
      </w:tblCellMar>
    </w:tblPr>
    <w:tblStylePr w:type="band2Horz">
      <w:tblPr/>
      <w:tcPr>
        <w:shd w:val="clear" w:color="auto" w:fill="F0F7FB"/>
      </w:tcPr>
    </w:tblStylePr>
  </w:style>
  <w:style w:type="character" w:styleId="PlaceholderText">
    <w:name w:val="Placeholder Text"/>
    <w:basedOn w:val="DefaultParagraphFont"/>
    <w:uiPriority w:val="99"/>
    <w:semiHidden/>
    <w:rsid w:val="0065253C"/>
    <w:rPr>
      <w:rFonts w:ascii="Arial" w:hAnsi="Arial"/>
      <w:color w:val="808080"/>
      <w:sz w:val="20"/>
    </w:rPr>
  </w:style>
  <w:style w:type="paragraph" w:customStyle="1" w:styleId="StateAddress">
    <w:name w:val="State Address"/>
    <w:basedOn w:val="BodyText"/>
    <w:next w:val="BodyText"/>
    <w:qFormat/>
    <w:rsid w:val="0022501C"/>
    <w:rPr>
      <w:b/>
      <w:color w:val="0076C0" w:themeColor="accent1"/>
      <w:sz w:val="24"/>
      <w:szCs w:val="24"/>
    </w:rPr>
  </w:style>
  <w:style w:type="character" w:customStyle="1" w:styleId="BodyTextBlueCharacter">
    <w:name w:val="Body Text Blue Character"/>
    <w:basedOn w:val="DefaultParagraphFont"/>
    <w:uiPriority w:val="1"/>
    <w:qFormat/>
    <w:rsid w:val="0022501C"/>
    <w:rPr>
      <w:rFonts w:ascii="Arial" w:hAnsi="Arial"/>
      <w:noProof w:val="0"/>
      <w:color w:val="0076C0" w:themeColor="accent1"/>
      <w:sz w:val="20"/>
      <w:lang w:val="en-AU"/>
    </w:rPr>
  </w:style>
  <w:style w:type="paragraph" w:styleId="ListParagraph">
    <w:name w:val="List Paragraph"/>
    <w:basedOn w:val="Normal"/>
    <w:link w:val="ListParagraphChar"/>
    <w:uiPriority w:val="34"/>
    <w:qFormat/>
    <w:rsid w:val="0065253C"/>
    <w:pPr>
      <w:ind w:left="720"/>
      <w:contextualSpacing/>
    </w:pPr>
  </w:style>
  <w:style w:type="paragraph" w:styleId="FootnoteText">
    <w:name w:val="footnote text"/>
    <w:basedOn w:val="Normal"/>
    <w:link w:val="FootnoteTextChar"/>
    <w:rsid w:val="00BB2154"/>
    <w:pPr>
      <w:keepLines/>
      <w:spacing w:before="60" w:after="60" w:line="240" w:lineRule="auto"/>
    </w:pPr>
    <w:rPr>
      <w:sz w:val="16"/>
      <w:szCs w:val="20"/>
    </w:rPr>
  </w:style>
  <w:style w:type="character" w:customStyle="1" w:styleId="FootnoteTextChar">
    <w:name w:val="Footnote Text Char"/>
    <w:basedOn w:val="DefaultParagraphFont"/>
    <w:link w:val="FootnoteText"/>
    <w:rsid w:val="00BB2154"/>
    <w:rPr>
      <w:rFonts w:ascii="Arial" w:hAnsi="Arial"/>
      <w:sz w:val="16"/>
      <w:szCs w:val="20"/>
    </w:rPr>
  </w:style>
  <w:style w:type="character" w:styleId="FootnoteReference">
    <w:name w:val="footnote reference"/>
    <w:basedOn w:val="DefaultParagraphFont"/>
    <w:uiPriority w:val="99"/>
    <w:rsid w:val="00C64516"/>
    <w:rPr>
      <w:vertAlign w:val="superscript"/>
    </w:rPr>
  </w:style>
  <w:style w:type="paragraph" w:styleId="Bibliography">
    <w:name w:val="Bibliography"/>
    <w:basedOn w:val="Normal"/>
    <w:next w:val="Normal"/>
    <w:uiPriority w:val="37"/>
    <w:rsid w:val="0065253C"/>
  </w:style>
  <w:style w:type="character" w:styleId="BookTitle">
    <w:name w:val="Book Title"/>
    <w:basedOn w:val="DefaultParagraphFont"/>
    <w:uiPriority w:val="33"/>
    <w:qFormat/>
    <w:rsid w:val="0065253C"/>
    <w:rPr>
      <w:rFonts w:ascii="Arial" w:hAnsi="Arial"/>
      <w:b/>
      <w:bCs/>
      <w:i/>
      <w:iCs/>
      <w:spacing w:val="5"/>
      <w:sz w:val="20"/>
    </w:rPr>
  </w:style>
  <w:style w:type="paragraph" w:customStyle="1" w:styleId="Heading1nonum">
    <w:name w:val="Heading 1 no num"/>
    <w:basedOn w:val="Heading1"/>
    <w:qFormat/>
    <w:rsid w:val="0022501C"/>
    <w:pPr>
      <w:numPr>
        <w:numId w:val="0"/>
      </w:numPr>
    </w:pPr>
  </w:style>
  <w:style w:type="paragraph" w:customStyle="1" w:styleId="Heading2nonum">
    <w:name w:val="Heading 2 no num"/>
    <w:basedOn w:val="Heading2"/>
    <w:qFormat/>
    <w:rsid w:val="0022501C"/>
    <w:pPr>
      <w:numPr>
        <w:ilvl w:val="0"/>
        <w:numId w:val="0"/>
      </w:numPr>
    </w:pPr>
  </w:style>
  <w:style w:type="paragraph" w:customStyle="1" w:styleId="Heading3nonum">
    <w:name w:val="Heading 3 no num"/>
    <w:basedOn w:val="Heading3"/>
    <w:qFormat/>
    <w:rsid w:val="0022501C"/>
    <w:pPr>
      <w:numPr>
        <w:ilvl w:val="0"/>
        <w:numId w:val="0"/>
      </w:numPr>
    </w:pPr>
  </w:style>
  <w:style w:type="paragraph" w:customStyle="1" w:styleId="Heading4nonum">
    <w:name w:val="Heading 4 no num"/>
    <w:basedOn w:val="Heading3"/>
    <w:qFormat/>
    <w:rsid w:val="0022501C"/>
    <w:pPr>
      <w:numPr>
        <w:ilvl w:val="0"/>
        <w:numId w:val="0"/>
      </w:numPr>
      <w:spacing w:line="340" w:lineRule="atLeast"/>
    </w:pPr>
    <w:rPr>
      <w:i/>
      <w:sz w:val="28"/>
    </w:rPr>
  </w:style>
  <w:style w:type="paragraph" w:customStyle="1" w:styleId="Heading5nonum">
    <w:name w:val="Heading 5 no num"/>
    <w:basedOn w:val="Heading3"/>
    <w:semiHidden/>
    <w:qFormat/>
    <w:rsid w:val="0065253C"/>
    <w:pPr>
      <w:numPr>
        <w:ilvl w:val="0"/>
        <w:numId w:val="0"/>
      </w:numPr>
      <w:spacing w:before="60" w:line="340" w:lineRule="atLeast"/>
    </w:pPr>
    <w:rPr>
      <w:i/>
      <w:color w:val="00578F" w:themeColor="accent1" w:themeShade="BF"/>
      <w:sz w:val="28"/>
    </w:rPr>
  </w:style>
  <w:style w:type="paragraph" w:customStyle="1" w:styleId="Heading6nonum">
    <w:name w:val="Heading 6 no num"/>
    <w:basedOn w:val="Heading3"/>
    <w:semiHidden/>
    <w:qFormat/>
    <w:rsid w:val="0065253C"/>
    <w:pPr>
      <w:numPr>
        <w:ilvl w:val="0"/>
        <w:numId w:val="0"/>
      </w:numPr>
      <w:spacing w:before="60" w:line="340" w:lineRule="atLeast"/>
    </w:pPr>
    <w:rPr>
      <w:i/>
      <w:color w:val="003A60" w:themeColor="accent1" w:themeShade="80"/>
      <w:sz w:val="28"/>
    </w:rPr>
  </w:style>
  <w:style w:type="paragraph" w:customStyle="1" w:styleId="Heading7nonum">
    <w:name w:val="Heading 7 no num"/>
    <w:basedOn w:val="Heading3"/>
    <w:semiHidden/>
    <w:qFormat/>
    <w:rsid w:val="0065253C"/>
    <w:pPr>
      <w:numPr>
        <w:ilvl w:val="0"/>
        <w:numId w:val="0"/>
      </w:numPr>
      <w:spacing w:before="60" w:line="340" w:lineRule="atLeast"/>
    </w:pPr>
    <w:rPr>
      <w:i/>
      <w:color w:val="003A60" w:themeColor="accent1" w:themeShade="80"/>
      <w:sz w:val="28"/>
    </w:rPr>
  </w:style>
  <w:style w:type="paragraph" w:customStyle="1" w:styleId="Heading8nonum">
    <w:name w:val="Heading 8 no num"/>
    <w:basedOn w:val="Heading3"/>
    <w:semiHidden/>
    <w:qFormat/>
    <w:rsid w:val="0065253C"/>
    <w:pPr>
      <w:numPr>
        <w:ilvl w:val="0"/>
        <w:numId w:val="0"/>
      </w:numPr>
      <w:spacing w:before="60" w:line="340" w:lineRule="atLeast"/>
    </w:pPr>
    <w:rPr>
      <w:color w:val="606372" w:themeColor="text2"/>
    </w:rPr>
  </w:style>
  <w:style w:type="paragraph" w:customStyle="1" w:styleId="Heading9nonum">
    <w:name w:val="Heading 9 no num"/>
    <w:basedOn w:val="Heading3"/>
    <w:semiHidden/>
    <w:qFormat/>
    <w:rsid w:val="0065253C"/>
    <w:pPr>
      <w:numPr>
        <w:ilvl w:val="0"/>
        <w:numId w:val="0"/>
      </w:numPr>
      <w:spacing w:before="60" w:line="340" w:lineRule="atLeast"/>
    </w:pPr>
    <w:rPr>
      <w:i/>
      <w:color w:val="606372" w:themeColor="text2"/>
    </w:rPr>
  </w:style>
  <w:style w:type="paragraph" w:styleId="Index1">
    <w:name w:val="index 1"/>
    <w:basedOn w:val="Normal"/>
    <w:next w:val="Normal"/>
    <w:autoRedefine/>
    <w:uiPriority w:val="99"/>
    <w:semiHidden/>
    <w:rsid w:val="0065253C"/>
    <w:pPr>
      <w:spacing w:after="0" w:line="240" w:lineRule="auto"/>
      <w:ind w:left="200" w:hanging="200"/>
    </w:pPr>
  </w:style>
  <w:style w:type="paragraph" w:styleId="Index9">
    <w:name w:val="index 9"/>
    <w:basedOn w:val="Normal"/>
    <w:next w:val="Normal"/>
    <w:autoRedefine/>
    <w:uiPriority w:val="99"/>
    <w:semiHidden/>
    <w:rsid w:val="0065253C"/>
    <w:pPr>
      <w:spacing w:after="0" w:line="240" w:lineRule="auto"/>
      <w:ind w:left="1800" w:hanging="200"/>
    </w:pPr>
  </w:style>
  <w:style w:type="paragraph" w:styleId="IndexHeading">
    <w:name w:val="index heading"/>
    <w:basedOn w:val="Normal"/>
    <w:next w:val="Index1"/>
    <w:uiPriority w:val="99"/>
    <w:semiHidden/>
    <w:rsid w:val="0065253C"/>
    <w:rPr>
      <w:rFonts w:eastAsiaTheme="majorEastAsia" w:cstheme="majorBidi"/>
      <w:b/>
      <w:bCs/>
    </w:rPr>
  </w:style>
  <w:style w:type="character" w:styleId="IntenseEmphasis">
    <w:name w:val="Intense Emphasis"/>
    <w:basedOn w:val="DefaultParagraphFont"/>
    <w:uiPriority w:val="21"/>
    <w:qFormat/>
    <w:rsid w:val="0065253C"/>
    <w:rPr>
      <w:rFonts w:ascii="Arial" w:hAnsi="Arial"/>
      <w:i/>
      <w:iCs/>
      <w:color w:val="0076C0" w:themeColor="accent1"/>
      <w:sz w:val="20"/>
    </w:rPr>
  </w:style>
  <w:style w:type="character" w:styleId="IntenseReference">
    <w:name w:val="Intense Reference"/>
    <w:basedOn w:val="DefaultParagraphFont"/>
    <w:uiPriority w:val="32"/>
    <w:qFormat/>
    <w:rsid w:val="0065253C"/>
    <w:rPr>
      <w:rFonts w:ascii="Arial" w:hAnsi="Arial"/>
      <w:b/>
      <w:bCs/>
      <w:smallCaps/>
      <w:color w:val="0076C0" w:themeColor="accent1"/>
      <w:spacing w:val="5"/>
      <w:sz w:val="20"/>
    </w:rPr>
  </w:style>
  <w:style w:type="paragraph" w:styleId="ListBullet5">
    <w:name w:val="List Bullet 5"/>
    <w:basedOn w:val="Normal"/>
    <w:uiPriority w:val="99"/>
    <w:rsid w:val="0065253C"/>
    <w:pPr>
      <w:numPr>
        <w:numId w:val="6"/>
      </w:numPr>
      <w:contextualSpacing/>
    </w:pPr>
  </w:style>
  <w:style w:type="paragraph" w:styleId="ListContinue5">
    <w:name w:val="List Continue 5"/>
    <w:basedOn w:val="Normal"/>
    <w:uiPriority w:val="99"/>
    <w:semiHidden/>
    <w:rsid w:val="0065253C"/>
    <w:pPr>
      <w:spacing w:after="120"/>
      <w:ind w:left="1415"/>
      <w:contextualSpacing/>
    </w:pPr>
  </w:style>
  <w:style w:type="paragraph" w:styleId="NoSpacing">
    <w:name w:val="No Spacing"/>
    <w:link w:val="NoSpacingChar"/>
    <w:uiPriority w:val="1"/>
    <w:qFormat/>
    <w:rsid w:val="0065253C"/>
    <w:pPr>
      <w:spacing w:after="0" w:line="240" w:lineRule="auto"/>
    </w:pPr>
    <w:rPr>
      <w:rFonts w:ascii="Arial" w:hAnsi="Arial"/>
      <w:color w:val="1A1A1A"/>
      <w:sz w:val="20"/>
    </w:rPr>
  </w:style>
  <w:style w:type="paragraph" w:styleId="Salutation">
    <w:name w:val="Salutation"/>
    <w:basedOn w:val="Normal"/>
    <w:next w:val="Normal"/>
    <w:link w:val="SalutationChar"/>
    <w:uiPriority w:val="99"/>
    <w:semiHidden/>
    <w:rsid w:val="0065253C"/>
  </w:style>
  <w:style w:type="character" w:customStyle="1" w:styleId="SalutationChar">
    <w:name w:val="Salutation Char"/>
    <w:basedOn w:val="DefaultParagraphFont"/>
    <w:link w:val="Salutation"/>
    <w:uiPriority w:val="99"/>
    <w:semiHidden/>
    <w:rsid w:val="00D248FA"/>
    <w:rPr>
      <w:rFonts w:ascii="Arial" w:hAnsi="Arial"/>
      <w:color w:val="1A1A1A"/>
      <w:sz w:val="20"/>
    </w:rPr>
  </w:style>
  <w:style w:type="character" w:styleId="SubtleEmphasis">
    <w:name w:val="Subtle Emphasis"/>
    <w:basedOn w:val="DefaultParagraphFont"/>
    <w:uiPriority w:val="19"/>
    <w:qFormat/>
    <w:rsid w:val="0065253C"/>
    <w:rPr>
      <w:rFonts w:ascii="Arial" w:hAnsi="Arial"/>
      <w:i/>
      <w:iCs/>
      <w:color w:val="707071" w:themeColor="text1" w:themeTint="BF"/>
      <w:sz w:val="20"/>
    </w:rPr>
  </w:style>
  <w:style w:type="character" w:styleId="SubtleReference">
    <w:name w:val="Subtle Reference"/>
    <w:basedOn w:val="DefaultParagraphFont"/>
    <w:uiPriority w:val="31"/>
    <w:qFormat/>
    <w:rsid w:val="0065253C"/>
    <w:rPr>
      <w:rFonts w:ascii="Arial" w:hAnsi="Arial"/>
      <w:smallCaps/>
      <w:color w:val="838385" w:themeColor="text1" w:themeTint="A5"/>
      <w:sz w:val="20"/>
    </w:rPr>
  </w:style>
  <w:style w:type="paragraph" w:styleId="TableofAuthorities">
    <w:name w:val="table of authorities"/>
    <w:basedOn w:val="Normal"/>
    <w:next w:val="Normal"/>
    <w:uiPriority w:val="99"/>
    <w:semiHidden/>
    <w:rsid w:val="0065253C"/>
    <w:pPr>
      <w:spacing w:after="0"/>
      <w:ind w:left="200" w:hanging="200"/>
    </w:pPr>
  </w:style>
  <w:style w:type="paragraph" w:styleId="TOAHeading">
    <w:name w:val="toa heading"/>
    <w:basedOn w:val="Normal"/>
    <w:next w:val="Normal"/>
    <w:uiPriority w:val="99"/>
    <w:semiHidden/>
    <w:rsid w:val="0065253C"/>
    <w:pPr>
      <w:spacing w:before="120"/>
    </w:pPr>
    <w:rPr>
      <w:rFonts w:eastAsiaTheme="majorEastAsia" w:cstheme="majorBidi"/>
      <w:b/>
      <w:bCs/>
      <w:sz w:val="24"/>
      <w:szCs w:val="24"/>
    </w:rPr>
  </w:style>
  <w:style w:type="paragraph" w:customStyle="1" w:styleId="Appendix1">
    <w:name w:val="Appendix 1"/>
    <w:basedOn w:val="Heading1"/>
    <w:next w:val="BodyText"/>
    <w:qFormat/>
    <w:rsid w:val="00511A30"/>
    <w:pPr>
      <w:numPr>
        <w:ilvl w:val="1"/>
        <w:numId w:val="10"/>
      </w:numPr>
    </w:pPr>
  </w:style>
  <w:style w:type="paragraph" w:customStyle="1" w:styleId="Appendix2">
    <w:name w:val="Appendix 2"/>
    <w:basedOn w:val="Heading2"/>
    <w:next w:val="BodyText"/>
    <w:qFormat/>
    <w:rsid w:val="00511A30"/>
    <w:pPr>
      <w:numPr>
        <w:ilvl w:val="2"/>
        <w:numId w:val="10"/>
      </w:numPr>
    </w:pPr>
  </w:style>
  <w:style w:type="paragraph" w:customStyle="1" w:styleId="Appendix3">
    <w:name w:val="Appendix 3"/>
    <w:basedOn w:val="Heading3"/>
    <w:next w:val="BodyText"/>
    <w:qFormat/>
    <w:rsid w:val="00511A30"/>
    <w:pPr>
      <w:numPr>
        <w:ilvl w:val="3"/>
        <w:numId w:val="10"/>
      </w:numPr>
    </w:pPr>
  </w:style>
  <w:style w:type="paragraph" w:customStyle="1" w:styleId="Appendix4">
    <w:name w:val="Appendix 4"/>
    <w:basedOn w:val="Heading4"/>
    <w:next w:val="BodyText"/>
    <w:qFormat/>
    <w:rsid w:val="00511A30"/>
    <w:pPr>
      <w:numPr>
        <w:ilvl w:val="4"/>
        <w:numId w:val="10"/>
      </w:numPr>
    </w:pPr>
  </w:style>
  <w:style w:type="numbering" w:customStyle="1" w:styleId="PacEnvAppendixHeadings">
    <w:name w:val="Pac Env Appendix Headings"/>
    <w:uiPriority w:val="99"/>
    <w:rsid w:val="00511A30"/>
    <w:pPr>
      <w:numPr>
        <w:numId w:val="9"/>
      </w:numPr>
    </w:pPr>
  </w:style>
  <w:style w:type="character" w:customStyle="1" w:styleId="CaptionChar">
    <w:name w:val="Caption Char"/>
    <w:aliases w:val="Char Char, Char Char,Caption Char Char Char1,Caption Char1 Char Char,Caption Char1 Char Char Char Char,Caption Char Char Char Char,Table Caption Char,TABLE Char,Figure Char,Caption: FIGURES Char,Caption-tables Char Char,Caption-tables Char1"/>
    <w:basedOn w:val="DefaultParagraphFont"/>
    <w:link w:val="Caption"/>
    <w:locked/>
    <w:rsid w:val="00525EFD"/>
    <w:rPr>
      <w:rFonts w:ascii="Arial" w:hAnsi="Arial"/>
      <w:iCs/>
      <w:color w:val="1A1A1A"/>
      <w:sz w:val="18"/>
      <w:szCs w:val="18"/>
    </w:rPr>
  </w:style>
  <w:style w:type="character" w:styleId="CommentReference">
    <w:name w:val="annotation reference"/>
    <w:basedOn w:val="DefaultParagraphFont"/>
    <w:uiPriority w:val="99"/>
    <w:semiHidden/>
    <w:unhideWhenUsed/>
    <w:rsid w:val="006A543F"/>
    <w:rPr>
      <w:sz w:val="16"/>
      <w:szCs w:val="16"/>
    </w:rPr>
  </w:style>
  <w:style w:type="paragraph" w:styleId="CommentText">
    <w:name w:val="annotation text"/>
    <w:basedOn w:val="Normal"/>
    <w:link w:val="CommentTextChar"/>
    <w:uiPriority w:val="99"/>
    <w:unhideWhenUsed/>
    <w:rsid w:val="006A543F"/>
    <w:pPr>
      <w:spacing w:after="240" w:line="240" w:lineRule="auto"/>
    </w:pPr>
    <w:rPr>
      <w:rFonts w:ascii="Century Gothic" w:eastAsiaTheme="minorEastAsia" w:hAnsi="Century Gothic"/>
      <w:szCs w:val="20"/>
      <w:lang w:eastAsia="en-AU"/>
    </w:rPr>
  </w:style>
  <w:style w:type="character" w:customStyle="1" w:styleId="CommentTextChar">
    <w:name w:val="Comment Text Char"/>
    <w:basedOn w:val="DefaultParagraphFont"/>
    <w:link w:val="CommentText"/>
    <w:uiPriority w:val="99"/>
    <w:rsid w:val="006A543F"/>
    <w:rPr>
      <w:rFonts w:ascii="Century Gothic" w:eastAsiaTheme="minorEastAsia" w:hAnsi="Century Gothic"/>
      <w:sz w:val="20"/>
      <w:szCs w:val="20"/>
      <w:lang w:eastAsia="en-AU"/>
    </w:rPr>
  </w:style>
  <w:style w:type="table" w:customStyle="1" w:styleId="ListTable3-Accent11">
    <w:name w:val="List Table 3 - Accent 11"/>
    <w:basedOn w:val="TableNormal"/>
    <w:uiPriority w:val="48"/>
    <w:rsid w:val="00E718D0"/>
    <w:pPr>
      <w:spacing w:after="0" w:line="240" w:lineRule="auto"/>
    </w:pPr>
    <w:rPr>
      <w:rFonts w:ascii="Calibri" w:eastAsia="Calibri" w:hAnsi="Calibri"/>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paragraph" w:customStyle="1" w:styleId="Default">
    <w:name w:val="Default"/>
    <w:rsid w:val="00E718D0"/>
    <w:pPr>
      <w:autoSpaceDE w:val="0"/>
      <w:autoSpaceDN w:val="0"/>
      <w:adjustRightInd w:val="0"/>
      <w:spacing w:after="0" w:line="240" w:lineRule="auto"/>
    </w:pPr>
    <w:rPr>
      <w:rFonts w:ascii="Calibri" w:hAnsi="Calibri" w:cs="Calibri"/>
      <w:color w:val="000000"/>
      <w:sz w:val="24"/>
      <w:szCs w:val="24"/>
      <w:lang w:val="en-GB"/>
    </w:rPr>
  </w:style>
  <w:style w:type="paragraph" w:styleId="CommentSubject">
    <w:name w:val="annotation subject"/>
    <w:basedOn w:val="CommentText"/>
    <w:next w:val="CommentText"/>
    <w:link w:val="CommentSubjectChar"/>
    <w:uiPriority w:val="99"/>
    <w:semiHidden/>
    <w:unhideWhenUsed/>
    <w:rsid w:val="008D50BE"/>
    <w:pPr>
      <w:spacing w:after="170"/>
    </w:pPr>
    <w:rPr>
      <w:rFonts w:ascii="Arial" w:eastAsiaTheme="minorHAnsi" w:hAnsi="Arial"/>
      <w:b/>
      <w:bCs/>
      <w:color w:val="1A1A1A"/>
      <w:lang w:eastAsia="en-US"/>
    </w:rPr>
  </w:style>
  <w:style w:type="character" w:customStyle="1" w:styleId="CommentSubjectChar">
    <w:name w:val="Comment Subject Char"/>
    <w:basedOn w:val="CommentTextChar"/>
    <w:link w:val="CommentSubject"/>
    <w:uiPriority w:val="99"/>
    <w:semiHidden/>
    <w:rsid w:val="008D50BE"/>
    <w:rPr>
      <w:rFonts w:ascii="Arial" w:eastAsiaTheme="minorEastAsia" w:hAnsi="Arial"/>
      <w:b/>
      <w:bCs/>
      <w:color w:val="1A1A1A"/>
      <w:sz w:val="20"/>
      <w:szCs w:val="20"/>
      <w:lang w:eastAsia="en-AU"/>
    </w:rPr>
  </w:style>
  <w:style w:type="paragraph" w:customStyle="1" w:styleId="BulletArrows">
    <w:name w:val="Bullet Arrows"/>
    <w:basedOn w:val="BodyText"/>
    <w:link w:val="BulletArrowsChar"/>
    <w:qFormat/>
    <w:rsid w:val="0092210A"/>
    <w:pPr>
      <w:numPr>
        <w:numId w:val="16"/>
      </w:numPr>
      <w:spacing w:after="120" w:line="276" w:lineRule="auto"/>
      <w:ind w:left="568" w:hanging="284"/>
    </w:pPr>
    <w:rPr>
      <w:rFonts w:ascii="Century Gothic" w:eastAsia="Times New Roman" w:hAnsi="Century Gothic" w:cs="Arial"/>
      <w:bCs/>
      <w:color w:val="000000"/>
      <w:kern w:val="32"/>
      <w:sz w:val="18"/>
      <w:szCs w:val="32"/>
    </w:rPr>
  </w:style>
  <w:style w:type="character" w:customStyle="1" w:styleId="BulletArrowsChar">
    <w:name w:val="Bullet Arrows Char"/>
    <w:link w:val="BulletArrows"/>
    <w:rsid w:val="0092210A"/>
    <w:rPr>
      <w:rFonts w:ascii="Century Gothic" w:eastAsia="Times New Roman" w:hAnsi="Century Gothic" w:cs="Arial"/>
      <w:bCs/>
      <w:color w:val="000000"/>
      <w:kern w:val="32"/>
      <w:sz w:val="18"/>
      <w:szCs w:val="32"/>
    </w:rPr>
  </w:style>
  <w:style w:type="paragraph" w:customStyle="1" w:styleId="EYTablebullet1">
    <w:name w:val="EY Table bullet 1"/>
    <w:basedOn w:val="Normal"/>
    <w:link w:val="EYTablebullet1Char"/>
    <w:qFormat/>
    <w:rsid w:val="00102CBE"/>
    <w:pPr>
      <w:numPr>
        <w:numId w:val="17"/>
      </w:numPr>
      <w:spacing w:before="20" w:after="20" w:line="240" w:lineRule="auto"/>
    </w:pPr>
    <w:rPr>
      <w:rFonts w:ascii="EYInterstate Light" w:eastAsia="Times New Roman" w:hAnsi="EYInterstate Light" w:cs="Times New Roman"/>
      <w:sz w:val="16"/>
      <w:szCs w:val="24"/>
      <w:lang w:val="en-US"/>
    </w:rPr>
  </w:style>
  <w:style w:type="paragraph" w:customStyle="1" w:styleId="EYTablebullet2">
    <w:name w:val="EY Table bullet 2"/>
    <w:basedOn w:val="EYTablebullet1"/>
    <w:rsid w:val="00102CBE"/>
    <w:pPr>
      <w:numPr>
        <w:ilvl w:val="1"/>
      </w:numPr>
      <w:tabs>
        <w:tab w:val="clear" w:pos="1724"/>
      </w:tabs>
      <w:ind w:left="1440" w:hanging="360"/>
    </w:pPr>
  </w:style>
  <w:style w:type="paragraph" w:customStyle="1" w:styleId="EYTableHeadingWhite">
    <w:name w:val="EY Table Heading (White)"/>
    <w:basedOn w:val="Normal"/>
    <w:rsid w:val="00102CBE"/>
    <w:pPr>
      <w:spacing w:before="60" w:after="60" w:line="240" w:lineRule="auto"/>
    </w:pPr>
    <w:rPr>
      <w:rFonts w:ascii="EYInterstate Regular" w:eastAsia="Times New Roman" w:hAnsi="EYInterstate Regular" w:cs="Times New Roman"/>
      <w:bCs/>
      <w:color w:val="FFFFFF"/>
      <w:sz w:val="16"/>
      <w:szCs w:val="24"/>
      <w:lang w:val="en-US"/>
    </w:rPr>
  </w:style>
  <w:style w:type="paragraph" w:customStyle="1" w:styleId="PELTableBullet">
    <w:name w:val="PEL Table Bullet"/>
    <w:basedOn w:val="Normal"/>
    <w:qFormat/>
    <w:rsid w:val="003244F4"/>
    <w:pPr>
      <w:keepNext/>
      <w:numPr>
        <w:numId w:val="18"/>
      </w:numPr>
      <w:tabs>
        <w:tab w:val="left" w:pos="284"/>
        <w:tab w:val="left" w:pos="6804"/>
      </w:tabs>
      <w:spacing w:before="80" w:after="0" w:line="276" w:lineRule="auto"/>
      <w:ind w:left="284" w:hanging="284"/>
    </w:pPr>
    <w:rPr>
      <w:rFonts w:ascii="Century Gothic" w:eastAsia="Times New Roman" w:hAnsi="Century Gothic" w:cstheme="majorHAnsi"/>
      <w:bCs/>
      <w:kern w:val="32"/>
      <w:sz w:val="16"/>
      <w:szCs w:val="20"/>
      <w:lang w:eastAsia="en-AU"/>
    </w:rPr>
  </w:style>
  <w:style w:type="character" w:customStyle="1" w:styleId="EYTablebullet1Char">
    <w:name w:val="EY Table bullet 1 Char"/>
    <w:basedOn w:val="DefaultParagraphFont"/>
    <w:link w:val="EYTablebullet1"/>
    <w:locked/>
    <w:rsid w:val="003244F4"/>
    <w:rPr>
      <w:rFonts w:ascii="EYInterstate Light" w:eastAsia="Times New Roman" w:hAnsi="EYInterstate Light" w:cs="Times New Roman"/>
      <w:sz w:val="16"/>
      <w:szCs w:val="24"/>
      <w:lang w:val="en-US"/>
    </w:rPr>
  </w:style>
  <w:style w:type="paragraph" w:customStyle="1" w:styleId="PBTablecaption">
    <w:name w:val="PB Table caption"/>
    <w:basedOn w:val="Normal"/>
    <w:link w:val="PBTablecaptionChar"/>
    <w:qFormat/>
    <w:rsid w:val="006C0547"/>
    <w:pPr>
      <w:keepNext/>
      <w:spacing w:after="120" w:line="240" w:lineRule="auto"/>
      <w:ind w:right="-23"/>
      <w:jc w:val="center"/>
    </w:pPr>
    <w:rPr>
      <w:rFonts w:eastAsia="Times New Roman" w:cs="Times New Roman"/>
      <w:bCs/>
      <w:sz w:val="18"/>
      <w:szCs w:val="18"/>
    </w:rPr>
  </w:style>
  <w:style w:type="character" w:customStyle="1" w:styleId="PBTablecaptionChar">
    <w:name w:val="PB Table caption Char"/>
    <w:basedOn w:val="DefaultParagraphFont"/>
    <w:link w:val="PBTablecaption"/>
    <w:rsid w:val="006C0547"/>
    <w:rPr>
      <w:rFonts w:ascii="Arial" w:eastAsia="Times New Roman" w:hAnsi="Arial" w:cs="Times New Roman"/>
      <w:bCs/>
      <w:sz w:val="18"/>
      <w:szCs w:val="18"/>
    </w:rPr>
  </w:style>
  <w:style w:type="paragraph" w:customStyle="1" w:styleId="NormalCentered">
    <w:name w:val="Normal Centered"/>
    <w:basedOn w:val="Normal"/>
    <w:qFormat/>
    <w:rsid w:val="00BB2C20"/>
    <w:pPr>
      <w:spacing w:after="240" w:line="276" w:lineRule="auto"/>
      <w:jc w:val="center"/>
    </w:pPr>
    <w:rPr>
      <w:rFonts w:ascii="Century Gothic" w:eastAsiaTheme="minorEastAsia" w:hAnsi="Century Gothic"/>
      <w:noProof/>
      <w:sz w:val="18"/>
      <w:szCs w:val="18"/>
      <w:lang w:eastAsia="en-AU"/>
    </w:rPr>
  </w:style>
  <w:style w:type="paragraph" w:customStyle="1" w:styleId="ESHeading1">
    <w:name w:val="ES Heading 1"/>
    <w:rsid w:val="00BB2C20"/>
    <w:pPr>
      <w:numPr>
        <w:numId w:val="20"/>
      </w:numPr>
      <w:spacing w:after="240" w:line="288" w:lineRule="auto"/>
      <w:ind w:right="-2"/>
    </w:pPr>
    <w:rPr>
      <w:rFonts w:ascii="Century Gothic" w:eastAsia="Times New Roman" w:hAnsi="Century Gothic" w:cs="Arial"/>
      <w:b/>
      <w:bCs/>
      <w:caps/>
      <w:color w:val="0076C0"/>
      <w:kern w:val="32"/>
      <w:szCs w:val="32"/>
    </w:rPr>
  </w:style>
  <w:style w:type="table" w:styleId="ListTable3-Accent1">
    <w:name w:val="List Table 3 Accent 1"/>
    <w:basedOn w:val="TableNormal"/>
    <w:uiPriority w:val="48"/>
    <w:rsid w:val="00C81B1C"/>
    <w:pPr>
      <w:spacing w:after="0" w:line="240" w:lineRule="auto"/>
      <w:jc w:val="both"/>
    </w:pPr>
    <w:rPr>
      <w:rFonts w:ascii="Calibri" w:hAnsi="Calibri"/>
    </w:rPr>
    <w:tblPr>
      <w:tblStyleRowBandSize w:val="1"/>
      <w:tblStyleColBandSize w:val="1"/>
      <w:tblBorders>
        <w:top w:val="single" w:sz="4" w:space="0" w:color="0076C0" w:themeColor="accent1"/>
        <w:left w:val="single" w:sz="4" w:space="0" w:color="0076C0" w:themeColor="accent1"/>
        <w:bottom w:val="single" w:sz="4" w:space="0" w:color="0076C0" w:themeColor="accent1"/>
        <w:right w:val="single" w:sz="4" w:space="0" w:color="0076C0" w:themeColor="accent1"/>
      </w:tblBorders>
    </w:tblPr>
    <w:tblStylePr w:type="firstRow">
      <w:rPr>
        <w:b/>
        <w:bCs/>
        <w:color w:val="FFFFFF" w:themeColor="background1"/>
      </w:rPr>
      <w:tblPr/>
      <w:tcPr>
        <w:shd w:val="clear" w:color="auto" w:fill="0076C0" w:themeFill="accent1"/>
      </w:tcPr>
    </w:tblStylePr>
    <w:tblStylePr w:type="lastRow">
      <w:rPr>
        <w:b/>
        <w:bCs/>
      </w:rPr>
      <w:tblPr/>
      <w:tcPr>
        <w:tcBorders>
          <w:top w:val="double" w:sz="4" w:space="0" w:color="0076C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6C0" w:themeColor="accent1"/>
          <w:right w:val="single" w:sz="4" w:space="0" w:color="0076C0" w:themeColor="accent1"/>
        </w:tcBorders>
      </w:tcPr>
    </w:tblStylePr>
    <w:tblStylePr w:type="band1Horz">
      <w:tblPr/>
      <w:tcPr>
        <w:tcBorders>
          <w:top w:val="single" w:sz="4" w:space="0" w:color="0076C0" w:themeColor="accent1"/>
          <w:bottom w:val="single" w:sz="4" w:space="0" w:color="0076C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C0" w:themeColor="accent1"/>
          <w:left w:val="nil"/>
        </w:tcBorders>
      </w:tcPr>
    </w:tblStylePr>
    <w:tblStylePr w:type="swCell">
      <w:tblPr/>
      <w:tcPr>
        <w:tcBorders>
          <w:top w:val="double" w:sz="4" w:space="0" w:color="0076C0" w:themeColor="accent1"/>
          <w:right w:val="nil"/>
        </w:tcBorders>
      </w:tcPr>
    </w:tblStylePr>
  </w:style>
  <w:style w:type="table" w:customStyle="1" w:styleId="LightList-Accent11">
    <w:name w:val="Light List - Accent 11"/>
    <w:basedOn w:val="TableNormal"/>
    <w:uiPriority w:val="61"/>
    <w:rsid w:val="00C81B1C"/>
    <w:pPr>
      <w:spacing w:after="0" w:line="240" w:lineRule="auto"/>
    </w:pPr>
    <w:rPr>
      <w:rFonts w:asciiTheme="majorHAnsi" w:eastAsiaTheme="minorEastAsia" w:hAnsiTheme="majorHAnsi"/>
      <w:sz w:val="18"/>
      <w:szCs w:val="18"/>
      <w:lang w:val="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Table3-Accent141">
    <w:name w:val="List Table 3 - Accent 141"/>
    <w:basedOn w:val="TableNormal"/>
    <w:next w:val="TableNormal"/>
    <w:uiPriority w:val="48"/>
    <w:rsid w:val="00C81B1C"/>
    <w:pPr>
      <w:spacing w:after="0" w:line="240" w:lineRule="auto"/>
    </w:pPr>
    <w:rPr>
      <w:rFonts w:ascii="Calibri" w:eastAsia="Arial" w:hAnsi="Calibri"/>
    </w:rPr>
    <w:tblPr>
      <w:tblStyleRowBandSize w:val="1"/>
      <w:tblStyleColBandSize w:val="1"/>
      <w:tblBorders>
        <w:top w:val="single" w:sz="4" w:space="0" w:color="0076C0"/>
        <w:left w:val="single" w:sz="4" w:space="0" w:color="0076C0"/>
        <w:bottom w:val="single" w:sz="4" w:space="0" w:color="0076C0"/>
        <w:right w:val="single" w:sz="4" w:space="0" w:color="0076C0"/>
      </w:tblBorders>
    </w:tblPr>
    <w:tblStylePr w:type="firstRow">
      <w:rPr>
        <w:b/>
        <w:bCs/>
        <w:color w:val="FFFFFF"/>
      </w:rPr>
      <w:tblPr/>
      <w:tcPr>
        <w:shd w:val="clear" w:color="auto" w:fill="0076C0"/>
      </w:tcPr>
    </w:tblStylePr>
    <w:tblStylePr w:type="lastRow">
      <w:rPr>
        <w:b/>
        <w:bCs/>
      </w:rPr>
      <w:tblPr/>
      <w:tcPr>
        <w:tcBorders>
          <w:top w:val="double" w:sz="4" w:space="0" w:color="007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76C0"/>
          <w:right w:val="single" w:sz="4" w:space="0" w:color="0076C0"/>
        </w:tcBorders>
      </w:tcPr>
    </w:tblStylePr>
    <w:tblStylePr w:type="band1Horz">
      <w:tblPr/>
      <w:tcPr>
        <w:tcBorders>
          <w:top w:val="single" w:sz="4" w:space="0" w:color="0076C0"/>
          <w:bottom w:val="single" w:sz="4" w:space="0" w:color="007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C0"/>
          <w:left w:val="nil"/>
        </w:tcBorders>
      </w:tcPr>
    </w:tblStylePr>
    <w:tblStylePr w:type="swCell">
      <w:tblPr/>
      <w:tcPr>
        <w:tcBorders>
          <w:top w:val="double" w:sz="4" w:space="0" w:color="0076C0"/>
          <w:right w:val="nil"/>
        </w:tcBorders>
      </w:tcPr>
    </w:tblStylePr>
  </w:style>
  <w:style w:type="paragraph" w:customStyle="1" w:styleId="PBfootnote">
    <w:name w:val="PB footnote"/>
    <w:basedOn w:val="FootnoteText"/>
    <w:link w:val="PBfootnoteChar"/>
    <w:qFormat/>
    <w:rsid w:val="0018059B"/>
    <w:pPr>
      <w:spacing w:after="40"/>
    </w:pPr>
  </w:style>
  <w:style w:type="character" w:customStyle="1" w:styleId="PBfootnoteChar">
    <w:name w:val="PB footnote Char"/>
    <w:basedOn w:val="FootnoteTextChar"/>
    <w:link w:val="PBfootnote"/>
    <w:rsid w:val="0018059B"/>
    <w:rPr>
      <w:rFonts w:ascii="Arial" w:hAnsi="Arial"/>
      <w:color w:val="383838"/>
      <w:sz w:val="16"/>
      <w:szCs w:val="20"/>
    </w:rPr>
  </w:style>
  <w:style w:type="numbering" w:customStyle="1" w:styleId="BulletList">
    <w:name w:val="Bullet List"/>
    <w:uiPriority w:val="99"/>
    <w:rsid w:val="00AD108B"/>
    <w:pPr>
      <w:numPr>
        <w:numId w:val="22"/>
      </w:numPr>
    </w:pPr>
  </w:style>
  <w:style w:type="paragraph" w:styleId="ListBullet3">
    <w:name w:val="List Bullet 3"/>
    <w:basedOn w:val="Normal"/>
    <w:uiPriority w:val="99"/>
    <w:unhideWhenUsed/>
    <w:rsid w:val="00AD108B"/>
    <w:pPr>
      <w:spacing w:after="200" w:line="276" w:lineRule="auto"/>
      <w:ind w:left="1106" w:hanging="369"/>
    </w:pPr>
    <w:rPr>
      <w:rFonts w:eastAsia="Calibri" w:cs="Times New Roman"/>
      <w:sz w:val="22"/>
    </w:rPr>
  </w:style>
  <w:style w:type="paragraph" w:styleId="ListBullet4">
    <w:name w:val="List Bullet 4"/>
    <w:basedOn w:val="Normal"/>
    <w:uiPriority w:val="99"/>
    <w:unhideWhenUsed/>
    <w:rsid w:val="00AD108B"/>
    <w:pPr>
      <w:spacing w:after="200" w:line="276" w:lineRule="auto"/>
      <w:ind w:left="1474" w:hanging="368"/>
    </w:pPr>
    <w:rPr>
      <w:rFonts w:eastAsia="Calibri" w:cs="Times New Roman"/>
      <w:sz w:val="22"/>
    </w:rPr>
  </w:style>
  <w:style w:type="paragraph" w:customStyle="1" w:styleId="PBL2bullet">
    <w:name w:val="PB L2 bullet"/>
    <w:basedOn w:val="ListBullet"/>
    <w:link w:val="PBL2bulletChar"/>
    <w:qFormat/>
    <w:rsid w:val="00A26FF3"/>
    <w:pPr>
      <w:numPr>
        <w:numId w:val="23"/>
      </w:numPr>
      <w:ind w:left="1134" w:hanging="283"/>
    </w:pPr>
  </w:style>
  <w:style w:type="paragraph" w:customStyle="1" w:styleId="BoxedHeading">
    <w:name w:val="Boxed Heading"/>
    <w:basedOn w:val="BodyText"/>
    <w:rsid w:val="00D56B82"/>
    <w:pPr>
      <w:framePr w:w="8844" w:h="907" w:hRule="exact" w:hSpace="181" w:vSpace="181" w:wrap="around" w:vAnchor="text" w:hAnchor="page" w:x="1599" w:y="1691"/>
      <w:spacing w:after="0" w:line="276" w:lineRule="auto"/>
      <w:ind w:right="-79"/>
    </w:pPr>
    <w:rPr>
      <w:rFonts w:asciiTheme="minorHAnsi" w:eastAsia="Times New Roman" w:hAnsiTheme="minorHAnsi" w:cs="Arial"/>
      <w:bCs/>
      <w:i/>
      <w:caps/>
      <w:color w:val="FFFFFF"/>
      <w:kern w:val="32"/>
      <w:szCs w:val="20"/>
      <w:lang w:eastAsia="en-AU"/>
    </w:rPr>
  </w:style>
  <w:style w:type="character" w:customStyle="1" w:styleId="ListBulletChar">
    <w:name w:val="List Bullet Char"/>
    <w:basedOn w:val="BodyTextChar"/>
    <w:link w:val="ListBullet"/>
    <w:uiPriority w:val="99"/>
    <w:rsid w:val="00A26FF3"/>
    <w:rPr>
      <w:rFonts w:ascii="Arial" w:hAnsi="Arial"/>
      <w:color w:val="1A1A1A"/>
      <w:sz w:val="20"/>
    </w:rPr>
  </w:style>
  <w:style w:type="character" w:customStyle="1" w:styleId="PBL2bulletChar">
    <w:name w:val="PB L2 bullet Char"/>
    <w:basedOn w:val="ListBulletChar"/>
    <w:link w:val="PBL2bullet"/>
    <w:rsid w:val="00A26FF3"/>
    <w:rPr>
      <w:rFonts w:ascii="Arial" w:hAnsi="Arial"/>
      <w:color w:val="1A1A1A"/>
      <w:sz w:val="20"/>
    </w:rPr>
  </w:style>
  <w:style w:type="character" w:styleId="FollowedHyperlink">
    <w:name w:val="FollowedHyperlink"/>
    <w:basedOn w:val="DefaultParagraphFont"/>
    <w:uiPriority w:val="99"/>
    <w:semiHidden/>
    <w:rsid w:val="00D56B82"/>
    <w:rPr>
      <w:color w:val="800080"/>
      <w:u w:val="single"/>
    </w:rPr>
  </w:style>
  <w:style w:type="character" w:styleId="LineNumber">
    <w:name w:val="line number"/>
    <w:basedOn w:val="DefaultParagraphFont"/>
    <w:semiHidden/>
    <w:rsid w:val="00D56B82"/>
  </w:style>
  <w:style w:type="paragraph" w:customStyle="1" w:styleId="BulletPEL">
    <w:name w:val="Bullet PEL"/>
    <w:basedOn w:val="BulletArrows"/>
    <w:link w:val="BulletPELChar"/>
    <w:autoRedefine/>
    <w:qFormat/>
    <w:rsid w:val="00D56B82"/>
    <w:pPr>
      <w:spacing w:after="20"/>
      <w:ind w:left="357" w:hanging="357"/>
    </w:pPr>
    <w:rPr>
      <w:rFonts w:eastAsiaTheme="minorEastAsia" w:cstheme="minorBidi"/>
      <w:bCs w:val="0"/>
      <w:color w:val="auto"/>
      <w:kern w:val="0"/>
      <w:szCs w:val="18"/>
      <w:lang w:eastAsia="en-AU"/>
    </w:rPr>
  </w:style>
  <w:style w:type="character" w:customStyle="1" w:styleId="BulletPELChar">
    <w:name w:val="Bullet PEL Char"/>
    <w:basedOn w:val="DefaultParagraphFont"/>
    <w:link w:val="BulletPEL"/>
    <w:rsid w:val="00D56B82"/>
    <w:rPr>
      <w:rFonts w:ascii="Century Gothic" w:eastAsiaTheme="minorEastAsia" w:hAnsi="Century Gothic"/>
      <w:sz w:val="18"/>
      <w:szCs w:val="18"/>
      <w:lang w:eastAsia="en-AU"/>
    </w:rPr>
  </w:style>
  <w:style w:type="paragraph" w:styleId="DocumentMap">
    <w:name w:val="Document Map"/>
    <w:basedOn w:val="Normal"/>
    <w:link w:val="DocumentMapChar"/>
    <w:semiHidden/>
    <w:rsid w:val="00D56B82"/>
    <w:pPr>
      <w:shd w:val="clear" w:color="auto" w:fill="000080"/>
      <w:spacing w:after="240" w:line="276" w:lineRule="auto"/>
    </w:pPr>
    <w:rPr>
      <w:rFonts w:ascii="Tahoma" w:eastAsia="Times New Roman" w:hAnsi="Tahoma" w:cs="Tahoma"/>
      <w:sz w:val="18"/>
      <w:szCs w:val="18"/>
      <w:lang w:eastAsia="en-AU"/>
    </w:rPr>
  </w:style>
  <w:style w:type="character" w:customStyle="1" w:styleId="DocumentMapChar">
    <w:name w:val="Document Map Char"/>
    <w:basedOn w:val="DefaultParagraphFont"/>
    <w:link w:val="DocumentMap"/>
    <w:semiHidden/>
    <w:rsid w:val="00D56B82"/>
    <w:rPr>
      <w:rFonts w:ascii="Tahoma" w:eastAsia="Times New Roman" w:hAnsi="Tahoma" w:cs="Tahoma"/>
      <w:sz w:val="18"/>
      <w:szCs w:val="18"/>
      <w:shd w:val="clear" w:color="auto" w:fill="000080"/>
      <w:lang w:eastAsia="en-AU"/>
    </w:rPr>
  </w:style>
  <w:style w:type="paragraph" w:styleId="TOC5">
    <w:name w:val="toc 5"/>
    <w:basedOn w:val="Normal"/>
    <w:next w:val="Normal"/>
    <w:autoRedefine/>
    <w:uiPriority w:val="39"/>
    <w:rsid w:val="00D56B82"/>
    <w:pPr>
      <w:spacing w:after="240" w:line="276" w:lineRule="auto"/>
      <w:ind w:left="800"/>
    </w:pPr>
    <w:rPr>
      <w:rFonts w:ascii="Century Gothic" w:eastAsia="Times New Roman" w:hAnsi="Century Gothic" w:cs="Times New Roman"/>
      <w:sz w:val="18"/>
      <w:szCs w:val="18"/>
      <w:lang w:eastAsia="en-AU"/>
    </w:rPr>
  </w:style>
  <w:style w:type="paragraph" w:styleId="TOC6">
    <w:name w:val="toc 6"/>
    <w:basedOn w:val="Normal"/>
    <w:next w:val="Normal"/>
    <w:autoRedefine/>
    <w:uiPriority w:val="39"/>
    <w:rsid w:val="00D56B82"/>
    <w:pPr>
      <w:spacing w:after="240" w:line="276" w:lineRule="auto"/>
      <w:ind w:left="1000"/>
    </w:pPr>
    <w:rPr>
      <w:rFonts w:ascii="Century Gothic" w:eastAsia="Times New Roman" w:hAnsi="Century Gothic" w:cs="Times New Roman"/>
      <w:sz w:val="18"/>
      <w:szCs w:val="18"/>
      <w:lang w:eastAsia="en-AU"/>
    </w:rPr>
  </w:style>
  <w:style w:type="paragraph" w:styleId="TOC7">
    <w:name w:val="toc 7"/>
    <w:basedOn w:val="Normal"/>
    <w:next w:val="Normal"/>
    <w:autoRedefine/>
    <w:uiPriority w:val="39"/>
    <w:rsid w:val="00D56B82"/>
    <w:pPr>
      <w:spacing w:after="240" w:line="276" w:lineRule="auto"/>
      <w:ind w:left="1200"/>
    </w:pPr>
    <w:rPr>
      <w:rFonts w:ascii="Century Gothic" w:eastAsia="Times New Roman" w:hAnsi="Century Gothic" w:cs="Times New Roman"/>
      <w:sz w:val="18"/>
      <w:szCs w:val="18"/>
      <w:lang w:eastAsia="en-AU"/>
    </w:rPr>
  </w:style>
  <w:style w:type="paragraph" w:styleId="TOC8">
    <w:name w:val="toc 8"/>
    <w:basedOn w:val="Normal"/>
    <w:next w:val="Normal"/>
    <w:autoRedefine/>
    <w:uiPriority w:val="39"/>
    <w:rsid w:val="00D56B82"/>
    <w:pPr>
      <w:spacing w:after="240" w:line="276" w:lineRule="auto"/>
      <w:ind w:left="1400"/>
    </w:pPr>
    <w:rPr>
      <w:rFonts w:ascii="Century Gothic" w:eastAsia="Times New Roman" w:hAnsi="Century Gothic" w:cs="Times New Roman"/>
      <w:sz w:val="18"/>
      <w:szCs w:val="18"/>
      <w:lang w:eastAsia="en-AU"/>
    </w:rPr>
  </w:style>
  <w:style w:type="paragraph" w:styleId="TOC9">
    <w:name w:val="toc 9"/>
    <w:basedOn w:val="Normal"/>
    <w:next w:val="Normal"/>
    <w:autoRedefine/>
    <w:uiPriority w:val="39"/>
    <w:rsid w:val="00D56B82"/>
    <w:pPr>
      <w:spacing w:after="240" w:line="276" w:lineRule="auto"/>
      <w:ind w:left="1600"/>
    </w:pPr>
    <w:rPr>
      <w:rFonts w:ascii="Century Gothic" w:eastAsia="Times New Roman" w:hAnsi="Century Gothic" w:cs="Times New Roman"/>
      <w:sz w:val="18"/>
      <w:szCs w:val="18"/>
      <w:lang w:eastAsia="en-AU"/>
    </w:rPr>
  </w:style>
  <w:style w:type="paragraph" w:customStyle="1" w:styleId="DateFrontPage">
    <w:name w:val="Date Front Page"/>
    <w:rsid w:val="00D56B82"/>
    <w:pPr>
      <w:spacing w:after="0" w:line="240" w:lineRule="auto"/>
    </w:pPr>
    <w:rPr>
      <w:rFonts w:ascii="Century Gothic" w:eastAsia="Times New Roman" w:hAnsi="Century Gothic" w:cs="Times New Roman"/>
      <w:b/>
      <w:sz w:val="20"/>
      <w:szCs w:val="20"/>
      <w:lang w:val="en-US"/>
    </w:rPr>
  </w:style>
  <w:style w:type="paragraph" w:styleId="BodyText3">
    <w:name w:val="Body Text 3"/>
    <w:basedOn w:val="Normal"/>
    <w:link w:val="BodyText3Char"/>
    <w:semiHidden/>
    <w:rsid w:val="00D56B82"/>
    <w:pPr>
      <w:tabs>
        <w:tab w:val="left" w:pos="-720"/>
      </w:tabs>
      <w:suppressAutoHyphens/>
      <w:spacing w:after="0" w:line="276" w:lineRule="auto"/>
    </w:pPr>
    <w:rPr>
      <w:rFonts w:ascii="Times New Roman" w:eastAsia="Times New Roman" w:hAnsi="Times New Roman" w:cs="Times New Roman"/>
      <w:spacing w:val="-3"/>
      <w:sz w:val="22"/>
      <w:szCs w:val="18"/>
      <w:lang w:eastAsia="en-AU"/>
    </w:rPr>
  </w:style>
  <w:style w:type="character" w:customStyle="1" w:styleId="BodyText3Char">
    <w:name w:val="Body Text 3 Char"/>
    <w:basedOn w:val="DefaultParagraphFont"/>
    <w:link w:val="BodyText3"/>
    <w:semiHidden/>
    <w:rsid w:val="00D56B82"/>
    <w:rPr>
      <w:rFonts w:ascii="Times New Roman" w:eastAsia="Times New Roman" w:hAnsi="Times New Roman" w:cs="Times New Roman"/>
      <w:spacing w:val="-3"/>
      <w:szCs w:val="18"/>
      <w:lang w:eastAsia="en-AU"/>
    </w:rPr>
  </w:style>
  <w:style w:type="paragraph" w:customStyle="1" w:styleId="CompanyNameFrontPage">
    <w:name w:val="Company Name Front Page"/>
    <w:basedOn w:val="Normal"/>
    <w:autoRedefine/>
    <w:rsid w:val="00D56B82"/>
    <w:pPr>
      <w:spacing w:after="240" w:line="276" w:lineRule="auto"/>
      <w:ind w:left="3600" w:right="-81" w:hanging="3600"/>
    </w:pPr>
    <w:rPr>
      <w:rFonts w:ascii="Century Gothic" w:eastAsia="Times New Roman" w:hAnsi="Century Gothic" w:cs="Arial"/>
      <w:b/>
      <w:bCs/>
      <w:color w:val="000000"/>
      <w:kern w:val="32"/>
      <w:sz w:val="22"/>
      <w:szCs w:val="32"/>
      <w:lang w:eastAsia="en-AU"/>
    </w:rPr>
  </w:style>
  <w:style w:type="paragraph" w:customStyle="1" w:styleId="TOC1forAppxBookmarks">
    <w:name w:val="TOC 1 for Appx Bookmarks"/>
    <w:basedOn w:val="TOC1"/>
    <w:rsid w:val="00D56B82"/>
  </w:style>
  <w:style w:type="paragraph" w:styleId="BodyTextIndent">
    <w:name w:val="Body Text Indent"/>
    <w:basedOn w:val="Normal"/>
    <w:link w:val="BodyTextIndentChar"/>
    <w:semiHidden/>
    <w:rsid w:val="00D56B82"/>
    <w:pPr>
      <w:widowControl w:val="0"/>
      <w:spacing w:before="60" w:after="60" w:line="276" w:lineRule="auto"/>
      <w:ind w:left="278"/>
    </w:pPr>
    <w:rPr>
      <w:rFonts w:ascii="Times New Roman" w:eastAsia="Times New Roman" w:hAnsi="Times New Roman" w:cs="Times New Roman"/>
      <w:sz w:val="24"/>
      <w:szCs w:val="18"/>
      <w:lang w:eastAsia="en-AU"/>
    </w:rPr>
  </w:style>
  <w:style w:type="character" w:customStyle="1" w:styleId="BodyTextIndentChar">
    <w:name w:val="Body Text Indent Char"/>
    <w:basedOn w:val="DefaultParagraphFont"/>
    <w:link w:val="BodyTextIndent"/>
    <w:semiHidden/>
    <w:rsid w:val="00D56B82"/>
    <w:rPr>
      <w:rFonts w:ascii="Times New Roman" w:eastAsia="Times New Roman" w:hAnsi="Times New Roman" w:cs="Times New Roman"/>
      <w:sz w:val="24"/>
      <w:szCs w:val="18"/>
      <w:lang w:eastAsia="en-AU"/>
    </w:rPr>
  </w:style>
  <w:style w:type="paragraph" w:styleId="BodyTextIndent2">
    <w:name w:val="Body Text Indent 2"/>
    <w:basedOn w:val="Normal"/>
    <w:link w:val="BodyTextIndent2Char"/>
    <w:semiHidden/>
    <w:rsid w:val="00D56B82"/>
    <w:pPr>
      <w:tabs>
        <w:tab w:val="left" w:pos="284"/>
        <w:tab w:val="left" w:pos="454"/>
      </w:tabs>
      <w:spacing w:after="0" w:line="276" w:lineRule="auto"/>
      <w:ind w:left="284" w:hanging="284"/>
    </w:pPr>
    <w:rPr>
      <w:rFonts w:ascii="Century Gothic" w:eastAsia="Times New Roman" w:hAnsi="Century Gothic" w:cs="Times New Roman"/>
      <w:sz w:val="15"/>
      <w:szCs w:val="18"/>
      <w:lang w:eastAsia="en-AU"/>
    </w:rPr>
  </w:style>
  <w:style w:type="character" w:customStyle="1" w:styleId="BodyTextIndent2Char">
    <w:name w:val="Body Text Indent 2 Char"/>
    <w:basedOn w:val="DefaultParagraphFont"/>
    <w:link w:val="BodyTextIndent2"/>
    <w:semiHidden/>
    <w:rsid w:val="00D56B82"/>
    <w:rPr>
      <w:rFonts w:ascii="Century Gothic" w:eastAsia="Times New Roman" w:hAnsi="Century Gothic" w:cs="Times New Roman"/>
      <w:sz w:val="15"/>
      <w:szCs w:val="18"/>
      <w:lang w:eastAsia="en-AU"/>
    </w:rPr>
  </w:style>
  <w:style w:type="paragraph" w:styleId="BodyTextIndent3">
    <w:name w:val="Body Text Indent 3"/>
    <w:basedOn w:val="Normal"/>
    <w:link w:val="BodyTextIndent3Char"/>
    <w:semiHidden/>
    <w:rsid w:val="00D56B82"/>
    <w:pPr>
      <w:tabs>
        <w:tab w:val="left" w:pos="284"/>
        <w:tab w:val="left" w:pos="454"/>
      </w:tabs>
      <w:spacing w:after="0" w:line="276" w:lineRule="auto"/>
      <w:ind w:left="284" w:hanging="284"/>
    </w:pPr>
    <w:rPr>
      <w:rFonts w:ascii="Century Gothic" w:eastAsia="Times New Roman" w:hAnsi="Century Gothic" w:cs="Times New Roman"/>
      <w:sz w:val="15"/>
      <w:szCs w:val="18"/>
      <w:lang w:eastAsia="en-AU"/>
    </w:rPr>
  </w:style>
  <w:style w:type="character" w:customStyle="1" w:styleId="BodyTextIndent3Char">
    <w:name w:val="Body Text Indent 3 Char"/>
    <w:basedOn w:val="DefaultParagraphFont"/>
    <w:link w:val="BodyTextIndent3"/>
    <w:semiHidden/>
    <w:rsid w:val="00D56B82"/>
    <w:rPr>
      <w:rFonts w:ascii="Century Gothic" w:eastAsia="Times New Roman" w:hAnsi="Century Gothic" w:cs="Times New Roman"/>
      <w:sz w:val="15"/>
      <w:szCs w:val="18"/>
      <w:lang w:eastAsia="en-AU"/>
    </w:rPr>
  </w:style>
  <w:style w:type="paragraph" w:styleId="BlockText">
    <w:name w:val="Block Text"/>
    <w:basedOn w:val="Normal"/>
    <w:semiHidden/>
    <w:rsid w:val="00D56B82"/>
    <w:pPr>
      <w:tabs>
        <w:tab w:val="left" w:pos="284"/>
        <w:tab w:val="left" w:pos="454"/>
      </w:tabs>
      <w:spacing w:after="0" w:line="276" w:lineRule="auto"/>
      <w:ind w:left="284" w:right="-668" w:hanging="284"/>
    </w:pPr>
    <w:rPr>
      <w:rFonts w:ascii="Century Gothic" w:eastAsia="Times New Roman" w:hAnsi="Century Gothic" w:cs="Times New Roman"/>
      <w:sz w:val="15"/>
      <w:szCs w:val="18"/>
      <w:lang w:eastAsia="en-AU"/>
    </w:rPr>
  </w:style>
  <w:style w:type="paragraph" w:customStyle="1" w:styleId="BulletCircles">
    <w:name w:val="Bullet Circles"/>
    <w:basedOn w:val="BulletPEL"/>
    <w:rsid w:val="00D56B82"/>
    <w:pPr>
      <w:numPr>
        <w:numId w:val="24"/>
      </w:numPr>
      <w:ind w:left="720" w:right="96"/>
    </w:pPr>
  </w:style>
  <w:style w:type="paragraph" w:customStyle="1" w:styleId="Tablefootnotetext">
    <w:name w:val="Table footnote text"/>
    <w:basedOn w:val="Normal"/>
    <w:rsid w:val="00D56B82"/>
    <w:pPr>
      <w:spacing w:after="240" w:line="276" w:lineRule="auto"/>
    </w:pPr>
    <w:rPr>
      <w:rFonts w:ascii="Century Gothic" w:eastAsia="Times New Roman" w:hAnsi="Century Gothic" w:cs="Times New Roman"/>
      <w:sz w:val="16"/>
      <w:szCs w:val="18"/>
      <w:lang w:eastAsia="en-AU"/>
    </w:rPr>
  </w:style>
  <w:style w:type="paragraph" w:styleId="Revision">
    <w:name w:val="Revision"/>
    <w:hidden/>
    <w:uiPriority w:val="99"/>
    <w:semiHidden/>
    <w:rsid w:val="00D56B82"/>
    <w:pPr>
      <w:spacing w:after="200" w:line="240" w:lineRule="auto"/>
    </w:pPr>
    <w:rPr>
      <w:rFonts w:ascii="Verdana" w:eastAsiaTheme="minorEastAsia" w:hAnsi="Verdana"/>
      <w:sz w:val="18"/>
      <w:szCs w:val="18"/>
      <w:lang w:val="en-US" w:bidi="en-US"/>
    </w:rPr>
  </w:style>
  <w:style w:type="paragraph" w:customStyle="1" w:styleId="RevisionHeading">
    <w:name w:val="Revision Heading"/>
    <w:basedOn w:val="Normal"/>
    <w:qFormat/>
    <w:rsid w:val="00D56B82"/>
    <w:pPr>
      <w:spacing w:before="120" w:after="120" w:line="276" w:lineRule="auto"/>
    </w:pPr>
    <w:rPr>
      <w:rFonts w:ascii="Century Gothic" w:eastAsia="Times New Roman" w:hAnsi="Century Gothic" w:cs="Times New Roman"/>
      <w:b/>
      <w:caps/>
      <w:color w:val="FFFFFF" w:themeColor="background1"/>
      <w:sz w:val="18"/>
      <w:szCs w:val="18"/>
      <w:lang w:eastAsia="en-AU"/>
    </w:rPr>
  </w:style>
  <w:style w:type="paragraph" w:customStyle="1" w:styleId="BulletsLevel3Dash">
    <w:name w:val="Bullets Level 3 Dash"/>
    <w:basedOn w:val="BulletCircles"/>
    <w:autoRedefine/>
    <w:rsid w:val="00D56B82"/>
    <w:pPr>
      <w:numPr>
        <w:numId w:val="25"/>
      </w:numPr>
      <w:ind w:left="1077"/>
    </w:pPr>
  </w:style>
  <w:style w:type="paragraph" w:customStyle="1" w:styleId="HeadingTOC">
    <w:name w:val="Heading TOC"/>
    <w:basedOn w:val="Normal"/>
    <w:qFormat/>
    <w:rsid w:val="00D56B82"/>
    <w:pPr>
      <w:spacing w:after="240" w:line="276" w:lineRule="auto"/>
      <w:outlineLvl w:val="0"/>
    </w:pPr>
    <w:rPr>
      <w:rFonts w:ascii="Century Gothic" w:eastAsia="Times New Roman" w:hAnsi="Century Gothic" w:cs="Times New Roman"/>
      <w:b/>
      <w:bCs/>
      <w:caps/>
      <w:color w:val="0076C0"/>
      <w:sz w:val="24"/>
      <w:szCs w:val="18"/>
      <w:lang w:eastAsia="en-AU"/>
    </w:rPr>
  </w:style>
  <w:style w:type="character" w:styleId="Strong">
    <w:name w:val="Strong"/>
    <w:basedOn w:val="DefaultParagraphFont"/>
    <w:uiPriority w:val="22"/>
    <w:qFormat/>
    <w:rsid w:val="00D56B82"/>
    <w:rPr>
      <w:b/>
      <w:bCs/>
    </w:rPr>
  </w:style>
  <w:style w:type="paragraph" w:customStyle="1" w:styleId="PELTableText">
    <w:name w:val="PEL Table Text"/>
    <w:basedOn w:val="Normal"/>
    <w:qFormat/>
    <w:rsid w:val="00D56B82"/>
    <w:pPr>
      <w:keepNext/>
      <w:tabs>
        <w:tab w:val="left" w:pos="6804"/>
      </w:tabs>
      <w:spacing w:before="80" w:after="0" w:line="276" w:lineRule="auto"/>
    </w:pPr>
    <w:rPr>
      <w:rFonts w:ascii="Century Gothic" w:eastAsia="Times New Roman" w:hAnsi="Century Gothic" w:cstheme="majorHAnsi"/>
      <w:bCs/>
      <w:kern w:val="32"/>
      <w:sz w:val="16"/>
      <w:szCs w:val="18"/>
      <w:lang w:eastAsia="en-AU"/>
    </w:rPr>
  </w:style>
  <w:style w:type="paragraph" w:customStyle="1" w:styleId="PELTableHeader">
    <w:name w:val="PEL Table Header"/>
    <w:basedOn w:val="Normal"/>
    <w:rsid w:val="00D56B82"/>
    <w:pPr>
      <w:keepNext/>
      <w:spacing w:after="0" w:line="276" w:lineRule="auto"/>
      <w:jc w:val="center"/>
    </w:pPr>
    <w:rPr>
      <w:rFonts w:ascii="Century Gothic" w:eastAsiaTheme="minorEastAsia" w:hAnsi="Century Gothic"/>
      <w:b/>
      <w:bCs/>
      <w:color w:val="FFFFFF"/>
      <w:sz w:val="16"/>
      <w:szCs w:val="18"/>
      <w:lang w:eastAsia="en-AU"/>
    </w:rPr>
  </w:style>
  <w:style w:type="table" w:styleId="TableGrid1">
    <w:name w:val="Table Grid 1"/>
    <w:basedOn w:val="TableNormal"/>
    <w:uiPriority w:val="99"/>
    <w:semiHidden/>
    <w:unhideWhenUsed/>
    <w:rsid w:val="00D56B82"/>
    <w:pPr>
      <w:spacing w:after="240" w:line="288" w:lineRule="auto"/>
      <w:jc w:val="both"/>
    </w:pPr>
    <w:rPr>
      <w:rFonts w:asciiTheme="majorHAnsi" w:hAnsiTheme="majorHAnsi"/>
      <w:sz w:val="18"/>
      <w:szCs w:val="18"/>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30"/>
    <w:qFormat/>
    <w:rsid w:val="00D56B82"/>
    <w:pPr>
      <w:pBdr>
        <w:bottom w:val="single" w:sz="4" w:space="1" w:color="auto"/>
      </w:pBdr>
      <w:spacing w:before="200" w:after="280" w:line="276" w:lineRule="auto"/>
      <w:ind w:left="1008" w:right="1152"/>
    </w:pPr>
    <w:rPr>
      <w:rFonts w:ascii="Century Gothic" w:eastAsiaTheme="minorEastAsia" w:hAnsi="Century Gothic"/>
      <w:b/>
      <w:bCs/>
      <w:i/>
      <w:iCs/>
      <w:sz w:val="18"/>
      <w:szCs w:val="18"/>
      <w:lang w:eastAsia="en-AU"/>
    </w:rPr>
  </w:style>
  <w:style w:type="character" w:customStyle="1" w:styleId="IntenseQuoteChar">
    <w:name w:val="Intense Quote Char"/>
    <w:basedOn w:val="DefaultParagraphFont"/>
    <w:link w:val="IntenseQuote"/>
    <w:uiPriority w:val="30"/>
    <w:rsid w:val="00D56B82"/>
    <w:rPr>
      <w:rFonts w:ascii="Century Gothic" w:eastAsiaTheme="minorEastAsia" w:hAnsi="Century Gothic"/>
      <w:b/>
      <w:bCs/>
      <w:i/>
      <w:iCs/>
      <w:sz w:val="18"/>
      <w:szCs w:val="18"/>
      <w:lang w:eastAsia="en-AU"/>
    </w:rPr>
  </w:style>
  <w:style w:type="character" w:styleId="HTMLTypewriter">
    <w:name w:val="HTML Typewriter"/>
    <w:basedOn w:val="DefaultParagraphFont"/>
    <w:uiPriority w:val="99"/>
    <w:semiHidden/>
    <w:unhideWhenUsed/>
    <w:rsid w:val="00D56B82"/>
    <w:rPr>
      <w:rFonts w:ascii="Courier New" w:eastAsia="Times New Roman" w:hAnsi="Courier New" w:cs="Courier New" w:hint="default"/>
      <w:sz w:val="20"/>
      <w:szCs w:val="20"/>
    </w:rPr>
  </w:style>
  <w:style w:type="paragraph" w:customStyle="1" w:styleId="TableStrong">
    <w:name w:val="Table Strong"/>
    <w:basedOn w:val="Normal"/>
    <w:qFormat/>
    <w:rsid w:val="00D56B82"/>
    <w:pPr>
      <w:spacing w:after="240" w:line="276" w:lineRule="auto"/>
    </w:pPr>
    <w:rPr>
      <w:rFonts w:ascii="Century Gothic" w:eastAsiaTheme="minorEastAsia" w:hAnsi="Century Gothic"/>
      <w:b/>
      <w:caps/>
      <w:color w:val="0076C0"/>
      <w:sz w:val="18"/>
      <w:szCs w:val="18"/>
      <w:lang w:eastAsia="en-AU"/>
    </w:rPr>
  </w:style>
  <w:style w:type="table" w:customStyle="1" w:styleId="Style1">
    <w:name w:val="Style1"/>
    <w:basedOn w:val="TableNormal"/>
    <w:uiPriority w:val="99"/>
    <w:rsid w:val="00D56B82"/>
    <w:pPr>
      <w:spacing w:after="0" w:line="240" w:lineRule="auto"/>
    </w:pPr>
    <w:rPr>
      <w:rFonts w:ascii="Century Gothic" w:eastAsiaTheme="minorEastAsia" w:hAnsi="Century Gothic"/>
      <w:sz w:val="18"/>
      <w:szCs w:val="18"/>
      <w:lang w:val="en-US" w:bidi="en-US"/>
    </w:rPr>
    <w:tblPr>
      <w:tblBorders>
        <w:top w:val="single" w:sz="4" w:space="0" w:color="7AC143"/>
        <w:left w:val="single" w:sz="4" w:space="0" w:color="7AC143"/>
        <w:bottom w:val="single" w:sz="4" w:space="0" w:color="7AC143"/>
        <w:right w:val="single" w:sz="4" w:space="0" w:color="7AC143"/>
        <w:insideH w:val="single" w:sz="4" w:space="0" w:color="7AC143"/>
        <w:insideV w:val="single" w:sz="4" w:space="0" w:color="7AC143"/>
      </w:tblBorders>
    </w:tblPr>
    <w:tblStylePr w:type="firstRow">
      <w:rPr>
        <w:rFonts w:ascii="Century Gothic" w:hAnsi="Century Gothic"/>
        <w:b/>
        <w:color w:val="FFFFFF" w:themeColor="background1"/>
        <w:sz w:val="18"/>
      </w:rPr>
      <w:tblPr/>
      <w:tcPr>
        <w:tcBorders>
          <w:top w:val="nil"/>
          <w:left w:val="nil"/>
          <w:bottom w:val="nil"/>
          <w:right w:val="nil"/>
          <w:insideH w:val="nil"/>
          <w:insideV w:val="nil"/>
        </w:tcBorders>
        <w:shd w:val="clear" w:color="auto" w:fill="7AC143"/>
      </w:tcPr>
    </w:tblStylePr>
  </w:style>
  <w:style w:type="paragraph" w:customStyle="1" w:styleId="FooterText">
    <w:name w:val="Footer Text"/>
    <w:basedOn w:val="FootnoteText"/>
    <w:uiPriority w:val="99"/>
    <w:qFormat/>
    <w:rsid w:val="00D56B82"/>
    <w:pPr>
      <w:pBdr>
        <w:top w:val="single" w:sz="4" w:space="1" w:color="0076C0"/>
      </w:pBdr>
      <w:tabs>
        <w:tab w:val="right" w:pos="8931"/>
      </w:tabs>
      <w:spacing w:after="240" w:line="276" w:lineRule="auto"/>
    </w:pPr>
    <w:rPr>
      <w:rFonts w:ascii="Century Gothic" w:eastAsia="Times New Roman" w:hAnsi="Century Gothic" w:cs="Times New Roman"/>
      <w:sz w:val="18"/>
      <w:szCs w:val="18"/>
      <w:lang w:eastAsia="en-AU"/>
    </w:rPr>
  </w:style>
  <w:style w:type="paragraph" w:customStyle="1" w:styleId="Pageno">
    <w:name w:val="Page no"/>
    <w:basedOn w:val="FooterText"/>
    <w:rsid w:val="00D56B82"/>
  </w:style>
  <w:style w:type="paragraph" w:customStyle="1" w:styleId="PageNoContent">
    <w:name w:val="Page No Content"/>
    <w:basedOn w:val="Normal"/>
    <w:qFormat/>
    <w:rsid w:val="00D56B82"/>
    <w:pPr>
      <w:pBdr>
        <w:top w:val="single" w:sz="4" w:space="1" w:color="0076C0"/>
      </w:pBdr>
      <w:tabs>
        <w:tab w:val="right" w:pos="8931"/>
      </w:tabs>
      <w:spacing w:after="240" w:line="276" w:lineRule="auto"/>
      <w:jc w:val="right"/>
    </w:pPr>
    <w:rPr>
      <w:rFonts w:ascii="Century Gothic" w:eastAsia="Times New Roman" w:hAnsi="Century Gothic" w:cs="Times New Roman"/>
      <w:sz w:val="18"/>
      <w:szCs w:val="18"/>
      <w:lang w:eastAsia="en-AU"/>
    </w:rPr>
  </w:style>
  <w:style w:type="table" w:styleId="LightList-Accent4">
    <w:name w:val="Light List Accent 4"/>
    <w:basedOn w:val="TableNormal"/>
    <w:uiPriority w:val="61"/>
    <w:rsid w:val="00D56B82"/>
    <w:pPr>
      <w:spacing w:after="0" w:line="240" w:lineRule="auto"/>
    </w:pPr>
    <w:rPr>
      <w:rFonts w:asciiTheme="majorHAnsi" w:eastAsiaTheme="minorEastAsia" w:hAnsiTheme="majorHAnsi"/>
      <w:sz w:val="18"/>
      <w:szCs w:val="18"/>
      <w:lang w:val="en-US" w:bidi="en-US"/>
    </w:rPr>
    <w:tblPr>
      <w:tblStyleRowBandSize w:val="1"/>
      <w:tblStyleColBandSize w:val="1"/>
      <w:tblBorders>
        <w:top w:val="single" w:sz="8" w:space="0" w:color="DF9090" w:themeColor="accent4"/>
        <w:left w:val="single" w:sz="8" w:space="0" w:color="DF9090" w:themeColor="accent4"/>
        <w:bottom w:val="single" w:sz="8" w:space="0" w:color="DF9090" w:themeColor="accent4"/>
        <w:right w:val="single" w:sz="8" w:space="0" w:color="DF9090" w:themeColor="accent4"/>
      </w:tblBorders>
    </w:tblPr>
    <w:tblStylePr w:type="firstRow">
      <w:pPr>
        <w:spacing w:before="0" w:after="0" w:line="240" w:lineRule="auto"/>
      </w:pPr>
      <w:rPr>
        <w:b/>
        <w:bCs/>
        <w:color w:val="FFFFFF" w:themeColor="background1"/>
      </w:rPr>
      <w:tblPr/>
      <w:tcPr>
        <w:shd w:val="clear" w:color="auto" w:fill="DF9090" w:themeFill="accent4"/>
      </w:tcPr>
    </w:tblStylePr>
    <w:tblStylePr w:type="lastRow">
      <w:pPr>
        <w:spacing w:before="0" w:after="0" w:line="240" w:lineRule="auto"/>
      </w:pPr>
      <w:rPr>
        <w:b/>
        <w:bCs/>
      </w:rPr>
      <w:tblPr/>
      <w:tcPr>
        <w:tcBorders>
          <w:top w:val="double" w:sz="6" w:space="0" w:color="DF9090" w:themeColor="accent4"/>
          <w:left w:val="single" w:sz="8" w:space="0" w:color="DF9090" w:themeColor="accent4"/>
          <w:bottom w:val="single" w:sz="8" w:space="0" w:color="DF9090" w:themeColor="accent4"/>
          <w:right w:val="single" w:sz="8" w:space="0" w:color="DF9090" w:themeColor="accent4"/>
        </w:tcBorders>
      </w:tcPr>
    </w:tblStylePr>
    <w:tblStylePr w:type="firstCol">
      <w:rPr>
        <w:b/>
        <w:bCs/>
      </w:rPr>
    </w:tblStylePr>
    <w:tblStylePr w:type="lastCol">
      <w:rPr>
        <w:b/>
        <w:bCs/>
      </w:rPr>
    </w:tblStylePr>
    <w:tblStylePr w:type="band1Vert">
      <w:tblPr/>
      <w:tcPr>
        <w:tcBorders>
          <w:top w:val="single" w:sz="8" w:space="0" w:color="DF9090" w:themeColor="accent4"/>
          <w:left w:val="single" w:sz="8" w:space="0" w:color="DF9090" w:themeColor="accent4"/>
          <w:bottom w:val="single" w:sz="8" w:space="0" w:color="DF9090" w:themeColor="accent4"/>
          <w:right w:val="single" w:sz="8" w:space="0" w:color="DF9090" w:themeColor="accent4"/>
        </w:tcBorders>
      </w:tcPr>
    </w:tblStylePr>
    <w:tblStylePr w:type="band1Horz">
      <w:tblPr/>
      <w:tcPr>
        <w:tcBorders>
          <w:top w:val="single" w:sz="8" w:space="0" w:color="DF9090" w:themeColor="accent4"/>
          <w:left w:val="single" w:sz="8" w:space="0" w:color="DF9090" w:themeColor="accent4"/>
          <w:bottom w:val="single" w:sz="8" w:space="0" w:color="DF9090" w:themeColor="accent4"/>
          <w:right w:val="single" w:sz="8" w:space="0" w:color="DF9090" w:themeColor="accent4"/>
        </w:tcBorders>
      </w:tcPr>
    </w:tblStylePr>
  </w:style>
  <w:style w:type="table" w:styleId="LightList-Accent5">
    <w:name w:val="Light List Accent 5"/>
    <w:basedOn w:val="TableNormal"/>
    <w:uiPriority w:val="61"/>
    <w:rsid w:val="00D56B82"/>
    <w:pPr>
      <w:spacing w:after="0" w:line="240" w:lineRule="auto"/>
    </w:pPr>
    <w:rPr>
      <w:rFonts w:ascii="Century Gothic" w:hAnsi="Century Gothic" w:cs="Times New Roman"/>
      <w:sz w:val="18"/>
      <w:szCs w:val="18"/>
    </w:rPr>
    <w:tblPr>
      <w:tblStyleRowBandSize w:val="1"/>
      <w:tblStyleColBandSize w:val="1"/>
      <w:tblBorders>
        <w:top w:val="single" w:sz="8" w:space="0" w:color="9FC1B1" w:themeColor="accent5"/>
        <w:left w:val="single" w:sz="8" w:space="0" w:color="9FC1B1" w:themeColor="accent5"/>
        <w:bottom w:val="single" w:sz="8" w:space="0" w:color="9FC1B1" w:themeColor="accent5"/>
        <w:right w:val="single" w:sz="8" w:space="0" w:color="9FC1B1" w:themeColor="accent5"/>
      </w:tblBorders>
    </w:tblPr>
    <w:tblStylePr w:type="firstRow">
      <w:pPr>
        <w:spacing w:before="0" w:after="0" w:line="240" w:lineRule="auto"/>
      </w:pPr>
      <w:rPr>
        <w:b/>
        <w:bCs/>
        <w:color w:val="FFFFFF" w:themeColor="background1"/>
      </w:rPr>
      <w:tblPr/>
      <w:tcPr>
        <w:shd w:val="clear" w:color="auto" w:fill="9FC1B1" w:themeFill="accent5"/>
      </w:tcPr>
    </w:tblStylePr>
    <w:tblStylePr w:type="lastRow">
      <w:pPr>
        <w:spacing w:before="0" w:after="0" w:line="240" w:lineRule="auto"/>
      </w:pPr>
      <w:rPr>
        <w:b/>
        <w:bCs/>
      </w:rPr>
      <w:tblPr/>
      <w:tcPr>
        <w:tcBorders>
          <w:top w:val="double" w:sz="6" w:space="0" w:color="9FC1B1" w:themeColor="accent5"/>
          <w:left w:val="single" w:sz="8" w:space="0" w:color="9FC1B1" w:themeColor="accent5"/>
          <w:bottom w:val="single" w:sz="8" w:space="0" w:color="9FC1B1" w:themeColor="accent5"/>
          <w:right w:val="single" w:sz="8" w:space="0" w:color="9FC1B1" w:themeColor="accent5"/>
        </w:tcBorders>
      </w:tcPr>
    </w:tblStylePr>
    <w:tblStylePr w:type="firstCol">
      <w:rPr>
        <w:b/>
        <w:bCs/>
      </w:rPr>
    </w:tblStylePr>
    <w:tblStylePr w:type="lastCol">
      <w:rPr>
        <w:b/>
        <w:bCs/>
      </w:rPr>
    </w:tblStylePr>
    <w:tblStylePr w:type="band1Vert">
      <w:tblPr/>
      <w:tcPr>
        <w:tcBorders>
          <w:top w:val="single" w:sz="8" w:space="0" w:color="9FC1B1" w:themeColor="accent5"/>
          <w:left w:val="single" w:sz="8" w:space="0" w:color="9FC1B1" w:themeColor="accent5"/>
          <w:bottom w:val="single" w:sz="8" w:space="0" w:color="9FC1B1" w:themeColor="accent5"/>
          <w:right w:val="single" w:sz="8" w:space="0" w:color="9FC1B1" w:themeColor="accent5"/>
        </w:tcBorders>
      </w:tcPr>
    </w:tblStylePr>
    <w:tblStylePr w:type="band1Horz">
      <w:tblPr/>
      <w:tcPr>
        <w:tcBorders>
          <w:top w:val="single" w:sz="8" w:space="0" w:color="9FC1B1" w:themeColor="accent5"/>
          <w:left w:val="single" w:sz="8" w:space="0" w:color="9FC1B1" w:themeColor="accent5"/>
          <w:bottom w:val="single" w:sz="8" w:space="0" w:color="9FC1B1" w:themeColor="accent5"/>
          <w:right w:val="single" w:sz="8" w:space="0" w:color="9FC1B1" w:themeColor="accent5"/>
        </w:tcBorders>
      </w:tcPr>
    </w:tblStylePr>
  </w:style>
  <w:style w:type="paragraph" w:customStyle="1" w:styleId="PELTableFootnotetext">
    <w:name w:val="PEL Table Footnote text"/>
    <w:basedOn w:val="Normal"/>
    <w:rsid w:val="00D56B82"/>
    <w:pPr>
      <w:spacing w:after="0" w:line="276" w:lineRule="auto"/>
      <w:ind w:left="720" w:hanging="720"/>
    </w:pPr>
    <w:rPr>
      <w:rFonts w:ascii="Century Gothic" w:eastAsia="Times New Roman" w:hAnsi="Century Gothic" w:cs="Times New Roman"/>
      <w:sz w:val="16"/>
      <w:szCs w:val="18"/>
      <w:lang w:eastAsia="en-AU"/>
    </w:rPr>
  </w:style>
  <w:style w:type="paragraph" w:customStyle="1" w:styleId="TableContentText">
    <w:name w:val="Table Content Text"/>
    <w:rsid w:val="00D56B82"/>
    <w:pPr>
      <w:tabs>
        <w:tab w:val="left" w:pos="6804"/>
      </w:tabs>
      <w:spacing w:before="80" w:after="0" w:line="240" w:lineRule="auto"/>
    </w:pPr>
    <w:rPr>
      <w:rFonts w:ascii="Verdana" w:eastAsia="Times New Roman" w:hAnsi="Verdana" w:cs="Times New Roman"/>
      <w:color w:val="003768"/>
      <w:kern w:val="32"/>
      <w:sz w:val="16"/>
      <w:szCs w:val="20"/>
    </w:rPr>
  </w:style>
  <w:style w:type="paragraph" w:customStyle="1" w:styleId="Subheading">
    <w:name w:val="Subheading"/>
    <w:basedOn w:val="Normal"/>
    <w:next w:val="Normal"/>
    <w:qFormat/>
    <w:rsid w:val="00D56B82"/>
    <w:pPr>
      <w:spacing w:after="240" w:line="276" w:lineRule="auto"/>
    </w:pPr>
    <w:rPr>
      <w:rFonts w:ascii="Century Gothic" w:eastAsiaTheme="minorEastAsia" w:hAnsi="Century Gothic"/>
      <w:b/>
      <w:caps/>
      <w:color w:val="0076C0"/>
      <w:sz w:val="18"/>
      <w:szCs w:val="18"/>
      <w:lang w:eastAsia="en-AU"/>
    </w:rPr>
  </w:style>
  <w:style w:type="character" w:customStyle="1" w:styleId="apple-converted-space">
    <w:name w:val="apple-converted-space"/>
    <w:basedOn w:val="DefaultParagraphFont"/>
    <w:rsid w:val="00D56B82"/>
  </w:style>
  <w:style w:type="table" w:customStyle="1" w:styleId="ListTable3-Accent13">
    <w:name w:val="List Table 3 - Accent 13"/>
    <w:basedOn w:val="TableNormal"/>
    <w:next w:val="TableNormal"/>
    <w:uiPriority w:val="48"/>
    <w:rsid w:val="00D56B82"/>
    <w:pPr>
      <w:spacing w:after="0" w:line="240" w:lineRule="auto"/>
    </w:pPr>
    <w:rPr>
      <w:rFonts w:ascii="Calibri" w:eastAsia="Arial" w:hAnsi="Calibri"/>
    </w:rPr>
    <w:tblPr>
      <w:tblStyleRowBandSize w:val="1"/>
      <w:tblStyleColBandSize w:val="1"/>
      <w:tblBorders>
        <w:top w:val="single" w:sz="4" w:space="0" w:color="0076C0"/>
        <w:left w:val="single" w:sz="4" w:space="0" w:color="0076C0"/>
        <w:bottom w:val="single" w:sz="4" w:space="0" w:color="0076C0"/>
        <w:right w:val="single" w:sz="4" w:space="0" w:color="0076C0"/>
      </w:tblBorders>
    </w:tblPr>
    <w:tblStylePr w:type="firstRow">
      <w:rPr>
        <w:b/>
        <w:bCs/>
        <w:color w:val="FFFFFF"/>
      </w:rPr>
      <w:tblPr/>
      <w:tcPr>
        <w:shd w:val="clear" w:color="auto" w:fill="0076C0"/>
      </w:tcPr>
    </w:tblStylePr>
    <w:tblStylePr w:type="lastRow">
      <w:rPr>
        <w:b/>
        <w:bCs/>
      </w:rPr>
      <w:tblPr/>
      <w:tcPr>
        <w:tcBorders>
          <w:top w:val="double" w:sz="4" w:space="0" w:color="007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76C0"/>
          <w:right w:val="single" w:sz="4" w:space="0" w:color="0076C0"/>
        </w:tcBorders>
      </w:tcPr>
    </w:tblStylePr>
    <w:tblStylePr w:type="band1Horz">
      <w:tblPr/>
      <w:tcPr>
        <w:tcBorders>
          <w:top w:val="single" w:sz="4" w:space="0" w:color="0076C0"/>
          <w:bottom w:val="single" w:sz="4" w:space="0" w:color="007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C0"/>
          <w:left w:val="nil"/>
        </w:tcBorders>
      </w:tcPr>
    </w:tblStylePr>
    <w:tblStylePr w:type="swCell">
      <w:tblPr/>
      <w:tcPr>
        <w:tcBorders>
          <w:top w:val="double" w:sz="4" w:space="0" w:color="0076C0"/>
          <w:right w:val="nil"/>
        </w:tcBorders>
      </w:tcPr>
    </w:tblStylePr>
  </w:style>
  <w:style w:type="table" w:customStyle="1" w:styleId="ListTable3-Accent14">
    <w:name w:val="List Table 3 - Accent 14"/>
    <w:basedOn w:val="TableNormal"/>
    <w:next w:val="TableNormal"/>
    <w:uiPriority w:val="48"/>
    <w:rsid w:val="00D56B82"/>
    <w:pPr>
      <w:spacing w:after="0" w:line="240" w:lineRule="auto"/>
    </w:pPr>
    <w:rPr>
      <w:rFonts w:ascii="Calibri" w:eastAsia="Arial" w:hAnsi="Calibri"/>
    </w:rPr>
    <w:tblPr>
      <w:tblStyleRowBandSize w:val="1"/>
      <w:tblStyleColBandSize w:val="1"/>
      <w:tblBorders>
        <w:top w:val="single" w:sz="4" w:space="0" w:color="0076C0"/>
        <w:left w:val="single" w:sz="4" w:space="0" w:color="0076C0"/>
        <w:bottom w:val="single" w:sz="4" w:space="0" w:color="0076C0"/>
        <w:right w:val="single" w:sz="4" w:space="0" w:color="0076C0"/>
      </w:tblBorders>
    </w:tblPr>
    <w:tblStylePr w:type="firstRow">
      <w:rPr>
        <w:b/>
        <w:bCs/>
        <w:color w:val="FFFFFF"/>
      </w:rPr>
      <w:tblPr/>
      <w:tcPr>
        <w:shd w:val="clear" w:color="auto" w:fill="0076C0"/>
      </w:tcPr>
    </w:tblStylePr>
    <w:tblStylePr w:type="lastRow">
      <w:rPr>
        <w:b/>
        <w:bCs/>
      </w:rPr>
      <w:tblPr/>
      <w:tcPr>
        <w:tcBorders>
          <w:top w:val="double" w:sz="4" w:space="0" w:color="007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76C0"/>
          <w:right w:val="single" w:sz="4" w:space="0" w:color="0076C0"/>
        </w:tcBorders>
      </w:tcPr>
    </w:tblStylePr>
    <w:tblStylePr w:type="band1Horz">
      <w:tblPr/>
      <w:tcPr>
        <w:tcBorders>
          <w:top w:val="single" w:sz="4" w:space="0" w:color="0076C0"/>
          <w:bottom w:val="single" w:sz="4" w:space="0" w:color="007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C0"/>
          <w:left w:val="nil"/>
        </w:tcBorders>
      </w:tcPr>
    </w:tblStylePr>
    <w:tblStylePr w:type="swCell">
      <w:tblPr/>
      <w:tcPr>
        <w:tcBorders>
          <w:top w:val="double" w:sz="4" w:space="0" w:color="0076C0"/>
          <w:right w:val="nil"/>
        </w:tcBorders>
      </w:tcPr>
    </w:tblStylePr>
  </w:style>
  <w:style w:type="table" w:customStyle="1" w:styleId="ListTable3-Accent12">
    <w:name w:val="List Table 3 - Accent 12"/>
    <w:basedOn w:val="TableNormal"/>
    <w:uiPriority w:val="48"/>
    <w:rsid w:val="00D56B82"/>
    <w:pPr>
      <w:spacing w:after="0" w:line="240" w:lineRule="auto"/>
    </w:pPr>
    <w:rPr>
      <w:rFonts w:ascii="Calibri" w:eastAsia="Arial" w:hAnsi="Calibri"/>
    </w:rPr>
    <w:tblPr>
      <w:tblStyleRowBandSize w:val="1"/>
      <w:tblStyleColBandSize w:val="1"/>
      <w:tblBorders>
        <w:top w:val="single" w:sz="4" w:space="0" w:color="0076C0"/>
        <w:left w:val="single" w:sz="4" w:space="0" w:color="0076C0"/>
        <w:bottom w:val="single" w:sz="4" w:space="0" w:color="0076C0"/>
        <w:right w:val="single" w:sz="4" w:space="0" w:color="0076C0"/>
      </w:tblBorders>
    </w:tblPr>
    <w:tblStylePr w:type="firstRow">
      <w:rPr>
        <w:b/>
        <w:bCs/>
        <w:color w:val="FFFFFF"/>
      </w:rPr>
      <w:tblPr/>
      <w:tcPr>
        <w:shd w:val="clear" w:color="auto" w:fill="0076C0"/>
      </w:tcPr>
    </w:tblStylePr>
    <w:tblStylePr w:type="lastRow">
      <w:rPr>
        <w:b/>
        <w:bCs/>
      </w:rPr>
      <w:tblPr/>
      <w:tcPr>
        <w:tcBorders>
          <w:top w:val="double" w:sz="4" w:space="0" w:color="007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76C0"/>
          <w:right w:val="single" w:sz="4" w:space="0" w:color="0076C0"/>
        </w:tcBorders>
      </w:tcPr>
    </w:tblStylePr>
    <w:tblStylePr w:type="band1Horz">
      <w:tblPr/>
      <w:tcPr>
        <w:tcBorders>
          <w:top w:val="single" w:sz="4" w:space="0" w:color="0076C0"/>
          <w:bottom w:val="single" w:sz="4" w:space="0" w:color="007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C0"/>
          <w:left w:val="nil"/>
        </w:tcBorders>
      </w:tcPr>
    </w:tblStylePr>
    <w:tblStylePr w:type="swCell">
      <w:tblPr/>
      <w:tcPr>
        <w:tcBorders>
          <w:top w:val="double" w:sz="4" w:space="0" w:color="0076C0"/>
          <w:right w:val="nil"/>
        </w:tcBorders>
      </w:tcPr>
    </w:tblStylePr>
  </w:style>
  <w:style w:type="table" w:customStyle="1" w:styleId="TableGrid10">
    <w:name w:val="Table Grid1"/>
    <w:basedOn w:val="TableNormal"/>
    <w:next w:val="TableGrid"/>
    <w:uiPriority w:val="59"/>
    <w:rsid w:val="00D56B82"/>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D56B82"/>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D56B82"/>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D56B82"/>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D56B82"/>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rsid w:val="00D56B82"/>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39"/>
    <w:rsid w:val="00D56B82"/>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D56B82"/>
  </w:style>
  <w:style w:type="table" w:customStyle="1" w:styleId="TableGrid8">
    <w:name w:val="Table Grid8"/>
    <w:basedOn w:val="TableNormal"/>
    <w:next w:val="TableGrid"/>
    <w:uiPriority w:val="39"/>
    <w:rsid w:val="00D56B82"/>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 11"/>
    <w:basedOn w:val="TableNormal"/>
    <w:next w:val="TableGrid1"/>
    <w:uiPriority w:val="99"/>
    <w:semiHidden/>
    <w:unhideWhenUsed/>
    <w:rsid w:val="00D56B82"/>
    <w:pPr>
      <w:spacing w:after="240" w:line="288" w:lineRule="auto"/>
      <w:jc w:val="both"/>
    </w:pPr>
    <w:rPr>
      <w:rFonts w:asciiTheme="majorHAnsi" w:eastAsia="Calibri" w:hAnsiTheme="majorHAnsi"/>
      <w:sz w:val="18"/>
      <w:szCs w:val="18"/>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11">
    <w:name w:val="Style11"/>
    <w:basedOn w:val="TableNormal"/>
    <w:uiPriority w:val="99"/>
    <w:rsid w:val="00D56B82"/>
    <w:pPr>
      <w:spacing w:after="0" w:line="240" w:lineRule="auto"/>
    </w:pPr>
    <w:rPr>
      <w:rFonts w:ascii="Century Gothic" w:eastAsiaTheme="minorEastAsia" w:hAnsi="Century Gothic"/>
      <w:sz w:val="18"/>
      <w:szCs w:val="18"/>
      <w:lang w:val="en-US" w:bidi="en-US"/>
    </w:rPr>
    <w:tblPr>
      <w:tblBorders>
        <w:top w:val="single" w:sz="4" w:space="0" w:color="7AC143"/>
        <w:left w:val="single" w:sz="4" w:space="0" w:color="7AC143"/>
        <w:bottom w:val="single" w:sz="4" w:space="0" w:color="7AC143"/>
        <w:right w:val="single" w:sz="4" w:space="0" w:color="7AC143"/>
        <w:insideH w:val="single" w:sz="4" w:space="0" w:color="7AC143"/>
        <w:insideV w:val="single" w:sz="4" w:space="0" w:color="7AC143"/>
      </w:tblBorders>
    </w:tblPr>
    <w:tblStylePr w:type="firstRow">
      <w:rPr>
        <w:rFonts w:ascii="Arial,Bold" w:hAnsi="Arial,Bold"/>
        <w:b/>
        <w:color w:val="FFFFFF"/>
        <w:sz w:val="18"/>
      </w:rPr>
      <w:tblPr/>
      <w:tcPr>
        <w:tcBorders>
          <w:top w:val="nil"/>
          <w:left w:val="nil"/>
          <w:bottom w:val="nil"/>
          <w:right w:val="nil"/>
          <w:insideH w:val="nil"/>
          <w:insideV w:val="nil"/>
        </w:tcBorders>
        <w:shd w:val="clear" w:color="auto" w:fill="7AC143"/>
      </w:tcPr>
    </w:tblStylePr>
  </w:style>
  <w:style w:type="table" w:customStyle="1" w:styleId="LightList-Accent41">
    <w:name w:val="Light List - Accent 41"/>
    <w:basedOn w:val="TableNormal"/>
    <w:next w:val="LightList-Accent4"/>
    <w:uiPriority w:val="61"/>
    <w:rsid w:val="00D56B82"/>
    <w:pPr>
      <w:spacing w:after="0" w:line="240" w:lineRule="auto"/>
    </w:pPr>
    <w:rPr>
      <w:rFonts w:asciiTheme="majorHAnsi" w:eastAsiaTheme="minorEastAsia" w:hAnsiTheme="majorHAnsi"/>
      <w:sz w:val="18"/>
      <w:szCs w:val="18"/>
      <w:lang w:val="en-US" w:bidi="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D56B82"/>
    <w:pPr>
      <w:spacing w:after="0" w:line="240" w:lineRule="auto"/>
    </w:pPr>
    <w:rPr>
      <w:rFonts w:ascii="Century Gothic" w:eastAsia="Calibri" w:hAnsi="Century Gothic" w:cs="Times New Roman"/>
      <w:sz w:val="18"/>
      <w:szCs w:val="18"/>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PBbody">
    <w:name w:val="PB body"/>
    <w:basedOn w:val="Normal"/>
    <w:link w:val="PBbodyChar"/>
    <w:qFormat/>
    <w:rsid w:val="00D56B82"/>
    <w:pPr>
      <w:spacing w:after="240" w:line="276" w:lineRule="auto"/>
    </w:pPr>
    <w:rPr>
      <w:rFonts w:ascii="Century Gothic" w:eastAsia="Calibri" w:hAnsi="Century Gothic"/>
      <w:sz w:val="18"/>
      <w:szCs w:val="18"/>
    </w:rPr>
  </w:style>
  <w:style w:type="character" w:customStyle="1" w:styleId="PBbodyChar">
    <w:name w:val="PB body Char"/>
    <w:basedOn w:val="DefaultParagraphFont"/>
    <w:link w:val="PBbody"/>
    <w:rsid w:val="00D56B82"/>
    <w:rPr>
      <w:rFonts w:ascii="Century Gothic" w:eastAsia="Calibri" w:hAnsi="Century Gothic"/>
      <w:sz w:val="18"/>
      <w:szCs w:val="18"/>
    </w:rPr>
  </w:style>
  <w:style w:type="paragraph" w:customStyle="1" w:styleId="ListBullet1">
    <w:name w:val="List Bullet1"/>
    <w:basedOn w:val="BodyText"/>
    <w:next w:val="ListBullet"/>
    <w:uiPriority w:val="99"/>
    <w:qFormat/>
    <w:rsid w:val="00D56B82"/>
    <w:pPr>
      <w:spacing w:before="20" w:afterLines="20"/>
      <w:ind w:left="644" w:hanging="360"/>
    </w:pPr>
    <w:rPr>
      <w:rFonts w:asciiTheme="minorHAnsi" w:eastAsia="Calibri" w:hAnsiTheme="minorHAnsi" w:cs="Times New Roman"/>
      <w:i/>
      <w:color w:val="292929"/>
      <w:sz w:val="28"/>
    </w:rPr>
  </w:style>
  <w:style w:type="paragraph" w:customStyle="1" w:styleId="xl1833">
    <w:name w:val="xl1833"/>
    <w:basedOn w:val="Normal"/>
    <w:rsid w:val="00D56B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1834">
    <w:name w:val="xl1834"/>
    <w:basedOn w:val="Normal"/>
    <w:rsid w:val="00D56B82"/>
    <w:pPr>
      <w:shd w:val="clear" w:color="000000" w:fill="DCE6F1"/>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1835">
    <w:name w:val="xl1835"/>
    <w:basedOn w:val="Normal"/>
    <w:rsid w:val="00D56B8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ableContentHeading">
    <w:name w:val="Table Content Heading"/>
    <w:rsid w:val="00D56B82"/>
    <w:pPr>
      <w:spacing w:after="0" w:line="240" w:lineRule="auto"/>
    </w:pPr>
    <w:rPr>
      <w:rFonts w:ascii="Verdana" w:eastAsia="Times New Roman" w:hAnsi="Verdana" w:cs="Times New Roman"/>
      <w:b/>
      <w:color w:val="FFFFFF"/>
      <w:sz w:val="16"/>
      <w:szCs w:val="20"/>
    </w:rPr>
  </w:style>
  <w:style w:type="paragraph" w:styleId="NormalWeb">
    <w:name w:val="Normal (Web)"/>
    <w:basedOn w:val="Normal"/>
    <w:uiPriority w:val="99"/>
    <w:unhideWhenUsed/>
    <w:rsid w:val="00D56B82"/>
    <w:pPr>
      <w:spacing w:before="100" w:beforeAutospacing="1" w:after="100" w:afterAutospacing="1" w:line="240" w:lineRule="auto"/>
    </w:pPr>
    <w:rPr>
      <w:rFonts w:ascii="Times New Roman" w:eastAsiaTheme="minorEastAsia" w:hAnsi="Times New Roman" w:cs="Times New Roman"/>
      <w:sz w:val="24"/>
      <w:szCs w:val="24"/>
      <w:lang w:eastAsia="zh-CN"/>
    </w:rPr>
  </w:style>
  <w:style w:type="table" w:customStyle="1" w:styleId="ListTable3-Accent131">
    <w:name w:val="List Table 3 - Accent 131"/>
    <w:basedOn w:val="TableNormal"/>
    <w:next w:val="ListTable3-Accent12"/>
    <w:uiPriority w:val="48"/>
    <w:rsid w:val="00D56B82"/>
    <w:pPr>
      <w:spacing w:after="0" w:line="240" w:lineRule="auto"/>
    </w:pPr>
    <w:rPr>
      <w:rFonts w:ascii="Calibri" w:eastAsia="Arial" w:hAnsi="Calibri"/>
    </w:rPr>
    <w:tblPr>
      <w:tblStyleRowBandSize w:val="1"/>
      <w:tblStyleColBandSize w:val="1"/>
      <w:tblBorders>
        <w:top w:val="single" w:sz="4" w:space="0" w:color="0076C0"/>
        <w:left w:val="single" w:sz="4" w:space="0" w:color="0076C0"/>
        <w:bottom w:val="single" w:sz="4" w:space="0" w:color="0076C0"/>
        <w:right w:val="single" w:sz="4" w:space="0" w:color="0076C0"/>
      </w:tblBorders>
    </w:tblPr>
    <w:tblStylePr w:type="firstRow">
      <w:rPr>
        <w:b/>
        <w:bCs/>
        <w:color w:val="FFFFFF"/>
      </w:rPr>
      <w:tblPr/>
      <w:tcPr>
        <w:shd w:val="clear" w:color="auto" w:fill="0076C0"/>
      </w:tcPr>
    </w:tblStylePr>
    <w:tblStylePr w:type="lastRow">
      <w:rPr>
        <w:b/>
        <w:bCs/>
      </w:rPr>
      <w:tblPr/>
      <w:tcPr>
        <w:tcBorders>
          <w:top w:val="double" w:sz="4" w:space="0" w:color="007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76C0"/>
          <w:right w:val="single" w:sz="4" w:space="0" w:color="0076C0"/>
        </w:tcBorders>
      </w:tcPr>
    </w:tblStylePr>
    <w:tblStylePr w:type="band1Horz">
      <w:tblPr/>
      <w:tcPr>
        <w:tcBorders>
          <w:top w:val="single" w:sz="4" w:space="0" w:color="0076C0"/>
          <w:bottom w:val="single" w:sz="4" w:space="0" w:color="007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C0"/>
          <w:left w:val="nil"/>
        </w:tcBorders>
      </w:tcPr>
    </w:tblStylePr>
    <w:tblStylePr w:type="swCell">
      <w:tblPr/>
      <w:tcPr>
        <w:tcBorders>
          <w:top w:val="double" w:sz="4" w:space="0" w:color="0076C0"/>
          <w:right w:val="nil"/>
        </w:tcBorders>
      </w:tcPr>
    </w:tblStylePr>
  </w:style>
  <w:style w:type="table" w:customStyle="1" w:styleId="ListTable3-Accent121">
    <w:name w:val="List Table 3 - Accent 121"/>
    <w:basedOn w:val="TableNormal"/>
    <w:uiPriority w:val="48"/>
    <w:rsid w:val="00D56B82"/>
    <w:pPr>
      <w:spacing w:after="0" w:line="240" w:lineRule="auto"/>
    </w:pPr>
    <w:rPr>
      <w:rFonts w:ascii="Calibri" w:eastAsiaTheme="minorEastAsia" w:hAnsi="Calibri"/>
      <w:lang w:eastAsia="zh-TW"/>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Table3-Accent122">
    <w:name w:val="List Table 3 - Accent 122"/>
    <w:basedOn w:val="TableNormal"/>
    <w:next w:val="ListTable3-Accent12"/>
    <w:uiPriority w:val="48"/>
    <w:rsid w:val="00D56B82"/>
    <w:pPr>
      <w:spacing w:after="0" w:line="240" w:lineRule="auto"/>
    </w:pPr>
    <w:rPr>
      <w:rFonts w:ascii="Calibri" w:eastAsia="Arial" w:hAnsi="Calibri"/>
    </w:rPr>
    <w:tblPr>
      <w:tblStyleRowBandSize w:val="1"/>
      <w:tblStyleColBandSize w:val="1"/>
      <w:tblBorders>
        <w:top w:val="single" w:sz="4" w:space="0" w:color="0076C0"/>
        <w:left w:val="single" w:sz="4" w:space="0" w:color="0076C0"/>
        <w:bottom w:val="single" w:sz="4" w:space="0" w:color="0076C0"/>
        <w:right w:val="single" w:sz="4" w:space="0" w:color="0076C0"/>
      </w:tblBorders>
    </w:tblPr>
    <w:tblStylePr w:type="firstRow">
      <w:rPr>
        <w:b/>
        <w:bCs/>
        <w:color w:val="FFFFFF"/>
      </w:rPr>
      <w:tblPr/>
      <w:tcPr>
        <w:shd w:val="clear" w:color="auto" w:fill="0076C0"/>
      </w:tcPr>
    </w:tblStylePr>
    <w:tblStylePr w:type="lastRow">
      <w:rPr>
        <w:b/>
        <w:bCs/>
      </w:rPr>
      <w:tblPr/>
      <w:tcPr>
        <w:tcBorders>
          <w:top w:val="double" w:sz="4" w:space="0" w:color="007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76C0"/>
          <w:right w:val="single" w:sz="4" w:space="0" w:color="0076C0"/>
        </w:tcBorders>
      </w:tcPr>
    </w:tblStylePr>
    <w:tblStylePr w:type="band1Horz">
      <w:tblPr/>
      <w:tcPr>
        <w:tcBorders>
          <w:top w:val="single" w:sz="4" w:space="0" w:color="0076C0"/>
          <w:bottom w:val="single" w:sz="4" w:space="0" w:color="007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C0"/>
          <w:left w:val="nil"/>
        </w:tcBorders>
      </w:tcPr>
    </w:tblStylePr>
    <w:tblStylePr w:type="swCell">
      <w:tblPr/>
      <w:tcPr>
        <w:tcBorders>
          <w:top w:val="double" w:sz="4" w:space="0" w:color="0076C0"/>
          <w:right w:val="nil"/>
        </w:tcBorders>
      </w:tcPr>
    </w:tblStylePr>
  </w:style>
  <w:style w:type="table" w:customStyle="1" w:styleId="ListTable3-Accent15">
    <w:name w:val="List Table 3 - Accent 15"/>
    <w:basedOn w:val="TableNormal"/>
    <w:next w:val="ListTable3-Accent12"/>
    <w:uiPriority w:val="48"/>
    <w:rsid w:val="00D56B82"/>
    <w:pPr>
      <w:spacing w:after="0" w:line="240" w:lineRule="auto"/>
    </w:pPr>
    <w:rPr>
      <w:rFonts w:ascii="Calibri" w:eastAsia="Arial" w:hAnsi="Calibri"/>
    </w:rPr>
    <w:tblPr>
      <w:tblStyleRowBandSize w:val="1"/>
      <w:tblStyleColBandSize w:val="1"/>
      <w:tblBorders>
        <w:top w:val="single" w:sz="4" w:space="0" w:color="0076C0"/>
        <w:left w:val="single" w:sz="4" w:space="0" w:color="0076C0"/>
        <w:bottom w:val="single" w:sz="4" w:space="0" w:color="0076C0"/>
        <w:right w:val="single" w:sz="4" w:space="0" w:color="0076C0"/>
      </w:tblBorders>
    </w:tblPr>
    <w:tblStylePr w:type="firstRow">
      <w:rPr>
        <w:b/>
        <w:bCs/>
        <w:color w:val="FFFFFF"/>
      </w:rPr>
      <w:tblPr/>
      <w:tcPr>
        <w:shd w:val="clear" w:color="auto" w:fill="0076C0"/>
      </w:tcPr>
    </w:tblStylePr>
    <w:tblStylePr w:type="lastRow">
      <w:rPr>
        <w:b/>
        <w:bCs/>
      </w:rPr>
      <w:tblPr/>
      <w:tcPr>
        <w:tcBorders>
          <w:top w:val="double" w:sz="4" w:space="0" w:color="007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76C0"/>
          <w:right w:val="single" w:sz="4" w:space="0" w:color="0076C0"/>
        </w:tcBorders>
      </w:tcPr>
    </w:tblStylePr>
    <w:tblStylePr w:type="band1Horz">
      <w:tblPr/>
      <w:tcPr>
        <w:tcBorders>
          <w:top w:val="single" w:sz="4" w:space="0" w:color="0076C0"/>
          <w:bottom w:val="single" w:sz="4" w:space="0" w:color="007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C0"/>
          <w:left w:val="nil"/>
        </w:tcBorders>
      </w:tcPr>
    </w:tblStylePr>
    <w:tblStylePr w:type="swCell">
      <w:tblPr/>
      <w:tcPr>
        <w:tcBorders>
          <w:top w:val="double" w:sz="4" w:space="0" w:color="0076C0"/>
          <w:right w:val="nil"/>
        </w:tcBorders>
      </w:tcPr>
    </w:tblStylePr>
  </w:style>
  <w:style w:type="table" w:customStyle="1" w:styleId="ListTable3-Accent16">
    <w:name w:val="List Table 3 - Accent 16"/>
    <w:basedOn w:val="TableNormal"/>
    <w:next w:val="ListTable3-Accent12"/>
    <w:uiPriority w:val="48"/>
    <w:rsid w:val="00D56B82"/>
    <w:pPr>
      <w:spacing w:after="0" w:line="240" w:lineRule="auto"/>
    </w:pPr>
    <w:rPr>
      <w:rFonts w:ascii="Calibri" w:eastAsia="Arial" w:hAnsi="Calibri"/>
    </w:rPr>
    <w:tblPr>
      <w:tblStyleRowBandSize w:val="1"/>
      <w:tblStyleColBandSize w:val="1"/>
      <w:tblBorders>
        <w:top w:val="single" w:sz="4" w:space="0" w:color="0076C0"/>
        <w:left w:val="single" w:sz="4" w:space="0" w:color="0076C0"/>
        <w:bottom w:val="single" w:sz="4" w:space="0" w:color="0076C0"/>
        <w:right w:val="single" w:sz="4" w:space="0" w:color="0076C0"/>
      </w:tblBorders>
    </w:tblPr>
    <w:tblStylePr w:type="firstRow">
      <w:rPr>
        <w:b/>
        <w:bCs/>
        <w:color w:val="FFFFFF"/>
      </w:rPr>
      <w:tblPr/>
      <w:tcPr>
        <w:shd w:val="clear" w:color="auto" w:fill="0076C0"/>
      </w:tcPr>
    </w:tblStylePr>
    <w:tblStylePr w:type="lastRow">
      <w:rPr>
        <w:b/>
        <w:bCs/>
      </w:rPr>
      <w:tblPr/>
      <w:tcPr>
        <w:tcBorders>
          <w:top w:val="double" w:sz="4" w:space="0" w:color="007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76C0"/>
          <w:right w:val="single" w:sz="4" w:space="0" w:color="0076C0"/>
        </w:tcBorders>
      </w:tcPr>
    </w:tblStylePr>
    <w:tblStylePr w:type="band1Horz">
      <w:tblPr/>
      <w:tcPr>
        <w:tcBorders>
          <w:top w:val="single" w:sz="4" w:space="0" w:color="0076C0"/>
          <w:bottom w:val="single" w:sz="4" w:space="0" w:color="007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C0"/>
          <w:left w:val="nil"/>
        </w:tcBorders>
      </w:tcPr>
    </w:tblStylePr>
    <w:tblStylePr w:type="swCell">
      <w:tblPr/>
      <w:tcPr>
        <w:tcBorders>
          <w:top w:val="double" w:sz="4" w:space="0" w:color="0076C0"/>
          <w:right w:val="nil"/>
        </w:tcBorders>
      </w:tcPr>
    </w:tblStylePr>
  </w:style>
  <w:style w:type="table" w:customStyle="1" w:styleId="ListTable3-Accent17">
    <w:name w:val="List Table 3 - Accent 17"/>
    <w:basedOn w:val="TableNormal"/>
    <w:next w:val="ListTable3-Accent12"/>
    <w:uiPriority w:val="48"/>
    <w:rsid w:val="00D56B82"/>
    <w:pPr>
      <w:spacing w:after="0" w:line="240" w:lineRule="auto"/>
    </w:pPr>
    <w:rPr>
      <w:rFonts w:ascii="Calibri" w:eastAsia="Arial" w:hAnsi="Calibri"/>
    </w:rPr>
    <w:tblPr>
      <w:tblStyleRowBandSize w:val="1"/>
      <w:tblStyleColBandSize w:val="1"/>
      <w:tblBorders>
        <w:top w:val="single" w:sz="4" w:space="0" w:color="0076C0"/>
        <w:left w:val="single" w:sz="4" w:space="0" w:color="0076C0"/>
        <w:bottom w:val="single" w:sz="4" w:space="0" w:color="0076C0"/>
        <w:right w:val="single" w:sz="4" w:space="0" w:color="0076C0"/>
      </w:tblBorders>
    </w:tblPr>
    <w:tblStylePr w:type="firstRow">
      <w:rPr>
        <w:b/>
        <w:bCs/>
        <w:color w:val="FFFFFF"/>
      </w:rPr>
      <w:tblPr/>
      <w:tcPr>
        <w:shd w:val="clear" w:color="auto" w:fill="0076C0"/>
      </w:tcPr>
    </w:tblStylePr>
    <w:tblStylePr w:type="lastRow">
      <w:rPr>
        <w:b/>
        <w:bCs/>
      </w:rPr>
      <w:tblPr/>
      <w:tcPr>
        <w:tcBorders>
          <w:top w:val="double" w:sz="4" w:space="0" w:color="007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76C0"/>
          <w:right w:val="single" w:sz="4" w:space="0" w:color="0076C0"/>
        </w:tcBorders>
      </w:tcPr>
    </w:tblStylePr>
    <w:tblStylePr w:type="band1Horz">
      <w:tblPr/>
      <w:tcPr>
        <w:tcBorders>
          <w:top w:val="single" w:sz="4" w:space="0" w:color="0076C0"/>
          <w:bottom w:val="single" w:sz="4" w:space="0" w:color="007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C0"/>
          <w:left w:val="nil"/>
        </w:tcBorders>
      </w:tcPr>
    </w:tblStylePr>
    <w:tblStylePr w:type="swCell">
      <w:tblPr/>
      <w:tcPr>
        <w:tcBorders>
          <w:top w:val="double" w:sz="4" w:space="0" w:color="0076C0"/>
          <w:right w:val="nil"/>
        </w:tcBorders>
      </w:tcPr>
    </w:tblStylePr>
  </w:style>
  <w:style w:type="table" w:customStyle="1" w:styleId="ListTable3-Accent18">
    <w:name w:val="List Table 3 - Accent 18"/>
    <w:basedOn w:val="TableNormal"/>
    <w:next w:val="ListTable3-Accent12"/>
    <w:uiPriority w:val="48"/>
    <w:rsid w:val="00D56B82"/>
    <w:pPr>
      <w:spacing w:after="0" w:line="240" w:lineRule="auto"/>
    </w:pPr>
    <w:rPr>
      <w:rFonts w:ascii="Calibri" w:eastAsia="Arial" w:hAnsi="Calibri"/>
    </w:rPr>
    <w:tblPr>
      <w:tblStyleRowBandSize w:val="1"/>
      <w:tblStyleColBandSize w:val="1"/>
      <w:tblBorders>
        <w:top w:val="single" w:sz="4" w:space="0" w:color="0076C0"/>
        <w:left w:val="single" w:sz="4" w:space="0" w:color="0076C0"/>
        <w:bottom w:val="single" w:sz="4" w:space="0" w:color="0076C0"/>
        <w:right w:val="single" w:sz="4" w:space="0" w:color="0076C0"/>
      </w:tblBorders>
    </w:tblPr>
    <w:tblStylePr w:type="firstRow">
      <w:rPr>
        <w:b/>
        <w:bCs/>
        <w:color w:val="FFFFFF"/>
      </w:rPr>
      <w:tblPr/>
      <w:tcPr>
        <w:shd w:val="clear" w:color="auto" w:fill="0076C0"/>
      </w:tcPr>
    </w:tblStylePr>
    <w:tblStylePr w:type="lastRow">
      <w:rPr>
        <w:b/>
        <w:bCs/>
      </w:rPr>
      <w:tblPr/>
      <w:tcPr>
        <w:tcBorders>
          <w:top w:val="double" w:sz="4" w:space="0" w:color="007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76C0"/>
          <w:right w:val="single" w:sz="4" w:space="0" w:color="0076C0"/>
        </w:tcBorders>
      </w:tcPr>
    </w:tblStylePr>
    <w:tblStylePr w:type="band1Horz">
      <w:tblPr/>
      <w:tcPr>
        <w:tcBorders>
          <w:top w:val="single" w:sz="4" w:space="0" w:color="0076C0"/>
          <w:bottom w:val="single" w:sz="4" w:space="0" w:color="007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C0"/>
          <w:left w:val="nil"/>
        </w:tcBorders>
      </w:tcPr>
    </w:tblStylePr>
    <w:tblStylePr w:type="swCell">
      <w:tblPr/>
      <w:tcPr>
        <w:tcBorders>
          <w:top w:val="double" w:sz="4" w:space="0" w:color="0076C0"/>
          <w:right w:val="nil"/>
        </w:tcBorders>
      </w:tcPr>
    </w:tblStylePr>
  </w:style>
  <w:style w:type="paragraph" w:styleId="BodyText2">
    <w:name w:val="Body Text 2"/>
    <w:basedOn w:val="Normal"/>
    <w:link w:val="BodyText2Char"/>
    <w:uiPriority w:val="99"/>
    <w:semiHidden/>
    <w:unhideWhenUsed/>
    <w:rsid w:val="00D56B82"/>
    <w:pPr>
      <w:spacing w:after="120" w:line="480" w:lineRule="auto"/>
    </w:pPr>
    <w:rPr>
      <w:rFonts w:ascii="Century Gothic" w:eastAsiaTheme="minorEastAsia" w:hAnsi="Century Gothic"/>
      <w:sz w:val="18"/>
      <w:szCs w:val="18"/>
      <w:lang w:eastAsia="en-AU"/>
    </w:rPr>
  </w:style>
  <w:style w:type="character" w:customStyle="1" w:styleId="BodyText2Char">
    <w:name w:val="Body Text 2 Char"/>
    <w:basedOn w:val="DefaultParagraphFont"/>
    <w:link w:val="BodyText2"/>
    <w:uiPriority w:val="99"/>
    <w:semiHidden/>
    <w:rsid w:val="00D56B82"/>
    <w:rPr>
      <w:rFonts w:ascii="Century Gothic" w:eastAsiaTheme="minorEastAsia" w:hAnsi="Century Gothic"/>
      <w:sz w:val="18"/>
      <w:szCs w:val="18"/>
      <w:lang w:eastAsia="en-AU"/>
    </w:rPr>
  </w:style>
  <w:style w:type="paragraph" w:customStyle="1" w:styleId="BodyTextFirstIndent1">
    <w:name w:val="Body Text First Indent1"/>
    <w:basedOn w:val="BodyText"/>
    <w:next w:val="BodyTextFirstIndent"/>
    <w:link w:val="BodyTextFirstIndentChar"/>
    <w:uiPriority w:val="99"/>
    <w:semiHidden/>
    <w:unhideWhenUsed/>
    <w:rsid w:val="00D56B82"/>
    <w:pPr>
      <w:spacing w:after="120" w:line="276" w:lineRule="auto"/>
      <w:ind w:firstLine="360"/>
    </w:pPr>
    <w:rPr>
      <w:rFonts w:ascii="Century Gothic" w:eastAsia="Times New Roman" w:hAnsi="Century Gothic" w:cs="Arial"/>
      <w:i/>
      <w:color w:val="0070C0"/>
      <w:kern w:val="32"/>
      <w:sz w:val="18"/>
      <w:szCs w:val="18"/>
      <w:lang w:val="en-US" w:eastAsia="en-AU" w:bidi="en-US"/>
    </w:rPr>
  </w:style>
  <w:style w:type="character" w:customStyle="1" w:styleId="BodyTextFirstIndentChar">
    <w:name w:val="Body Text First Indent Char"/>
    <w:basedOn w:val="BodyTextChar"/>
    <w:link w:val="BodyTextFirstIndent1"/>
    <w:uiPriority w:val="99"/>
    <w:semiHidden/>
    <w:rsid w:val="00D56B82"/>
    <w:rPr>
      <w:rFonts w:ascii="Century Gothic" w:eastAsia="Times New Roman" w:hAnsi="Century Gothic" w:cs="Arial"/>
      <w:i/>
      <w:color w:val="0070C0"/>
      <w:kern w:val="32"/>
      <w:sz w:val="18"/>
      <w:szCs w:val="18"/>
      <w:lang w:val="en-US" w:eastAsia="en-AU" w:bidi="en-US"/>
    </w:rPr>
  </w:style>
  <w:style w:type="paragraph" w:customStyle="1" w:styleId="BodyTextFirstIndent21">
    <w:name w:val="Body Text First Indent 21"/>
    <w:basedOn w:val="BodyTextIndent"/>
    <w:next w:val="BodyTextFirstIndent2"/>
    <w:link w:val="BodyTextFirstIndent2Char"/>
    <w:uiPriority w:val="99"/>
    <w:semiHidden/>
    <w:unhideWhenUsed/>
    <w:rsid w:val="00D56B82"/>
    <w:pPr>
      <w:widowControl/>
      <w:spacing w:before="0" w:after="240"/>
      <w:ind w:left="360" w:firstLine="360"/>
    </w:pPr>
    <w:rPr>
      <w:rFonts w:ascii="Century Gothic" w:hAnsi="Century Gothic"/>
      <w:sz w:val="18"/>
      <w:lang w:val="en-US" w:bidi="en-US"/>
    </w:rPr>
  </w:style>
  <w:style w:type="character" w:customStyle="1" w:styleId="BodyTextFirstIndent2Char">
    <w:name w:val="Body Text First Indent 2 Char"/>
    <w:basedOn w:val="BodyTextIndentChar"/>
    <w:link w:val="BodyTextFirstIndent21"/>
    <w:uiPriority w:val="99"/>
    <w:semiHidden/>
    <w:rsid w:val="00D56B82"/>
    <w:rPr>
      <w:rFonts w:ascii="Century Gothic" w:eastAsia="Times New Roman" w:hAnsi="Century Gothic" w:cs="Times New Roman"/>
      <w:sz w:val="18"/>
      <w:szCs w:val="18"/>
      <w:lang w:val="en-US" w:eastAsia="en-AU" w:bidi="en-US"/>
    </w:rPr>
  </w:style>
  <w:style w:type="paragraph" w:styleId="Closing">
    <w:name w:val="Closing"/>
    <w:basedOn w:val="Normal"/>
    <w:link w:val="ClosingChar"/>
    <w:uiPriority w:val="99"/>
    <w:semiHidden/>
    <w:unhideWhenUsed/>
    <w:rsid w:val="00D56B82"/>
    <w:pPr>
      <w:spacing w:after="0" w:line="240" w:lineRule="auto"/>
      <w:ind w:left="4252"/>
    </w:pPr>
    <w:rPr>
      <w:rFonts w:ascii="Century Gothic" w:eastAsiaTheme="minorEastAsia" w:hAnsi="Century Gothic"/>
      <w:sz w:val="18"/>
      <w:szCs w:val="18"/>
      <w:lang w:eastAsia="en-AU"/>
    </w:rPr>
  </w:style>
  <w:style w:type="character" w:customStyle="1" w:styleId="ClosingChar">
    <w:name w:val="Closing Char"/>
    <w:basedOn w:val="DefaultParagraphFont"/>
    <w:link w:val="Closing"/>
    <w:uiPriority w:val="99"/>
    <w:semiHidden/>
    <w:rsid w:val="00D56B82"/>
    <w:rPr>
      <w:rFonts w:ascii="Century Gothic" w:eastAsiaTheme="minorEastAsia" w:hAnsi="Century Gothic"/>
      <w:sz w:val="18"/>
      <w:szCs w:val="18"/>
      <w:lang w:eastAsia="en-AU"/>
    </w:rPr>
  </w:style>
  <w:style w:type="paragraph" w:styleId="E-mailSignature">
    <w:name w:val="E-mail Signature"/>
    <w:basedOn w:val="Normal"/>
    <w:link w:val="E-mailSignatureChar"/>
    <w:uiPriority w:val="99"/>
    <w:semiHidden/>
    <w:unhideWhenUsed/>
    <w:rsid w:val="00D56B82"/>
    <w:pPr>
      <w:spacing w:after="0" w:line="240" w:lineRule="auto"/>
    </w:pPr>
    <w:rPr>
      <w:rFonts w:ascii="Century Gothic" w:eastAsiaTheme="minorEastAsia" w:hAnsi="Century Gothic"/>
      <w:sz w:val="18"/>
      <w:szCs w:val="18"/>
      <w:lang w:eastAsia="en-AU"/>
    </w:rPr>
  </w:style>
  <w:style w:type="character" w:customStyle="1" w:styleId="E-mailSignatureChar">
    <w:name w:val="E-mail Signature Char"/>
    <w:basedOn w:val="DefaultParagraphFont"/>
    <w:link w:val="E-mailSignature"/>
    <w:uiPriority w:val="99"/>
    <w:semiHidden/>
    <w:rsid w:val="00D56B82"/>
    <w:rPr>
      <w:rFonts w:ascii="Century Gothic" w:eastAsiaTheme="minorEastAsia" w:hAnsi="Century Gothic"/>
      <w:sz w:val="18"/>
      <w:szCs w:val="18"/>
      <w:lang w:eastAsia="en-AU"/>
    </w:rPr>
  </w:style>
  <w:style w:type="paragraph" w:styleId="EndnoteText">
    <w:name w:val="endnote text"/>
    <w:basedOn w:val="Normal"/>
    <w:link w:val="EndnoteTextChar"/>
    <w:uiPriority w:val="99"/>
    <w:semiHidden/>
    <w:unhideWhenUsed/>
    <w:rsid w:val="00D56B82"/>
    <w:pPr>
      <w:spacing w:after="0" w:line="240" w:lineRule="auto"/>
    </w:pPr>
    <w:rPr>
      <w:rFonts w:ascii="Century Gothic" w:eastAsiaTheme="minorEastAsia" w:hAnsi="Century Gothic"/>
      <w:szCs w:val="20"/>
      <w:lang w:eastAsia="en-AU"/>
    </w:rPr>
  </w:style>
  <w:style w:type="character" w:customStyle="1" w:styleId="EndnoteTextChar">
    <w:name w:val="Endnote Text Char"/>
    <w:basedOn w:val="DefaultParagraphFont"/>
    <w:link w:val="EndnoteText"/>
    <w:uiPriority w:val="99"/>
    <w:semiHidden/>
    <w:rsid w:val="00D56B82"/>
    <w:rPr>
      <w:rFonts w:ascii="Century Gothic" w:eastAsiaTheme="minorEastAsia" w:hAnsi="Century Gothic"/>
      <w:sz w:val="20"/>
      <w:szCs w:val="20"/>
      <w:lang w:eastAsia="en-AU"/>
    </w:rPr>
  </w:style>
  <w:style w:type="paragraph" w:customStyle="1" w:styleId="EnvelopeAddress1">
    <w:name w:val="Envelope Address1"/>
    <w:basedOn w:val="Normal"/>
    <w:next w:val="EnvelopeAddress"/>
    <w:uiPriority w:val="99"/>
    <w:semiHidden/>
    <w:unhideWhenUsed/>
    <w:rsid w:val="00D56B82"/>
    <w:pPr>
      <w:framePr w:w="7920" w:h="1980" w:hRule="exact" w:hSpace="180" w:wrap="auto" w:hAnchor="page" w:xAlign="center" w:yAlign="bottom"/>
      <w:spacing w:after="0" w:line="240" w:lineRule="auto"/>
      <w:ind w:left="2880"/>
    </w:pPr>
    <w:rPr>
      <w:rFonts w:ascii="Cambria" w:eastAsia="PMingLiU" w:hAnsi="Cambria" w:cs="Times New Roman"/>
      <w:sz w:val="24"/>
      <w:szCs w:val="24"/>
      <w:lang w:eastAsia="en-AU"/>
    </w:rPr>
  </w:style>
  <w:style w:type="paragraph" w:customStyle="1" w:styleId="EnvelopeReturn1">
    <w:name w:val="Envelope Return1"/>
    <w:basedOn w:val="Normal"/>
    <w:next w:val="EnvelopeReturn"/>
    <w:uiPriority w:val="99"/>
    <w:semiHidden/>
    <w:unhideWhenUsed/>
    <w:rsid w:val="00D56B82"/>
    <w:pPr>
      <w:spacing w:after="0" w:line="240" w:lineRule="auto"/>
    </w:pPr>
    <w:rPr>
      <w:rFonts w:ascii="Cambria" w:eastAsia="PMingLiU" w:hAnsi="Cambria" w:cs="Times New Roman"/>
      <w:szCs w:val="20"/>
      <w:lang w:eastAsia="en-AU"/>
    </w:rPr>
  </w:style>
  <w:style w:type="paragraph" w:styleId="HTMLAddress">
    <w:name w:val="HTML Address"/>
    <w:basedOn w:val="Normal"/>
    <w:link w:val="HTMLAddressChar"/>
    <w:uiPriority w:val="99"/>
    <w:semiHidden/>
    <w:unhideWhenUsed/>
    <w:rsid w:val="00D56B82"/>
    <w:pPr>
      <w:spacing w:after="0" w:line="240" w:lineRule="auto"/>
    </w:pPr>
    <w:rPr>
      <w:rFonts w:ascii="Century Gothic" w:eastAsiaTheme="minorEastAsia" w:hAnsi="Century Gothic"/>
      <w:i/>
      <w:iCs/>
      <w:sz w:val="18"/>
      <w:szCs w:val="18"/>
      <w:lang w:eastAsia="en-AU"/>
    </w:rPr>
  </w:style>
  <w:style w:type="character" w:customStyle="1" w:styleId="HTMLAddressChar">
    <w:name w:val="HTML Address Char"/>
    <w:basedOn w:val="DefaultParagraphFont"/>
    <w:link w:val="HTMLAddress"/>
    <w:uiPriority w:val="99"/>
    <w:semiHidden/>
    <w:rsid w:val="00D56B82"/>
    <w:rPr>
      <w:rFonts w:ascii="Century Gothic" w:eastAsiaTheme="minorEastAsia" w:hAnsi="Century Gothic"/>
      <w:i/>
      <w:iCs/>
      <w:sz w:val="18"/>
      <w:szCs w:val="18"/>
      <w:lang w:eastAsia="en-AU"/>
    </w:rPr>
  </w:style>
  <w:style w:type="paragraph" w:styleId="HTMLPreformatted">
    <w:name w:val="HTML Preformatted"/>
    <w:basedOn w:val="Normal"/>
    <w:link w:val="HTMLPreformattedChar"/>
    <w:uiPriority w:val="99"/>
    <w:semiHidden/>
    <w:unhideWhenUsed/>
    <w:rsid w:val="00D56B82"/>
    <w:pPr>
      <w:spacing w:after="0" w:line="240" w:lineRule="auto"/>
    </w:pPr>
    <w:rPr>
      <w:rFonts w:ascii="Consolas" w:eastAsiaTheme="minorEastAsia" w:hAnsi="Consolas"/>
      <w:szCs w:val="20"/>
      <w:lang w:eastAsia="en-AU"/>
    </w:rPr>
  </w:style>
  <w:style w:type="character" w:customStyle="1" w:styleId="HTMLPreformattedChar">
    <w:name w:val="HTML Preformatted Char"/>
    <w:basedOn w:val="DefaultParagraphFont"/>
    <w:link w:val="HTMLPreformatted"/>
    <w:uiPriority w:val="99"/>
    <w:semiHidden/>
    <w:rsid w:val="00D56B82"/>
    <w:rPr>
      <w:rFonts w:ascii="Consolas" w:eastAsiaTheme="minorEastAsia" w:hAnsi="Consolas"/>
      <w:sz w:val="20"/>
      <w:szCs w:val="20"/>
      <w:lang w:eastAsia="en-AU"/>
    </w:rPr>
  </w:style>
  <w:style w:type="paragraph" w:styleId="Index2">
    <w:name w:val="index 2"/>
    <w:basedOn w:val="Normal"/>
    <w:next w:val="Normal"/>
    <w:autoRedefine/>
    <w:uiPriority w:val="99"/>
    <w:semiHidden/>
    <w:unhideWhenUsed/>
    <w:rsid w:val="00D56B82"/>
    <w:pPr>
      <w:spacing w:after="0" w:line="240" w:lineRule="auto"/>
      <w:ind w:left="360" w:hanging="180"/>
    </w:pPr>
    <w:rPr>
      <w:rFonts w:ascii="Century Gothic" w:eastAsiaTheme="minorEastAsia" w:hAnsi="Century Gothic"/>
      <w:sz w:val="18"/>
      <w:szCs w:val="18"/>
      <w:lang w:eastAsia="en-AU"/>
    </w:rPr>
  </w:style>
  <w:style w:type="paragraph" w:styleId="Index3">
    <w:name w:val="index 3"/>
    <w:basedOn w:val="Normal"/>
    <w:next w:val="Normal"/>
    <w:autoRedefine/>
    <w:uiPriority w:val="99"/>
    <w:semiHidden/>
    <w:unhideWhenUsed/>
    <w:rsid w:val="00D56B82"/>
    <w:pPr>
      <w:spacing w:after="0" w:line="240" w:lineRule="auto"/>
      <w:ind w:left="540" w:hanging="180"/>
    </w:pPr>
    <w:rPr>
      <w:rFonts w:ascii="Century Gothic" w:eastAsiaTheme="minorEastAsia" w:hAnsi="Century Gothic"/>
      <w:sz w:val="18"/>
      <w:szCs w:val="18"/>
      <w:lang w:eastAsia="en-AU"/>
    </w:rPr>
  </w:style>
  <w:style w:type="paragraph" w:styleId="Index4">
    <w:name w:val="index 4"/>
    <w:basedOn w:val="Normal"/>
    <w:next w:val="Normal"/>
    <w:autoRedefine/>
    <w:uiPriority w:val="99"/>
    <w:semiHidden/>
    <w:unhideWhenUsed/>
    <w:rsid w:val="00D56B82"/>
    <w:pPr>
      <w:spacing w:after="0" w:line="240" w:lineRule="auto"/>
      <w:ind w:left="720" w:hanging="180"/>
    </w:pPr>
    <w:rPr>
      <w:rFonts w:ascii="Century Gothic" w:eastAsiaTheme="minorEastAsia" w:hAnsi="Century Gothic"/>
      <w:sz w:val="18"/>
      <w:szCs w:val="18"/>
      <w:lang w:eastAsia="en-AU"/>
    </w:rPr>
  </w:style>
  <w:style w:type="paragraph" w:styleId="Index5">
    <w:name w:val="index 5"/>
    <w:basedOn w:val="Normal"/>
    <w:next w:val="Normal"/>
    <w:autoRedefine/>
    <w:uiPriority w:val="99"/>
    <w:semiHidden/>
    <w:unhideWhenUsed/>
    <w:rsid w:val="00D56B82"/>
    <w:pPr>
      <w:spacing w:after="0" w:line="240" w:lineRule="auto"/>
      <w:ind w:left="900" w:hanging="180"/>
    </w:pPr>
    <w:rPr>
      <w:rFonts w:ascii="Century Gothic" w:eastAsiaTheme="minorEastAsia" w:hAnsi="Century Gothic"/>
      <w:sz w:val="18"/>
      <w:szCs w:val="18"/>
      <w:lang w:eastAsia="en-AU"/>
    </w:rPr>
  </w:style>
  <w:style w:type="paragraph" w:styleId="Index6">
    <w:name w:val="index 6"/>
    <w:basedOn w:val="Normal"/>
    <w:next w:val="Normal"/>
    <w:autoRedefine/>
    <w:uiPriority w:val="99"/>
    <w:semiHidden/>
    <w:unhideWhenUsed/>
    <w:rsid w:val="00D56B82"/>
    <w:pPr>
      <w:spacing w:after="0" w:line="240" w:lineRule="auto"/>
      <w:ind w:left="1080" w:hanging="180"/>
    </w:pPr>
    <w:rPr>
      <w:rFonts w:ascii="Century Gothic" w:eastAsiaTheme="minorEastAsia" w:hAnsi="Century Gothic"/>
      <w:sz w:val="18"/>
      <w:szCs w:val="18"/>
      <w:lang w:eastAsia="en-AU"/>
    </w:rPr>
  </w:style>
  <w:style w:type="paragraph" w:styleId="Index7">
    <w:name w:val="index 7"/>
    <w:basedOn w:val="Normal"/>
    <w:next w:val="Normal"/>
    <w:autoRedefine/>
    <w:uiPriority w:val="99"/>
    <w:semiHidden/>
    <w:unhideWhenUsed/>
    <w:rsid w:val="00D56B82"/>
    <w:pPr>
      <w:spacing w:after="0" w:line="240" w:lineRule="auto"/>
      <w:ind w:left="1260" w:hanging="180"/>
    </w:pPr>
    <w:rPr>
      <w:rFonts w:ascii="Century Gothic" w:eastAsiaTheme="minorEastAsia" w:hAnsi="Century Gothic"/>
      <w:sz w:val="18"/>
      <w:szCs w:val="18"/>
      <w:lang w:eastAsia="en-AU"/>
    </w:rPr>
  </w:style>
  <w:style w:type="paragraph" w:styleId="Index8">
    <w:name w:val="index 8"/>
    <w:basedOn w:val="Normal"/>
    <w:next w:val="Normal"/>
    <w:autoRedefine/>
    <w:uiPriority w:val="99"/>
    <w:semiHidden/>
    <w:unhideWhenUsed/>
    <w:rsid w:val="00D56B82"/>
    <w:pPr>
      <w:spacing w:after="0" w:line="240" w:lineRule="auto"/>
      <w:ind w:left="1440" w:hanging="180"/>
    </w:pPr>
    <w:rPr>
      <w:rFonts w:ascii="Century Gothic" w:eastAsiaTheme="minorEastAsia" w:hAnsi="Century Gothic"/>
      <w:sz w:val="18"/>
      <w:szCs w:val="18"/>
      <w:lang w:eastAsia="en-AU"/>
    </w:rPr>
  </w:style>
  <w:style w:type="paragraph" w:customStyle="1" w:styleId="IndexHeading1">
    <w:name w:val="Index Heading1"/>
    <w:basedOn w:val="Normal"/>
    <w:next w:val="Index1"/>
    <w:uiPriority w:val="99"/>
    <w:semiHidden/>
    <w:unhideWhenUsed/>
    <w:rsid w:val="00D56B82"/>
    <w:pPr>
      <w:spacing w:after="240" w:line="276" w:lineRule="auto"/>
    </w:pPr>
    <w:rPr>
      <w:rFonts w:ascii="Cambria" w:eastAsia="PMingLiU" w:hAnsi="Cambria" w:cs="Times New Roman"/>
      <w:b/>
      <w:bCs/>
      <w:sz w:val="18"/>
      <w:szCs w:val="18"/>
      <w:lang w:eastAsia="en-AU"/>
    </w:rPr>
  </w:style>
  <w:style w:type="paragraph" w:styleId="List3">
    <w:name w:val="List 3"/>
    <w:basedOn w:val="Normal"/>
    <w:uiPriority w:val="99"/>
    <w:semiHidden/>
    <w:unhideWhenUsed/>
    <w:rsid w:val="00D56B82"/>
    <w:pPr>
      <w:spacing w:after="240" w:line="276" w:lineRule="auto"/>
      <w:ind w:left="849" w:hanging="283"/>
      <w:contextualSpacing/>
    </w:pPr>
    <w:rPr>
      <w:rFonts w:ascii="Century Gothic" w:eastAsiaTheme="minorEastAsia" w:hAnsi="Century Gothic"/>
      <w:sz w:val="18"/>
      <w:szCs w:val="18"/>
      <w:lang w:eastAsia="en-AU"/>
    </w:rPr>
  </w:style>
  <w:style w:type="paragraph" w:styleId="List4">
    <w:name w:val="List 4"/>
    <w:basedOn w:val="Normal"/>
    <w:uiPriority w:val="99"/>
    <w:semiHidden/>
    <w:unhideWhenUsed/>
    <w:rsid w:val="00D56B82"/>
    <w:pPr>
      <w:spacing w:after="240" w:line="276" w:lineRule="auto"/>
      <w:ind w:left="1132" w:hanging="283"/>
      <w:contextualSpacing/>
    </w:pPr>
    <w:rPr>
      <w:rFonts w:ascii="Century Gothic" w:eastAsiaTheme="minorEastAsia" w:hAnsi="Century Gothic"/>
      <w:sz w:val="18"/>
      <w:szCs w:val="18"/>
      <w:lang w:eastAsia="en-AU"/>
    </w:rPr>
  </w:style>
  <w:style w:type="paragraph" w:styleId="List5">
    <w:name w:val="List 5"/>
    <w:basedOn w:val="Normal"/>
    <w:uiPriority w:val="99"/>
    <w:semiHidden/>
    <w:unhideWhenUsed/>
    <w:rsid w:val="00D56B82"/>
    <w:pPr>
      <w:spacing w:after="240" w:line="276" w:lineRule="auto"/>
      <w:ind w:left="1415" w:hanging="283"/>
      <w:contextualSpacing/>
    </w:pPr>
    <w:rPr>
      <w:rFonts w:ascii="Century Gothic" w:eastAsiaTheme="minorEastAsia" w:hAnsi="Century Gothic"/>
      <w:sz w:val="18"/>
      <w:szCs w:val="18"/>
      <w:lang w:eastAsia="en-AU"/>
    </w:rPr>
  </w:style>
  <w:style w:type="paragraph" w:styleId="ListContinue">
    <w:name w:val="List Continue"/>
    <w:basedOn w:val="Normal"/>
    <w:uiPriority w:val="99"/>
    <w:semiHidden/>
    <w:unhideWhenUsed/>
    <w:rsid w:val="00D56B82"/>
    <w:pPr>
      <w:spacing w:after="120" w:line="276" w:lineRule="auto"/>
      <w:ind w:left="283"/>
      <w:contextualSpacing/>
    </w:pPr>
    <w:rPr>
      <w:rFonts w:ascii="Century Gothic" w:eastAsiaTheme="minorEastAsia" w:hAnsi="Century Gothic"/>
      <w:sz w:val="18"/>
      <w:szCs w:val="18"/>
      <w:lang w:eastAsia="en-AU"/>
    </w:rPr>
  </w:style>
  <w:style w:type="paragraph" w:styleId="ListContinue2">
    <w:name w:val="List Continue 2"/>
    <w:basedOn w:val="Normal"/>
    <w:uiPriority w:val="99"/>
    <w:semiHidden/>
    <w:unhideWhenUsed/>
    <w:rsid w:val="00D56B82"/>
    <w:pPr>
      <w:spacing w:after="120" w:line="276" w:lineRule="auto"/>
      <w:ind w:left="566"/>
      <w:contextualSpacing/>
    </w:pPr>
    <w:rPr>
      <w:rFonts w:ascii="Century Gothic" w:eastAsiaTheme="minorEastAsia" w:hAnsi="Century Gothic"/>
      <w:sz w:val="18"/>
      <w:szCs w:val="18"/>
      <w:lang w:eastAsia="en-AU"/>
    </w:rPr>
  </w:style>
  <w:style w:type="paragraph" w:styleId="ListContinue3">
    <w:name w:val="List Continue 3"/>
    <w:basedOn w:val="Normal"/>
    <w:uiPriority w:val="99"/>
    <w:semiHidden/>
    <w:unhideWhenUsed/>
    <w:rsid w:val="00D56B82"/>
    <w:pPr>
      <w:spacing w:after="120" w:line="276" w:lineRule="auto"/>
      <w:ind w:left="849"/>
      <w:contextualSpacing/>
    </w:pPr>
    <w:rPr>
      <w:rFonts w:ascii="Century Gothic" w:eastAsiaTheme="minorEastAsia" w:hAnsi="Century Gothic"/>
      <w:sz w:val="18"/>
      <w:szCs w:val="18"/>
      <w:lang w:eastAsia="en-AU"/>
    </w:rPr>
  </w:style>
  <w:style w:type="paragraph" w:styleId="ListContinue4">
    <w:name w:val="List Continue 4"/>
    <w:basedOn w:val="Normal"/>
    <w:uiPriority w:val="99"/>
    <w:semiHidden/>
    <w:unhideWhenUsed/>
    <w:rsid w:val="00D56B82"/>
    <w:pPr>
      <w:spacing w:after="120" w:line="276" w:lineRule="auto"/>
      <w:ind w:left="1132"/>
      <w:contextualSpacing/>
    </w:pPr>
    <w:rPr>
      <w:rFonts w:ascii="Century Gothic" w:eastAsiaTheme="minorEastAsia" w:hAnsi="Century Gothic"/>
      <w:sz w:val="18"/>
      <w:szCs w:val="18"/>
      <w:lang w:eastAsia="en-AU"/>
    </w:rPr>
  </w:style>
  <w:style w:type="paragraph" w:styleId="ListNumber3">
    <w:name w:val="List Number 3"/>
    <w:basedOn w:val="Normal"/>
    <w:uiPriority w:val="99"/>
    <w:semiHidden/>
    <w:unhideWhenUsed/>
    <w:rsid w:val="00D56B82"/>
    <w:pPr>
      <w:numPr>
        <w:numId w:val="26"/>
      </w:numPr>
      <w:tabs>
        <w:tab w:val="clear" w:pos="926"/>
      </w:tabs>
      <w:spacing w:after="240" w:line="276" w:lineRule="auto"/>
      <w:ind w:left="720"/>
      <w:contextualSpacing/>
    </w:pPr>
    <w:rPr>
      <w:rFonts w:ascii="Century Gothic" w:eastAsiaTheme="minorEastAsia" w:hAnsi="Century Gothic"/>
      <w:sz w:val="18"/>
      <w:szCs w:val="18"/>
      <w:lang w:eastAsia="en-AU"/>
    </w:rPr>
  </w:style>
  <w:style w:type="paragraph" w:styleId="ListNumber4">
    <w:name w:val="List Number 4"/>
    <w:basedOn w:val="Normal"/>
    <w:uiPriority w:val="99"/>
    <w:semiHidden/>
    <w:unhideWhenUsed/>
    <w:rsid w:val="00D56B82"/>
    <w:pPr>
      <w:numPr>
        <w:numId w:val="27"/>
      </w:numPr>
      <w:tabs>
        <w:tab w:val="clear" w:pos="1209"/>
      </w:tabs>
      <w:spacing w:after="240" w:line="276" w:lineRule="auto"/>
      <w:ind w:left="720"/>
      <w:contextualSpacing/>
    </w:pPr>
    <w:rPr>
      <w:rFonts w:ascii="Century Gothic" w:eastAsiaTheme="minorEastAsia" w:hAnsi="Century Gothic"/>
      <w:sz w:val="18"/>
      <w:szCs w:val="18"/>
      <w:lang w:eastAsia="en-AU"/>
    </w:rPr>
  </w:style>
  <w:style w:type="paragraph" w:styleId="ListNumber5">
    <w:name w:val="List Number 5"/>
    <w:basedOn w:val="Normal"/>
    <w:uiPriority w:val="99"/>
    <w:semiHidden/>
    <w:unhideWhenUsed/>
    <w:rsid w:val="00D56B82"/>
    <w:pPr>
      <w:numPr>
        <w:numId w:val="28"/>
      </w:numPr>
      <w:tabs>
        <w:tab w:val="clear" w:pos="1492"/>
      </w:tabs>
      <w:spacing w:after="240" w:line="276" w:lineRule="auto"/>
      <w:ind w:left="720"/>
      <w:contextualSpacing/>
    </w:pPr>
    <w:rPr>
      <w:rFonts w:ascii="Century Gothic" w:eastAsiaTheme="minorEastAsia" w:hAnsi="Century Gothic"/>
      <w:sz w:val="18"/>
      <w:szCs w:val="18"/>
      <w:lang w:eastAsia="en-AU"/>
    </w:rPr>
  </w:style>
  <w:style w:type="paragraph" w:customStyle="1" w:styleId="MessageHeader1">
    <w:name w:val="Message Header1"/>
    <w:basedOn w:val="Normal"/>
    <w:next w:val="MessageHeader"/>
    <w:link w:val="MessageHeaderChar"/>
    <w:uiPriority w:val="99"/>
    <w:semiHidden/>
    <w:unhideWhenUsed/>
    <w:rsid w:val="00D56B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PMingLiU" w:hAnsi="Cambria" w:cs="Times New Roman"/>
      <w:sz w:val="24"/>
      <w:szCs w:val="24"/>
      <w:lang w:val="en-US" w:eastAsia="en-AU" w:bidi="en-US"/>
    </w:rPr>
  </w:style>
  <w:style w:type="character" w:customStyle="1" w:styleId="MessageHeaderChar">
    <w:name w:val="Message Header Char"/>
    <w:basedOn w:val="DefaultParagraphFont"/>
    <w:link w:val="MessageHeader1"/>
    <w:uiPriority w:val="99"/>
    <w:semiHidden/>
    <w:rsid w:val="00D56B82"/>
    <w:rPr>
      <w:rFonts w:ascii="Cambria" w:eastAsia="PMingLiU" w:hAnsi="Cambria" w:cs="Times New Roman"/>
      <w:sz w:val="24"/>
      <w:szCs w:val="24"/>
      <w:shd w:val="pct20" w:color="auto" w:fill="auto"/>
      <w:lang w:val="en-US" w:eastAsia="en-AU" w:bidi="en-US"/>
    </w:rPr>
  </w:style>
  <w:style w:type="paragraph" w:styleId="NormalIndent">
    <w:name w:val="Normal Indent"/>
    <w:basedOn w:val="Normal"/>
    <w:uiPriority w:val="99"/>
    <w:semiHidden/>
    <w:unhideWhenUsed/>
    <w:rsid w:val="00D56B82"/>
    <w:pPr>
      <w:spacing w:after="240" w:line="276" w:lineRule="auto"/>
      <w:ind w:left="720"/>
    </w:pPr>
    <w:rPr>
      <w:rFonts w:ascii="Century Gothic" w:eastAsiaTheme="minorEastAsia" w:hAnsi="Century Gothic"/>
      <w:sz w:val="18"/>
      <w:szCs w:val="18"/>
      <w:lang w:eastAsia="en-AU"/>
    </w:rPr>
  </w:style>
  <w:style w:type="paragraph" w:styleId="NoteHeading">
    <w:name w:val="Note Heading"/>
    <w:basedOn w:val="Normal"/>
    <w:next w:val="Normal"/>
    <w:link w:val="NoteHeadingChar"/>
    <w:uiPriority w:val="99"/>
    <w:semiHidden/>
    <w:unhideWhenUsed/>
    <w:rsid w:val="00D56B82"/>
    <w:pPr>
      <w:spacing w:after="0" w:line="240" w:lineRule="auto"/>
    </w:pPr>
    <w:rPr>
      <w:rFonts w:ascii="Century Gothic" w:eastAsiaTheme="minorEastAsia" w:hAnsi="Century Gothic"/>
      <w:sz w:val="18"/>
      <w:szCs w:val="18"/>
      <w:lang w:eastAsia="en-AU"/>
    </w:rPr>
  </w:style>
  <w:style w:type="character" w:customStyle="1" w:styleId="NoteHeadingChar">
    <w:name w:val="Note Heading Char"/>
    <w:basedOn w:val="DefaultParagraphFont"/>
    <w:link w:val="NoteHeading"/>
    <w:uiPriority w:val="99"/>
    <w:semiHidden/>
    <w:rsid w:val="00D56B82"/>
    <w:rPr>
      <w:rFonts w:ascii="Century Gothic" w:eastAsiaTheme="minorEastAsia" w:hAnsi="Century Gothic"/>
      <w:sz w:val="18"/>
      <w:szCs w:val="18"/>
      <w:lang w:eastAsia="en-AU"/>
    </w:rPr>
  </w:style>
  <w:style w:type="paragraph" w:styleId="PlainText">
    <w:name w:val="Plain Text"/>
    <w:basedOn w:val="Normal"/>
    <w:link w:val="PlainTextChar"/>
    <w:uiPriority w:val="99"/>
    <w:semiHidden/>
    <w:unhideWhenUsed/>
    <w:rsid w:val="00D56B82"/>
    <w:pPr>
      <w:spacing w:after="0" w:line="240" w:lineRule="auto"/>
    </w:pPr>
    <w:rPr>
      <w:rFonts w:ascii="Consolas" w:eastAsiaTheme="minorEastAsia" w:hAnsi="Consolas"/>
      <w:sz w:val="21"/>
      <w:szCs w:val="21"/>
      <w:lang w:eastAsia="en-AU"/>
    </w:rPr>
  </w:style>
  <w:style w:type="character" w:customStyle="1" w:styleId="PlainTextChar">
    <w:name w:val="Plain Text Char"/>
    <w:basedOn w:val="DefaultParagraphFont"/>
    <w:link w:val="PlainText"/>
    <w:uiPriority w:val="99"/>
    <w:semiHidden/>
    <w:rsid w:val="00D56B82"/>
    <w:rPr>
      <w:rFonts w:ascii="Consolas" w:eastAsiaTheme="minorEastAsia" w:hAnsi="Consolas"/>
      <w:sz w:val="21"/>
      <w:szCs w:val="21"/>
      <w:lang w:eastAsia="en-AU"/>
    </w:rPr>
  </w:style>
  <w:style w:type="paragraph" w:customStyle="1" w:styleId="Quote1">
    <w:name w:val="Quote1"/>
    <w:basedOn w:val="Normal"/>
    <w:next w:val="Normal"/>
    <w:uiPriority w:val="29"/>
    <w:qFormat/>
    <w:rsid w:val="00D56B82"/>
    <w:pPr>
      <w:spacing w:before="200" w:after="160" w:line="276" w:lineRule="auto"/>
      <w:ind w:left="864" w:right="864"/>
      <w:jc w:val="center"/>
    </w:pPr>
    <w:rPr>
      <w:rFonts w:ascii="Century Gothic" w:eastAsiaTheme="minorEastAsia" w:hAnsi="Century Gothic"/>
      <w:i/>
      <w:iCs/>
      <w:color w:val="404040"/>
      <w:sz w:val="18"/>
      <w:szCs w:val="18"/>
      <w:lang w:eastAsia="en-AU"/>
    </w:rPr>
  </w:style>
  <w:style w:type="paragraph" w:styleId="Signature">
    <w:name w:val="Signature"/>
    <w:basedOn w:val="Normal"/>
    <w:link w:val="SignatureChar"/>
    <w:uiPriority w:val="99"/>
    <w:semiHidden/>
    <w:unhideWhenUsed/>
    <w:rsid w:val="00D56B82"/>
    <w:pPr>
      <w:spacing w:after="0" w:line="240" w:lineRule="auto"/>
      <w:ind w:left="4252"/>
    </w:pPr>
    <w:rPr>
      <w:rFonts w:ascii="Century Gothic" w:eastAsiaTheme="minorEastAsia" w:hAnsi="Century Gothic"/>
      <w:sz w:val="18"/>
      <w:szCs w:val="18"/>
      <w:lang w:eastAsia="en-AU"/>
    </w:rPr>
  </w:style>
  <w:style w:type="character" w:customStyle="1" w:styleId="SignatureChar">
    <w:name w:val="Signature Char"/>
    <w:basedOn w:val="DefaultParagraphFont"/>
    <w:link w:val="Signature"/>
    <w:uiPriority w:val="99"/>
    <w:semiHidden/>
    <w:rsid w:val="00D56B82"/>
    <w:rPr>
      <w:rFonts w:ascii="Century Gothic" w:eastAsiaTheme="minorEastAsia" w:hAnsi="Century Gothic"/>
      <w:sz w:val="18"/>
      <w:szCs w:val="18"/>
      <w:lang w:eastAsia="en-AU"/>
    </w:rPr>
  </w:style>
  <w:style w:type="paragraph" w:styleId="BodyTextFirstIndent">
    <w:name w:val="Body Text First Indent"/>
    <w:basedOn w:val="BodyText"/>
    <w:link w:val="BodyTextFirstIndentChar1"/>
    <w:uiPriority w:val="99"/>
    <w:semiHidden/>
    <w:unhideWhenUsed/>
    <w:rsid w:val="00D56B82"/>
    <w:pPr>
      <w:spacing w:after="120" w:line="276" w:lineRule="auto"/>
      <w:ind w:firstLine="360"/>
    </w:pPr>
    <w:rPr>
      <w:rFonts w:ascii="Century Gothic" w:eastAsiaTheme="minorEastAsia" w:hAnsi="Century Gothic"/>
      <w:i/>
      <w:color w:val="0070C0"/>
      <w:sz w:val="18"/>
      <w:szCs w:val="18"/>
      <w:lang w:eastAsia="en-AU"/>
    </w:rPr>
  </w:style>
  <w:style w:type="character" w:customStyle="1" w:styleId="BodyTextFirstIndentChar1">
    <w:name w:val="Body Text First Indent Char1"/>
    <w:basedOn w:val="BodyTextChar"/>
    <w:link w:val="BodyTextFirstIndent"/>
    <w:uiPriority w:val="99"/>
    <w:semiHidden/>
    <w:rsid w:val="00D56B82"/>
    <w:rPr>
      <w:rFonts w:ascii="Century Gothic" w:eastAsiaTheme="minorEastAsia" w:hAnsi="Century Gothic"/>
      <w:i/>
      <w:color w:val="0070C0"/>
      <w:sz w:val="18"/>
      <w:szCs w:val="18"/>
      <w:lang w:eastAsia="en-AU"/>
    </w:rPr>
  </w:style>
  <w:style w:type="paragraph" w:styleId="BodyTextFirstIndent2">
    <w:name w:val="Body Text First Indent 2"/>
    <w:basedOn w:val="BodyTextIndent"/>
    <w:link w:val="BodyTextFirstIndent2Char1"/>
    <w:uiPriority w:val="99"/>
    <w:semiHidden/>
    <w:unhideWhenUsed/>
    <w:rsid w:val="00D56B82"/>
    <w:pPr>
      <w:widowControl/>
      <w:spacing w:before="0" w:after="240"/>
      <w:ind w:left="360" w:firstLine="360"/>
    </w:pPr>
    <w:rPr>
      <w:rFonts w:ascii="Century Gothic" w:eastAsiaTheme="minorEastAsia" w:hAnsi="Century Gothic" w:cstheme="minorBidi"/>
      <w:sz w:val="18"/>
    </w:rPr>
  </w:style>
  <w:style w:type="character" w:customStyle="1" w:styleId="BodyTextFirstIndent2Char1">
    <w:name w:val="Body Text First Indent 2 Char1"/>
    <w:basedOn w:val="BodyTextIndentChar"/>
    <w:link w:val="BodyTextFirstIndent2"/>
    <w:uiPriority w:val="99"/>
    <w:semiHidden/>
    <w:rsid w:val="00D56B82"/>
    <w:rPr>
      <w:rFonts w:ascii="Century Gothic" w:eastAsiaTheme="minorEastAsia" w:hAnsi="Century Gothic" w:cs="Times New Roman"/>
      <w:sz w:val="18"/>
      <w:szCs w:val="18"/>
      <w:lang w:eastAsia="en-AU"/>
    </w:rPr>
  </w:style>
  <w:style w:type="paragraph" w:styleId="EnvelopeAddress">
    <w:name w:val="envelope address"/>
    <w:basedOn w:val="Normal"/>
    <w:uiPriority w:val="99"/>
    <w:semiHidden/>
    <w:unhideWhenUsed/>
    <w:rsid w:val="00D56B8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lang w:eastAsia="en-AU"/>
    </w:rPr>
  </w:style>
  <w:style w:type="paragraph" w:styleId="EnvelopeReturn">
    <w:name w:val="envelope return"/>
    <w:basedOn w:val="Normal"/>
    <w:uiPriority w:val="99"/>
    <w:semiHidden/>
    <w:unhideWhenUsed/>
    <w:rsid w:val="00D56B82"/>
    <w:pPr>
      <w:spacing w:after="0" w:line="240" w:lineRule="auto"/>
    </w:pPr>
    <w:rPr>
      <w:rFonts w:asciiTheme="majorHAnsi" w:eastAsiaTheme="majorEastAsia" w:hAnsiTheme="majorHAnsi" w:cstheme="majorBidi"/>
      <w:szCs w:val="20"/>
      <w:lang w:eastAsia="en-AU"/>
    </w:rPr>
  </w:style>
  <w:style w:type="paragraph" w:styleId="MessageHeader">
    <w:name w:val="Message Header"/>
    <w:basedOn w:val="Normal"/>
    <w:link w:val="MessageHeaderChar1"/>
    <w:uiPriority w:val="99"/>
    <w:semiHidden/>
    <w:unhideWhenUsed/>
    <w:rsid w:val="00D56B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eastAsia="en-AU"/>
    </w:rPr>
  </w:style>
  <w:style w:type="character" w:customStyle="1" w:styleId="MessageHeaderChar1">
    <w:name w:val="Message Header Char1"/>
    <w:basedOn w:val="DefaultParagraphFont"/>
    <w:link w:val="MessageHeader"/>
    <w:uiPriority w:val="99"/>
    <w:semiHidden/>
    <w:rsid w:val="00D56B82"/>
    <w:rPr>
      <w:rFonts w:asciiTheme="majorHAnsi" w:eastAsiaTheme="majorEastAsia" w:hAnsiTheme="majorHAnsi" w:cstheme="majorBidi"/>
      <w:sz w:val="24"/>
      <w:szCs w:val="24"/>
      <w:shd w:val="pct20" w:color="auto" w:fill="auto"/>
      <w:lang w:eastAsia="en-AU"/>
    </w:rPr>
  </w:style>
  <w:style w:type="character" w:customStyle="1" w:styleId="QuoteChar1">
    <w:name w:val="Quote Char1"/>
    <w:basedOn w:val="DefaultParagraphFont"/>
    <w:uiPriority w:val="29"/>
    <w:rsid w:val="00D56B82"/>
    <w:rPr>
      <w:rFonts w:ascii="Century Gothic" w:hAnsi="Century Gothic"/>
      <w:i/>
      <w:iCs/>
      <w:color w:val="707071" w:themeColor="text1" w:themeTint="BF"/>
      <w:lang w:val="en-AU" w:eastAsia="en-AU" w:bidi="ar-SA"/>
    </w:rPr>
  </w:style>
  <w:style w:type="table" w:customStyle="1" w:styleId="TableGrid9">
    <w:name w:val="Table Grid9"/>
    <w:basedOn w:val="TableNormal"/>
    <w:next w:val="TableGrid"/>
    <w:uiPriority w:val="39"/>
    <w:rsid w:val="00D56B82"/>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LAHeading3">
    <w:name w:val="DLA Heading3"/>
    <w:basedOn w:val="Heading2"/>
    <w:next w:val="Normal"/>
    <w:link w:val="DLAHeading3Char"/>
    <w:autoRedefine/>
    <w:locked/>
    <w:rsid w:val="000D18A4"/>
    <w:pPr>
      <w:numPr>
        <w:ilvl w:val="2"/>
        <w:numId w:val="29"/>
      </w:numPr>
      <w:tabs>
        <w:tab w:val="num" w:pos="1430"/>
        <w:tab w:val="num" w:pos="2558"/>
      </w:tabs>
      <w:spacing w:before="0" w:after="120" w:line="288" w:lineRule="auto"/>
      <w:ind w:right="282"/>
      <w:jc w:val="both"/>
      <w:outlineLvl w:val="2"/>
    </w:pPr>
    <w:rPr>
      <w:rFonts w:asciiTheme="minorHAnsi" w:eastAsia="Calibri" w:hAnsiTheme="minorHAnsi" w:cs="Arial"/>
      <w:iCs/>
      <w:color w:val="0076C0"/>
      <w:sz w:val="40"/>
      <w:szCs w:val="40"/>
    </w:rPr>
  </w:style>
  <w:style w:type="paragraph" w:customStyle="1" w:styleId="DLAHEADING1">
    <w:name w:val="DLA HEADING1"/>
    <w:basedOn w:val="Heading1"/>
    <w:next w:val="Normal"/>
    <w:link w:val="DLAHEADING1Char"/>
    <w:autoRedefine/>
    <w:locked/>
    <w:rsid w:val="00D56B82"/>
    <w:pPr>
      <w:numPr>
        <w:numId w:val="29"/>
      </w:numPr>
      <w:tabs>
        <w:tab w:val="num" w:pos="856"/>
        <w:tab w:val="num" w:pos="2558"/>
      </w:tabs>
      <w:spacing w:after="360" w:line="360" w:lineRule="exact"/>
      <w:jc w:val="both"/>
    </w:pPr>
    <w:rPr>
      <w:rFonts w:cs="Arial"/>
      <w:bCs/>
      <w:caps/>
      <w:color w:val="0076C0"/>
      <w:kern w:val="32"/>
      <w:sz w:val="28"/>
      <w:lang w:eastAsia="en-AU"/>
    </w:rPr>
  </w:style>
  <w:style w:type="paragraph" w:customStyle="1" w:styleId="DLAHeading2">
    <w:name w:val="DLA Heading2"/>
    <w:basedOn w:val="Heading2"/>
    <w:next w:val="Normal"/>
    <w:link w:val="DLAHeading2Char"/>
    <w:autoRedefine/>
    <w:locked/>
    <w:rsid w:val="0077300B"/>
  </w:style>
  <w:style w:type="paragraph" w:customStyle="1" w:styleId="paragraph">
    <w:name w:val="paragraph"/>
    <w:aliases w:val="a"/>
    <w:basedOn w:val="Normal"/>
    <w:link w:val="paragraphChar"/>
    <w:rsid w:val="00D56B82"/>
    <w:pPr>
      <w:tabs>
        <w:tab w:val="right" w:pos="1531"/>
      </w:tabs>
      <w:spacing w:before="40" w:after="0" w:line="240" w:lineRule="auto"/>
      <w:ind w:left="1644" w:hanging="1644"/>
    </w:pPr>
    <w:rPr>
      <w:rFonts w:ascii="Times New Roman" w:eastAsia="Times New Roman" w:hAnsi="Times New Roman" w:cs="Times New Roman"/>
      <w:sz w:val="22"/>
      <w:szCs w:val="20"/>
      <w:lang w:eastAsia="en-AU"/>
    </w:rPr>
  </w:style>
  <w:style w:type="character" w:customStyle="1" w:styleId="paragraphChar">
    <w:name w:val="paragraph Char"/>
    <w:aliases w:val="a Char"/>
    <w:link w:val="paragraph"/>
    <w:locked/>
    <w:rsid w:val="00D56B82"/>
    <w:rPr>
      <w:rFonts w:ascii="Times New Roman" w:eastAsia="Times New Roman" w:hAnsi="Times New Roman" w:cs="Times New Roman"/>
      <w:szCs w:val="20"/>
      <w:lang w:eastAsia="en-AU"/>
    </w:rPr>
  </w:style>
  <w:style w:type="character" w:customStyle="1" w:styleId="Mention1">
    <w:name w:val="Mention1"/>
    <w:basedOn w:val="DefaultParagraphFont"/>
    <w:uiPriority w:val="99"/>
    <w:semiHidden/>
    <w:unhideWhenUsed/>
    <w:rsid w:val="00D56B82"/>
    <w:rPr>
      <w:color w:val="2B579A"/>
      <w:shd w:val="clear" w:color="auto" w:fill="E6E6E6"/>
    </w:rPr>
  </w:style>
  <w:style w:type="character" w:customStyle="1" w:styleId="Mention2">
    <w:name w:val="Mention2"/>
    <w:basedOn w:val="DefaultParagraphFont"/>
    <w:uiPriority w:val="99"/>
    <w:semiHidden/>
    <w:unhideWhenUsed/>
    <w:rsid w:val="00D56B82"/>
    <w:rPr>
      <w:color w:val="2B579A"/>
      <w:shd w:val="clear" w:color="auto" w:fill="E6E6E6"/>
    </w:rPr>
  </w:style>
  <w:style w:type="table" w:customStyle="1" w:styleId="ListTable3-Accent132">
    <w:name w:val="List Table 3 - Accent 132"/>
    <w:basedOn w:val="TableNormal"/>
    <w:next w:val="ListTable3-Accent12"/>
    <w:uiPriority w:val="48"/>
    <w:rsid w:val="00D56B82"/>
    <w:pPr>
      <w:spacing w:after="0" w:line="240" w:lineRule="auto"/>
    </w:pPr>
    <w:rPr>
      <w:rFonts w:eastAsia="Arial"/>
    </w:rPr>
    <w:tblPr>
      <w:tblStyleRowBandSize w:val="1"/>
      <w:tblStyleColBandSize w:val="1"/>
      <w:tblBorders>
        <w:top w:val="single" w:sz="4" w:space="0" w:color="0076C0"/>
        <w:left w:val="single" w:sz="4" w:space="0" w:color="0076C0"/>
        <w:bottom w:val="single" w:sz="4" w:space="0" w:color="0076C0"/>
        <w:right w:val="single" w:sz="4" w:space="0" w:color="0076C0"/>
      </w:tblBorders>
    </w:tblPr>
    <w:tblStylePr w:type="firstRow">
      <w:rPr>
        <w:b/>
        <w:bCs/>
        <w:color w:val="FFFFFF"/>
      </w:rPr>
      <w:tblPr/>
      <w:tcPr>
        <w:shd w:val="clear" w:color="auto" w:fill="0076C0"/>
      </w:tcPr>
    </w:tblStylePr>
    <w:tblStylePr w:type="lastRow">
      <w:rPr>
        <w:b/>
        <w:bCs/>
      </w:rPr>
      <w:tblPr/>
      <w:tcPr>
        <w:tcBorders>
          <w:top w:val="double" w:sz="4" w:space="0" w:color="007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76C0"/>
          <w:right w:val="single" w:sz="4" w:space="0" w:color="0076C0"/>
        </w:tcBorders>
      </w:tcPr>
    </w:tblStylePr>
    <w:tblStylePr w:type="band1Horz">
      <w:tblPr/>
      <w:tcPr>
        <w:tcBorders>
          <w:top w:val="single" w:sz="4" w:space="0" w:color="0076C0"/>
          <w:bottom w:val="single" w:sz="4" w:space="0" w:color="007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C0"/>
          <w:left w:val="nil"/>
        </w:tcBorders>
      </w:tcPr>
    </w:tblStylePr>
    <w:tblStylePr w:type="swCell">
      <w:tblPr/>
      <w:tcPr>
        <w:tcBorders>
          <w:top w:val="double" w:sz="4" w:space="0" w:color="0076C0"/>
          <w:right w:val="nil"/>
        </w:tcBorders>
      </w:tcPr>
    </w:tblStylePr>
  </w:style>
  <w:style w:type="table" w:customStyle="1" w:styleId="ListTable3-Accent133">
    <w:name w:val="List Table 3 - Accent 133"/>
    <w:basedOn w:val="TableNormal"/>
    <w:next w:val="ListTable3-Accent12"/>
    <w:uiPriority w:val="48"/>
    <w:rsid w:val="00D56B82"/>
    <w:pPr>
      <w:spacing w:after="0" w:line="240" w:lineRule="auto"/>
    </w:pPr>
    <w:rPr>
      <w:rFonts w:eastAsia="Arial"/>
    </w:rPr>
    <w:tblPr>
      <w:tblStyleRowBandSize w:val="1"/>
      <w:tblStyleColBandSize w:val="1"/>
      <w:tblBorders>
        <w:top w:val="single" w:sz="4" w:space="0" w:color="0076C0"/>
        <w:left w:val="single" w:sz="4" w:space="0" w:color="0076C0"/>
        <w:bottom w:val="single" w:sz="4" w:space="0" w:color="0076C0"/>
        <w:right w:val="single" w:sz="4" w:space="0" w:color="0076C0"/>
      </w:tblBorders>
    </w:tblPr>
    <w:tblStylePr w:type="firstRow">
      <w:rPr>
        <w:b/>
        <w:bCs/>
        <w:color w:val="FFFFFF"/>
      </w:rPr>
      <w:tblPr/>
      <w:tcPr>
        <w:shd w:val="clear" w:color="auto" w:fill="0076C0"/>
      </w:tcPr>
    </w:tblStylePr>
    <w:tblStylePr w:type="lastRow">
      <w:rPr>
        <w:b/>
        <w:bCs/>
      </w:rPr>
      <w:tblPr/>
      <w:tcPr>
        <w:tcBorders>
          <w:top w:val="double" w:sz="4" w:space="0" w:color="007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76C0"/>
          <w:right w:val="single" w:sz="4" w:space="0" w:color="0076C0"/>
        </w:tcBorders>
      </w:tcPr>
    </w:tblStylePr>
    <w:tblStylePr w:type="band1Horz">
      <w:tblPr/>
      <w:tcPr>
        <w:tcBorders>
          <w:top w:val="single" w:sz="4" w:space="0" w:color="0076C0"/>
          <w:bottom w:val="single" w:sz="4" w:space="0" w:color="007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C0"/>
          <w:left w:val="nil"/>
        </w:tcBorders>
      </w:tcPr>
    </w:tblStylePr>
    <w:tblStylePr w:type="swCell">
      <w:tblPr/>
      <w:tcPr>
        <w:tcBorders>
          <w:top w:val="double" w:sz="4" w:space="0" w:color="0076C0"/>
          <w:right w:val="nil"/>
        </w:tcBorders>
      </w:tcPr>
    </w:tblStylePr>
  </w:style>
  <w:style w:type="table" w:customStyle="1" w:styleId="ListTable3-Accent134">
    <w:name w:val="List Table 3 - Accent 134"/>
    <w:basedOn w:val="TableNormal"/>
    <w:next w:val="ListTable3-Accent12"/>
    <w:uiPriority w:val="48"/>
    <w:rsid w:val="00D56B82"/>
    <w:pPr>
      <w:spacing w:after="0" w:line="240" w:lineRule="auto"/>
    </w:pPr>
    <w:rPr>
      <w:rFonts w:eastAsia="Arial"/>
    </w:rPr>
    <w:tblPr>
      <w:tblStyleRowBandSize w:val="1"/>
      <w:tblStyleColBandSize w:val="1"/>
      <w:tblBorders>
        <w:top w:val="single" w:sz="4" w:space="0" w:color="0076C0"/>
        <w:left w:val="single" w:sz="4" w:space="0" w:color="0076C0"/>
        <w:bottom w:val="single" w:sz="4" w:space="0" w:color="0076C0"/>
        <w:right w:val="single" w:sz="4" w:space="0" w:color="0076C0"/>
      </w:tblBorders>
    </w:tblPr>
    <w:tblStylePr w:type="firstRow">
      <w:rPr>
        <w:b/>
        <w:bCs/>
        <w:color w:val="FFFFFF"/>
      </w:rPr>
      <w:tblPr/>
      <w:tcPr>
        <w:shd w:val="clear" w:color="auto" w:fill="0076C0"/>
      </w:tcPr>
    </w:tblStylePr>
    <w:tblStylePr w:type="lastRow">
      <w:rPr>
        <w:b/>
        <w:bCs/>
      </w:rPr>
      <w:tblPr/>
      <w:tcPr>
        <w:tcBorders>
          <w:top w:val="double" w:sz="4" w:space="0" w:color="007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76C0"/>
          <w:right w:val="single" w:sz="4" w:space="0" w:color="0076C0"/>
        </w:tcBorders>
      </w:tcPr>
    </w:tblStylePr>
    <w:tblStylePr w:type="band1Horz">
      <w:tblPr/>
      <w:tcPr>
        <w:tcBorders>
          <w:top w:val="single" w:sz="4" w:space="0" w:color="0076C0"/>
          <w:bottom w:val="single" w:sz="4" w:space="0" w:color="007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C0"/>
          <w:left w:val="nil"/>
        </w:tcBorders>
      </w:tcPr>
    </w:tblStylePr>
    <w:tblStylePr w:type="swCell">
      <w:tblPr/>
      <w:tcPr>
        <w:tcBorders>
          <w:top w:val="double" w:sz="4" w:space="0" w:color="0076C0"/>
          <w:right w:val="nil"/>
        </w:tcBorders>
      </w:tcPr>
    </w:tblStylePr>
  </w:style>
  <w:style w:type="table" w:customStyle="1" w:styleId="ListTable3-Accent135">
    <w:name w:val="List Table 3 - Accent 135"/>
    <w:basedOn w:val="TableNormal"/>
    <w:next w:val="ListTable3-Accent12"/>
    <w:uiPriority w:val="48"/>
    <w:rsid w:val="00D56B82"/>
    <w:pPr>
      <w:spacing w:after="0" w:line="240" w:lineRule="auto"/>
    </w:pPr>
    <w:rPr>
      <w:rFonts w:eastAsia="Arial"/>
    </w:rPr>
    <w:tblPr>
      <w:tblStyleRowBandSize w:val="1"/>
      <w:tblStyleColBandSize w:val="1"/>
      <w:tblBorders>
        <w:top w:val="single" w:sz="4" w:space="0" w:color="0076C0"/>
        <w:left w:val="single" w:sz="4" w:space="0" w:color="0076C0"/>
        <w:bottom w:val="single" w:sz="4" w:space="0" w:color="0076C0"/>
        <w:right w:val="single" w:sz="4" w:space="0" w:color="0076C0"/>
      </w:tblBorders>
    </w:tblPr>
    <w:tblStylePr w:type="firstRow">
      <w:rPr>
        <w:b/>
        <w:bCs/>
        <w:color w:val="FFFFFF"/>
      </w:rPr>
      <w:tblPr/>
      <w:tcPr>
        <w:shd w:val="clear" w:color="auto" w:fill="0076C0"/>
      </w:tcPr>
    </w:tblStylePr>
    <w:tblStylePr w:type="lastRow">
      <w:rPr>
        <w:b/>
        <w:bCs/>
      </w:rPr>
      <w:tblPr/>
      <w:tcPr>
        <w:tcBorders>
          <w:top w:val="double" w:sz="4" w:space="0" w:color="007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76C0"/>
          <w:right w:val="single" w:sz="4" w:space="0" w:color="0076C0"/>
        </w:tcBorders>
      </w:tcPr>
    </w:tblStylePr>
    <w:tblStylePr w:type="band1Horz">
      <w:tblPr/>
      <w:tcPr>
        <w:tcBorders>
          <w:top w:val="single" w:sz="4" w:space="0" w:color="0076C0"/>
          <w:bottom w:val="single" w:sz="4" w:space="0" w:color="007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C0"/>
          <w:left w:val="nil"/>
        </w:tcBorders>
      </w:tcPr>
    </w:tblStylePr>
    <w:tblStylePr w:type="swCell">
      <w:tblPr/>
      <w:tcPr>
        <w:tcBorders>
          <w:top w:val="double" w:sz="4" w:space="0" w:color="0076C0"/>
          <w:right w:val="nil"/>
        </w:tcBorders>
      </w:tcPr>
    </w:tblStylePr>
  </w:style>
  <w:style w:type="numbering" w:customStyle="1" w:styleId="PacEnvNumberedHeadings1">
    <w:name w:val="Pac Env Numbered Headings1"/>
    <w:uiPriority w:val="99"/>
    <w:rsid w:val="00D56B82"/>
    <w:pPr>
      <w:numPr>
        <w:numId w:val="40"/>
      </w:numPr>
    </w:pPr>
  </w:style>
  <w:style w:type="numbering" w:customStyle="1" w:styleId="PacEnvNumberedHeadings2">
    <w:name w:val="Pac Env Numbered Headings2"/>
    <w:uiPriority w:val="99"/>
    <w:rsid w:val="00D56B82"/>
  </w:style>
  <w:style w:type="table" w:customStyle="1" w:styleId="ListTable3-Accent1211">
    <w:name w:val="List Table 3 - Accent 1211"/>
    <w:basedOn w:val="TableNormal"/>
    <w:next w:val="ListTable3-Accent12"/>
    <w:uiPriority w:val="48"/>
    <w:rsid w:val="00D56B82"/>
    <w:pPr>
      <w:spacing w:after="0" w:line="240" w:lineRule="auto"/>
    </w:pPr>
    <w:rPr>
      <w:rFonts w:eastAsia="Arial"/>
    </w:rPr>
    <w:tblPr>
      <w:tblStyleRowBandSize w:val="1"/>
      <w:tblStyleColBandSize w:val="1"/>
      <w:tblBorders>
        <w:top w:val="single" w:sz="4" w:space="0" w:color="0076C0"/>
        <w:left w:val="single" w:sz="4" w:space="0" w:color="0076C0"/>
        <w:bottom w:val="single" w:sz="4" w:space="0" w:color="0076C0"/>
        <w:right w:val="single" w:sz="4" w:space="0" w:color="0076C0"/>
      </w:tblBorders>
    </w:tblPr>
    <w:tblStylePr w:type="firstRow">
      <w:rPr>
        <w:b/>
        <w:bCs/>
        <w:color w:val="FFFFFF"/>
      </w:rPr>
      <w:tblPr/>
      <w:tcPr>
        <w:shd w:val="clear" w:color="auto" w:fill="0076C0"/>
      </w:tcPr>
    </w:tblStylePr>
    <w:tblStylePr w:type="lastRow">
      <w:rPr>
        <w:b/>
        <w:bCs/>
      </w:rPr>
      <w:tblPr/>
      <w:tcPr>
        <w:tcBorders>
          <w:top w:val="double" w:sz="4" w:space="0" w:color="007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76C0"/>
          <w:right w:val="single" w:sz="4" w:space="0" w:color="0076C0"/>
        </w:tcBorders>
      </w:tcPr>
    </w:tblStylePr>
    <w:tblStylePr w:type="band1Horz">
      <w:tblPr/>
      <w:tcPr>
        <w:tcBorders>
          <w:top w:val="single" w:sz="4" w:space="0" w:color="0076C0"/>
          <w:bottom w:val="single" w:sz="4" w:space="0" w:color="007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C0"/>
          <w:left w:val="nil"/>
        </w:tcBorders>
      </w:tcPr>
    </w:tblStylePr>
    <w:tblStylePr w:type="swCell">
      <w:tblPr/>
      <w:tcPr>
        <w:tcBorders>
          <w:top w:val="double" w:sz="4" w:space="0" w:color="0076C0"/>
          <w:right w:val="nil"/>
        </w:tcBorders>
      </w:tcPr>
    </w:tblStylePr>
  </w:style>
  <w:style w:type="numbering" w:customStyle="1" w:styleId="PacEnvNumberedHeadings3">
    <w:name w:val="Pac Env Numbered Headings3"/>
    <w:uiPriority w:val="99"/>
    <w:rsid w:val="00D56B82"/>
  </w:style>
  <w:style w:type="numbering" w:customStyle="1" w:styleId="PacEnvNumberedHeadings4">
    <w:name w:val="Pac Env Numbered Headings4"/>
    <w:uiPriority w:val="99"/>
    <w:rsid w:val="00D56B82"/>
  </w:style>
  <w:style w:type="table" w:customStyle="1" w:styleId="LightList-Accent111">
    <w:name w:val="Light List - Accent 111"/>
    <w:basedOn w:val="TableNormal"/>
    <w:uiPriority w:val="61"/>
    <w:rsid w:val="00D56B82"/>
    <w:pPr>
      <w:spacing w:after="0" w:line="240" w:lineRule="auto"/>
    </w:pPr>
    <w:rPr>
      <w:rFonts w:ascii="Cambria" w:eastAsia="PMingLiU" w:hAnsi="Cambria"/>
      <w:sz w:val="18"/>
      <w:szCs w:val="18"/>
      <w:lang w:val="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PacEnvTablewithHeader1">
    <w:name w:val="Pac Env Table with Header1"/>
    <w:basedOn w:val="TableNormal"/>
    <w:uiPriority w:val="99"/>
    <w:rsid w:val="00D56B82"/>
    <w:pPr>
      <w:spacing w:before="60" w:after="60" w:line="240" w:lineRule="auto"/>
    </w:pPr>
    <w:rPr>
      <w:rFonts w:ascii="Source Sans Pro" w:hAnsi="Source Sans Pro"/>
      <w:color w:val="1F497D"/>
      <w:sz w:val="18"/>
    </w:rPr>
    <w:tblPr>
      <w:tblStyleRowBandSize w:val="1"/>
      <w:tblInd w:w="284" w:type="dxa"/>
      <w:tblCellMar>
        <w:left w:w="284" w:type="dxa"/>
        <w:right w:w="170" w:type="dxa"/>
      </w:tblCellMar>
    </w:tblPr>
    <w:trPr>
      <w:cantSplit/>
    </w:trPr>
    <w:tblStylePr w:type="firstRow">
      <w:pPr>
        <w:wordWrap/>
        <w:spacing w:beforeLines="0" w:before="60" w:beforeAutospacing="0" w:afterLines="0" w:after="60" w:afterAutospacing="0" w:line="280" w:lineRule="exact"/>
        <w:ind w:leftChars="0" w:left="0" w:rightChars="0" w:right="0" w:firstLineChars="0" w:firstLine="0"/>
        <w:contextualSpacing w:val="0"/>
        <w:mirrorIndents w:val="0"/>
        <w:jc w:val="left"/>
        <w:outlineLvl w:val="9"/>
      </w:pPr>
      <w:rPr>
        <w:rFonts w:ascii="Marlett" w:hAnsi="Marlett"/>
        <w:color w:val="FFFFFF"/>
        <w:sz w:val="18"/>
      </w:rPr>
      <w:tblPr/>
      <w:tcPr>
        <w:shd w:val="clear" w:color="auto" w:fill="606372"/>
      </w:tcPr>
    </w:tblStylePr>
    <w:tblStylePr w:type="band1Horz">
      <w:pPr>
        <w:wordWrap/>
        <w:spacing w:beforeLines="0" w:before="0" w:beforeAutospacing="0" w:afterLines="0" w:after="0" w:afterAutospacing="0" w:line="280" w:lineRule="exact"/>
        <w:ind w:leftChars="0" w:left="0" w:rightChars="0" w:right="0" w:firstLineChars="0" w:firstLine="0"/>
        <w:contextualSpacing w:val="0"/>
        <w:mirrorIndents w:val="0"/>
        <w:outlineLvl w:val="9"/>
      </w:pPr>
      <w:rPr>
        <w:rFonts w:ascii="Marlett" w:hAnsi="Marlett"/>
        <w:color w:val="676668"/>
        <w:sz w:val="16"/>
      </w:rPr>
      <w:tblPr/>
      <w:tcPr>
        <w:tcBorders>
          <w:top w:val="nil"/>
          <w:left w:val="nil"/>
          <w:bottom w:val="single" w:sz="4" w:space="0" w:color="DEE1E0"/>
          <w:right w:val="nil"/>
          <w:insideH w:val="single" w:sz="4" w:space="0" w:color="DEE1E0"/>
          <w:insideV w:val="nil"/>
          <w:tl2br w:val="nil"/>
          <w:tr2bl w:val="nil"/>
        </w:tcBorders>
        <w:shd w:val="clear" w:color="auto" w:fill="FFFFFF"/>
      </w:tcPr>
    </w:tblStylePr>
    <w:tblStylePr w:type="band2Horz">
      <w:pPr>
        <w:wordWrap/>
        <w:spacing w:beforeLines="0" w:before="0" w:beforeAutospacing="0" w:afterLines="0" w:after="0" w:afterAutospacing="0" w:line="280" w:lineRule="exact"/>
        <w:ind w:leftChars="0" w:left="0" w:rightChars="0" w:right="0" w:firstLineChars="0" w:firstLine="0"/>
        <w:contextualSpacing w:val="0"/>
        <w:mirrorIndents w:val="0"/>
        <w:jc w:val="left"/>
        <w:outlineLvl w:val="9"/>
      </w:pPr>
      <w:rPr>
        <w:rFonts w:ascii="Marlett" w:hAnsi="Marlett"/>
        <w:color w:val="676668"/>
        <w:sz w:val="16"/>
      </w:rPr>
      <w:tblPr/>
      <w:tcPr>
        <w:tcBorders>
          <w:top w:val="nil"/>
          <w:left w:val="nil"/>
          <w:bottom w:val="single" w:sz="4" w:space="0" w:color="DEE1E0"/>
          <w:right w:val="nil"/>
          <w:insideH w:val="single" w:sz="4" w:space="0" w:color="DEE1E0"/>
          <w:insideV w:val="nil"/>
          <w:tl2br w:val="nil"/>
          <w:tr2bl w:val="nil"/>
        </w:tcBorders>
        <w:shd w:val="clear" w:color="auto" w:fill="F0F7FB"/>
      </w:tcPr>
    </w:tblStylePr>
  </w:style>
  <w:style w:type="numbering" w:customStyle="1" w:styleId="PacEnvNumberedHeadings5">
    <w:name w:val="Pac Env Numbered Headings5"/>
    <w:uiPriority w:val="99"/>
    <w:rsid w:val="00D56B82"/>
  </w:style>
  <w:style w:type="table" w:customStyle="1" w:styleId="ListTable3-Accent111">
    <w:name w:val="List Table 3 - Accent 111"/>
    <w:basedOn w:val="TableNormal"/>
    <w:uiPriority w:val="48"/>
    <w:rsid w:val="00D56B82"/>
    <w:pPr>
      <w:spacing w:after="0" w:line="240" w:lineRule="auto"/>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Table3-Accent136">
    <w:name w:val="List Table 3 - Accent 136"/>
    <w:basedOn w:val="TableNormal"/>
    <w:next w:val="ListTable3-Accent12"/>
    <w:uiPriority w:val="48"/>
    <w:rsid w:val="00D56B82"/>
    <w:pPr>
      <w:spacing w:after="0" w:line="240" w:lineRule="auto"/>
    </w:pPr>
    <w:rPr>
      <w:rFonts w:eastAsia="Arial"/>
    </w:rPr>
    <w:tblPr>
      <w:tblStyleRowBandSize w:val="1"/>
      <w:tblStyleColBandSize w:val="1"/>
      <w:tblBorders>
        <w:top w:val="single" w:sz="4" w:space="0" w:color="0076C0"/>
        <w:left w:val="single" w:sz="4" w:space="0" w:color="0076C0"/>
        <w:bottom w:val="single" w:sz="4" w:space="0" w:color="0076C0"/>
        <w:right w:val="single" w:sz="4" w:space="0" w:color="0076C0"/>
      </w:tblBorders>
    </w:tblPr>
    <w:tblStylePr w:type="firstRow">
      <w:rPr>
        <w:b/>
        <w:bCs/>
        <w:color w:val="FFFFFF"/>
      </w:rPr>
      <w:tblPr/>
      <w:tcPr>
        <w:shd w:val="clear" w:color="auto" w:fill="0076C0"/>
      </w:tcPr>
    </w:tblStylePr>
    <w:tblStylePr w:type="lastRow">
      <w:rPr>
        <w:b/>
        <w:bCs/>
      </w:rPr>
      <w:tblPr/>
      <w:tcPr>
        <w:tcBorders>
          <w:top w:val="double" w:sz="4" w:space="0" w:color="007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76C0"/>
          <w:right w:val="single" w:sz="4" w:space="0" w:color="0076C0"/>
        </w:tcBorders>
      </w:tcPr>
    </w:tblStylePr>
    <w:tblStylePr w:type="band1Horz">
      <w:tblPr/>
      <w:tcPr>
        <w:tcBorders>
          <w:top w:val="single" w:sz="4" w:space="0" w:color="0076C0"/>
          <w:bottom w:val="single" w:sz="4" w:space="0" w:color="007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C0"/>
          <w:left w:val="nil"/>
        </w:tcBorders>
      </w:tcPr>
    </w:tblStylePr>
    <w:tblStylePr w:type="swCell">
      <w:tblPr/>
      <w:tcPr>
        <w:tcBorders>
          <w:top w:val="double" w:sz="4" w:space="0" w:color="0076C0"/>
          <w:right w:val="nil"/>
        </w:tcBorders>
      </w:tcPr>
    </w:tblStylePr>
  </w:style>
  <w:style w:type="table" w:customStyle="1" w:styleId="ListTable3-Accent1212">
    <w:name w:val="List Table 3 - Accent 1212"/>
    <w:basedOn w:val="TableNormal"/>
    <w:next w:val="ListTable3-Accent12"/>
    <w:uiPriority w:val="48"/>
    <w:rsid w:val="00D56B82"/>
    <w:pPr>
      <w:spacing w:after="0" w:line="240" w:lineRule="auto"/>
    </w:pPr>
    <w:rPr>
      <w:rFonts w:eastAsia="Arial"/>
    </w:rPr>
    <w:tblPr>
      <w:tblStyleRowBandSize w:val="1"/>
      <w:tblStyleColBandSize w:val="1"/>
      <w:tblBorders>
        <w:top w:val="single" w:sz="4" w:space="0" w:color="0076C0"/>
        <w:left w:val="single" w:sz="4" w:space="0" w:color="0076C0"/>
        <w:bottom w:val="single" w:sz="4" w:space="0" w:color="0076C0"/>
        <w:right w:val="single" w:sz="4" w:space="0" w:color="0076C0"/>
      </w:tblBorders>
    </w:tblPr>
    <w:tblStylePr w:type="firstRow">
      <w:rPr>
        <w:b/>
        <w:bCs/>
        <w:color w:val="FFFFFF"/>
      </w:rPr>
      <w:tblPr/>
      <w:tcPr>
        <w:shd w:val="clear" w:color="auto" w:fill="0076C0"/>
      </w:tcPr>
    </w:tblStylePr>
    <w:tblStylePr w:type="lastRow">
      <w:rPr>
        <w:b/>
        <w:bCs/>
      </w:rPr>
      <w:tblPr/>
      <w:tcPr>
        <w:tcBorders>
          <w:top w:val="double" w:sz="4" w:space="0" w:color="007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76C0"/>
          <w:right w:val="single" w:sz="4" w:space="0" w:color="0076C0"/>
        </w:tcBorders>
      </w:tcPr>
    </w:tblStylePr>
    <w:tblStylePr w:type="band1Horz">
      <w:tblPr/>
      <w:tcPr>
        <w:tcBorders>
          <w:top w:val="single" w:sz="4" w:space="0" w:color="0076C0"/>
          <w:bottom w:val="single" w:sz="4" w:space="0" w:color="007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C0"/>
          <w:left w:val="nil"/>
        </w:tcBorders>
      </w:tcPr>
    </w:tblStylePr>
    <w:tblStylePr w:type="swCell">
      <w:tblPr/>
      <w:tcPr>
        <w:tcBorders>
          <w:top w:val="double" w:sz="4" w:space="0" w:color="0076C0"/>
          <w:right w:val="nil"/>
        </w:tcBorders>
      </w:tcPr>
    </w:tblStylePr>
  </w:style>
  <w:style w:type="table" w:customStyle="1" w:styleId="ListTable3-Accent142">
    <w:name w:val="List Table 3 - Accent 142"/>
    <w:basedOn w:val="TableNormal"/>
    <w:next w:val="ListTable3-Accent12"/>
    <w:uiPriority w:val="48"/>
    <w:rsid w:val="00D56B82"/>
    <w:pPr>
      <w:spacing w:after="0" w:line="240" w:lineRule="auto"/>
    </w:pPr>
    <w:rPr>
      <w:rFonts w:eastAsia="Arial"/>
    </w:rPr>
    <w:tblPr>
      <w:tblStyleRowBandSize w:val="1"/>
      <w:tblStyleColBandSize w:val="1"/>
      <w:tblBorders>
        <w:top w:val="single" w:sz="4" w:space="0" w:color="0076C0"/>
        <w:left w:val="single" w:sz="4" w:space="0" w:color="0076C0"/>
        <w:bottom w:val="single" w:sz="4" w:space="0" w:color="0076C0"/>
        <w:right w:val="single" w:sz="4" w:space="0" w:color="0076C0"/>
      </w:tblBorders>
    </w:tblPr>
    <w:tblStylePr w:type="firstRow">
      <w:rPr>
        <w:b/>
        <w:bCs/>
        <w:color w:val="FFFFFF"/>
      </w:rPr>
      <w:tblPr/>
      <w:tcPr>
        <w:shd w:val="clear" w:color="auto" w:fill="0076C0"/>
      </w:tcPr>
    </w:tblStylePr>
    <w:tblStylePr w:type="lastRow">
      <w:rPr>
        <w:b/>
        <w:bCs/>
      </w:rPr>
      <w:tblPr/>
      <w:tcPr>
        <w:tcBorders>
          <w:top w:val="double" w:sz="4" w:space="0" w:color="007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76C0"/>
          <w:right w:val="single" w:sz="4" w:space="0" w:color="0076C0"/>
        </w:tcBorders>
      </w:tcPr>
    </w:tblStylePr>
    <w:tblStylePr w:type="band1Horz">
      <w:tblPr/>
      <w:tcPr>
        <w:tcBorders>
          <w:top w:val="single" w:sz="4" w:space="0" w:color="0076C0"/>
          <w:bottom w:val="single" w:sz="4" w:space="0" w:color="007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C0"/>
          <w:left w:val="nil"/>
        </w:tcBorders>
      </w:tcPr>
    </w:tblStylePr>
    <w:tblStylePr w:type="swCell">
      <w:tblPr/>
      <w:tcPr>
        <w:tcBorders>
          <w:top w:val="double" w:sz="4" w:space="0" w:color="0076C0"/>
          <w:right w:val="nil"/>
        </w:tcBorders>
      </w:tcPr>
    </w:tblStylePr>
  </w:style>
  <w:style w:type="table" w:customStyle="1" w:styleId="ListTable3-Accent151">
    <w:name w:val="List Table 3 - Accent 151"/>
    <w:basedOn w:val="TableNormal"/>
    <w:next w:val="ListTable3-Accent12"/>
    <w:uiPriority w:val="48"/>
    <w:rsid w:val="00D56B82"/>
    <w:pPr>
      <w:spacing w:after="0" w:line="240" w:lineRule="auto"/>
    </w:pPr>
    <w:rPr>
      <w:rFonts w:eastAsia="Arial"/>
    </w:rPr>
    <w:tblPr>
      <w:tblStyleRowBandSize w:val="1"/>
      <w:tblStyleColBandSize w:val="1"/>
      <w:tblBorders>
        <w:top w:val="single" w:sz="4" w:space="0" w:color="0076C0"/>
        <w:left w:val="single" w:sz="4" w:space="0" w:color="0076C0"/>
        <w:bottom w:val="single" w:sz="4" w:space="0" w:color="0076C0"/>
        <w:right w:val="single" w:sz="4" w:space="0" w:color="0076C0"/>
      </w:tblBorders>
    </w:tblPr>
    <w:tblStylePr w:type="firstRow">
      <w:rPr>
        <w:b/>
        <w:bCs/>
        <w:color w:val="FFFFFF"/>
      </w:rPr>
      <w:tblPr/>
      <w:tcPr>
        <w:shd w:val="clear" w:color="auto" w:fill="0076C0"/>
      </w:tcPr>
    </w:tblStylePr>
    <w:tblStylePr w:type="lastRow">
      <w:rPr>
        <w:b/>
        <w:bCs/>
      </w:rPr>
      <w:tblPr/>
      <w:tcPr>
        <w:tcBorders>
          <w:top w:val="double" w:sz="4" w:space="0" w:color="007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76C0"/>
          <w:right w:val="single" w:sz="4" w:space="0" w:color="0076C0"/>
        </w:tcBorders>
      </w:tcPr>
    </w:tblStylePr>
    <w:tblStylePr w:type="band1Horz">
      <w:tblPr/>
      <w:tcPr>
        <w:tcBorders>
          <w:top w:val="single" w:sz="4" w:space="0" w:color="0076C0"/>
          <w:bottom w:val="single" w:sz="4" w:space="0" w:color="007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C0"/>
          <w:left w:val="nil"/>
        </w:tcBorders>
      </w:tcPr>
    </w:tblStylePr>
    <w:tblStylePr w:type="swCell">
      <w:tblPr/>
      <w:tcPr>
        <w:tcBorders>
          <w:top w:val="double" w:sz="4" w:space="0" w:color="0076C0"/>
          <w:right w:val="nil"/>
        </w:tcBorders>
      </w:tcPr>
    </w:tblStylePr>
  </w:style>
  <w:style w:type="table" w:customStyle="1" w:styleId="ListTable3-Accent161">
    <w:name w:val="List Table 3 - Accent 161"/>
    <w:basedOn w:val="TableNormal"/>
    <w:next w:val="ListTable3-Accent12"/>
    <w:uiPriority w:val="48"/>
    <w:rsid w:val="00D56B82"/>
    <w:pPr>
      <w:spacing w:after="0" w:line="240" w:lineRule="auto"/>
    </w:pPr>
    <w:rPr>
      <w:rFonts w:eastAsia="Arial"/>
    </w:rPr>
    <w:tblPr>
      <w:tblStyleRowBandSize w:val="1"/>
      <w:tblStyleColBandSize w:val="1"/>
      <w:tblBorders>
        <w:top w:val="single" w:sz="4" w:space="0" w:color="0076C0"/>
        <w:left w:val="single" w:sz="4" w:space="0" w:color="0076C0"/>
        <w:bottom w:val="single" w:sz="4" w:space="0" w:color="0076C0"/>
        <w:right w:val="single" w:sz="4" w:space="0" w:color="0076C0"/>
      </w:tblBorders>
    </w:tblPr>
    <w:tblStylePr w:type="firstRow">
      <w:rPr>
        <w:b/>
        <w:bCs/>
        <w:color w:val="FFFFFF"/>
      </w:rPr>
      <w:tblPr/>
      <w:tcPr>
        <w:shd w:val="clear" w:color="auto" w:fill="0076C0"/>
      </w:tcPr>
    </w:tblStylePr>
    <w:tblStylePr w:type="lastRow">
      <w:rPr>
        <w:b/>
        <w:bCs/>
      </w:rPr>
      <w:tblPr/>
      <w:tcPr>
        <w:tcBorders>
          <w:top w:val="double" w:sz="4" w:space="0" w:color="007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76C0"/>
          <w:right w:val="single" w:sz="4" w:space="0" w:color="0076C0"/>
        </w:tcBorders>
      </w:tcPr>
    </w:tblStylePr>
    <w:tblStylePr w:type="band1Horz">
      <w:tblPr/>
      <w:tcPr>
        <w:tcBorders>
          <w:top w:val="single" w:sz="4" w:space="0" w:color="0076C0"/>
          <w:bottom w:val="single" w:sz="4" w:space="0" w:color="007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C0"/>
          <w:left w:val="nil"/>
        </w:tcBorders>
      </w:tcPr>
    </w:tblStylePr>
    <w:tblStylePr w:type="swCell">
      <w:tblPr/>
      <w:tcPr>
        <w:tcBorders>
          <w:top w:val="double" w:sz="4" w:space="0" w:color="0076C0"/>
          <w:right w:val="nil"/>
        </w:tcBorders>
      </w:tcPr>
    </w:tblStylePr>
  </w:style>
  <w:style w:type="table" w:customStyle="1" w:styleId="ListTable3-Accent171">
    <w:name w:val="List Table 3 - Accent 171"/>
    <w:basedOn w:val="TableNormal"/>
    <w:next w:val="ListTable3-Accent12"/>
    <w:uiPriority w:val="48"/>
    <w:rsid w:val="00D56B82"/>
    <w:pPr>
      <w:spacing w:after="0" w:line="240" w:lineRule="auto"/>
    </w:pPr>
    <w:rPr>
      <w:rFonts w:eastAsia="Arial"/>
    </w:rPr>
    <w:tblPr>
      <w:tblStyleRowBandSize w:val="1"/>
      <w:tblStyleColBandSize w:val="1"/>
      <w:tblBorders>
        <w:top w:val="single" w:sz="4" w:space="0" w:color="0076C0"/>
        <w:left w:val="single" w:sz="4" w:space="0" w:color="0076C0"/>
        <w:bottom w:val="single" w:sz="4" w:space="0" w:color="0076C0"/>
        <w:right w:val="single" w:sz="4" w:space="0" w:color="0076C0"/>
      </w:tblBorders>
    </w:tblPr>
    <w:tblStylePr w:type="firstRow">
      <w:rPr>
        <w:b/>
        <w:bCs/>
        <w:color w:val="FFFFFF"/>
      </w:rPr>
      <w:tblPr/>
      <w:tcPr>
        <w:shd w:val="clear" w:color="auto" w:fill="0076C0"/>
      </w:tcPr>
    </w:tblStylePr>
    <w:tblStylePr w:type="lastRow">
      <w:rPr>
        <w:b/>
        <w:bCs/>
      </w:rPr>
      <w:tblPr/>
      <w:tcPr>
        <w:tcBorders>
          <w:top w:val="double" w:sz="4" w:space="0" w:color="007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76C0"/>
          <w:right w:val="single" w:sz="4" w:space="0" w:color="0076C0"/>
        </w:tcBorders>
      </w:tcPr>
    </w:tblStylePr>
    <w:tblStylePr w:type="band1Horz">
      <w:tblPr/>
      <w:tcPr>
        <w:tcBorders>
          <w:top w:val="single" w:sz="4" w:space="0" w:color="0076C0"/>
          <w:bottom w:val="single" w:sz="4" w:space="0" w:color="007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C0"/>
          <w:left w:val="nil"/>
        </w:tcBorders>
      </w:tcPr>
    </w:tblStylePr>
    <w:tblStylePr w:type="swCell">
      <w:tblPr/>
      <w:tcPr>
        <w:tcBorders>
          <w:top w:val="double" w:sz="4" w:space="0" w:color="0076C0"/>
          <w:right w:val="nil"/>
        </w:tcBorders>
      </w:tcPr>
    </w:tblStylePr>
  </w:style>
  <w:style w:type="table" w:customStyle="1" w:styleId="ListTable3-Accent181">
    <w:name w:val="List Table 3 - Accent 181"/>
    <w:basedOn w:val="TableNormal"/>
    <w:next w:val="ListTable3-Accent12"/>
    <w:uiPriority w:val="48"/>
    <w:rsid w:val="00D56B82"/>
    <w:pPr>
      <w:spacing w:after="0" w:line="240" w:lineRule="auto"/>
    </w:pPr>
    <w:rPr>
      <w:rFonts w:eastAsia="Arial"/>
    </w:rPr>
    <w:tblPr>
      <w:tblStyleRowBandSize w:val="1"/>
      <w:tblStyleColBandSize w:val="1"/>
      <w:tblBorders>
        <w:top w:val="single" w:sz="4" w:space="0" w:color="0076C0"/>
        <w:left w:val="single" w:sz="4" w:space="0" w:color="0076C0"/>
        <w:bottom w:val="single" w:sz="4" w:space="0" w:color="0076C0"/>
        <w:right w:val="single" w:sz="4" w:space="0" w:color="0076C0"/>
      </w:tblBorders>
    </w:tblPr>
    <w:tblStylePr w:type="firstRow">
      <w:rPr>
        <w:b/>
        <w:bCs/>
        <w:color w:val="FFFFFF"/>
      </w:rPr>
      <w:tblPr/>
      <w:tcPr>
        <w:shd w:val="clear" w:color="auto" w:fill="0076C0"/>
      </w:tcPr>
    </w:tblStylePr>
    <w:tblStylePr w:type="lastRow">
      <w:rPr>
        <w:b/>
        <w:bCs/>
      </w:rPr>
      <w:tblPr/>
      <w:tcPr>
        <w:tcBorders>
          <w:top w:val="double" w:sz="4" w:space="0" w:color="007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76C0"/>
          <w:right w:val="single" w:sz="4" w:space="0" w:color="0076C0"/>
        </w:tcBorders>
      </w:tcPr>
    </w:tblStylePr>
    <w:tblStylePr w:type="band1Horz">
      <w:tblPr/>
      <w:tcPr>
        <w:tcBorders>
          <w:top w:val="single" w:sz="4" w:space="0" w:color="0076C0"/>
          <w:bottom w:val="single" w:sz="4" w:space="0" w:color="007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C0"/>
          <w:left w:val="nil"/>
        </w:tcBorders>
      </w:tcPr>
    </w:tblStylePr>
    <w:tblStylePr w:type="swCell">
      <w:tblPr/>
      <w:tcPr>
        <w:tcBorders>
          <w:top w:val="double" w:sz="4" w:space="0" w:color="0076C0"/>
          <w:right w:val="nil"/>
        </w:tcBorders>
      </w:tcPr>
    </w:tblStylePr>
  </w:style>
  <w:style w:type="numbering" w:customStyle="1" w:styleId="PacEnvNumberedHeadings6">
    <w:name w:val="Pac Env Numbered Headings6"/>
    <w:uiPriority w:val="99"/>
    <w:rsid w:val="00D56B82"/>
  </w:style>
  <w:style w:type="numbering" w:customStyle="1" w:styleId="NoList2">
    <w:name w:val="No List2"/>
    <w:next w:val="NoList"/>
    <w:uiPriority w:val="99"/>
    <w:semiHidden/>
    <w:unhideWhenUsed/>
    <w:rsid w:val="00D56B82"/>
  </w:style>
  <w:style w:type="table" w:customStyle="1" w:styleId="TableGrid12">
    <w:name w:val="Table Grid 12"/>
    <w:basedOn w:val="TableNormal"/>
    <w:next w:val="TableGrid1"/>
    <w:uiPriority w:val="99"/>
    <w:semiHidden/>
    <w:unhideWhenUsed/>
    <w:rsid w:val="00D56B82"/>
    <w:pPr>
      <w:spacing w:after="240" w:line="288" w:lineRule="auto"/>
      <w:jc w:val="both"/>
    </w:pPr>
    <w:rPr>
      <w:rFonts w:ascii="Cambria" w:hAnsi="Cambria"/>
      <w:sz w:val="18"/>
      <w:szCs w:val="18"/>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12">
    <w:name w:val="Style12"/>
    <w:basedOn w:val="TableNormal"/>
    <w:uiPriority w:val="99"/>
    <w:rsid w:val="00D56B82"/>
    <w:pPr>
      <w:spacing w:after="0" w:line="240" w:lineRule="auto"/>
    </w:pPr>
    <w:rPr>
      <w:rFonts w:ascii="Century Gothic" w:eastAsia="PMingLiU" w:hAnsi="Century Gothic"/>
      <w:sz w:val="18"/>
      <w:szCs w:val="18"/>
      <w:lang w:val="en-US" w:bidi="en-US"/>
    </w:rPr>
    <w:tblPr>
      <w:tblBorders>
        <w:top w:val="single" w:sz="4" w:space="0" w:color="7AC143"/>
        <w:left w:val="single" w:sz="4" w:space="0" w:color="7AC143"/>
        <w:bottom w:val="single" w:sz="4" w:space="0" w:color="7AC143"/>
        <w:right w:val="single" w:sz="4" w:space="0" w:color="7AC143"/>
        <w:insideH w:val="single" w:sz="4" w:space="0" w:color="7AC143"/>
        <w:insideV w:val="single" w:sz="4" w:space="0" w:color="7AC143"/>
      </w:tblBorders>
    </w:tblPr>
    <w:tblStylePr w:type="firstRow">
      <w:rPr>
        <w:rFonts w:ascii="Source Sans Pro Light" w:hAnsi="Source Sans Pro Light"/>
        <w:b/>
        <w:color w:val="FFFFFF"/>
        <w:sz w:val="18"/>
      </w:rPr>
      <w:tblPr/>
      <w:tcPr>
        <w:tcBorders>
          <w:top w:val="nil"/>
          <w:left w:val="nil"/>
          <w:bottom w:val="nil"/>
          <w:right w:val="nil"/>
          <w:insideH w:val="nil"/>
          <w:insideV w:val="nil"/>
        </w:tcBorders>
        <w:shd w:val="clear" w:color="auto" w:fill="7AC143"/>
      </w:tcPr>
    </w:tblStylePr>
  </w:style>
  <w:style w:type="table" w:customStyle="1" w:styleId="LightList-Accent42">
    <w:name w:val="Light List - Accent 42"/>
    <w:basedOn w:val="TableNormal"/>
    <w:next w:val="LightList-Accent4"/>
    <w:uiPriority w:val="61"/>
    <w:rsid w:val="00D56B82"/>
    <w:pPr>
      <w:spacing w:after="0" w:line="240" w:lineRule="auto"/>
    </w:pPr>
    <w:rPr>
      <w:rFonts w:ascii="Cambria" w:eastAsia="PMingLiU" w:hAnsi="Cambria"/>
      <w:sz w:val="18"/>
      <w:szCs w:val="18"/>
      <w:lang w:val="en-US" w:bidi="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
    <w:name w:val="Light List - Accent 52"/>
    <w:basedOn w:val="TableNormal"/>
    <w:next w:val="LightList-Accent5"/>
    <w:uiPriority w:val="61"/>
    <w:rsid w:val="00D56B82"/>
    <w:pPr>
      <w:spacing w:after="0" w:line="240" w:lineRule="auto"/>
    </w:pPr>
    <w:rPr>
      <w:rFonts w:ascii="Century Gothic" w:hAnsi="Century Gothic" w:cs="Times New Roman"/>
      <w:sz w:val="18"/>
      <w:szCs w:val="18"/>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2">
    <w:name w:val="Light List - Accent 112"/>
    <w:basedOn w:val="TableNormal"/>
    <w:uiPriority w:val="61"/>
    <w:rsid w:val="00D56B82"/>
    <w:pPr>
      <w:spacing w:after="0" w:line="240" w:lineRule="auto"/>
    </w:pPr>
    <w:rPr>
      <w:rFonts w:ascii="Cambria" w:eastAsia="PMingLiU" w:hAnsi="Cambria"/>
      <w:sz w:val="18"/>
      <w:szCs w:val="18"/>
      <w:lang w:val="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PacEnvTablewithHeader2">
    <w:name w:val="Pac Env Table with Header2"/>
    <w:basedOn w:val="TableNormal"/>
    <w:uiPriority w:val="99"/>
    <w:rsid w:val="00D56B82"/>
    <w:pPr>
      <w:spacing w:before="60" w:after="60" w:line="240" w:lineRule="auto"/>
    </w:pPr>
    <w:rPr>
      <w:rFonts w:ascii="Source Sans Pro" w:hAnsi="Source Sans Pro"/>
      <w:color w:val="1F497D"/>
      <w:sz w:val="18"/>
    </w:rPr>
    <w:tblPr>
      <w:tblStyleRowBandSize w:val="1"/>
      <w:tblInd w:w="284" w:type="dxa"/>
      <w:tblCellMar>
        <w:left w:w="284" w:type="dxa"/>
        <w:right w:w="170" w:type="dxa"/>
      </w:tblCellMar>
    </w:tblPr>
    <w:trPr>
      <w:cantSplit/>
    </w:trPr>
    <w:tblStylePr w:type="firstRow">
      <w:pPr>
        <w:wordWrap/>
        <w:spacing w:beforeLines="0" w:before="60" w:beforeAutospacing="0" w:afterLines="0" w:after="60" w:afterAutospacing="0" w:line="280" w:lineRule="exact"/>
        <w:ind w:leftChars="0" w:left="0" w:rightChars="0" w:right="0" w:firstLineChars="0" w:firstLine="0"/>
        <w:contextualSpacing w:val="0"/>
        <w:mirrorIndents w:val="0"/>
        <w:jc w:val="left"/>
        <w:outlineLvl w:val="9"/>
      </w:pPr>
      <w:rPr>
        <w:rFonts w:ascii="Marlett" w:hAnsi="Marlett"/>
        <w:color w:val="FFFFFF"/>
        <w:sz w:val="18"/>
      </w:rPr>
      <w:tblPr/>
      <w:tcPr>
        <w:shd w:val="clear" w:color="auto" w:fill="606372"/>
      </w:tcPr>
    </w:tblStylePr>
    <w:tblStylePr w:type="band1Horz">
      <w:pPr>
        <w:wordWrap/>
        <w:spacing w:beforeLines="0" w:before="0" w:beforeAutospacing="0" w:afterLines="0" w:after="0" w:afterAutospacing="0" w:line="280" w:lineRule="exact"/>
        <w:ind w:leftChars="0" w:left="0" w:rightChars="0" w:right="0" w:firstLineChars="0" w:firstLine="0"/>
        <w:contextualSpacing w:val="0"/>
        <w:mirrorIndents w:val="0"/>
        <w:outlineLvl w:val="9"/>
      </w:pPr>
      <w:rPr>
        <w:rFonts w:ascii="Marlett" w:hAnsi="Marlett"/>
        <w:color w:val="676668"/>
        <w:sz w:val="16"/>
      </w:rPr>
      <w:tblPr/>
      <w:tcPr>
        <w:tcBorders>
          <w:top w:val="nil"/>
          <w:left w:val="nil"/>
          <w:bottom w:val="single" w:sz="4" w:space="0" w:color="DEE1E0"/>
          <w:right w:val="nil"/>
          <w:insideH w:val="single" w:sz="4" w:space="0" w:color="DEE1E0"/>
          <w:insideV w:val="nil"/>
          <w:tl2br w:val="nil"/>
          <w:tr2bl w:val="nil"/>
        </w:tcBorders>
        <w:shd w:val="clear" w:color="auto" w:fill="FFFFFF"/>
      </w:tcPr>
    </w:tblStylePr>
    <w:tblStylePr w:type="band2Horz">
      <w:pPr>
        <w:wordWrap/>
        <w:spacing w:beforeLines="0" w:before="0" w:beforeAutospacing="0" w:afterLines="0" w:after="0" w:afterAutospacing="0" w:line="280" w:lineRule="exact"/>
        <w:ind w:leftChars="0" w:left="0" w:rightChars="0" w:right="0" w:firstLineChars="0" w:firstLine="0"/>
        <w:contextualSpacing w:val="0"/>
        <w:mirrorIndents w:val="0"/>
        <w:jc w:val="left"/>
        <w:outlineLvl w:val="9"/>
      </w:pPr>
      <w:rPr>
        <w:rFonts w:ascii="Marlett" w:hAnsi="Marlett"/>
        <w:color w:val="676668"/>
        <w:sz w:val="16"/>
      </w:rPr>
      <w:tblPr/>
      <w:tcPr>
        <w:tcBorders>
          <w:top w:val="nil"/>
          <w:left w:val="nil"/>
          <w:bottom w:val="single" w:sz="4" w:space="0" w:color="DEE1E0"/>
          <w:right w:val="nil"/>
          <w:insideH w:val="single" w:sz="4" w:space="0" w:color="DEE1E0"/>
          <w:insideV w:val="nil"/>
          <w:tl2br w:val="nil"/>
          <w:tr2bl w:val="nil"/>
        </w:tcBorders>
        <w:shd w:val="clear" w:color="auto" w:fill="F0F7FB"/>
      </w:tcPr>
    </w:tblStylePr>
  </w:style>
  <w:style w:type="numbering" w:customStyle="1" w:styleId="PacEnvNumberedHeadings7">
    <w:name w:val="Pac Env Numbered Headings7"/>
    <w:uiPriority w:val="99"/>
    <w:rsid w:val="00D56B82"/>
    <w:pPr>
      <w:numPr>
        <w:numId w:val="21"/>
      </w:numPr>
    </w:pPr>
  </w:style>
  <w:style w:type="table" w:customStyle="1" w:styleId="ListTable3-Accent112">
    <w:name w:val="List Table 3 - Accent 112"/>
    <w:basedOn w:val="TableNormal"/>
    <w:uiPriority w:val="48"/>
    <w:rsid w:val="00D56B82"/>
    <w:pPr>
      <w:spacing w:after="0" w:line="240" w:lineRule="auto"/>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Table3-Accent137">
    <w:name w:val="List Table 3 - Accent 137"/>
    <w:basedOn w:val="TableNormal"/>
    <w:next w:val="ListTable3-Accent12"/>
    <w:uiPriority w:val="48"/>
    <w:rsid w:val="00D56B82"/>
    <w:pPr>
      <w:spacing w:after="0" w:line="240" w:lineRule="auto"/>
    </w:pPr>
    <w:rPr>
      <w:rFonts w:eastAsia="Arial"/>
    </w:rPr>
    <w:tblPr>
      <w:tblStyleRowBandSize w:val="1"/>
      <w:tblStyleColBandSize w:val="1"/>
      <w:tblBorders>
        <w:top w:val="single" w:sz="4" w:space="0" w:color="0076C0"/>
        <w:left w:val="single" w:sz="4" w:space="0" w:color="0076C0"/>
        <w:bottom w:val="single" w:sz="4" w:space="0" w:color="0076C0"/>
        <w:right w:val="single" w:sz="4" w:space="0" w:color="0076C0"/>
      </w:tblBorders>
    </w:tblPr>
    <w:tblStylePr w:type="firstRow">
      <w:rPr>
        <w:b/>
        <w:bCs/>
        <w:color w:val="FFFFFF"/>
      </w:rPr>
      <w:tblPr/>
      <w:tcPr>
        <w:shd w:val="clear" w:color="auto" w:fill="0076C0"/>
      </w:tcPr>
    </w:tblStylePr>
    <w:tblStylePr w:type="lastRow">
      <w:rPr>
        <w:b/>
        <w:bCs/>
      </w:rPr>
      <w:tblPr/>
      <w:tcPr>
        <w:tcBorders>
          <w:top w:val="double" w:sz="4" w:space="0" w:color="007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76C0"/>
          <w:right w:val="single" w:sz="4" w:space="0" w:color="0076C0"/>
        </w:tcBorders>
      </w:tcPr>
    </w:tblStylePr>
    <w:tblStylePr w:type="band1Horz">
      <w:tblPr/>
      <w:tcPr>
        <w:tcBorders>
          <w:top w:val="single" w:sz="4" w:space="0" w:color="0076C0"/>
          <w:bottom w:val="single" w:sz="4" w:space="0" w:color="007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C0"/>
          <w:left w:val="nil"/>
        </w:tcBorders>
      </w:tcPr>
    </w:tblStylePr>
    <w:tblStylePr w:type="swCell">
      <w:tblPr/>
      <w:tcPr>
        <w:tcBorders>
          <w:top w:val="double" w:sz="4" w:space="0" w:color="0076C0"/>
          <w:right w:val="nil"/>
        </w:tcBorders>
      </w:tcPr>
    </w:tblStylePr>
  </w:style>
  <w:style w:type="table" w:customStyle="1" w:styleId="ListTable3-Accent123">
    <w:name w:val="List Table 3 - Accent 123"/>
    <w:basedOn w:val="TableNormal"/>
    <w:uiPriority w:val="48"/>
    <w:rsid w:val="00D56B82"/>
    <w:pPr>
      <w:spacing w:after="0" w:line="240" w:lineRule="auto"/>
    </w:pPr>
    <w:rPr>
      <w:rFonts w:eastAsia="PMingLiU"/>
      <w:lang w:eastAsia="zh-TW"/>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Table3-Accent1213">
    <w:name w:val="List Table 3 - Accent 1213"/>
    <w:basedOn w:val="TableNormal"/>
    <w:next w:val="ListTable3-Accent12"/>
    <w:uiPriority w:val="48"/>
    <w:rsid w:val="00D56B82"/>
    <w:pPr>
      <w:spacing w:after="0" w:line="240" w:lineRule="auto"/>
    </w:pPr>
    <w:rPr>
      <w:rFonts w:eastAsia="Arial"/>
    </w:rPr>
    <w:tblPr>
      <w:tblStyleRowBandSize w:val="1"/>
      <w:tblStyleColBandSize w:val="1"/>
      <w:tblBorders>
        <w:top w:val="single" w:sz="4" w:space="0" w:color="0076C0"/>
        <w:left w:val="single" w:sz="4" w:space="0" w:color="0076C0"/>
        <w:bottom w:val="single" w:sz="4" w:space="0" w:color="0076C0"/>
        <w:right w:val="single" w:sz="4" w:space="0" w:color="0076C0"/>
      </w:tblBorders>
    </w:tblPr>
    <w:tblStylePr w:type="firstRow">
      <w:rPr>
        <w:b/>
        <w:bCs/>
        <w:color w:val="FFFFFF"/>
      </w:rPr>
      <w:tblPr/>
      <w:tcPr>
        <w:shd w:val="clear" w:color="auto" w:fill="0076C0"/>
      </w:tcPr>
    </w:tblStylePr>
    <w:tblStylePr w:type="lastRow">
      <w:rPr>
        <w:b/>
        <w:bCs/>
      </w:rPr>
      <w:tblPr/>
      <w:tcPr>
        <w:tcBorders>
          <w:top w:val="double" w:sz="4" w:space="0" w:color="007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76C0"/>
          <w:right w:val="single" w:sz="4" w:space="0" w:color="0076C0"/>
        </w:tcBorders>
      </w:tcPr>
    </w:tblStylePr>
    <w:tblStylePr w:type="band1Horz">
      <w:tblPr/>
      <w:tcPr>
        <w:tcBorders>
          <w:top w:val="single" w:sz="4" w:space="0" w:color="0076C0"/>
          <w:bottom w:val="single" w:sz="4" w:space="0" w:color="007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C0"/>
          <w:left w:val="nil"/>
        </w:tcBorders>
      </w:tcPr>
    </w:tblStylePr>
    <w:tblStylePr w:type="swCell">
      <w:tblPr/>
      <w:tcPr>
        <w:tcBorders>
          <w:top w:val="double" w:sz="4" w:space="0" w:color="0076C0"/>
          <w:right w:val="nil"/>
        </w:tcBorders>
      </w:tcPr>
    </w:tblStylePr>
  </w:style>
  <w:style w:type="table" w:customStyle="1" w:styleId="ListTable3-Accent143">
    <w:name w:val="List Table 3 - Accent 143"/>
    <w:basedOn w:val="TableNormal"/>
    <w:next w:val="ListTable3-Accent12"/>
    <w:uiPriority w:val="48"/>
    <w:rsid w:val="00D56B82"/>
    <w:pPr>
      <w:spacing w:after="0" w:line="240" w:lineRule="auto"/>
    </w:pPr>
    <w:rPr>
      <w:rFonts w:eastAsia="Arial"/>
    </w:rPr>
    <w:tblPr>
      <w:tblStyleRowBandSize w:val="1"/>
      <w:tblStyleColBandSize w:val="1"/>
      <w:tblBorders>
        <w:top w:val="single" w:sz="4" w:space="0" w:color="0076C0"/>
        <w:left w:val="single" w:sz="4" w:space="0" w:color="0076C0"/>
        <w:bottom w:val="single" w:sz="4" w:space="0" w:color="0076C0"/>
        <w:right w:val="single" w:sz="4" w:space="0" w:color="0076C0"/>
      </w:tblBorders>
    </w:tblPr>
    <w:tblStylePr w:type="firstRow">
      <w:rPr>
        <w:b/>
        <w:bCs/>
        <w:color w:val="FFFFFF"/>
      </w:rPr>
      <w:tblPr/>
      <w:tcPr>
        <w:shd w:val="clear" w:color="auto" w:fill="0076C0"/>
      </w:tcPr>
    </w:tblStylePr>
    <w:tblStylePr w:type="lastRow">
      <w:rPr>
        <w:b/>
        <w:bCs/>
      </w:rPr>
      <w:tblPr/>
      <w:tcPr>
        <w:tcBorders>
          <w:top w:val="double" w:sz="4" w:space="0" w:color="007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76C0"/>
          <w:right w:val="single" w:sz="4" w:space="0" w:color="0076C0"/>
        </w:tcBorders>
      </w:tcPr>
    </w:tblStylePr>
    <w:tblStylePr w:type="band1Horz">
      <w:tblPr/>
      <w:tcPr>
        <w:tcBorders>
          <w:top w:val="single" w:sz="4" w:space="0" w:color="0076C0"/>
          <w:bottom w:val="single" w:sz="4" w:space="0" w:color="007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C0"/>
          <w:left w:val="nil"/>
        </w:tcBorders>
      </w:tcPr>
    </w:tblStylePr>
    <w:tblStylePr w:type="swCell">
      <w:tblPr/>
      <w:tcPr>
        <w:tcBorders>
          <w:top w:val="double" w:sz="4" w:space="0" w:color="0076C0"/>
          <w:right w:val="nil"/>
        </w:tcBorders>
      </w:tcPr>
    </w:tblStylePr>
  </w:style>
  <w:style w:type="table" w:customStyle="1" w:styleId="ListTable3-Accent152">
    <w:name w:val="List Table 3 - Accent 152"/>
    <w:basedOn w:val="TableNormal"/>
    <w:next w:val="ListTable3-Accent12"/>
    <w:uiPriority w:val="48"/>
    <w:rsid w:val="00D56B82"/>
    <w:pPr>
      <w:spacing w:after="0" w:line="240" w:lineRule="auto"/>
    </w:pPr>
    <w:rPr>
      <w:rFonts w:eastAsia="Arial"/>
    </w:rPr>
    <w:tblPr>
      <w:tblStyleRowBandSize w:val="1"/>
      <w:tblStyleColBandSize w:val="1"/>
      <w:tblBorders>
        <w:top w:val="single" w:sz="4" w:space="0" w:color="0076C0"/>
        <w:left w:val="single" w:sz="4" w:space="0" w:color="0076C0"/>
        <w:bottom w:val="single" w:sz="4" w:space="0" w:color="0076C0"/>
        <w:right w:val="single" w:sz="4" w:space="0" w:color="0076C0"/>
      </w:tblBorders>
    </w:tblPr>
    <w:tblStylePr w:type="firstRow">
      <w:rPr>
        <w:b/>
        <w:bCs/>
        <w:color w:val="FFFFFF"/>
      </w:rPr>
      <w:tblPr/>
      <w:tcPr>
        <w:shd w:val="clear" w:color="auto" w:fill="0076C0"/>
      </w:tcPr>
    </w:tblStylePr>
    <w:tblStylePr w:type="lastRow">
      <w:rPr>
        <w:b/>
        <w:bCs/>
      </w:rPr>
      <w:tblPr/>
      <w:tcPr>
        <w:tcBorders>
          <w:top w:val="double" w:sz="4" w:space="0" w:color="007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76C0"/>
          <w:right w:val="single" w:sz="4" w:space="0" w:color="0076C0"/>
        </w:tcBorders>
      </w:tcPr>
    </w:tblStylePr>
    <w:tblStylePr w:type="band1Horz">
      <w:tblPr/>
      <w:tcPr>
        <w:tcBorders>
          <w:top w:val="single" w:sz="4" w:space="0" w:color="0076C0"/>
          <w:bottom w:val="single" w:sz="4" w:space="0" w:color="007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C0"/>
          <w:left w:val="nil"/>
        </w:tcBorders>
      </w:tcPr>
    </w:tblStylePr>
    <w:tblStylePr w:type="swCell">
      <w:tblPr/>
      <w:tcPr>
        <w:tcBorders>
          <w:top w:val="double" w:sz="4" w:space="0" w:color="0076C0"/>
          <w:right w:val="nil"/>
        </w:tcBorders>
      </w:tcPr>
    </w:tblStylePr>
  </w:style>
  <w:style w:type="table" w:customStyle="1" w:styleId="ListTable3-Accent162">
    <w:name w:val="List Table 3 - Accent 162"/>
    <w:basedOn w:val="TableNormal"/>
    <w:next w:val="ListTable3-Accent12"/>
    <w:uiPriority w:val="48"/>
    <w:rsid w:val="00D56B82"/>
    <w:pPr>
      <w:spacing w:after="0" w:line="240" w:lineRule="auto"/>
    </w:pPr>
    <w:rPr>
      <w:rFonts w:eastAsia="Arial"/>
    </w:rPr>
    <w:tblPr>
      <w:tblStyleRowBandSize w:val="1"/>
      <w:tblStyleColBandSize w:val="1"/>
      <w:tblBorders>
        <w:top w:val="single" w:sz="4" w:space="0" w:color="0076C0"/>
        <w:left w:val="single" w:sz="4" w:space="0" w:color="0076C0"/>
        <w:bottom w:val="single" w:sz="4" w:space="0" w:color="0076C0"/>
        <w:right w:val="single" w:sz="4" w:space="0" w:color="0076C0"/>
      </w:tblBorders>
    </w:tblPr>
    <w:tblStylePr w:type="firstRow">
      <w:rPr>
        <w:b/>
        <w:bCs/>
        <w:color w:val="FFFFFF"/>
      </w:rPr>
      <w:tblPr/>
      <w:tcPr>
        <w:shd w:val="clear" w:color="auto" w:fill="0076C0"/>
      </w:tcPr>
    </w:tblStylePr>
    <w:tblStylePr w:type="lastRow">
      <w:rPr>
        <w:b/>
        <w:bCs/>
      </w:rPr>
      <w:tblPr/>
      <w:tcPr>
        <w:tcBorders>
          <w:top w:val="double" w:sz="4" w:space="0" w:color="007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76C0"/>
          <w:right w:val="single" w:sz="4" w:space="0" w:color="0076C0"/>
        </w:tcBorders>
      </w:tcPr>
    </w:tblStylePr>
    <w:tblStylePr w:type="band1Horz">
      <w:tblPr/>
      <w:tcPr>
        <w:tcBorders>
          <w:top w:val="single" w:sz="4" w:space="0" w:color="0076C0"/>
          <w:bottom w:val="single" w:sz="4" w:space="0" w:color="007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C0"/>
          <w:left w:val="nil"/>
        </w:tcBorders>
      </w:tcPr>
    </w:tblStylePr>
    <w:tblStylePr w:type="swCell">
      <w:tblPr/>
      <w:tcPr>
        <w:tcBorders>
          <w:top w:val="double" w:sz="4" w:space="0" w:color="0076C0"/>
          <w:right w:val="nil"/>
        </w:tcBorders>
      </w:tcPr>
    </w:tblStylePr>
  </w:style>
  <w:style w:type="table" w:customStyle="1" w:styleId="ListTable3-Accent172">
    <w:name w:val="List Table 3 - Accent 172"/>
    <w:basedOn w:val="TableNormal"/>
    <w:next w:val="ListTable3-Accent12"/>
    <w:uiPriority w:val="48"/>
    <w:rsid w:val="00D56B82"/>
    <w:pPr>
      <w:spacing w:after="0" w:line="240" w:lineRule="auto"/>
    </w:pPr>
    <w:rPr>
      <w:rFonts w:eastAsia="Arial"/>
    </w:rPr>
    <w:tblPr>
      <w:tblStyleRowBandSize w:val="1"/>
      <w:tblStyleColBandSize w:val="1"/>
      <w:tblBorders>
        <w:top w:val="single" w:sz="4" w:space="0" w:color="0076C0"/>
        <w:left w:val="single" w:sz="4" w:space="0" w:color="0076C0"/>
        <w:bottom w:val="single" w:sz="4" w:space="0" w:color="0076C0"/>
        <w:right w:val="single" w:sz="4" w:space="0" w:color="0076C0"/>
      </w:tblBorders>
    </w:tblPr>
    <w:tblStylePr w:type="firstRow">
      <w:rPr>
        <w:b/>
        <w:bCs/>
        <w:color w:val="FFFFFF"/>
      </w:rPr>
      <w:tblPr/>
      <w:tcPr>
        <w:shd w:val="clear" w:color="auto" w:fill="0076C0"/>
      </w:tcPr>
    </w:tblStylePr>
    <w:tblStylePr w:type="lastRow">
      <w:rPr>
        <w:b/>
        <w:bCs/>
      </w:rPr>
      <w:tblPr/>
      <w:tcPr>
        <w:tcBorders>
          <w:top w:val="double" w:sz="4" w:space="0" w:color="007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76C0"/>
          <w:right w:val="single" w:sz="4" w:space="0" w:color="0076C0"/>
        </w:tcBorders>
      </w:tcPr>
    </w:tblStylePr>
    <w:tblStylePr w:type="band1Horz">
      <w:tblPr/>
      <w:tcPr>
        <w:tcBorders>
          <w:top w:val="single" w:sz="4" w:space="0" w:color="0076C0"/>
          <w:bottom w:val="single" w:sz="4" w:space="0" w:color="007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C0"/>
          <w:left w:val="nil"/>
        </w:tcBorders>
      </w:tcPr>
    </w:tblStylePr>
    <w:tblStylePr w:type="swCell">
      <w:tblPr/>
      <w:tcPr>
        <w:tcBorders>
          <w:top w:val="double" w:sz="4" w:space="0" w:color="0076C0"/>
          <w:right w:val="nil"/>
        </w:tcBorders>
      </w:tcPr>
    </w:tblStylePr>
  </w:style>
  <w:style w:type="table" w:customStyle="1" w:styleId="ListTable3-Accent182">
    <w:name w:val="List Table 3 - Accent 182"/>
    <w:basedOn w:val="TableNormal"/>
    <w:next w:val="ListTable3-Accent12"/>
    <w:uiPriority w:val="48"/>
    <w:rsid w:val="00D56B82"/>
    <w:pPr>
      <w:spacing w:after="0" w:line="240" w:lineRule="auto"/>
    </w:pPr>
    <w:rPr>
      <w:rFonts w:eastAsia="Arial"/>
    </w:rPr>
    <w:tblPr>
      <w:tblStyleRowBandSize w:val="1"/>
      <w:tblStyleColBandSize w:val="1"/>
      <w:tblBorders>
        <w:top w:val="single" w:sz="4" w:space="0" w:color="0076C0"/>
        <w:left w:val="single" w:sz="4" w:space="0" w:color="0076C0"/>
        <w:bottom w:val="single" w:sz="4" w:space="0" w:color="0076C0"/>
        <w:right w:val="single" w:sz="4" w:space="0" w:color="0076C0"/>
      </w:tblBorders>
    </w:tblPr>
    <w:tblStylePr w:type="firstRow">
      <w:rPr>
        <w:b/>
        <w:bCs/>
        <w:color w:val="FFFFFF"/>
      </w:rPr>
      <w:tblPr/>
      <w:tcPr>
        <w:shd w:val="clear" w:color="auto" w:fill="0076C0"/>
      </w:tcPr>
    </w:tblStylePr>
    <w:tblStylePr w:type="lastRow">
      <w:rPr>
        <w:b/>
        <w:bCs/>
      </w:rPr>
      <w:tblPr/>
      <w:tcPr>
        <w:tcBorders>
          <w:top w:val="double" w:sz="4" w:space="0" w:color="007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76C0"/>
          <w:right w:val="single" w:sz="4" w:space="0" w:color="0076C0"/>
        </w:tcBorders>
      </w:tcPr>
    </w:tblStylePr>
    <w:tblStylePr w:type="band1Horz">
      <w:tblPr/>
      <w:tcPr>
        <w:tcBorders>
          <w:top w:val="single" w:sz="4" w:space="0" w:color="0076C0"/>
          <w:bottom w:val="single" w:sz="4" w:space="0" w:color="007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C0"/>
          <w:left w:val="nil"/>
        </w:tcBorders>
      </w:tcPr>
    </w:tblStylePr>
    <w:tblStylePr w:type="swCell">
      <w:tblPr/>
      <w:tcPr>
        <w:tcBorders>
          <w:top w:val="double" w:sz="4" w:space="0" w:color="0076C0"/>
          <w:right w:val="nil"/>
        </w:tcBorders>
      </w:tcPr>
    </w:tblStylePr>
  </w:style>
  <w:style w:type="character" w:customStyle="1" w:styleId="DLAHEADING1Char">
    <w:name w:val="DLA HEADING1 Char"/>
    <w:basedOn w:val="Heading1Char"/>
    <w:link w:val="DLAHEADING1"/>
    <w:rsid w:val="00D56B82"/>
    <w:rPr>
      <w:rFonts w:ascii="Arial" w:eastAsiaTheme="majorEastAsia" w:hAnsi="Arial" w:cs="Arial"/>
      <w:b/>
      <w:bCs/>
      <w:caps/>
      <w:color w:val="0076C0"/>
      <w:kern w:val="32"/>
      <w:sz w:val="28"/>
      <w:szCs w:val="40"/>
      <w:lang w:eastAsia="en-AU"/>
    </w:rPr>
  </w:style>
  <w:style w:type="numbering" w:customStyle="1" w:styleId="DLANumbered">
    <w:name w:val="DLA  Numbered"/>
    <w:basedOn w:val="NoList"/>
    <w:rsid w:val="00D56B82"/>
    <w:pPr>
      <w:numPr>
        <w:numId w:val="30"/>
      </w:numPr>
    </w:pPr>
  </w:style>
  <w:style w:type="table" w:styleId="TableTheme">
    <w:name w:val="Table Theme"/>
    <w:aliases w:val="Std Table"/>
    <w:basedOn w:val="TableNormal"/>
    <w:rsid w:val="00D56B82"/>
    <w:pPr>
      <w:spacing w:after="0" w:line="240" w:lineRule="auto"/>
      <w:jc w:val="center"/>
    </w:pPr>
    <w:rPr>
      <w:rFonts w:ascii="Arial" w:eastAsia="Times New Roman" w:hAnsi="Arial" w:cs="Times New Roman"/>
      <w:sz w:val="20"/>
      <w:szCs w:val="20"/>
      <w:lang w:eastAsia="en-AU"/>
    </w:rPr>
    <w:tblP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Pr>
    <w:tcPr>
      <w:vAlign w:val="center"/>
    </w:tcPr>
    <w:tblStylePr w:type="firstRow">
      <w:pPr>
        <w:wordWrap/>
        <w:spacing w:line="240" w:lineRule="auto"/>
        <w:jc w:val="center"/>
      </w:pPr>
      <w:rPr>
        <w:b/>
      </w:rPr>
      <w:tblPr/>
      <w:tcPr>
        <w:tcBorders>
          <w:top w:val="double" w:sz="4" w:space="0" w:color="auto"/>
          <w:left w:val="double" w:sz="4" w:space="0" w:color="auto"/>
          <w:bottom w:val="double" w:sz="4" w:space="0" w:color="auto"/>
          <w:right w:val="double" w:sz="4" w:space="0" w:color="auto"/>
        </w:tcBorders>
        <w:shd w:val="clear" w:color="auto" w:fill="CBDFFD"/>
      </w:tcPr>
    </w:tblStylePr>
    <w:tblStylePr w:type="firstCol">
      <w:pPr>
        <w:wordWrap/>
        <w:jc w:val="left"/>
      </w:pPr>
      <w:rPr>
        <w:b/>
      </w:rPr>
      <w:tblPr/>
      <w:tcPr>
        <w:tcBorders>
          <w:top w:val="double" w:sz="4" w:space="0" w:color="auto"/>
          <w:left w:val="double" w:sz="4" w:space="0" w:color="auto"/>
          <w:bottom w:val="double" w:sz="4" w:space="0" w:color="auto"/>
          <w:right w:val="double" w:sz="4" w:space="0" w:color="auto"/>
        </w:tcBorders>
        <w:shd w:val="clear" w:color="auto" w:fill="CBDFFD"/>
      </w:tcPr>
    </w:tblStylePr>
  </w:style>
  <w:style w:type="table" w:styleId="TableClassic1">
    <w:name w:val="Table Classic 1"/>
    <w:basedOn w:val="TableNormal"/>
    <w:rsid w:val="00D56B82"/>
    <w:pPr>
      <w:spacing w:after="0" w:line="360" w:lineRule="exact"/>
      <w:jc w:val="both"/>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dTable4">
    <w:name w:val="Std Table4"/>
    <w:basedOn w:val="TableNormal"/>
    <w:next w:val="TableTheme"/>
    <w:rsid w:val="00D56B82"/>
    <w:pPr>
      <w:spacing w:after="0" w:line="240" w:lineRule="auto"/>
      <w:jc w:val="center"/>
    </w:pPr>
    <w:rPr>
      <w:rFonts w:ascii="Arial" w:eastAsia="Times New Roman" w:hAnsi="Arial" w:cs="Times New Roman"/>
      <w:sz w:val="20"/>
      <w:szCs w:val="20"/>
      <w:lang w:eastAsia="en-AU"/>
    </w:rPr>
    <w:tblP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Pr>
    <w:tcPr>
      <w:vAlign w:val="center"/>
    </w:tcPr>
    <w:tblStylePr w:type="firstRow">
      <w:pPr>
        <w:wordWrap/>
        <w:spacing w:line="240" w:lineRule="auto"/>
        <w:jc w:val="center"/>
      </w:pPr>
      <w:rPr>
        <w:b/>
      </w:rPr>
      <w:tblPr/>
      <w:tcPr>
        <w:tcBorders>
          <w:top w:val="double" w:sz="4" w:space="0" w:color="auto"/>
          <w:left w:val="double" w:sz="4" w:space="0" w:color="auto"/>
          <w:bottom w:val="double" w:sz="4" w:space="0" w:color="auto"/>
          <w:right w:val="double" w:sz="4" w:space="0" w:color="auto"/>
        </w:tcBorders>
        <w:shd w:val="clear" w:color="auto" w:fill="CBDFFD"/>
      </w:tcPr>
    </w:tblStylePr>
    <w:tblStylePr w:type="firstCol">
      <w:pPr>
        <w:wordWrap/>
        <w:jc w:val="left"/>
      </w:pPr>
      <w:rPr>
        <w:b/>
      </w:rPr>
      <w:tblPr/>
      <w:tcPr>
        <w:tcBorders>
          <w:top w:val="double" w:sz="4" w:space="0" w:color="auto"/>
          <w:left w:val="double" w:sz="4" w:space="0" w:color="auto"/>
          <w:bottom w:val="double" w:sz="4" w:space="0" w:color="auto"/>
          <w:right w:val="double" w:sz="4" w:space="0" w:color="auto"/>
        </w:tcBorders>
        <w:shd w:val="clear" w:color="auto" w:fill="CBDFFD"/>
      </w:tcPr>
    </w:tblStylePr>
  </w:style>
  <w:style w:type="paragraph" w:customStyle="1" w:styleId="PBFigcaption">
    <w:name w:val="PB Fig caption"/>
    <w:basedOn w:val="Caption"/>
    <w:link w:val="PBFigcaptionChar"/>
    <w:qFormat/>
    <w:rsid w:val="006F42C6"/>
    <w:pPr>
      <w:widowControl w:val="0"/>
      <w:spacing w:before="120" w:after="0" w:line="240" w:lineRule="auto"/>
      <w:jc w:val="center"/>
    </w:pPr>
  </w:style>
  <w:style w:type="character" w:customStyle="1" w:styleId="PBFigcaptionChar">
    <w:name w:val="PB Fig caption Char"/>
    <w:basedOn w:val="CaptionChar"/>
    <w:link w:val="PBFigcaption"/>
    <w:rsid w:val="006F42C6"/>
    <w:rPr>
      <w:rFonts w:ascii="Arial" w:hAnsi="Arial"/>
      <w:iCs/>
      <w:color w:val="1A1A1A"/>
      <w:sz w:val="18"/>
      <w:szCs w:val="18"/>
    </w:rPr>
  </w:style>
  <w:style w:type="paragraph" w:customStyle="1" w:styleId="PBFigcaptions">
    <w:name w:val="PB Fig captions"/>
    <w:basedOn w:val="Caption"/>
    <w:link w:val="PBFigcaptionsChar"/>
    <w:qFormat/>
    <w:rsid w:val="00E55218"/>
    <w:pPr>
      <w:keepNext/>
      <w:spacing w:before="120" w:after="0" w:line="240" w:lineRule="auto"/>
      <w:ind w:right="-23"/>
      <w:jc w:val="center"/>
    </w:pPr>
    <w:rPr>
      <w:rFonts w:eastAsia="Times New Roman" w:cs="Times New Roman"/>
      <w:bCs/>
      <w:iCs w:val="0"/>
    </w:rPr>
  </w:style>
  <w:style w:type="character" w:customStyle="1" w:styleId="PBFigcaptionsChar">
    <w:name w:val="PB Fig captions Char"/>
    <w:basedOn w:val="DefaultParagraphFont"/>
    <w:link w:val="PBFigcaptions"/>
    <w:rsid w:val="00E55218"/>
    <w:rPr>
      <w:rFonts w:ascii="Arial" w:eastAsia="Times New Roman" w:hAnsi="Arial" w:cs="Times New Roman"/>
      <w:bCs/>
      <w:sz w:val="18"/>
      <w:szCs w:val="18"/>
    </w:rPr>
  </w:style>
  <w:style w:type="paragraph" w:customStyle="1" w:styleId="PBL1plain">
    <w:name w:val="PB L1 plain"/>
    <w:basedOn w:val="Normal"/>
    <w:link w:val="PBL1plainChar"/>
    <w:qFormat/>
    <w:rsid w:val="008A6692"/>
    <w:pPr>
      <w:spacing w:after="480"/>
    </w:pPr>
    <w:rPr>
      <w:b/>
      <w:color w:val="0070C0"/>
      <w:sz w:val="40"/>
      <w:szCs w:val="40"/>
    </w:rPr>
  </w:style>
  <w:style w:type="paragraph" w:customStyle="1" w:styleId="PBListL2">
    <w:name w:val="PB List L2"/>
    <w:basedOn w:val="ListBullet"/>
    <w:link w:val="PBListL2Char"/>
    <w:uiPriority w:val="99"/>
    <w:qFormat/>
    <w:rsid w:val="00CE770C"/>
    <w:pPr>
      <w:numPr>
        <w:numId w:val="36"/>
      </w:numPr>
      <w:spacing w:after="120"/>
      <w:ind w:left="1134" w:hanging="283"/>
    </w:pPr>
    <w:rPr>
      <w:color w:val="1A1A1A"/>
    </w:rPr>
  </w:style>
  <w:style w:type="character" w:customStyle="1" w:styleId="PBL1plainChar">
    <w:name w:val="PB L1 plain Char"/>
    <w:basedOn w:val="DefaultParagraphFont"/>
    <w:link w:val="PBL1plain"/>
    <w:rsid w:val="008A6692"/>
    <w:rPr>
      <w:rFonts w:ascii="Arial" w:hAnsi="Arial"/>
      <w:b/>
      <w:color w:val="0070C0"/>
      <w:sz w:val="40"/>
      <w:szCs w:val="40"/>
    </w:rPr>
  </w:style>
  <w:style w:type="character" w:customStyle="1" w:styleId="PBListL2Char">
    <w:name w:val="PB List L2 Char"/>
    <w:basedOn w:val="ListBulletChar"/>
    <w:link w:val="PBListL2"/>
    <w:uiPriority w:val="99"/>
    <w:rsid w:val="00CE770C"/>
    <w:rPr>
      <w:rFonts w:ascii="Arial" w:hAnsi="Arial"/>
      <w:color w:val="1A1A1A"/>
      <w:sz w:val="20"/>
    </w:rPr>
  </w:style>
  <w:style w:type="paragraph" w:customStyle="1" w:styleId="PBL5">
    <w:name w:val="PB L5"/>
    <w:basedOn w:val="Normal"/>
    <w:link w:val="PBL5Char"/>
    <w:qFormat/>
    <w:rsid w:val="00BA6488"/>
    <w:rPr>
      <w:u w:val="single"/>
    </w:rPr>
  </w:style>
  <w:style w:type="character" w:customStyle="1" w:styleId="PBL5Char">
    <w:name w:val="PB L5 Char"/>
    <w:basedOn w:val="DefaultParagraphFont"/>
    <w:link w:val="PBL5"/>
    <w:rsid w:val="00BA6488"/>
    <w:rPr>
      <w:rFonts w:ascii="Arial" w:hAnsi="Arial"/>
      <w:color w:val="1A1A1A"/>
      <w:sz w:val="20"/>
      <w:u w:val="single"/>
    </w:rPr>
  </w:style>
  <w:style w:type="paragraph" w:customStyle="1" w:styleId="BullettL1PB">
    <w:name w:val="Bullett L1 PB"/>
    <w:basedOn w:val="ListParagraph"/>
    <w:link w:val="BullettL1PBChar"/>
    <w:qFormat/>
    <w:rsid w:val="00D67E9A"/>
    <w:pPr>
      <w:numPr>
        <w:numId w:val="37"/>
      </w:numPr>
      <w:ind w:left="714" w:hanging="357"/>
      <w:contextualSpacing w:val="0"/>
    </w:pPr>
  </w:style>
  <w:style w:type="paragraph" w:customStyle="1" w:styleId="BullettL2PB">
    <w:name w:val="Bullett L2 PB"/>
    <w:basedOn w:val="ListParagraph"/>
    <w:link w:val="BullettL2PBChar"/>
    <w:qFormat/>
    <w:rsid w:val="00D67E9A"/>
    <w:pPr>
      <w:numPr>
        <w:ilvl w:val="1"/>
        <w:numId w:val="38"/>
      </w:numPr>
      <w:ind w:left="1434" w:hanging="357"/>
      <w:contextualSpacing w:val="0"/>
    </w:pPr>
  </w:style>
  <w:style w:type="character" w:customStyle="1" w:styleId="ListParagraphChar">
    <w:name w:val="List Paragraph Char"/>
    <w:basedOn w:val="DefaultParagraphFont"/>
    <w:link w:val="ListParagraph"/>
    <w:uiPriority w:val="34"/>
    <w:rsid w:val="00D67E9A"/>
    <w:rPr>
      <w:rFonts w:ascii="Arial" w:hAnsi="Arial"/>
      <w:color w:val="1A1A1A"/>
      <w:sz w:val="20"/>
    </w:rPr>
  </w:style>
  <w:style w:type="character" w:customStyle="1" w:styleId="BullettL1PBChar">
    <w:name w:val="Bullett L1 PB Char"/>
    <w:basedOn w:val="ListParagraphChar"/>
    <w:link w:val="BullettL1PB"/>
    <w:rsid w:val="00D67E9A"/>
    <w:rPr>
      <w:rFonts w:ascii="Arial" w:hAnsi="Arial"/>
      <w:color w:val="1A1A1A"/>
      <w:sz w:val="20"/>
    </w:rPr>
  </w:style>
  <w:style w:type="character" w:customStyle="1" w:styleId="BullettL2PBChar">
    <w:name w:val="Bullett L2 PB Char"/>
    <w:basedOn w:val="ListParagraphChar"/>
    <w:link w:val="BullettL2PB"/>
    <w:rsid w:val="00D67E9A"/>
    <w:rPr>
      <w:rFonts w:ascii="Arial" w:hAnsi="Arial"/>
      <w:color w:val="1A1A1A"/>
      <w:sz w:val="20"/>
    </w:rPr>
  </w:style>
  <w:style w:type="paragraph" w:customStyle="1" w:styleId="L3PB">
    <w:name w:val="L3 PB"/>
    <w:basedOn w:val="DLAHeading3"/>
    <w:link w:val="L3PBChar"/>
    <w:qFormat/>
    <w:rsid w:val="00B75972"/>
    <w:pPr>
      <w:numPr>
        <w:numId w:val="1"/>
      </w:numPr>
      <w:spacing w:before="300" w:after="240" w:line="240" w:lineRule="auto"/>
      <w:ind w:right="284"/>
      <w:jc w:val="left"/>
    </w:pPr>
    <w:rPr>
      <w:rFonts w:ascii="Arial" w:hAnsi="Arial"/>
      <w:sz w:val="22"/>
      <w:szCs w:val="22"/>
      <w:lang w:eastAsia="en-AU"/>
    </w:rPr>
  </w:style>
  <w:style w:type="paragraph" w:customStyle="1" w:styleId="L4PB">
    <w:name w:val="L4 PB"/>
    <w:basedOn w:val="L3PB"/>
    <w:link w:val="L4PBChar"/>
    <w:qFormat/>
    <w:rsid w:val="00B75972"/>
    <w:pPr>
      <w:numPr>
        <w:ilvl w:val="0"/>
        <w:numId w:val="0"/>
      </w:numPr>
      <w:tabs>
        <w:tab w:val="num" w:pos="851"/>
      </w:tabs>
      <w:ind w:left="851" w:hanging="851"/>
    </w:pPr>
    <w:rPr>
      <w:b w:val="0"/>
      <w:i/>
      <w:sz w:val="20"/>
      <w:szCs w:val="20"/>
    </w:rPr>
  </w:style>
  <w:style w:type="character" w:customStyle="1" w:styleId="L3PBChar">
    <w:name w:val="L3 PB Char"/>
    <w:basedOn w:val="DefaultParagraphFont"/>
    <w:link w:val="L3PB"/>
    <w:rsid w:val="00B75972"/>
    <w:rPr>
      <w:rFonts w:ascii="Arial" w:eastAsia="Calibri" w:hAnsi="Arial" w:cs="Arial"/>
      <w:b/>
      <w:iCs/>
      <w:color w:val="0076C0"/>
      <w:lang w:eastAsia="en-AU"/>
    </w:rPr>
  </w:style>
  <w:style w:type="character" w:customStyle="1" w:styleId="HeadingCaps">
    <w:name w:val="Heading Caps"/>
    <w:rsid w:val="00DC152E"/>
    <w:rPr>
      <w:rFonts w:eastAsiaTheme="minorHAnsi"/>
      <w:lang w:bidi="ar-SA"/>
    </w:rPr>
  </w:style>
  <w:style w:type="paragraph" w:customStyle="1" w:styleId="LetterHeading">
    <w:name w:val="Letter Heading"/>
    <w:basedOn w:val="Normal"/>
    <w:qFormat/>
    <w:rsid w:val="00DC152E"/>
    <w:pPr>
      <w:spacing w:line="288" w:lineRule="auto"/>
      <w:ind w:right="1939"/>
    </w:pPr>
    <w:rPr>
      <w:rFonts w:ascii="Century Gothic" w:eastAsia="Times New Roman" w:hAnsi="Century Gothic" w:cs="Times New Roman"/>
      <w:b/>
      <w:caps/>
      <w:color w:val="0076C0"/>
      <w:szCs w:val="20"/>
    </w:rPr>
  </w:style>
  <w:style w:type="paragraph" w:customStyle="1" w:styleId="AppendixSub">
    <w:name w:val="Appendix Sub"/>
    <w:basedOn w:val="Normal"/>
    <w:next w:val="Normal"/>
    <w:rsid w:val="00DC152E"/>
    <w:pPr>
      <w:pBdr>
        <w:bottom w:val="single" w:sz="8" w:space="1" w:color="AEBC37"/>
        <w:between w:val="single" w:sz="8" w:space="1" w:color="A3BD00"/>
      </w:pBdr>
      <w:spacing w:line="480" w:lineRule="auto"/>
    </w:pPr>
    <w:rPr>
      <w:rFonts w:ascii="Century Gothic" w:eastAsiaTheme="minorEastAsia" w:hAnsi="Century Gothic" w:cs="Arial"/>
      <w:b/>
      <w:szCs w:val="18"/>
      <w:lang w:eastAsia="en-AU"/>
    </w:rPr>
  </w:style>
  <w:style w:type="paragraph" w:customStyle="1" w:styleId="Body">
    <w:name w:val="Body"/>
    <w:aliases w:val="b"/>
    <w:rsid w:val="00DC152E"/>
    <w:pPr>
      <w:spacing w:before="40" w:after="100" w:line="240" w:lineRule="auto"/>
    </w:pPr>
    <w:rPr>
      <w:rFonts w:ascii="Arial Narrow" w:eastAsia="Times New Roman" w:hAnsi="Arial Narrow" w:cs="Times New Roman"/>
      <w:szCs w:val="20"/>
    </w:rPr>
  </w:style>
  <w:style w:type="paragraph" w:customStyle="1" w:styleId="CharChar1Char">
    <w:name w:val="Char Char1 Char"/>
    <w:basedOn w:val="Normal"/>
    <w:rsid w:val="00DC152E"/>
    <w:pPr>
      <w:spacing w:line="240" w:lineRule="auto"/>
    </w:pPr>
    <w:rPr>
      <w:rFonts w:eastAsia="Times New Roman" w:cs="Times New Roman"/>
      <w:szCs w:val="20"/>
    </w:rPr>
  </w:style>
  <w:style w:type="paragraph" w:customStyle="1" w:styleId="Asterisk">
    <w:name w:val="Asterisk"/>
    <w:basedOn w:val="Normal"/>
    <w:rsid w:val="00DC152E"/>
    <w:pPr>
      <w:numPr>
        <w:numId w:val="41"/>
      </w:numPr>
      <w:spacing w:before="120" w:after="120" w:line="288" w:lineRule="auto"/>
      <w:ind w:left="0" w:firstLine="0"/>
    </w:pPr>
    <w:rPr>
      <w:rFonts w:ascii="Century Gothic" w:eastAsia="Cambria" w:hAnsi="Century Gothic" w:cs="Times New Roman"/>
      <w:i/>
      <w:iCs/>
      <w:sz w:val="14"/>
      <w:szCs w:val="20"/>
      <w:lang w:val="en-US"/>
    </w:rPr>
  </w:style>
  <w:style w:type="paragraph" w:customStyle="1" w:styleId="SubheadingCAPS">
    <w:name w:val="SubheadingCAPS"/>
    <w:basedOn w:val="Normal"/>
    <w:rsid w:val="00DC152E"/>
    <w:pPr>
      <w:spacing w:after="200" w:line="276" w:lineRule="auto"/>
      <w:ind w:left="3600" w:right="-81" w:hanging="3600"/>
    </w:pPr>
    <w:rPr>
      <w:rFonts w:ascii="Century Gothic" w:eastAsia="Times New Roman" w:hAnsi="Century Gothic" w:cs="Arial"/>
      <w:b/>
      <w:bCs/>
      <w:caps/>
      <w:color w:val="0076C0"/>
      <w:kern w:val="32"/>
      <w:sz w:val="18"/>
      <w:szCs w:val="32"/>
      <w:lang w:val="en-US" w:bidi="en-US"/>
    </w:rPr>
  </w:style>
  <w:style w:type="paragraph" w:customStyle="1" w:styleId="BulletCubes">
    <w:name w:val="Bullet Cubes"/>
    <w:basedOn w:val="BodyText"/>
    <w:link w:val="BulletCubesChar"/>
    <w:qFormat/>
    <w:rsid w:val="00DC152E"/>
    <w:pPr>
      <w:tabs>
        <w:tab w:val="left" w:pos="3060"/>
      </w:tabs>
      <w:spacing w:before="120" w:after="120" w:line="288" w:lineRule="auto"/>
      <w:ind w:left="360" w:right="-2" w:hanging="360"/>
      <w:jc w:val="both"/>
    </w:pPr>
    <w:rPr>
      <w:rFonts w:ascii="Verdana" w:eastAsia="Times New Roman" w:hAnsi="Verdana" w:cs="Arial"/>
      <w:bCs/>
      <w:kern w:val="32"/>
      <w:sz w:val="18"/>
      <w:szCs w:val="32"/>
      <w:lang w:val="en-PH"/>
    </w:rPr>
  </w:style>
  <w:style w:type="character" w:customStyle="1" w:styleId="BulletCubesChar">
    <w:name w:val="Bullet Cubes Char"/>
    <w:basedOn w:val="DefaultParagraphFont"/>
    <w:link w:val="BulletCubes"/>
    <w:rsid w:val="00DC152E"/>
    <w:rPr>
      <w:rFonts w:ascii="Verdana" w:eastAsia="Times New Roman" w:hAnsi="Verdana" w:cs="Arial"/>
      <w:bCs/>
      <w:kern w:val="32"/>
      <w:sz w:val="18"/>
      <w:szCs w:val="32"/>
      <w:lang w:val="en-PH"/>
    </w:rPr>
  </w:style>
  <w:style w:type="paragraph" w:customStyle="1" w:styleId="TRLProjectReport-BodyText">
    <w:name w:val="TRL Project Report - Body Text"/>
    <w:rsid w:val="00DC152E"/>
    <w:pPr>
      <w:spacing w:after="120" w:line="240" w:lineRule="auto"/>
    </w:pPr>
    <w:rPr>
      <w:rFonts w:ascii="Times New Roman" w:eastAsia="Times New Roman" w:hAnsi="Times New Roman" w:cs="Times New Roman"/>
      <w:szCs w:val="20"/>
      <w:lang w:val="en-GB" w:eastAsia="zh-CN"/>
    </w:rPr>
  </w:style>
  <w:style w:type="paragraph" w:customStyle="1" w:styleId="ListDash">
    <w:name w:val="List Dash"/>
    <w:basedOn w:val="BodyText"/>
    <w:rsid w:val="00DC152E"/>
    <w:pPr>
      <w:numPr>
        <w:numId w:val="43"/>
      </w:numPr>
      <w:spacing w:before="60" w:after="60" w:line="280" w:lineRule="exact"/>
    </w:pPr>
    <w:rPr>
      <w:rFonts w:asciiTheme="minorHAnsi" w:eastAsia="Times New Roman" w:hAnsiTheme="minorHAnsi" w:cs="Times New Roman"/>
      <w:sz w:val="22"/>
      <w:lang w:val="en-PH" w:eastAsia="en-AU"/>
    </w:rPr>
  </w:style>
  <w:style w:type="paragraph" w:customStyle="1" w:styleId="ListDash2">
    <w:name w:val="List Dash 2"/>
    <w:basedOn w:val="ListDash"/>
    <w:rsid w:val="00DC152E"/>
    <w:pPr>
      <w:numPr>
        <w:ilvl w:val="1"/>
      </w:numPr>
      <w:ind w:left="567"/>
    </w:pPr>
  </w:style>
  <w:style w:type="paragraph" w:customStyle="1" w:styleId="ListDash3">
    <w:name w:val="List Dash 3"/>
    <w:basedOn w:val="ListDash2"/>
    <w:rsid w:val="00DC152E"/>
    <w:pPr>
      <w:numPr>
        <w:ilvl w:val="2"/>
      </w:numPr>
      <w:ind w:left="851"/>
    </w:pPr>
  </w:style>
  <w:style w:type="numbering" w:customStyle="1" w:styleId="ACILAllenDashedList">
    <w:name w:val="ACIL Allen Dashed List"/>
    <w:uiPriority w:val="99"/>
    <w:rsid w:val="00DC152E"/>
    <w:pPr>
      <w:numPr>
        <w:numId w:val="42"/>
      </w:numPr>
    </w:pPr>
  </w:style>
  <w:style w:type="table" w:customStyle="1" w:styleId="Table1">
    <w:name w:val="Table 1"/>
    <w:basedOn w:val="TableNormal"/>
    <w:uiPriority w:val="99"/>
    <w:rsid w:val="00DC152E"/>
    <w:pPr>
      <w:spacing w:after="0" w:line="240" w:lineRule="auto"/>
    </w:pPr>
    <w:rPr>
      <w:rFonts w:ascii="Century Gothic" w:eastAsia="Arial" w:hAnsi="Century Gothic" w:cs="Times New Roman"/>
      <w:sz w:val="18"/>
      <w:szCs w:val="18"/>
      <w:lang w:val="en-US"/>
    </w:rPr>
    <w:tblPr>
      <w:tblBorders>
        <w:top w:val="single" w:sz="4" w:space="0" w:color="7AC143"/>
        <w:left w:val="single" w:sz="4" w:space="0" w:color="7AC143"/>
        <w:bottom w:val="single" w:sz="4" w:space="0" w:color="7AC143"/>
        <w:right w:val="single" w:sz="4" w:space="0" w:color="7AC143"/>
        <w:insideH w:val="single" w:sz="4" w:space="0" w:color="7AC143"/>
        <w:insideV w:val="single" w:sz="4" w:space="0" w:color="7AC143"/>
      </w:tblBorders>
    </w:tblPr>
    <w:tblStylePr w:type="firstRow">
      <w:pPr>
        <w:jc w:val="left"/>
      </w:pPr>
      <w:rPr>
        <w:rFonts w:ascii="Arial" w:hAnsi="Arial"/>
        <w:b/>
        <w:color w:val="FFFFFF"/>
        <w:sz w:val="18"/>
      </w:rPr>
      <w:tblPr/>
      <w:tcPr>
        <w:shd w:val="clear" w:color="auto" w:fill="7AC143"/>
        <w:vAlign w:val="bottom"/>
      </w:tcPr>
    </w:tblStylePr>
  </w:style>
  <w:style w:type="paragraph" w:customStyle="1" w:styleId="Numbered1">
    <w:name w:val="Numbered 1"/>
    <w:link w:val="Numbered1Char"/>
    <w:rsid w:val="00DC152E"/>
    <w:pPr>
      <w:numPr>
        <w:numId w:val="44"/>
      </w:numPr>
      <w:spacing w:after="0" w:line="240" w:lineRule="auto"/>
      <w:contextualSpacing/>
    </w:pPr>
    <w:rPr>
      <w:rFonts w:ascii="Century Gothic" w:eastAsia="Arial" w:hAnsi="Century Gothic" w:cs="Times New Roman"/>
      <w:sz w:val="18"/>
      <w:szCs w:val="18"/>
      <w:lang w:val="en-US"/>
    </w:rPr>
  </w:style>
  <w:style w:type="character" w:customStyle="1" w:styleId="Numbered1Char">
    <w:name w:val="Numbered 1 Char"/>
    <w:basedOn w:val="DefaultParagraphFont"/>
    <w:link w:val="Numbered1"/>
    <w:rsid w:val="00DC152E"/>
    <w:rPr>
      <w:rFonts w:ascii="Century Gothic" w:eastAsia="Arial" w:hAnsi="Century Gothic" w:cs="Times New Roman"/>
      <w:sz w:val="18"/>
      <w:szCs w:val="18"/>
      <w:lang w:val="en-US"/>
    </w:rPr>
  </w:style>
  <w:style w:type="paragraph" w:customStyle="1" w:styleId="Numbered2">
    <w:name w:val="Numbered 2"/>
    <w:basedOn w:val="Numbered1"/>
    <w:link w:val="Numbered2Char"/>
    <w:autoRedefine/>
    <w:rsid w:val="00DC152E"/>
    <w:pPr>
      <w:numPr>
        <w:ilvl w:val="1"/>
      </w:numPr>
      <w:spacing w:line="276" w:lineRule="auto"/>
      <w:ind w:left="568" w:hanging="284"/>
    </w:pPr>
  </w:style>
  <w:style w:type="character" w:customStyle="1" w:styleId="Numbered2Char">
    <w:name w:val="Numbered 2 Char"/>
    <w:basedOn w:val="Numbered1Char"/>
    <w:link w:val="Numbered2"/>
    <w:rsid w:val="00DC152E"/>
    <w:rPr>
      <w:rFonts w:ascii="Century Gothic" w:eastAsia="Arial" w:hAnsi="Century Gothic" w:cs="Times New Roman"/>
      <w:sz w:val="18"/>
      <w:szCs w:val="18"/>
      <w:lang w:val="en-US"/>
    </w:rPr>
  </w:style>
  <w:style w:type="paragraph" w:customStyle="1" w:styleId="Numbered3">
    <w:name w:val="Numbered 3"/>
    <w:basedOn w:val="Numbered1"/>
    <w:link w:val="Numbered3Char"/>
    <w:rsid w:val="00DC152E"/>
    <w:pPr>
      <w:numPr>
        <w:numId w:val="0"/>
      </w:numPr>
      <w:ind w:left="993" w:hanging="180"/>
    </w:pPr>
  </w:style>
  <w:style w:type="character" w:customStyle="1" w:styleId="Numbered3Char">
    <w:name w:val="Numbered 3 Char"/>
    <w:basedOn w:val="Numbered1Char"/>
    <w:link w:val="Numbered3"/>
    <w:rsid w:val="00DC152E"/>
    <w:rPr>
      <w:rFonts w:ascii="Century Gothic" w:eastAsia="Arial" w:hAnsi="Century Gothic" w:cs="Times New Roman"/>
      <w:sz w:val="18"/>
      <w:szCs w:val="18"/>
      <w:lang w:val="en-US"/>
    </w:rPr>
  </w:style>
  <w:style w:type="paragraph" w:customStyle="1" w:styleId="TableHeading">
    <w:name w:val="Table Heading"/>
    <w:basedOn w:val="Normal"/>
    <w:rsid w:val="00DC152E"/>
    <w:pPr>
      <w:spacing w:after="240" w:line="288" w:lineRule="auto"/>
    </w:pPr>
    <w:rPr>
      <w:rFonts w:ascii="Century Gothic" w:eastAsia="Times New Roman" w:hAnsi="Century Gothic" w:cs="Times New Roman"/>
      <w:b/>
      <w:color w:val="FFFFFF"/>
      <w:sz w:val="18"/>
      <w:szCs w:val="20"/>
    </w:rPr>
  </w:style>
  <w:style w:type="paragraph" w:customStyle="1" w:styleId="FrontPageTitle">
    <w:name w:val="Front Page Title"/>
    <w:basedOn w:val="Normal"/>
    <w:link w:val="FrontPageTitleChar"/>
    <w:rsid w:val="00DC152E"/>
    <w:pPr>
      <w:spacing w:after="240" w:line="288" w:lineRule="auto"/>
    </w:pPr>
    <w:rPr>
      <w:rFonts w:ascii="Century Gothic" w:eastAsia="Times New Roman" w:hAnsi="Century Gothic" w:cs="Times New Roman"/>
      <w:b/>
      <w:sz w:val="32"/>
      <w:szCs w:val="20"/>
    </w:rPr>
  </w:style>
  <w:style w:type="character" w:customStyle="1" w:styleId="FrontPageTitleChar">
    <w:name w:val="Front Page Title Char"/>
    <w:basedOn w:val="DefaultParagraphFont"/>
    <w:link w:val="FrontPageTitle"/>
    <w:rsid w:val="00DC152E"/>
    <w:rPr>
      <w:rFonts w:ascii="Century Gothic" w:eastAsia="Times New Roman" w:hAnsi="Century Gothic" w:cs="Times New Roman"/>
      <w:b/>
      <w:sz w:val="32"/>
      <w:szCs w:val="20"/>
    </w:rPr>
  </w:style>
  <w:style w:type="table" w:customStyle="1" w:styleId="FinancialTable">
    <w:name w:val="Financial Table"/>
    <w:basedOn w:val="TableNormal"/>
    <w:uiPriority w:val="99"/>
    <w:rsid w:val="00DC152E"/>
    <w:pPr>
      <w:spacing w:after="0" w:line="240" w:lineRule="auto"/>
    </w:pPr>
    <w:rPr>
      <w:rFonts w:ascii="Century Gothic" w:eastAsia="Arial" w:hAnsi="Century Gothic" w:cs="Times New Roman"/>
      <w:sz w:val="18"/>
      <w:szCs w:val="18"/>
      <w:lang w:val="en-US"/>
    </w:rPr>
    <w:tblPr/>
    <w:tblStylePr w:type="firstRow">
      <w:tblPr/>
      <w:tcPr>
        <w:tcBorders>
          <w:top w:val="nil"/>
          <w:left w:val="nil"/>
          <w:bottom w:val="single" w:sz="2" w:space="0" w:color="7AC143"/>
          <w:right w:val="nil"/>
          <w:insideH w:val="nil"/>
          <w:insideV w:val="nil"/>
        </w:tcBorders>
      </w:tcPr>
    </w:tblStylePr>
    <w:tblStylePr w:type="lastRow">
      <w:rPr>
        <w:rFonts w:ascii="Arial" w:hAnsi="Arial"/>
        <w:b/>
        <w:sz w:val="18"/>
      </w:rPr>
      <w:tblPr/>
      <w:tcPr>
        <w:tcBorders>
          <w:bottom w:val="single" w:sz="2" w:space="0" w:color="7AC143"/>
        </w:tcBorders>
      </w:tcPr>
    </w:tblStylePr>
  </w:style>
  <w:style w:type="character" w:customStyle="1" w:styleId="NoSpacingChar">
    <w:name w:val="No Spacing Char"/>
    <w:basedOn w:val="DefaultParagraphFont"/>
    <w:link w:val="NoSpacing"/>
    <w:uiPriority w:val="1"/>
    <w:rsid w:val="00DC152E"/>
    <w:rPr>
      <w:rFonts w:ascii="Arial" w:hAnsi="Arial"/>
      <w:color w:val="1A1A1A"/>
      <w:sz w:val="20"/>
    </w:rPr>
  </w:style>
  <w:style w:type="character" w:styleId="EndnoteReference">
    <w:name w:val="endnote reference"/>
    <w:basedOn w:val="DefaultParagraphFont"/>
    <w:uiPriority w:val="99"/>
    <w:semiHidden/>
    <w:unhideWhenUsed/>
    <w:rsid w:val="00DC152E"/>
    <w:rPr>
      <w:vertAlign w:val="superscript"/>
    </w:rPr>
  </w:style>
  <w:style w:type="paragraph" w:customStyle="1" w:styleId="font5">
    <w:name w:val="font5"/>
    <w:basedOn w:val="Normal"/>
    <w:rsid w:val="00DC152E"/>
    <w:pPr>
      <w:spacing w:before="100" w:beforeAutospacing="1" w:after="100" w:afterAutospacing="1" w:line="240" w:lineRule="auto"/>
    </w:pPr>
    <w:rPr>
      <w:rFonts w:ascii="Century Gothic" w:eastAsia="Times New Roman" w:hAnsi="Century Gothic" w:cs="Times New Roman"/>
      <w:b/>
      <w:bCs/>
      <w:color w:val="FFFFFF"/>
      <w:sz w:val="14"/>
      <w:szCs w:val="14"/>
      <w:lang w:eastAsia="en-AU"/>
    </w:rPr>
  </w:style>
  <w:style w:type="paragraph" w:customStyle="1" w:styleId="xl63">
    <w:name w:val="xl63"/>
    <w:basedOn w:val="Normal"/>
    <w:rsid w:val="00DC152E"/>
    <w:pPr>
      <w:pBdr>
        <w:top w:val="single" w:sz="12" w:space="0" w:color="0076C0"/>
        <w:left w:val="single" w:sz="12" w:space="0" w:color="0076C0"/>
      </w:pBdr>
      <w:shd w:val="clear" w:color="000000" w:fill="0076C0"/>
      <w:spacing w:before="100" w:beforeAutospacing="1" w:after="100" w:afterAutospacing="1" w:line="240" w:lineRule="auto"/>
      <w:textAlignment w:val="center"/>
    </w:pPr>
    <w:rPr>
      <w:rFonts w:ascii="Times New Roman" w:eastAsia="Times New Roman" w:hAnsi="Times New Roman" w:cs="Times New Roman"/>
      <w:b/>
      <w:bCs/>
      <w:color w:val="FFFFFF"/>
      <w:sz w:val="14"/>
      <w:szCs w:val="14"/>
      <w:lang w:eastAsia="en-AU"/>
    </w:rPr>
  </w:style>
  <w:style w:type="paragraph" w:customStyle="1" w:styleId="xl64">
    <w:name w:val="xl64"/>
    <w:basedOn w:val="Normal"/>
    <w:rsid w:val="00DC152E"/>
    <w:pPr>
      <w:pBdr>
        <w:top w:val="single" w:sz="12" w:space="0" w:color="0076C0"/>
      </w:pBdr>
      <w:shd w:val="clear" w:color="000000" w:fill="0076C0"/>
      <w:spacing w:before="100" w:beforeAutospacing="1" w:after="100" w:afterAutospacing="1" w:line="240" w:lineRule="auto"/>
      <w:textAlignment w:val="center"/>
    </w:pPr>
    <w:rPr>
      <w:rFonts w:ascii="Times New Roman" w:eastAsia="Times New Roman" w:hAnsi="Times New Roman" w:cs="Times New Roman"/>
      <w:b/>
      <w:bCs/>
      <w:color w:val="FFFFFF"/>
      <w:sz w:val="14"/>
      <w:szCs w:val="14"/>
      <w:lang w:eastAsia="en-AU"/>
    </w:rPr>
  </w:style>
  <w:style w:type="paragraph" w:customStyle="1" w:styleId="xl65">
    <w:name w:val="xl65"/>
    <w:basedOn w:val="Normal"/>
    <w:rsid w:val="00DC152E"/>
    <w:pPr>
      <w:shd w:val="clear" w:color="000000" w:fill="0076C0"/>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lang w:eastAsia="en-AU"/>
    </w:rPr>
  </w:style>
  <w:style w:type="paragraph" w:customStyle="1" w:styleId="xl66">
    <w:name w:val="xl66"/>
    <w:basedOn w:val="Normal"/>
    <w:rsid w:val="00DC152E"/>
    <w:pPr>
      <w:pBdr>
        <w:left w:val="single" w:sz="12" w:space="0" w:color="0076C0"/>
      </w:pBdr>
      <w:shd w:val="clear" w:color="000000" w:fill="0076C0"/>
      <w:spacing w:before="100" w:beforeAutospacing="1" w:after="100" w:afterAutospacing="1" w:line="240" w:lineRule="auto"/>
      <w:textAlignment w:val="center"/>
    </w:pPr>
    <w:rPr>
      <w:rFonts w:ascii="Times New Roman" w:eastAsia="Times New Roman" w:hAnsi="Times New Roman" w:cs="Times New Roman"/>
      <w:b/>
      <w:bCs/>
      <w:color w:val="FFFFFF"/>
      <w:sz w:val="14"/>
      <w:szCs w:val="14"/>
      <w:lang w:eastAsia="en-AU"/>
    </w:rPr>
  </w:style>
  <w:style w:type="paragraph" w:customStyle="1" w:styleId="xl67">
    <w:name w:val="xl67"/>
    <w:basedOn w:val="Normal"/>
    <w:rsid w:val="00DC152E"/>
    <w:pPr>
      <w:shd w:val="clear" w:color="000000" w:fill="0076C0"/>
      <w:spacing w:before="100" w:beforeAutospacing="1" w:after="100" w:afterAutospacing="1" w:line="240" w:lineRule="auto"/>
      <w:textAlignment w:val="center"/>
    </w:pPr>
    <w:rPr>
      <w:rFonts w:ascii="Times New Roman" w:eastAsia="Times New Roman" w:hAnsi="Times New Roman" w:cs="Times New Roman"/>
      <w:b/>
      <w:bCs/>
      <w:color w:val="FFFFFF"/>
      <w:sz w:val="14"/>
      <w:szCs w:val="14"/>
      <w:lang w:eastAsia="en-AU"/>
    </w:rPr>
  </w:style>
  <w:style w:type="paragraph" w:customStyle="1" w:styleId="xl68">
    <w:name w:val="xl68"/>
    <w:basedOn w:val="Normal"/>
    <w:rsid w:val="00DC152E"/>
    <w:pPr>
      <w:pBdr>
        <w:right w:val="single" w:sz="12" w:space="0" w:color="0076C0"/>
      </w:pBdr>
      <w:shd w:val="clear" w:color="000000" w:fill="0076C0"/>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lang w:eastAsia="en-AU"/>
    </w:rPr>
  </w:style>
  <w:style w:type="paragraph" w:customStyle="1" w:styleId="xl69">
    <w:name w:val="xl69"/>
    <w:basedOn w:val="Normal"/>
    <w:rsid w:val="00DC152E"/>
    <w:pPr>
      <w:pBdr>
        <w:left w:val="single" w:sz="12" w:space="0" w:color="0076C0"/>
        <w:bottom w:val="single" w:sz="12" w:space="0" w:color="0076C0"/>
      </w:pBdr>
      <w:shd w:val="clear" w:color="000000" w:fill="0076C0"/>
      <w:spacing w:before="100" w:beforeAutospacing="1" w:after="100" w:afterAutospacing="1" w:line="240" w:lineRule="auto"/>
      <w:textAlignment w:val="center"/>
    </w:pPr>
    <w:rPr>
      <w:rFonts w:ascii="Times New Roman" w:eastAsia="Times New Roman" w:hAnsi="Times New Roman" w:cs="Times New Roman"/>
      <w:b/>
      <w:bCs/>
      <w:color w:val="FFFFFF"/>
      <w:sz w:val="14"/>
      <w:szCs w:val="14"/>
      <w:lang w:eastAsia="en-AU"/>
    </w:rPr>
  </w:style>
  <w:style w:type="paragraph" w:customStyle="1" w:styleId="xl70">
    <w:name w:val="xl70"/>
    <w:basedOn w:val="Normal"/>
    <w:rsid w:val="00DC152E"/>
    <w:pPr>
      <w:pBdr>
        <w:bottom w:val="single" w:sz="12" w:space="0" w:color="0076C0"/>
      </w:pBdr>
      <w:shd w:val="clear" w:color="000000" w:fill="0076C0"/>
      <w:spacing w:before="100" w:beforeAutospacing="1" w:after="100" w:afterAutospacing="1" w:line="240" w:lineRule="auto"/>
      <w:textAlignment w:val="center"/>
    </w:pPr>
    <w:rPr>
      <w:rFonts w:ascii="Times New Roman" w:eastAsia="Times New Roman" w:hAnsi="Times New Roman" w:cs="Times New Roman"/>
      <w:b/>
      <w:bCs/>
      <w:i/>
      <w:iCs/>
      <w:color w:val="FFFFFF"/>
      <w:sz w:val="14"/>
      <w:szCs w:val="14"/>
      <w:lang w:eastAsia="en-AU"/>
    </w:rPr>
  </w:style>
  <w:style w:type="paragraph" w:customStyle="1" w:styleId="xl71">
    <w:name w:val="xl71"/>
    <w:basedOn w:val="Normal"/>
    <w:rsid w:val="00DC152E"/>
    <w:pPr>
      <w:pBdr>
        <w:bottom w:val="single" w:sz="12" w:space="0" w:color="0076C0"/>
      </w:pBdr>
      <w:shd w:val="clear" w:color="000000" w:fill="0076C0"/>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14"/>
      <w:szCs w:val="14"/>
      <w:lang w:eastAsia="en-AU"/>
    </w:rPr>
  </w:style>
  <w:style w:type="paragraph" w:customStyle="1" w:styleId="xl72">
    <w:name w:val="xl72"/>
    <w:basedOn w:val="Normal"/>
    <w:rsid w:val="00DC152E"/>
    <w:pPr>
      <w:pBdr>
        <w:bottom w:val="single" w:sz="12" w:space="0" w:color="0076C0"/>
        <w:right w:val="single" w:sz="12" w:space="0" w:color="0076C0"/>
      </w:pBdr>
      <w:shd w:val="clear" w:color="000000" w:fill="0076C0"/>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14"/>
      <w:szCs w:val="14"/>
      <w:lang w:eastAsia="en-AU"/>
    </w:rPr>
  </w:style>
  <w:style w:type="paragraph" w:customStyle="1" w:styleId="xl73">
    <w:name w:val="xl73"/>
    <w:basedOn w:val="Normal"/>
    <w:rsid w:val="00DC152E"/>
    <w:pPr>
      <w:pBdr>
        <w:bottom w:val="single" w:sz="8" w:space="0" w:color="0076C0"/>
        <w:right w:val="single" w:sz="8" w:space="0" w:color="0076C0"/>
      </w:pBdr>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en-AU"/>
    </w:rPr>
  </w:style>
  <w:style w:type="paragraph" w:customStyle="1" w:styleId="xl74">
    <w:name w:val="xl74"/>
    <w:basedOn w:val="Normal"/>
    <w:rsid w:val="00DC152E"/>
    <w:pPr>
      <w:pBdr>
        <w:bottom w:val="single" w:sz="8" w:space="0" w:color="0076C0"/>
        <w:right w:val="single" w:sz="8" w:space="0" w:color="0076C0"/>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en-AU"/>
    </w:rPr>
  </w:style>
  <w:style w:type="paragraph" w:customStyle="1" w:styleId="xl75">
    <w:name w:val="xl75"/>
    <w:basedOn w:val="Normal"/>
    <w:rsid w:val="00DC152E"/>
    <w:pPr>
      <w:pBdr>
        <w:bottom w:val="single" w:sz="8" w:space="0" w:color="0076C0"/>
        <w:right w:val="single" w:sz="8" w:space="0" w:color="0076C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en-AU"/>
    </w:rPr>
  </w:style>
  <w:style w:type="paragraph" w:customStyle="1" w:styleId="xl76">
    <w:name w:val="xl76"/>
    <w:basedOn w:val="Normal"/>
    <w:rsid w:val="00DC152E"/>
    <w:pPr>
      <w:pBdr>
        <w:bottom w:val="single" w:sz="8" w:space="0" w:color="0076C0"/>
        <w:right w:val="single" w:sz="12" w:space="0" w:color="0076C0"/>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8"/>
      <w:szCs w:val="18"/>
      <w:lang w:eastAsia="en-AU"/>
    </w:rPr>
  </w:style>
  <w:style w:type="paragraph" w:customStyle="1" w:styleId="xl77">
    <w:name w:val="xl77"/>
    <w:basedOn w:val="Normal"/>
    <w:rsid w:val="00DC152E"/>
    <w:pPr>
      <w:pBdr>
        <w:bottom w:val="single" w:sz="12" w:space="0" w:color="0076C0"/>
        <w:right w:val="single" w:sz="8" w:space="0" w:color="0076C0"/>
      </w:pBdr>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en-AU"/>
    </w:rPr>
  </w:style>
  <w:style w:type="paragraph" w:customStyle="1" w:styleId="xl78">
    <w:name w:val="xl78"/>
    <w:basedOn w:val="Normal"/>
    <w:rsid w:val="00DC152E"/>
    <w:pPr>
      <w:pBdr>
        <w:bottom w:val="single" w:sz="12" w:space="0" w:color="0076C0"/>
        <w:right w:val="single" w:sz="8" w:space="0" w:color="0076C0"/>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en-AU"/>
    </w:rPr>
  </w:style>
  <w:style w:type="paragraph" w:customStyle="1" w:styleId="xl79">
    <w:name w:val="xl79"/>
    <w:basedOn w:val="Normal"/>
    <w:rsid w:val="00DC152E"/>
    <w:pPr>
      <w:pBdr>
        <w:bottom w:val="single" w:sz="12" w:space="0" w:color="0076C0"/>
        <w:right w:val="single" w:sz="8" w:space="0" w:color="0076C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en-AU"/>
    </w:rPr>
  </w:style>
  <w:style w:type="paragraph" w:customStyle="1" w:styleId="xl80">
    <w:name w:val="xl80"/>
    <w:basedOn w:val="Normal"/>
    <w:rsid w:val="00DC152E"/>
    <w:pPr>
      <w:pBdr>
        <w:bottom w:val="single" w:sz="12" w:space="0" w:color="0076C0"/>
        <w:right w:val="single" w:sz="12" w:space="0" w:color="0076C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4"/>
      <w:szCs w:val="14"/>
      <w:lang w:eastAsia="en-AU"/>
    </w:rPr>
  </w:style>
  <w:style w:type="paragraph" w:customStyle="1" w:styleId="xl81">
    <w:name w:val="xl81"/>
    <w:basedOn w:val="Normal"/>
    <w:rsid w:val="00DC152E"/>
    <w:pPr>
      <w:pBdr>
        <w:bottom w:val="single" w:sz="8" w:space="0" w:color="0076C0"/>
        <w:right w:val="single" w:sz="12" w:space="0" w:color="0076C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en-AU"/>
    </w:rPr>
  </w:style>
  <w:style w:type="paragraph" w:customStyle="1" w:styleId="xl82">
    <w:name w:val="xl82"/>
    <w:basedOn w:val="Normal"/>
    <w:rsid w:val="00DC152E"/>
    <w:pPr>
      <w:pBdr>
        <w:bottom w:val="single" w:sz="8" w:space="0" w:color="0076C0"/>
        <w:right w:val="single" w:sz="8" w:space="0" w:color="0076C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4"/>
      <w:szCs w:val="14"/>
      <w:lang w:eastAsia="en-AU"/>
    </w:rPr>
  </w:style>
  <w:style w:type="paragraph" w:customStyle="1" w:styleId="xl83">
    <w:name w:val="xl83"/>
    <w:basedOn w:val="Normal"/>
    <w:rsid w:val="00DC152E"/>
    <w:pPr>
      <w:pBdr>
        <w:bottom w:val="single" w:sz="8" w:space="0" w:color="0076C0"/>
        <w:right w:val="single" w:sz="12" w:space="0" w:color="0076C0"/>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en-AU"/>
    </w:rPr>
  </w:style>
  <w:style w:type="paragraph" w:customStyle="1" w:styleId="xl84">
    <w:name w:val="xl84"/>
    <w:basedOn w:val="Normal"/>
    <w:rsid w:val="00DC152E"/>
    <w:pPr>
      <w:pBdr>
        <w:bottom w:val="single" w:sz="8" w:space="0" w:color="0076C0"/>
        <w:right w:val="single" w:sz="8" w:space="0" w:color="0076C0"/>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8"/>
      <w:szCs w:val="18"/>
      <w:lang w:eastAsia="en-AU"/>
    </w:rPr>
  </w:style>
  <w:style w:type="paragraph" w:customStyle="1" w:styleId="xl85">
    <w:name w:val="xl85"/>
    <w:basedOn w:val="Normal"/>
    <w:rsid w:val="00DC152E"/>
    <w:pPr>
      <w:pBdr>
        <w:bottom w:val="single" w:sz="8" w:space="0" w:color="0076C0"/>
        <w:right w:val="single" w:sz="12" w:space="0" w:color="0076C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4"/>
      <w:szCs w:val="14"/>
      <w:lang w:eastAsia="en-AU"/>
    </w:rPr>
  </w:style>
  <w:style w:type="paragraph" w:customStyle="1" w:styleId="xl86">
    <w:name w:val="xl86"/>
    <w:basedOn w:val="Normal"/>
    <w:rsid w:val="00DC152E"/>
    <w:pPr>
      <w:pBdr>
        <w:bottom w:val="single" w:sz="8" w:space="0" w:color="0076C0"/>
        <w:right w:val="single" w:sz="12" w:space="0" w:color="0076C0"/>
      </w:pBdr>
      <w:spacing w:before="100" w:beforeAutospacing="1" w:after="100" w:afterAutospacing="1" w:line="240" w:lineRule="auto"/>
      <w:textAlignment w:val="center"/>
    </w:pPr>
    <w:rPr>
      <w:rFonts w:ascii="Times New Roman" w:eastAsia="Times New Roman" w:hAnsi="Times New Roman" w:cs="Times New Roman"/>
      <w:sz w:val="18"/>
      <w:szCs w:val="18"/>
      <w:lang w:eastAsia="en-AU"/>
    </w:rPr>
  </w:style>
  <w:style w:type="paragraph" w:customStyle="1" w:styleId="xl87">
    <w:name w:val="xl87"/>
    <w:basedOn w:val="Normal"/>
    <w:rsid w:val="00DC152E"/>
    <w:pPr>
      <w:pBdr>
        <w:bottom w:val="single" w:sz="12" w:space="0" w:color="0076C0"/>
        <w:right w:val="single" w:sz="12" w:space="0" w:color="0076C0"/>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en-AU"/>
    </w:rPr>
  </w:style>
  <w:style w:type="paragraph" w:customStyle="1" w:styleId="xl88">
    <w:name w:val="xl88"/>
    <w:basedOn w:val="Normal"/>
    <w:rsid w:val="00DC152E"/>
    <w:pPr>
      <w:pBdr>
        <w:left w:val="single" w:sz="12" w:space="0" w:color="0076C0"/>
        <w:bottom w:val="single" w:sz="12" w:space="0" w:color="0076C0"/>
        <w:right w:val="single" w:sz="8" w:space="0" w:color="0076C0"/>
      </w:pBdr>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en-AU"/>
    </w:rPr>
  </w:style>
  <w:style w:type="paragraph" w:customStyle="1" w:styleId="xl89">
    <w:name w:val="xl89"/>
    <w:basedOn w:val="Normal"/>
    <w:rsid w:val="00DC152E"/>
    <w:pPr>
      <w:pBdr>
        <w:bottom w:val="single" w:sz="12" w:space="0" w:color="0076C0"/>
        <w:right w:val="single" w:sz="8" w:space="0" w:color="0076C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4"/>
      <w:szCs w:val="14"/>
      <w:lang w:eastAsia="en-AU"/>
    </w:rPr>
  </w:style>
  <w:style w:type="paragraph" w:customStyle="1" w:styleId="xl90">
    <w:name w:val="xl90"/>
    <w:basedOn w:val="Normal"/>
    <w:rsid w:val="00DC152E"/>
    <w:pPr>
      <w:pBdr>
        <w:bottom w:val="single" w:sz="12" w:space="0" w:color="0076C0"/>
        <w:right w:val="single" w:sz="12" w:space="0" w:color="0076C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en-AU"/>
    </w:rPr>
  </w:style>
  <w:style w:type="paragraph" w:customStyle="1" w:styleId="xl91">
    <w:name w:val="xl91"/>
    <w:basedOn w:val="Normal"/>
    <w:rsid w:val="00DC152E"/>
    <w:pPr>
      <w:pBdr>
        <w:bottom w:val="single" w:sz="8" w:space="0" w:color="0076C0"/>
        <w:right w:val="single" w:sz="8" w:space="0" w:color="0076C0"/>
      </w:pBdr>
      <w:spacing w:before="100" w:beforeAutospacing="1" w:after="100" w:afterAutospacing="1" w:line="240" w:lineRule="auto"/>
      <w:textAlignment w:val="center"/>
    </w:pPr>
    <w:rPr>
      <w:rFonts w:ascii="Times New Roman" w:eastAsia="Times New Roman" w:hAnsi="Times New Roman" w:cs="Times New Roman"/>
      <w:sz w:val="14"/>
      <w:szCs w:val="14"/>
      <w:lang w:eastAsia="en-AU"/>
    </w:rPr>
  </w:style>
  <w:style w:type="paragraph" w:customStyle="1" w:styleId="xl92">
    <w:name w:val="xl92"/>
    <w:basedOn w:val="Normal"/>
    <w:rsid w:val="00DC152E"/>
    <w:pPr>
      <w:pBdr>
        <w:bottom w:val="single" w:sz="8" w:space="0" w:color="0076C0"/>
        <w:right w:val="single" w:sz="8" w:space="0" w:color="0076C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n-AU"/>
    </w:rPr>
  </w:style>
  <w:style w:type="paragraph" w:customStyle="1" w:styleId="xl93">
    <w:name w:val="xl93"/>
    <w:basedOn w:val="Normal"/>
    <w:rsid w:val="00DC152E"/>
    <w:pPr>
      <w:pBdr>
        <w:bottom w:val="single" w:sz="8" w:space="0" w:color="0076C0"/>
        <w:right w:val="single" w:sz="8" w:space="0" w:color="0076C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n-AU"/>
    </w:rPr>
  </w:style>
  <w:style w:type="paragraph" w:customStyle="1" w:styleId="xl94">
    <w:name w:val="xl94"/>
    <w:basedOn w:val="Normal"/>
    <w:rsid w:val="00DC152E"/>
    <w:pPr>
      <w:pBdr>
        <w:bottom w:val="single" w:sz="8" w:space="0" w:color="0076C0"/>
        <w:right w:val="single" w:sz="12" w:space="0" w:color="0076C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n-AU"/>
    </w:rPr>
  </w:style>
  <w:style w:type="paragraph" w:customStyle="1" w:styleId="xl95">
    <w:name w:val="xl95"/>
    <w:basedOn w:val="Normal"/>
    <w:rsid w:val="00DC152E"/>
    <w:pPr>
      <w:pBdr>
        <w:bottom w:val="single" w:sz="12" w:space="0" w:color="0076C0"/>
        <w:right w:val="single" w:sz="8" w:space="0" w:color="0076C0"/>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8"/>
      <w:szCs w:val="18"/>
      <w:lang w:eastAsia="en-AU"/>
    </w:rPr>
  </w:style>
  <w:style w:type="paragraph" w:customStyle="1" w:styleId="xl96">
    <w:name w:val="xl96"/>
    <w:basedOn w:val="Normal"/>
    <w:rsid w:val="00DC152E"/>
    <w:pPr>
      <w:pBdr>
        <w:bottom w:val="single" w:sz="8" w:space="0" w:color="0076C0"/>
        <w:right w:val="single" w:sz="8" w:space="0" w:color="0076C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14"/>
      <w:szCs w:val="14"/>
      <w:lang w:eastAsia="en-AU"/>
    </w:rPr>
  </w:style>
  <w:style w:type="paragraph" w:customStyle="1" w:styleId="xl97">
    <w:name w:val="xl97"/>
    <w:basedOn w:val="Normal"/>
    <w:rsid w:val="00DC152E"/>
    <w:pPr>
      <w:pBdr>
        <w:bottom w:val="single" w:sz="8" w:space="0" w:color="0076C0"/>
        <w:right w:val="single" w:sz="12" w:space="0" w:color="0076C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14"/>
      <w:szCs w:val="14"/>
      <w:lang w:eastAsia="en-AU"/>
    </w:rPr>
  </w:style>
  <w:style w:type="paragraph" w:customStyle="1" w:styleId="xl98">
    <w:name w:val="xl98"/>
    <w:basedOn w:val="Normal"/>
    <w:rsid w:val="00DC152E"/>
    <w:pPr>
      <w:pBdr>
        <w:top w:val="single" w:sz="12" w:space="0" w:color="0076C0"/>
      </w:pBdr>
      <w:shd w:val="clear" w:color="000000" w:fill="0076C0"/>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lang w:eastAsia="en-AU"/>
    </w:rPr>
  </w:style>
  <w:style w:type="paragraph" w:customStyle="1" w:styleId="xl99">
    <w:name w:val="xl99"/>
    <w:basedOn w:val="Normal"/>
    <w:rsid w:val="00DC152E"/>
    <w:pPr>
      <w:pBdr>
        <w:left w:val="single" w:sz="12" w:space="0" w:color="0076C0"/>
        <w:right w:val="single" w:sz="8" w:space="0" w:color="0076C0"/>
      </w:pBdr>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en-AU"/>
    </w:rPr>
  </w:style>
  <w:style w:type="paragraph" w:customStyle="1" w:styleId="xl100">
    <w:name w:val="xl100"/>
    <w:basedOn w:val="Normal"/>
    <w:rsid w:val="00DC152E"/>
    <w:pPr>
      <w:pBdr>
        <w:top w:val="single" w:sz="12" w:space="0" w:color="0076C0"/>
        <w:left w:val="single" w:sz="12" w:space="0" w:color="0076C0"/>
        <w:right w:val="single" w:sz="8" w:space="0" w:color="0076C0"/>
      </w:pBdr>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en-AU"/>
    </w:rPr>
  </w:style>
  <w:style w:type="paragraph" w:customStyle="1" w:styleId="xl101">
    <w:name w:val="xl101"/>
    <w:basedOn w:val="Normal"/>
    <w:rsid w:val="00DC152E"/>
    <w:pPr>
      <w:pBdr>
        <w:top w:val="single" w:sz="12" w:space="0" w:color="0076C0"/>
        <w:left w:val="single" w:sz="12" w:space="0" w:color="0076C0"/>
        <w:bottom w:val="single" w:sz="12" w:space="0" w:color="0076C0"/>
      </w:pBdr>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en-AU"/>
    </w:rPr>
  </w:style>
  <w:style w:type="paragraph" w:customStyle="1" w:styleId="xl102">
    <w:name w:val="xl102"/>
    <w:basedOn w:val="Normal"/>
    <w:rsid w:val="00DC152E"/>
    <w:pPr>
      <w:pBdr>
        <w:top w:val="single" w:sz="12" w:space="0" w:color="0076C0"/>
        <w:bottom w:val="single" w:sz="12" w:space="0" w:color="0076C0"/>
        <w:right w:val="single" w:sz="8" w:space="0" w:color="0076C0"/>
      </w:pBdr>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en-AU"/>
    </w:rPr>
  </w:style>
  <w:style w:type="character" w:customStyle="1" w:styleId="Heading1Char2">
    <w:name w:val="Heading 1 Char2"/>
    <w:aliases w:val="h1 Char1,D&amp;M Char1,D&amp;M 1 Char1,Heading 1 Char Char1 Char1,Heading 1 Char1 Char Char Char1,Heading 1 Char Char Char Char Char1,Heading 1 Char1 Char1,Heading 1 Char Char Char1,Heading 10 Char1,Subheading1 Char1,D&amp;M1 Char1,D&amp;M 11 Char1"/>
    <w:basedOn w:val="DefaultParagraphFont"/>
    <w:rsid w:val="00DC152E"/>
    <w:rPr>
      <w:rFonts w:asciiTheme="majorHAnsi" w:eastAsiaTheme="majorEastAsia" w:hAnsiTheme="majorHAnsi" w:cstheme="majorBidi"/>
      <w:color w:val="00578F" w:themeColor="accent1" w:themeShade="BF"/>
      <w:sz w:val="32"/>
      <w:szCs w:val="32"/>
      <w:lang w:eastAsia="en-AU"/>
    </w:rPr>
  </w:style>
  <w:style w:type="character" w:customStyle="1" w:styleId="Heading2Char2">
    <w:name w:val="Heading 2 Char2"/>
    <w:aliases w:val="h2 Char1,D&amp;M2 Char1,D&amp;M 2 Char1,D&amp;M Heading 2 Char1,2 Char1,Heading 2 Char1 Char1,Heading 2 Char Char Char1,Major Heading Char1,Major Heading1 Char1,Major Heading2 Char1,Major Heading3 Char1"/>
    <w:basedOn w:val="DefaultParagraphFont"/>
    <w:semiHidden/>
    <w:rsid w:val="00DC152E"/>
    <w:rPr>
      <w:rFonts w:asciiTheme="majorHAnsi" w:eastAsiaTheme="majorEastAsia" w:hAnsiTheme="majorHAnsi" w:cstheme="majorBidi"/>
      <w:color w:val="00578F" w:themeColor="accent1" w:themeShade="BF"/>
      <w:sz w:val="26"/>
      <w:szCs w:val="26"/>
      <w:lang w:eastAsia="en-AU"/>
    </w:rPr>
  </w:style>
  <w:style w:type="character" w:customStyle="1" w:styleId="Heading3Char1">
    <w:name w:val="Heading 3 Char1"/>
    <w:aliases w:val="h3 Char1,D&amp;M3 Char1,D&amp;M 3 Char1"/>
    <w:basedOn w:val="DefaultParagraphFont"/>
    <w:semiHidden/>
    <w:rsid w:val="00DC152E"/>
    <w:rPr>
      <w:rFonts w:asciiTheme="majorHAnsi" w:eastAsiaTheme="majorEastAsia" w:hAnsiTheme="majorHAnsi" w:cstheme="majorBidi"/>
      <w:color w:val="003A5F" w:themeColor="accent1" w:themeShade="7F"/>
      <w:sz w:val="24"/>
      <w:szCs w:val="24"/>
      <w:lang w:eastAsia="en-AU"/>
    </w:rPr>
  </w:style>
  <w:style w:type="character" w:customStyle="1" w:styleId="Heading4Char1">
    <w:name w:val="Heading 4 Char1"/>
    <w:aliases w:val="D&amp;M4 Char1,D&amp;M 4 Char1,Minor Heading Char1,Minor Heading1 Char1,Minor Heading2 Char1,Minor Heading3 Char1,Minor Heading4 Char1,Minor Heading5 Char1,Minor Heading6 Char1,Minor Heading7 Char1,Minor Heading8 Char1,Minor Heading11 Char1"/>
    <w:basedOn w:val="DefaultParagraphFont"/>
    <w:semiHidden/>
    <w:rsid w:val="00DC152E"/>
    <w:rPr>
      <w:rFonts w:asciiTheme="majorHAnsi" w:eastAsiaTheme="majorEastAsia" w:hAnsiTheme="majorHAnsi" w:cstheme="majorBidi"/>
      <w:i/>
      <w:iCs/>
      <w:color w:val="00578F" w:themeColor="accent1" w:themeShade="BF"/>
      <w:sz w:val="18"/>
      <w:szCs w:val="18"/>
      <w:lang w:eastAsia="en-AU"/>
    </w:rPr>
  </w:style>
  <w:style w:type="character" w:customStyle="1" w:styleId="Heading5Char1">
    <w:name w:val="Heading 5 Char1"/>
    <w:aliases w:val="h5 Char1"/>
    <w:basedOn w:val="DefaultParagraphFont"/>
    <w:semiHidden/>
    <w:rsid w:val="00DC152E"/>
    <w:rPr>
      <w:rFonts w:asciiTheme="majorHAnsi" w:eastAsiaTheme="majorEastAsia" w:hAnsiTheme="majorHAnsi" w:cstheme="majorBidi"/>
      <w:color w:val="00578F" w:themeColor="accent1" w:themeShade="BF"/>
      <w:sz w:val="18"/>
      <w:szCs w:val="18"/>
      <w:lang w:eastAsia="en-AU"/>
    </w:rPr>
  </w:style>
  <w:style w:type="character" w:customStyle="1" w:styleId="HeaderChar1">
    <w:name w:val="Header Char1"/>
    <w:aliases w:val="odd Char1"/>
    <w:basedOn w:val="DefaultParagraphFont"/>
    <w:semiHidden/>
    <w:rsid w:val="00DC152E"/>
    <w:rPr>
      <w:rFonts w:ascii="Century Gothic" w:hAnsi="Century Gothic"/>
      <w:lang w:val="en-AU" w:eastAsia="en-AU" w:bidi="ar-SA"/>
    </w:rPr>
  </w:style>
  <w:style w:type="character" w:customStyle="1" w:styleId="BodyTextChar1">
    <w:name w:val="Body Text Char1"/>
    <w:aliases w:val="indent50 Char1"/>
    <w:basedOn w:val="DefaultParagraphFont"/>
    <w:uiPriority w:val="99"/>
    <w:semiHidden/>
    <w:rsid w:val="00DC152E"/>
    <w:rPr>
      <w:rFonts w:ascii="Century Gothic" w:hAnsi="Century Gothic"/>
      <w:lang w:val="en-AU" w:eastAsia="en-AU" w:bidi="ar-SA"/>
    </w:rPr>
  </w:style>
  <w:style w:type="paragraph" w:customStyle="1" w:styleId="ListParagraph1">
    <w:name w:val="List Paragraph1"/>
    <w:aliases w:val="List Paragraph11,Recommendation"/>
    <w:basedOn w:val="Normal"/>
    <w:uiPriority w:val="34"/>
    <w:qFormat/>
    <w:rsid w:val="00DC152E"/>
    <w:pPr>
      <w:spacing w:after="240" w:line="276" w:lineRule="auto"/>
      <w:ind w:left="720"/>
      <w:contextualSpacing/>
    </w:pPr>
    <w:rPr>
      <w:rFonts w:ascii="Century Gothic" w:eastAsia="Times New Roman" w:hAnsi="Century Gothic" w:cs="Times New Roman"/>
      <w:sz w:val="18"/>
      <w:szCs w:val="18"/>
      <w:lang w:val="x-none" w:eastAsia="x-none"/>
    </w:rPr>
  </w:style>
  <w:style w:type="paragraph" w:customStyle="1" w:styleId="ScheduleHeading">
    <w:name w:val="Schedule Heading"/>
    <w:next w:val="ScheduleLevel1"/>
    <w:rsid w:val="00DC152E"/>
    <w:pPr>
      <w:keepNext/>
      <w:pageBreakBefore/>
      <w:numPr>
        <w:numId w:val="45"/>
      </w:numPr>
      <w:shd w:val="clear" w:color="auto" w:fill="000000"/>
      <w:spacing w:after="140" w:line="280" w:lineRule="atLeast"/>
      <w:outlineLvl w:val="0"/>
    </w:pPr>
    <w:rPr>
      <w:rFonts w:ascii="Arial" w:eastAsia="Times New Roman" w:hAnsi="Arial" w:cs="Arial"/>
      <w:b/>
      <w:caps/>
      <w:sz w:val="20"/>
      <w:szCs w:val="20"/>
      <w:lang w:val="en-US" w:eastAsia="en-AU"/>
    </w:rPr>
  </w:style>
  <w:style w:type="paragraph" w:customStyle="1" w:styleId="ScheduleLevel1">
    <w:name w:val="Schedule Level 1"/>
    <w:next w:val="ScheduleLevel2"/>
    <w:rsid w:val="00DC152E"/>
    <w:pPr>
      <w:keepNext/>
      <w:numPr>
        <w:ilvl w:val="1"/>
        <w:numId w:val="45"/>
      </w:numPr>
      <w:pBdr>
        <w:bottom w:val="single" w:sz="2" w:space="1" w:color="auto"/>
      </w:pBdr>
      <w:spacing w:before="200" w:after="0" w:line="280" w:lineRule="atLeast"/>
      <w:outlineLvl w:val="1"/>
    </w:pPr>
    <w:rPr>
      <w:rFonts w:ascii="Arial" w:eastAsia="Times New Roman" w:hAnsi="Arial" w:cs="Arial"/>
      <w:b/>
      <w:lang w:val="en-US" w:eastAsia="en-AU"/>
    </w:rPr>
  </w:style>
  <w:style w:type="paragraph" w:customStyle="1" w:styleId="ScheduleLevel2">
    <w:name w:val="Schedule Level 2"/>
    <w:next w:val="ScheduleLevel3"/>
    <w:rsid w:val="00DC152E"/>
    <w:pPr>
      <w:numPr>
        <w:ilvl w:val="2"/>
        <w:numId w:val="45"/>
      </w:numPr>
      <w:spacing w:before="200" w:after="0" w:line="280" w:lineRule="atLeast"/>
      <w:outlineLvl w:val="2"/>
    </w:pPr>
    <w:rPr>
      <w:rFonts w:ascii="Arial" w:eastAsia="Times New Roman" w:hAnsi="Arial" w:cs="Arial"/>
      <w:b/>
      <w:lang w:val="en-US" w:eastAsia="en-AU"/>
    </w:rPr>
  </w:style>
  <w:style w:type="paragraph" w:customStyle="1" w:styleId="ScheduleLevel3">
    <w:name w:val="Schedule Level 3"/>
    <w:rsid w:val="00DC152E"/>
    <w:pPr>
      <w:numPr>
        <w:ilvl w:val="3"/>
        <w:numId w:val="45"/>
      </w:numPr>
      <w:spacing w:before="140" w:after="140" w:line="280" w:lineRule="atLeast"/>
    </w:pPr>
    <w:rPr>
      <w:rFonts w:ascii="Arial" w:eastAsia="Times New Roman" w:hAnsi="Arial" w:cs="Arial"/>
      <w:lang w:val="en-US" w:eastAsia="en-AU"/>
    </w:rPr>
  </w:style>
  <w:style w:type="paragraph" w:customStyle="1" w:styleId="ScheduleLevel4">
    <w:name w:val="Schedule Level 4"/>
    <w:rsid w:val="00DC152E"/>
    <w:pPr>
      <w:numPr>
        <w:ilvl w:val="4"/>
        <w:numId w:val="45"/>
      </w:numPr>
      <w:spacing w:after="140" w:line="280" w:lineRule="atLeast"/>
    </w:pPr>
    <w:rPr>
      <w:rFonts w:ascii="Arial" w:eastAsia="Times New Roman" w:hAnsi="Arial" w:cs="Arial"/>
      <w:lang w:val="en-US" w:eastAsia="en-AU"/>
    </w:rPr>
  </w:style>
  <w:style w:type="paragraph" w:customStyle="1" w:styleId="ScheduleLevel5">
    <w:name w:val="Schedule Level 5"/>
    <w:rsid w:val="00DC152E"/>
    <w:pPr>
      <w:numPr>
        <w:ilvl w:val="5"/>
        <w:numId w:val="45"/>
      </w:numPr>
      <w:spacing w:after="140" w:line="280" w:lineRule="atLeast"/>
    </w:pPr>
    <w:rPr>
      <w:rFonts w:ascii="Arial" w:eastAsia="Times New Roman" w:hAnsi="Arial" w:cs="Arial"/>
      <w:lang w:val="en-US" w:eastAsia="en-AU"/>
    </w:rPr>
  </w:style>
  <w:style w:type="paragraph" w:customStyle="1" w:styleId="ScheduleLevel6">
    <w:name w:val="Schedule Level 6"/>
    <w:rsid w:val="00DC152E"/>
    <w:pPr>
      <w:numPr>
        <w:ilvl w:val="6"/>
        <w:numId w:val="45"/>
      </w:numPr>
      <w:spacing w:after="140" w:line="280" w:lineRule="atLeast"/>
    </w:pPr>
    <w:rPr>
      <w:rFonts w:ascii="Arial" w:eastAsia="Times New Roman" w:hAnsi="Arial" w:cs="Arial"/>
      <w:lang w:val="en-US" w:eastAsia="en-AU"/>
    </w:rPr>
  </w:style>
  <w:style w:type="paragraph" w:customStyle="1" w:styleId="ScheduleLevel7">
    <w:name w:val="Schedule Level 7"/>
    <w:semiHidden/>
    <w:rsid w:val="00DC152E"/>
    <w:pPr>
      <w:numPr>
        <w:ilvl w:val="7"/>
        <w:numId w:val="45"/>
      </w:numPr>
      <w:spacing w:after="140" w:line="280" w:lineRule="atLeast"/>
    </w:pPr>
    <w:rPr>
      <w:rFonts w:ascii="Arial" w:eastAsia="Times New Roman" w:hAnsi="Arial" w:cs="Arial"/>
      <w:lang w:val="en-US" w:eastAsia="en-AU"/>
    </w:rPr>
  </w:style>
  <w:style w:type="paragraph" w:customStyle="1" w:styleId="ScheduleLevel8">
    <w:name w:val="Schedule Level 8"/>
    <w:semiHidden/>
    <w:rsid w:val="00DC152E"/>
    <w:pPr>
      <w:numPr>
        <w:ilvl w:val="8"/>
        <w:numId w:val="45"/>
      </w:numPr>
      <w:spacing w:after="140" w:line="280" w:lineRule="atLeast"/>
    </w:pPr>
    <w:rPr>
      <w:rFonts w:ascii="Arial" w:eastAsia="Times New Roman" w:hAnsi="Arial" w:cs="Arial"/>
      <w:lang w:val="en-US" w:eastAsia="en-AU"/>
    </w:rPr>
  </w:style>
  <w:style w:type="paragraph" w:customStyle="1" w:styleId="RFQPartA-Level2">
    <w:name w:val="RFQ PartA - Level 2"/>
    <w:basedOn w:val="ListNumber2"/>
    <w:next w:val="ScheduleLevel2"/>
    <w:rsid w:val="00DC152E"/>
    <w:pPr>
      <w:numPr>
        <w:numId w:val="46"/>
      </w:numPr>
      <w:spacing w:line="240" w:lineRule="auto"/>
    </w:pPr>
    <w:rPr>
      <w:rFonts w:eastAsia="Times New Roman" w:cs="Arial"/>
      <w:noProof w:val="0"/>
      <w:color w:val="auto"/>
      <w:sz w:val="22"/>
      <w:lang w:val="en-US" w:eastAsia="en-AU"/>
    </w:rPr>
  </w:style>
  <w:style w:type="paragraph" w:customStyle="1" w:styleId="desc">
    <w:name w:val="desc"/>
    <w:basedOn w:val="Normal"/>
    <w:rsid w:val="00DC1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
    <w:name w:val="details"/>
    <w:basedOn w:val="Normal"/>
    <w:rsid w:val="00DC152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jrnl">
    <w:name w:val="jrnl"/>
    <w:basedOn w:val="DefaultParagraphFont"/>
    <w:rsid w:val="00DC152E"/>
  </w:style>
  <w:style w:type="table" w:customStyle="1" w:styleId="StdTable1">
    <w:name w:val="Std Table1"/>
    <w:basedOn w:val="TableNormal"/>
    <w:next w:val="TableTheme"/>
    <w:locked/>
    <w:rsid w:val="00DC152E"/>
    <w:pPr>
      <w:spacing w:after="0" w:line="240" w:lineRule="auto"/>
      <w:jc w:val="center"/>
    </w:pPr>
    <w:rPr>
      <w:rFonts w:ascii="Arial" w:eastAsia="Times New Roman" w:hAnsi="Arial" w:cs="Times New Roman"/>
      <w:sz w:val="20"/>
      <w:szCs w:val="20"/>
      <w:lang w:eastAsia="en-AU"/>
    </w:rPr>
    <w:tblP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Pr>
    <w:tcPr>
      <w:vAlign w:val="center"/>
    </w:tcPr>
    <w:tblStylePr w:type="firstRow">
      <w:pPr>
        <w:wordWrap/>
        <w:spacing w:line="240" w:lineRule="auto"/>
        <w:jc w:val="center"/>
      </w:pPr>
      <w:rPr>
        <w:b/>
      </w:rPr>
      <w:tblPr/>
      <w:tcPr>
        <w:tcBorders>
          <w:top w:val="double" w:sz="4" w:space="0" w:color="auto"/>
          <w:left w:val="double" w:sz="4" w:space="0" w:color="auto"/>
          <w:bottom w:val="double" w:sz="4" w:space="0" w:color="auto"/>
          <w:right w:val="double" w:sz="4" w:space="0" w:color="auto"/>
        </w:tcBorders>
        <w:shd w:val="clear" w:color="auto" w:fill="CBDFFD"/>
      </w:tcPr>
    </w:tblStylePr>
    <w:tblStylePr w:type="firstCol">
      <w:pPr>
        <w:wordWrap/>
        <w:jc w:val="left"/>
      </w:pPr>
      <w:rPr>
        <w:b/>
      </w:rPr>
      <w:tblPr/>
      <w:tcPr>
        <w:tcBorders>
          <w:top w:val="double" w:sz="4" w:space="0" w:color="auto"/>
          <w:left w:val="double" w:sz="4" w:space="0" w:color="auto"/>
          <w:bottom w:val="double" w:sz="4" w:space="0" w:color="auto"/>
          <w:right w:val="double" w:sz="4" w:space="0" w:color="auto"/>
        </w:tcBorders>
        <w:shd w:val="clear" w:color="auto" w:fill="CBDFFD"/>
      </w:tcPr>
    </w:tblStylePr>
  </w:style>
  <w:style w:type="table" w:customStyle="1" w:styleId="TableClassic11">
    <w:name w:val="Table Classic 11"/>
    <w:basedOn w:val="TableNormal"/>
    <w:next w:val="TableClassic1"/>
    <w:locked/>
    <w:rsid w:val="00DC152E"/>
    <w:pPr>
      <w:spacing w:after="0" w:line="360" w:lineRule="exact"/>
      <w:jc w:val="both"/>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dTable41">
    <w:name w:val="Std Table41"/>
    <w:basedOn w:val="TableNormal"/>
    <w:next w:val="TableTheme"/>
    <w:rsid w:val="00DC152E"/>
    <w:pPr>
      <w:spacing w:after="0" w:line="240" w:lineRule="auto"/>
      <w:jc w:val="center"/>
    </w:pPr>
    <w:rPr>
      <w:rFonts w:ascii="Arial" w:eastAsia="Times New Roman" w:hAnsi="Arial" w:cs="Times New Roman"/>
      <w:sz w:val="20"/>
      <w:szCs w:val="20"/>
      <w:lang w:eastAsia="en-AU"/>
    </w:rPr>
    <w:tblP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Pr>
    <w:tcPr>
      <w:vAlign w:val="center"/>
    </w:tcPr>
    <w:tblStylePr w:type="firstRow">
      <w:pPr>
        <w:wordWrap/>
        <w:spacing w:line="240" w:lineRule="auto"/>
        <w:jc w:val="center"/>
      </w:pPr>
      <w:rPr>
        <w:b/>
      </w:rPr>
      <w:tblPr/>
      <w:tcPr>
        <w:tcBorders>
          <w:top w:val="double" w:sz="4" w:space="0" w:color="auto"/>
          <w:left w:val="double" w:sz="4" w:space="0" w:color="auto"/>
          <w:bottom w:val="double" w:sz="4" w:space="0" w:color="auto"/>
          <w:right w:val="double" w:sz="4" w:space="0" w:color="auto"/>
        </w:tcBorders>
        <w:shd w:val="clear" w:color="auto" w:fill="CBDFFD"/>
      </w:tcPr>
    </w:tblStylePr>
    <w:tblStylePr w:type="firstCol">
      <w:pPr>
        <w:wordWrap/>
        <w:jc w:val="left"/>
      </w:pPr>
      <w:rPr>
        <w:b/>
      </w:rPr>
      <w:tblPr/>
      <w:tcPr>
        <w:tcBorders>
          <w:top w:val="double" w:sz="4" w:space="0" w:color="auto"/>
          <w:left w:val="double" w:sz="4" w:space="0" w:color="auto"/>
          <w:bottom w:val="double" w:sz="4" w:space="0" w:color="auto"/>
          <w:right w:val="double" w:sz="4" w:space="0" w:color="auto"/>
        </w:tcBorders>
        <w:shd w:val="clear" w:color="auto" w:fill="CBDFFD"/>
      </w:tcPr>
    </w:tblStylePr>
  </w:style>
  <w:style w:type="table" w:customStyle="1" w:styleId="TableGrid110">
    <w:name w:val="Table Grid11"/>
    <w:basedOn w:val="TableNormal"/>
    <w:next w:val="TableGrid"/>
    <w:rsid w:val="00DC152E"/>
    <w:pPr>
      <w:spacing w:after="0" w:line="3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acEnvBasicTable1">
    <w:name w:val="Pac Env Basic Table1"/>
    <w:basedOn w:val="TableNormal"/>
    <w:uiPriority w:val="40"/>
    <w:rsid w:val="00DC152E"/>
    <w:pPr>
      <w:spacing w:after="0" w:line="280" w:lineRule="exact"/>
    </w:pPr>
    <w:rPr>
      <w:rFonts w:ascii="Source Sans Pro" w:hAnsi="Source Sans Pro"/>
      <w:color w:val="676668"/>
      <w:sz w:val="16"/>
    </w:rPr>
    <w:tblPr>
      <w:tblStyleRowBandSize w:val="1"/>
      <w:tblInd w:w="284" w:type="dxa"/>
      <w:tblBorders>
        <w:top w:val="single" w:sz="8" w:space="0" w:color="DEE1E0"/>
        <w:bottom w:val="single" w:sz="8" w:space="0" w:color="DEE1E0"/>
        <w:insideH w:val="single" w:sz="8" w:space="0" w:color="DEE1E0"/>
      </w:tblBorders>
      <w:tblCellMar>
        <w:left w:w="284" w:type="dxa"/>
        <w:right w:w="170" w:type="dxa"/>
      </w:tblCellMar>
    </w:tblPr>
    <w:tblStylePr w:type="band2Horz">
      <w:tblPr/>
      <w:tcPr>
        <w:shd w:val="clear" w:color="auto" w:fill="F0F7FB"/>
      </w:tcPr>
    </w:tblStylePr>
  </w:style>
  <w:style w:type="numbering" w:customStyle="1" w:styleId="PacEnvMultiLevelList1">
    <w:name w:val="Pac Env Multi Level List1"/>
    <w:uiPriority w:val="99"/>
    <w:rsid w:val="00DC152E"/>
    <w:pPr>
      <w:numPr>
        <w:numId w:val="8"/>
      </w:numPr>
    </w:pPr>
  </w:style>
  <w:style w:type="paragraph" w:customStyle="1" w:styleId="Reporttitle">
    <w:name w:val="Report title"/>
    <w:basedOn w:val="Normal"/>
    <w:link w:val="ReporttitleChar"/>
    <w:qFormat/>
    <w:rsid w:val="00DC152E"/>
    <w:rPr>
      <w:rFonts w:eastAsia="Times New Roman" w:cs="Arial"/>
      <w:b/>
      <w:color w:val="0070C0"/>
      <w:sz w:val="40"/>
      <w:szCs w:val="40"/>
      <w:lang w:eastAsia="en-AU"/>
    </w:rPr>
  </w:style>
  <w:style w:type="paragraph" w:customStyle="1" w:styleId="Whitetableheading">
    <w:name w:val="White table heading"/>
    <w:basedOn w:val="Normal"/>
    <w:link w:val="WhitetableheadingChar"/>
    <w:qFormat/>
    <w:rsid w:val="00DC152E"/>
    <w:pPr>
      <w:spacing w:after="0" w:line="240" w:lineRule="auto"/>
    </w:pPr>
    <w:rPr>
      <w:rFonts w:eastAsia="Times New Roman" w:cs="Arial"/>
      <w:color w:val="FFFFFF" w:themeColor="background1"/>
      <w:szCs w:val="20"/>
      <w:lang w:eastAsia="en-AU"/>
    </w:rPr>
  </w:style>
  <w:style w:type="character" w:customStyle="1" w:styleId="ReporttitleChar">
    <w:name w:val="Report title Char"/>
    <w:basedOn w:val="DefaultParagraphFont"/>
    <w:link w:val="Reporttitle"/>
    <w:rsid w:val="00DC152E"/>
    <w:rPr>
      <w:rFonts w:ascii="Arial" w:eastAsia="Times New Roman" w:hAnsi="Arial" w:cs="Arial"/>
      <w:b/>
      <w:color w:val="0070C0"/>
      <w:sz w:val="40"/>
      <w:szCs w:val="40"/>
      <w:lang w:eastAsia="en-AU"/>
    </w:rPr>
  </w:style>
  <w:style w:type="character" w:customStyle="1" w:styleId="WhitetableheadingChar">
    <w:name w:val="White table heading Char"/>
    <w:basedOn w:val="DefaultParagraphFont"/>
    <w:link w:val="Whitetableheading"/>
    <w:rsid w:val="00DC152E"/>
    <w:rPr>
      <w:rFonts w:ascii="Arial" w:eastAsia="Times New Roman" w:hAnsi="Arial" w:cs="Arial"/>
      <w:color w:val="FFFFFF" w:themeColor="background1"/>
      <w:sz w:val="20"/>
      <w:szCs w:val="20"/>
      <w:lang w:eastAsia="en-AU"/>
    </w:rPr>
  </w:style>
  <w:style w:type="character" w:customStyle="1" w:styleId="ListParagraphChar1">
    <w:name w:val="List Paragraph Char1"/>
    <w:basedOn w:val="DefaultParagraphFont"/>
    <w:uiPriority w:val="34"/>
    <w:rsid w:val="00DC152E"/>
    <w:rPr>
      <w:rFonts w:ascii="Arial" w:hAnsi="Arial" w:cs="Arial"/>
      <w:sz w:val="20"/>
      <w:szCs w:val="20"/>
    </w:rPr>
  </w:style>
  <w:style w:type="paragraph" w:customStyle="1" w:styleId="Annexure">
    <w:name w:val="Annexure"/>
    <w:basedOn w:val="Normal"/>
    <w:link w:val="AnnexureChar"/>
    <w:qFormat/>
    <w:rsid w:val="00DC152E"/>
    <w:rPr>
      <w:rFonts w:cs="Arial"/>
      <w:b/>
      <w:color w:val="0070C0"/>
      <w:sz w:val="40"/>
      <w:szCs w:val="40"/>
    </w:rPr>
  </w:style>
  <w:style w:type="paragraph" w:customStyle="1" w:styleId="AnnexureL2">
    <w:name w:val="Annexure L2"/>
    <w:basedOn w:val="Annexure"/>
    <w:link w:val="AnnexureL2Char"/>
    <w:qFormat/>
    <w:rsid w:val="00DC152E"/>
    <w:pPr>
      <w:spacing w:after="360"/>
    </w:pPr>
    <w:rPr>
      <w:sz w:val="28"/>
      <w:szCs w:val="28"/>
    </w:rPr>
  </w:style>
  <w:style w:type="character" w:customStyle="1" w:styleId="AnnexureChar">
    <w:name w:val="Annexure Char"/>
    <w:basedOn w:val="DefaultParagraphFont"/>
    <w:link w:val="Annexure"/>
    <w:rsid w:val="00DC152E"/>
    <w:rPr>
      <w:rFonts w:ascii="Arial" w:hAnsi="Arial" w:cs="Arial"/>
      <w:b/>
      <w:color w:val="0070C0"/>
      <w:sz w:val="40"/>
      <w:szCs w:val="40"/>
    </w:rPr>
  </w:style>
  <w:style w:type="paragraph" w:customStyle="1" w:styleId="AnnexureL3">
    <w:name w:val="Annexure L3"/>
    <w:basedOn w:val="AnnexureL2"/>
    <w:link w:val="AnnexureL3Char"/>
    <w:qFormat/>
    <w:rsid w:val="00DC152E"/>
    <w:rPr>
      <w:lang w:eastAsia="en-AU"/>
    </w:rPr>
  </w:style>
  <w:style w:type="character" w:customStyle="1" w:styleId="AnnexureL2Char">
    <w:name w:val="Annexure L2 Char"/>
    <w:basedOn w:val="AnnexureChar"/>
    <w:link w:val="AnnexureL2"/>
    <w:rsid w:val="00DC152E"/>
    <w:rPr>
      <w:rFonts w:ascii="Arial" w:hAnsi="Arial" w:cs="Arial"/>
      <w:b/>
      <w:color w:val="0070C0"/>
      <w:sz w:val="28"/>
      <w:szCs w:val="28"/>
    </w:rPr>
  </w:style>
  <w:style w:type="character" w:customStyle="1" w:styleId="AnnexureL3Char">
    <w:name w:val="Annexure L3 Char"/>
    <w:basedOn w:val="AnnexureL2Char"/>
    <w:link w:val="AnnexureL3"/>
    <w:rsid w:val="00DC152E"/>
    <w:rPr>
      <w:rFonts w:ascii="Arial" w:hAnsi="Arial" w:cs="Arial"/>
      <w:b/>
      <w:color w:val="0070C0"/>
      <w:sz w:val="28"/>
      <w:szCs w:val="28"/>
      <w:lang w:eastAsia="en-AU"/>
    </w:rPr>
  </w:style>
  <w:style w:type="paragraph" w:customStyle="1" w:styleId="msonormal0">
    <w:name w:val="msonormal"/>
    <w:basedOn w:val="Normal"/>
    <w:rsid w:val="00DC1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103">
    <w:name w:val="xl103"/>
    <w:basedOn w:val="Normal"/>
    <w:rsid w:val="00DC152E"/>
    <w:pPr>
      <w:pBdr>
        <w:left w:val="single" w:sz="4" w:space="0" w:color="606072"/>
      </w:pBdr>
      <w:spacing w:before="100" w:beforeAutospacing="1" w:after="100" w:afterAutospacing="1" w:line="240" w:lineRule="auto"/>
      <w:jc w:val="center"/>
      <w:textAlignment w:val="center"/>
    </w:pPr>
    <w:rPr>
      <w:rFonts w:eastAsia="Times New Roman" w:cs="Arial"/>
      <w:color w:val="00B050"/>
      <w:sz w:val="15"/>
      <w:szCs w:val="15"/>
      <w:lang w:eastAsia="en-AU"/>
    </w:rPr>
  </w:style>
  <w:style w:type="paragraph" w:customStyle="1" w:styleId="xl104">
    <w:name w:val="xl104"/>
    <w:basedOn w:val="Normal"/>
    <w:rsid w:val="00DC152E"/>
    <w:pPr>
      <w:spacing w:before="100" w:beforeAutospacing="1" w:after="100" w:afterAutospacing="1" w:line="240" w:lineRule="auto"/>
      <w:jc w:val="center"/>
      <w:textAlignment w:val="center"/>
    </w:pPr>
    <w:rPr>
      <w:rFonts w:eastAsia="Times New Roman" w:cs="Arial"/>
      <w:color w:val="00B050"/>
      <w:sz w:val="15"/>
      <w:szCs w:val="15"/>
      <w:lang w:eastAsia="en-AU"/>
    </w:rPr>
  </w:style>
  <w:style w:type="paragraph" w:customStyle="1" w:styleId="xl105">
    <w:name w:val="xl105"/>
    <w:basedOn w:val="Normal"/>
    <w:rsid w:val="00DC152E"/>
    <w:pPr>
      <w:pBdr>
        <w:bottom w:val="single" w:sz="4" w:space="0" w:color="606072"/>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B050"/>
      <w:sz w:val="15"/>
      <w:szCs w:val="15"/>
      <w:lang w:eastAsia="en-AU"/>
    </w:rPr>
  </w:style>
  <w:style w:type="paragraph" w:customStyle="1" w:styleId="xl106">
    <w:name w:val="xl106"/>
    <w:basedOn w:val="Normal"/>
    <w:rsid w:val="00DC152E"/>
    <w:pPr>
      <w:pBdr>
        <w:top w:val="single" w:sz="4" w:space="0" w:color="606072"/>
        <w:left w:val="single" w:sz="4" w:space="0" w:color="606072"/>
        <w:right w:val="single" w:sz="4" w:space="0" w:color="606072"/>
      </w:pBdr>
      <w:shd w:val="clear" w:color="000000" w:fill="D9D9D9"/>
      <w:spacing w:before="100" w:beforeAutospacing="1" w:after="100" w:afterAutospacing="1" w:line="240" w:lineRule="auto"/>
      <w:jc w:val="center"/>
      <w:textAlignment w:val="center"/>
    </w:pPr>
    <w:rPr>
      <w:rFonts w:eastAsia="Times New Roman" w:cs="Arial"/>
      <w:i/>
      <w:iCs/>
      <w:color w:val="000000"/>
      <w:sz w:val="15"/>
      <w:szCs w:val="15"/>
      <w:lang w:eastAsia="en-AU"/>
    </w:rPr>
  </w:style>
  <w:style w:type="paragraph" w:customStyle="1" w:styleId="xl107">
    <w:name w:val="xl107"/>
    <w:basedOn w:val="Normal"/>
    <w:rsid w:val="00DC152E"/>
    <w:pPr>
      <w:pBdr>
        <w:left w:val="single" w:sz="4" w:space="0" w:color="606072"/>
        <w:bottom w:val="single" w:sz="4" w:space="0" w:color="606072"/>
        <w:right w:val="single" w:sz="4" w:space="0" w:color="606072"/>
      </w:pBdr>
      <w:shd w:val="clear" w:color="000000" w:fill="D9D9D9"/>
      <w:spacing w:before="100" w:beforeAutospacing="1" w:after="100" w:afterAutospacing="1" w:line="240" w:lineRule="auto"/>
      <w:jc w:val="center"/>
      <w:textAlignment w:val="center"/>
    </w:pPr>
    <w:rPr>
      <w:rFonts w:eastAsia="Times New Roman" w:cs="Arial"/>
      <w:i/>
      <w:iCs/>
      <w:color w:val="000000"/>
      <w:sz w:val="15"/>
      <w:szCs w:val="15"/>
      <w:lang w:eastAsia="en-AU"/>
    </w:rPr>
  </w:style>
  <w:style w:type="paragraph" w:customStyle="1" w:styleId="xl108">
    <w:name w:val="xl108"/>
    <w:basedOn w:val="Normal"/>
    <w:rsid w:val="00DC152E"/>
    <w:pPr>
      <w:pBdr>
        <w:top w:val="single" w:sz="8" w:space="0" w:color="606072"/>
        <w:left w:val="single" w:sz="8" w:space="0" w:color="606072"/>
        <w:bottom w:val="single" w:sz="8" w:space="0" w:color="606072"/>
      </w:pBdr>
      <w:shd w:val="clear" w:color="000000" w:fill="606072"/>
      <w:spacing w:before="100" w:beforeAutospacing="1" w:after="100" w:afterAutospacing="1" w:line="240" w:lineRule="auto"/>
      <w:jc w:val="center"/>
      <w:textAlignment w:val="center"/>
    </w:pPr>
    <w:rPr>
      <w:rFonts w:eastAsia="Times New Roman" w:cs="Arial"/>
      <w:color w:val="FFFFFF"/>
      <w:sz w:val="16"/>
      <w:szCs w:val="16"/>
      <w:lang w:eastAsia="en-AU"/>
    </w:rPr>
  </w:style>
  <w:style w:type="paragraph" w:customStyle="1" w:styleId="xl109">
    <w:name w:val="xl109"/>
    <w:basedOn w:val="Normal"/>
    <w:rsid w:val="00DC152E"/>
    <w:pPr>
      <w:pBdr>
        <w:top w:val="single" w:sz="8" w:space="0" w:color="606072"/>
        <w:bottom w:val="single" w:sz="8" w:space="0" w:color="606072"/>
      </w:pBdr>
      <w:shd w:val="clear" w:color="000000" w:fill="606072"/>
      <w:spacing w:before="100" w:beforeAutospacing="1" w:after="100" w:afterAutospacing="1" w:line="240" w:lineRule="auto"/>
      <w:jc w:val="center"/>
      <w:textAlignment w:val="center"/>
    </w:pPr>
    <w:rPr>
      <w:rFonts w:eastAsia="Times New Roman" w:cs="Arial"/>
      <w:color w:val="FFFFFF"/>
      <w:sz w:val="16"/>
      <w:szCs w:val="16"/>
      <w:lang w:eastAsia="en-AU"/>
    </w:rPr>
  </w:style>
  <w:style w:type="paragraph" w:customStyle="1" w:styleId="xl110">
    <w:name w:val="xl110"/>
    <w:basedOn w:val="Normal"/>
    <w:rsid w:val="00DC152E"/>
    <w:pPr>
      <w:pBdr>
        <w:top w:val="single" w:sz="8" w:space="0" w:color="606072"/>
        <w:bottom w:val="single" w:sz="8" w:space="0" w:color="606072"/>
        <w:right w:val="single" w:sz="4" w:space="0" w:color="606072"/>
      </w:pBdr>
      <w:shd w:val="clear" w:color="000000" w:fill="606072"/>
      <w:spacing w:before="100" w:beforeAutospacing="1" w:after="100" w:afterAutospacing="1" w:line="240" w:lineRule="auto"/>
      <w:jc w:val="center"/>
      <w:textAlignment w:val="center"/>
    </w:pPr>
    <w:rPr>
      <w:rFonts w:eastAsia="Times New Roman" w:cs="Arial"/>
      <w:color w:val="FFFFFF"/>
      <w:sz w:val="16"/>
      <w:szCs w:val="16"/>
      <w:lang w:eastAsia="en-AU"/>
    </w:rPr>
  </w:style>
  <w:style w:type="paragraph" w:customStyle="1" w:styleId="xl111">
    <w:name w:val="xl111"/>
    <w:basedOn w:val="Normal"/>
    <w:rsid w:val="00DC152E"/>
    <w:pPr>
      <w:pBdr>
        <w:top w:val="single" w:sz="4" w:space="0" w:color="606072"/>
        <w:left w:val="single" w:sz="8" w:space="0" w:color="606072"/>
        <w:bottom w:val="single" w:sz="8" w:space="0" w:color="606072"/>
      </w:pBdr>
      <w:shd w:val="clear" w:color="000000" w:fill="606072"/>
      <w:spacing w:before="100" w:beforeAutospacing="1" w:after="100" w:afterAutospacing="1" w:line="240" w:lineRule="auto"/>
      <w:textAlignment w:val="center"/>
    </w:pPr>
    <w:rPr>
      <w:rFonts w:eastAsia="Times New Roman" w:cs="Arial"/>
      <w:b/>
      <w:bCs/>
      <w:color w:val="FFFFFF"/>
      <w:sz w:val="18"/>
      <w:szCs w:val="18"/>
      <w:lang w:eastAsia="en-AU"/>
    </w:rPr>
  </w:style>
  <w:style w:type="paragraph" w:customStyle="1" w:styleId="xl112">
    <w:name w:val="xl112"/>
    <w:basedOn w:val="Normal"/>
    <w:rsid w:val="00DC152E"/>
    <w:pPr>
      <w:pBdr>
        <w:top w:val="single" w:sz="4" w:space="0" w:color="606072"/>
        <w:bottom w:val="single" w:sz="8" w:space="0" w:color="606072"/>
      </w:pBdr>
      <w:shd w:val="clear" w:color="000000" w:fill="606072"/>
      <w:spacing w:before="100" w:beforeAutospacing="1" w:after="100" w:afterAutospacing="1" w:line="240" w:lineRule="auto"/>
      <w:textAlignment w:val="center"/>
    </w:pPr>
    <w:rPr>
      <w:rFonts w:eastAsia="Times New Roman" w:cs="Arial"/>
      <w:b/>
      <w:bCs/>
      <w:color w:val="FFFFFF"/>
      <w:sz w:val="18"/>
      <w:szCs w:val="18"/>
      <w:lang w:eastAsia="en-AU"/>
    </w:rPr>
  </w:style>
  <w:style w:type="paragraph" w:customStyle="1" w:styleId="xl113">
    <w:name w:val="xl113"/>
    <w:basedOn w:val="Normal"/>
    <w:rsid w:val="00DC152E"/>
    <w:pPr>
      <w:pBdr>
        <w:top w:val="single" w:sz="4" w:space="0" w:color="606072"/>
        <w:bottom w:val="single" w:sz="8" w:space="0" w:color="606072"/>
        <w:right w:val="single" w:sz="8" w:space="0" w:color="606072"/>
      </w:pBdr>
      <w:shd w:val="clear" w:color="000000" w:fill="606072"/>
      <w:spacing w:before="100" w:beforeAutospacing="1" w:after="100" w:afterAutospacing="1" w:line="240" w:lineRule="auto"/>
      <w:textAlignment w:val="center"/>
    </w:pPr>
    <w:rPr>
      <w:rFonts w:eastAsia="Times New Roman" w:cs="Arial"/>
      <w:b/>
      <w:bCs/>
      <w:color w:val="FFFFFF"/>
      <w:sz w:val="18"/>
      <w:szCs w:val="18"/>
      <w:lang w:eastAsia="en-AU"/>
    </w:rPr>
  </w:style>
  <w:style w:type="paragraph" w:customStyle="1" w:styleId="xl114">
    <w:name w:val="xl114"/>
    <w:basedOn w:val="Normal"/>
    <w:rsid w:val="00DC152E"/>
    <w:pPr>
      <w:pBdr>
        <w:top w:val="single" w:sz="8" w:space="0" w:color="606072"/>
        <w:bottom w:val="single" w:sz="8" w:space="0" w:color="606072"/>
        <w:right w:val="single" w:sz="8" w:space="0" w:color="606072"/>
      </w:pBdr>
      <w:shd w:val="clear" w:color="000000" w:fill="606072"/>
      <w:spacing w:before="100" w:beforeAutospacing="1" w:after="100" w:afterAutospacing="1" w:line="240" w:lineRule="auto"/>
      <w:jc w:val="center"/>
      <w:textAlignment w:val="center"/>
    </w:pPr>
    <w:rPr>
      <w:rFonts w:eastAsia="Times New Roman" w:cs="Arial"/>
      <w:color w:val="FFFFFF"/>
      <w:sz w:val="16"/>
      <w:szCs w:val="16"/>
      <w:lang w:eastAsia="en-AU"/>
    </w:rPr>
  </w:style>
  <w:style w:type="paragraph" w:customStyle="1" w:styleId="xl115">
    <w:name w:val="xl115"/>
    <w:basedOn w:val="Normal"/>
    <w:rsid w:val="00DC152E"/>
    <w:pPr>
      <w:pBdr>
        <w:top w:val="single" w:sz="8" w:space="0" w:color="606072"/>
        <w:left w:val="single" w:sz="8" w:space="0" w:color="606072"/>
        <w:right w:val="single" w:sz="8" w:space="0" w:color="606072"/>
      </w:pBdr>
      <w:shd w:val="clear" w:color="000000" w:fill="848498"/>
      <w:spacing w:before="100" w:beforeAutospacing="1" w:after="100" w:afterAutospacing="1" w:line="240" w:lineRule="auto"/>
      <w:jc w:val="center"/>
      <w:textAlignment w:val="center"/>
    </w:pPr>
    <w:rPr>
      <w:rFonts w:eastAsia="Times New Roman" w:cs="Arial"/>
      <w:i/>
      <w:iCs/>
      <w:sz w:val="16"/>
      <w:szCs w:val="16"/>
      <w:lang w:eastAsia="en-AU"/>
    </w:rPr>
  </w:style>
  <w:style w:type="paragraph" w:customStyle="1" w:styleId="xl116">
    <w:name w:val="xl116"/>
    <w:basedOn w:val="Normal"/>
    <w:rsid w:val="00DC152E"/>
    <w:pPr>
      <w:pBdr>
        <w:left w:val="single" w:sz="8" w:space="0" w:color="606072"/>
        <w:bottom w:val="single" w:sz="8" w:space="0" w:color="606072"/>
        <w:right w:val="single" w:sz="8" w:space="0" w:color="606072"/>
      </w:pBdr>
      <w:shd w:val="clear" w:color="000000" w:fill="848498"/>
      <w:spacing w:before="100" w:beforeAutospacing="1" w:after="100" w:afterAutospacing="1" w:line="240" w:lineRule="auto"/>
      <w:jc w:val="center"/>
      <w:textAlignment w:val="center"/>
    </w:pPr>
    <w:rPr>
      <w:rFonts w:eastAsia="Times New Roman" w:cs="Arial"/>
      <w:i/>
      <w:iCs/>
      <w:sz w:val="16"/>
      <w:szCs w:val="16"/>
      <w:lang w:eastAsia="en-AU"/>
    </w:rPr>
  </w:style>
  <w:style w:type="paragraph" w:customStyle="1" w:styleId="L1PB">
    <w:name w:val="L1 PB"/>
    <w:basedOn w:val="DLAHEADING1"/>
    <w:link w:val="L1PBChar"/>
    <w:qFormat/>
    <w:rsid w:val="00DC152E"/>
    <w:pPr>
      <w:numPr>
        <w:numId w:val="0"/>
      </w:numPr>
      <w:tabs>
        <w:tab w:val="clear" w:pos="2558"/>
      </w:tabs>
      <w:spacing w:after="480" w:line="240" w:lineRule="auto"/>
      <w:ind w:left="426" w:right="284" w:hanging="426"/>
      <w:jc w:val="left"/>
    </w:pPr>
    <w:rPr>
      <w:caps w:val="0"/>
      <w:sz w:val="40"/>
    </w:rPr>
  </w:style>
  <w:style w:type="paragraph" w:customStyle="1" w:styleId="L2PB">
    <w:name w:val="L2 PB"/>
    <w:basedOn w:val="DLAHeading2"/>
    <w:link w:val="L2PBChar"/>
    <w:qFormat/>
    <w:rsid w:val="00DC152E"/>
    <w:pPr>
      <w:widowControl w:val="0"/>
      <w:numPr>
        <w:numId w:val="1"/>
      </w:numPr>
      <w:spacing w:before="300"/>
      <w:ind w:right="284"/>
    </w:pPr>
  </w:style>
  <w:style w:type="character" w:customStyle="1" w:styleId="L1PBChar">
    <w:name w:val="L1 PB Char"/>
    <w:basedOn w:val="DLAHEADING1Char"/>
    <w:link w:val="L1PB"/>
    <w:rsid w:val="00DC152E"/>
    <w:rPr>
      <w:rFonts w:ascii="Arial" w:eastAsiaTheme="majorEastAsia" w:hAnsi="Arial" w:cs="Arial"/>
      <w:b/>
      <w:bCs/>
      <w:caps w:val="0"/>
      <w:color w:val="0076C0"/>
      <w:kern w:val="32"/>
      <w:sz w:val="40"/>
      <w:szCs w:val="40"/>
      <w:lang w:eastAsia="en-AU"/>
    </w:rPr>
  </w:style>
  <w:style w:type="character" w:customStyle="1" w:styleId="DLAHeading2Char">
    <w:name w:val="DLA Heading2 Char"/>
    <w:basedOn w:val="Heading2Char"/>
    <w:link w:val="DLAHeading2"/>
    <w:rsid w:val="00DC152E"/>
    <w:rPr>
      <w:rFonts w:ascii="Arial" w:eastAsiaTheme="majorEastAsia" w:hAnsi="Arial" w:cstheme="majorBidi"/>
      <w:b/>
      <w:color w:val="0076C0" w:themeColor="accent1"/>
      <w:sz w:val="28"/>
      <w:szCs w:val="28"/>
    </w:rPr>
  </w:style>
  <w:style w:type="character" w:customStyle="1" w:styleId="L2PBChar">
    <w:name w:val="L2 PB Char"/>
    <w:basedOn w:val="DLAHeading2Char"/>
    <w:link w:val="L2PB"/>
    <w:rsid w:val="00DC152E"/>
    <w:rPr>
      <w:rFonts w:ascii="Arial" w:eastAsiaTheme="majorEastAsia" w:hAnsi="Arial" w:cstheme="majorBidi"/>
      <w:b/>
      <w:color w:val="0076C0" w:themeColor="accent1"/>
      <w:sz w:val="28"/>
      <w:szCs w:val="28"/>
    </w:rPr>
  </w:style>
  <w:style w:type="character" w:customStyle="1" w:styleId="DLAHeading3Char">
    <w:name w:val="DLA Heading3 Char"/>
    <w:basedOn w:val="Heading2Char"/>
    <w:link w:val="DLAHeading3"/>
    <w:rsid w:val="00DC152E"/>
    <w:rPr>
      <w:rFonts w:ascii="Arial" w:eastAsia="Calibri" w:hAnsi="Arial" w:cs="Arial"/>
      <w:b/>
      <w:iCs/>
      <w:color w:val="0076C0"/>
      <w:sz w:val="40"/>
      <w:szCs w:val="40"/>
    </w:rPr>
  </w:style>
  <w:style w:type="character" w:customStyle="1" w:styleId="L4PBChar">
    <w:name w:val="L4 PB Char"/>
    <w:basedOn w:val="L3PBChar"/>
    <w:link w:val="L4PB"/>
    <w:rsid w:val="00DC152E"/>
    <w:rPr>
      <w:rFonts w:ascii="Arial" w:eastAsia="Calibri" w:hAnsi="Arial" w:cs="Arial"/>
      <w:b w:val="0"/>
      <w:i/>
      <w:iCs/>
      <w:color w:val="0076C0"/>
      <w:sz w:val="20"/>
      <w:szCs w:val="20"/>
      <w:lang w:eastAsia="en-AU"/>
    </w:rPr>
  </w:style>
  <w:style w:type="paragraph" w:customStyle="1" w:styleId="Bullet1">
    <w:name w:val="Bullet 1"/>
    <w:basedOn w:val="Normal"/>
    <w:qFormat/>
    <w:rsid w:val="00DC152E"/>
    <w:pPr>
      <w:numPr>
        <w:numId w:val="48"/>
      </w:numPr>
      <w:spacing w:after="120" w:line="276" w:lineRule="auto"/>
    </w:pPr>
    <w:rPr>
      <w:szCs w:val="20"/>
      <w:lang w:val="en-GB"/>
    </w:rPr>
  </w:style>
  <w:style w:type="paragraph" w:customStyle="1" w:styleId="Bullet2">
    <w:name w:val="Bullet 2"/>
    <w:basedOn w:val="Normal"/>
    <w:qFormat/>
    <w:rsid w:val="00DC152E"/>
    <w:pPr>
      <w:numPr>
        <w:ilvl w:val="1"/>
        <w:numId w:val="48"/>
      </w:numPr>
      <w:spacing w:after="120" w:line="276" w:lineRule="auto"/>
    </w:pPr>
    <w:rPr>
      <w:szCs w:val="20"/>
      <w:lang w:val="en-GB"/>
    </w:rPr>
  </w:style>
  <w:style w:type="paragraph" w:customStyle="1" w:styleId="Bullet3">
    <w:name w:val="Bullet 3"/>
    <w:basedOn w:val="Normal"/>
    <w:qFormat/>
    <w:rsid w:val="00DC152E"/>
    <w:pPr>
      <w:numPr>
        <w:ilvl w:val="2"/>
        <w:numId w:val="48"/>
      </w:numPr>
      <w:spacing w:after="120" w:line="276" w:lineRule="auto"/>
    </w:pPr>
    <w:rPr>
      <w:szCs w:val="20"/>
      <w:lang w:val="en-GB"/>
    </w:rPr>
  </w:style>
  <w:style w:type="numbering" w:customStyle="1" w:styleId="AureconBullets">
    <w:name w:val="Aurecon Bullets"/>
    <w:uiPriority w:val="99"/>
    <w:rsid w:val="00DC152E"/>
    <w:pPr>
      <w:numPr>
        <w:numId w:val="47"/>
      </w:numPr>
    </w:pPr>
  </w:style>
  <w:style w:type="paragraph" w:customStyle="1" w:styleId="PBquestions">
    <w:name w:val="PB questions"/>
    <w:basedOn w:val="Normal"/>
    <w:link w:val="PBquestionsChar"/>
    <w:qFormat/>
    <w:rsid w:val="00E512FE"/>
    <w:pPr>
      <w:widowControl w:val="0"/>
      <w:spacing w:before="360" w:after="240" w:line="240" w:lineRule="auto"/>
    </w:pPr>
    <w:rPr>
      <w:b/>
      <w:color w:val="0070C0"/>
      <w:sz w:val="22"/>
    </w:rPr>
  </w:style>
  <w:style w:type="character" w:customStyle="1" w:styleId="PBquestionsChar">
    <w:name w:val="PB questions Char"/>
    <w:basedOn w:val="DefaultParagraphFont"/>
    <w:link w:val="PBquestions"/>
    <w:rsid w:val="00E512FE"/>
    <w:rPr>
      <w:rFonts w:ascii="Arial" w:hAnsi="Arial"/>
      <w:b/>
      <w:color w:val="0070C0"/>
    </w:rPr>
  </w:style>
  <w:style w:type="paragraph" w:customStyle="1" w:styleId="Level4PB">
    <w:name w:val="Level 4 PB"/>
    <w:basedOn w:val="Heading4"/>
    <w:link w:val="Level4PBChar"/>
    <w:rsid w:val="00B30D28"/>
    <w:pPr>
      <w:numPr>
        <w:ilvl w:val="0"/>
        <w:numId w:val="0"/>
      </w:numPr>
      <w:tabs>
        <w:tab w:val="clear" w:pos="851"/>
        <w:tab w:val="clear" w:pos="993"/>
      </w:tabs>
      <w:spacing w:before="240" w:line="276" w:lineRule="auto"/>
      <w:ind w:left="851" w:right="0" w:hanging="851"/>
    </w:pPr>
    <w:rPr>
      <w:rFonts w:ascii="Century Gothic" w:eastAsia="Times New Roman" w:hAnsi="Century Gothic" w:cs="Times New Roman"/>
      <w:i w:val="0"/>
      <w:sz w:val="18"/>
      <w:szCs w:val="18"/>
      <w:lang w:val="en-GB" w:eastAsia="en-AU"/>
    </w:rPr>
  </w:style>
  <w:style w:type="character" w:customStyle="1" w:styleId="Level4PBChar">
    <w:name w:val="Level 4 PB Char"/>
    <w:link w:val="Level4PB"/>
    <w:rsid w:val="00B30D28"/>
    <w:rPr>
      <w:rFonts w:ascii="Century Gothic" w:eastAsia="Times New Roman" w:hAnsi="Century Gothic" w:cs="Times New Roman"/>
      <w:iCs/>
      <w:color w:val="0076C0"/>
      <w:sz w:val="18"/>
      <w:szCs w:val="18"/>
      <w:lang w:val="en-GB" w:eastAsia="en-AU"/>
    </w:rPr>
  </w:style>
  <w:style w:type="paragraph" w:customStyle="1" w:styleId="Level4PB2">
    <w:name w:val="Level 4  PB2"/>
    <w:basedOn w:val="Level4PB"/>
    <w:link w:val="Level4PB2Char"/>
    <w:qFormat/>
    <w:rsid w:val="00B30D28"/>
  </w:style>
  <w:style w:type="character" w:customStyle="1" w:styleId="Level4PB2Char">
    <w:name w:val="Level 4  PB2 Char"/>
    <w:link w:val="Level4PB2"/>
    <w:rsid w:val="00B30D28"/>
    <w:rPr>
      <w:rFonts w:ascii="Century Gothic" w:eastAsia="Times New Roman" w:hAnsi="Century Gothic" w:cs="Times New Roman"/>
      <w:iCs/>
      <w:color w:val="0076C0"/>
      <w:sz w:val="18"/>
      <w:szCs w:val="18"/>
      <w:lang w:val="en-GB" w:eastAsia="en-AU"/>
    </w:rPr>
  </w:style>
  <w:style w:type="paragraph" w:customStyle="1" w:styleId="CaptionPB">
    <w:name w:val="Caption PB"/>
    <w:basedOn w:val="Caption"/>
    <w:link w:val="CaptionPBChar"/>
    <w:qFormat/>
    <w:rsid w:val="00B30D28"/>
    <w:pPr>
      <w:keepNext/>
      <w:spacing w:before="120" w:after="120" w:line="276" w:lineRule="auto"/>
      <w:ind w:right="-23"/>
      <w:jc w:val="center"/>
    </w:pPr>
    <w:rPr>
      <w:rFonts w:ascii="Century Gothic" w:eastAsia="Times New Roman" w:hAnsi="Century Gothic" w:cs="Times New Roman"/>
      <w:b/>
      <w:bCs/>
      <w:iCs w:val="0"/>
      <w:color w:val="0076C0"/>
      <w:sz w:val="16"/>
      <w:szCs w:val="16"/>
      <w:lang w:eastAsia="en-AU"/>
    </w:rPr>
  </w:style>
  <w:style w:type="character" w:customStyle="1" w:styleId="CaptionPBChar">
    <w:name w:val="Caption PB Char"/>
    <w:link w:val="CaptionPB"/>
    <w:rsid w:val="00B30D28"/>
    <w:rPr>
      <w:rFonts w:ascii="Century Gothic" w:eastAsia="Times New Roman" w:hAnsi="Century Gothic" w:cs="Times New Roman"/>
      <w:b/>
      <w:bCs/>
      <w:color w:val="0076C0"/>
      <w:sz w:val="16"/>
      <w:szCs w:val="16"/>
      <w:lang w:eastAsia="en-AU"/>
    </w:rPr>
  </w:style>
  <w:style w:type="character" w:customStyle="1" w:styleId="UnresolvedMention1">
    <w:name w:val="Unresolved Mention1"/>
    <w:basedOn w:val="DefaultParagraphFont"/>
    <w:uiPriority w:val="99"/>
    <w:semiHidden/>
    <w:unhideWhenUsed/>
    <w:rsid w:val="00550439"/>
    <w:rPr>
      <w:color w:val="808080"/>
      <w:shd w:val="clear" w:color="auto" w:fill="E6E6E6"/>
    </w:rPr>
  </w:style>
  <w:style w:type="table" w:customStyle="1" w:styleId="AureconTable4">
    <w:name w:val="Aurecon Table 4"/>
    <w:basedOn w:val="TableNormal"/>
    <w:uiPriority w:val="99"/>
    <w:rsid w:val="00270D1E"/>
    <w:pPr>
      <w:spacing w:before="60" w:after="60" w:line="240" w:lineRule="auto"/>
    </w:pPr>
    <w:rPr>
      <w:sz w:val="18"/>
      <w:szCs w:val="20"/>
      <w:lang w:val="en-US"/>
    </w:rPr>
    <w:tblPr>
      <w:tblStyleRowBandSize w:val="1"/>
      <w:tblBorders>
        <w:top w:val="single" w:sz="4" w:space="0" w:color="606372" w:themeColor="text2"/>
        <w:left w:val="single" w:sz="4" w:space="0" w:color="606372" w:themeColor="text2"/>
        <w:bottom w:val="single" w:sz="4" w:space="0" w:color="606372" w:themeColor="text2"/>
        <w:right w:val="single" w:sz="4" w:space="0" w:color="606372" w:themeColor="text2"/>
        <w:insideH w:val="single" w:sz="4" w:space="0" w:color="606372" w:themeColor="text2"/>
      </w:tblBorders>
    </w:tblPr>
    <w:trPr>
      <w:cantSplit/>
    </w:trPr>
    <w:tcPr>
      <w:shd w:val="clear" w:color="auto" w:fill="auto"/>
    </w:tcPr>
    <w:tblStylePr w:type="firstRow">
      <w:rPr>
        <w:rFonts w:ascii="Arial" w:hAnsi="Arial"/>
        <w:b/>
        <w:color w:val="FFFFFF" w:themeColor="background1"/>
        <w:sz w:val="18"/>
      </w:rPr>
      <w:tblPr/>
      <w:tcPr>
        <w:tcBorders>
          <w:top w:val="single" w:sz="4" w:space="0" w:color="606372" w:themeColor="text2"/>
          <w:left w:val="single" w:sz="4" w:space="0" w:color="606372" w:themeColor="text2"/>
          <w:bottom w:val="single" w:sz="4" w:space="0" w:color="606372" w:themeColor="text2"/>
          <w:right w:val="single" w:sz="4" w:space="0" w:color="606372" w:themeColor="text2"/>
          <w:insideV w:val="single" w:sz="4" w:space="0" w:color="606372" w:themeColor="text2"/>
        </w:tcBorders>
        <w:shd w:val="clear" w:color="auto" w:fill="606372" w:themeFill="text2"/>
      </w:tcPr>
    </w:tblStylePr>
    <w:tblStylePr w:type="firstCol">
      <w:tblPr/>
      <w:tcPr>
        <w:tcBorders>
          <w:insideV w:val="nil"/>
        </w:tcBorders>
        <w:shd w:val="clear" w:color="auto" w:fill="auto"/>
      </w:tcPr>
    </w:tblStylePr>
  </w:style>
  <w:style w:type="character" w:customStyle="1" w:styleId="UnresolvedMention">
    <w:name w:val="Unresolved Mention"/>
    <w:basedOn w:val="DefaultParagraphFont"/>
    <w:uiPriority w:val="99"/>
    <w:semiHidden/>
    <w:unhideWhenUsed/>
    <w:rsid w:val="00DF05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0899">
      <w:bodyDiv w:val="1"/>
      <w:marLeft w:val="0"/>
      <w:marRight w:val="0"/>
      <w:marTop w:val="0"/>
      <w:marBottom w:val="0"/>
      <w:divBdr>
        <w:top w:val="none" w:sz="0" w:space="0" w:color="auto"/>
        <w:left w:val="none" w:sz="0" w:space="0" w:color="auto"/>
        <w:bottom w:val="none" w:sz="0" w:space="0" w:color="auto"/>
        <w:right w:val="none" w:sz="0" w:space="0" w:color="auto"/>
      </w:divBdr>
    </w:div>
    <w:div w:id="65105200">
      <w:bodyDiv w:val="1"/>
      <w:marLeft w:val="0"/>
      <w:marRight w:val="0"/>
      <w:marTop w:val="0"/>
      <w:marBottom w:val="0"/>
      <w:divBdr>
        <w:top w:val="none" w:sz="0" w:space="0" w:color="auto"/>
        <w:left w:val="none" w:sz="0" w:space="0" w:color="auto"/>
        <w:bottom w:val="none" w:sz="0" w:space="0" w:color="auto"/>
        <w:right w:val="none" w:sz="0" w:space="0" w:color="auto"/>
      </w:divBdr>
    </w:div>
    <w:div w:id="99834141">
      <w:bodyDiv w:val="1"/>
      <w:marLeft w:val="0"/>
      <w:marRight w:val="0"/>
      <w:marTop w:val="0"/>
      <w:marBottom w:val="0"/>
      <w:divBdr>
        <w:top w:val="none" w:sz="0" w:space="0" w:color="auto"/>
        <w:left w:val="none" w:sz="0" w:space="0" w:color="auto"/>
        <w:bottom w:val="none" w:sz="0" w:space="0" w:color="auto"/>
        <w:right w:val="none" w:sz="0" w:space="0" w:color="auto"/>
      </w:divBdr>
    </w:div>
    <w:div w:id="100613416">
      <w:bodyDiv w:val="1"/>
      <w:marLeft w:val="0"/>
      <w:marRight w:val="0"/>
      <w:marTop w:val="0"/>
      <w:marBottom w:val="0"/>
      <w:divBdr>
        <w:top w:val="none" w:sz="0" w:space="0" w:color="auto"/>
        <w:left w:val="none" w:sz="0" w:space="0" w:color="auto"/>
        <w:bottom w:val="none" w:sz="0" w:space="0" w:color="auto"/>
        <w:right w:val="none" w:sz="0" w:space="0" w:color="auto"/>
      </w:divBdr>
    </w:div>
    <w:div w:id="176506751">
      <w:bodyDiv w:val="1"/>
      <w:marLeft w:val="0"/>
      <w:marRight w:val="0"/>
      <w:marTop w:val="0"/>
      <w:marBottom w:val="0"/>
      <w:divBdr>
        <w:top w:val="none" w:sz="0" w:space="0" w:color="auto"/>
        <w:left w:val="none" w:sz="0" w:space="0" w:color="auto"/>
        <w:bottom w:val="none" w:sz="0" w:space="0" w:color="auto"/>
        <w:right w:val="none" w:sz="0" w:space="0" w:color="auto"/>
      </w:divBdr>
    </w:div>
    <w:div w:id="201212754">
      <w:bodyDiv w:val="1"/>
      <w:marLeft w:val="0"/>
      <w:marRight w:val="0"/>
      <w:marTop w:val="0"/>
      <w:marBottom w:val="0"/>
      <w:divBdr>
        <w:top w:val="none" w:sz="0" w:space="0" w:color="auto"/>
        <w:left w:val="none" w:sz="0" w:space="0" w:color="auto"/>
        <w:bottom w:val="none" w:sz="0" w:space="0" w:color="auto"/>
        <w:right w:val="none" w:sz="0" w:space="0" w:color="auto"/>
      </w:divBdr>
    </w:div>
    <w:div w:id="269167752">
      <w:bodyDiv w:val="1"/>
      <w:marLeft w:val="0"/>
      <w:marRight w:val="0"/>
      <w:marTop w:val="0"/>
      <w:marBottom w:val="0"/>
      <w:divBdr>
        <w:top w:val="none" w:sz="0" w:space="0" w:color="auto"/>
        <w:left w:val="none" w:sz="0" w:space="0" w:color="auto"/>
        <w:bottom w:val="none" w:sz="0" w:space="0" w:color="auto"/>
        <w:right w:val="none" w:sz="0" w:space="0" w:color="auto"/>
      </w:divBdr>
    </w:div>
    <w:div w:id="304168245">
      <w:bodyDiv w:val="1"/>
      <w:marLeft w:val="0"/>
      <w:marRight w:val="0"/>
      <w:marTop w:val="0"/>
      <w:marBottom w:val="0"/>
      <w:divBdr>
        <w:top w:val="none" w:sz="0" w:space="0" w:color="auto"/>
        <w:left w:val="none" w:sz="0" w:space="0" w:color="auto"/>
        <w:bottom w:val="none" w:sz="0" w:space="0" w:color="auto"/>
        <w:right w:val="none" w:sz="0" w:space="0" w:color="auto"/>
      </w:divBdr>
    </w:div>
    <w:div w:id="362175029">
      <w:bodyDiv w:val="1"/>
      <w:marLeft w:val="0"/>
      <w:marRight w:val="0"/>
      <w:marTop w:val="0"/>
      <w:marBottom w:val="0"/>
      <w:divBdr>
        <w:top w:val="none" w:sz="0" w:space="0" w:color="auto"/>
        <w:left w:val="none" w:sz="0" w:space="0" w:color="auto"/>
        <w:bottom w:val="none" w:sz="0" w:space="0" w:color="auto"/>
        <w:right w:val="none" w:sz="0" w:space="0" w:color="auto"/>
      </w:divBdr>
    </w:div>
    <w:div w:id="375391985">
      <w:bodyDiv w:val="1"/>
      <w:marLeft w:val="0"/>
      <w:marRight w:val="0"/>
      <w:marTop w:val="0"/>
      <w:marBottom w:val="0"/>
      <w:divBdr>
        <w:top w:val="none" w:sz="0" w:space="0" w:color="auto"/>
        <w:left w:val="none" w:sz="0" w:space="0" w:color="auto"/>
        <w:bottom w:val="none" w:sz="0" w:space="0" w:color="auto"/>
        <w:right w:val="none" w:sz="0" w:space="0" w:color="auto"/>
      </w:divBdr>
    </w:div>
    <w:div w:id="503593023">
      <w:bodyDiv w:val="1"/>
      <w:marLeft w:val="0"/>
      <w:marRight w:val="0"/>
      <w:marTop w:val="0"/>
      <w:marBottom w:val="0"/>
      <w:divBdr>
        <w:top w:val="none" w:sz="0" w:space="0" w:color="auto"/>
        <w:left w:val="none" w:sz="0" w:space="0" w:color="auto"/>
        <w:bottom w:val="none" w:sz="0" w:space="0" w:color="auto"/>
        <w:right w:val="none" w:sz="0" w:space="0" w:color="auto"/>
      </w:divBdr>
    </w:div>
    <w:div w:id="683172874">
      <w:bodyDiv w:val="1"/>
      <w:marLeft w:val="0"/>
      <w:marRight w:val="0"/>
      <w:marTop w:val="0"/>
      <w:marBottom w:val="0"/>
      <w:divBdr>
        <w:top w:val="none" w:sz="0" w:space="0" w:color="auto"/>
        <w:left w:val="none" w:sz="0" w:space="0" w:color="auto"/>
        <w:bottom w:val="none" w:sz="0" w:space="0" w:color="auto"/>
        <w:right w:val="none" w:sz="0" w:space="0" w:color="auto"/>
      </w:divBdr>
    </w:div>
    <w:div w:id="769155681">
      <w:bodyDiv w:val="1"/>
      <w:marLeft w:val="0"/>
      <w:marRight w:val="0"/>
      <w:marTop w:val="0"/>
      <w:marBottom w:val="0"/>
      <w:divBdr>
        <w:top w:val="none" w:sz="0" w:space="0" w:color="auto"/>
        <w:left w:val="none" w:sz="0" w:space="0" w:color="auto"/>
        <w:bottom w:val="none" w:sz="0" w:space="0" w:color="auto"/>
        <w:right w:val="none" w:sz="0" w:space="0" w:color="auto"/>
      </w:divBdr>
    </w:div>
    <w:div w:id="771818945">
      <w:bodyDiv w:val="1"/>
      <w:marLeft w:val="0"/>
      <w:marRight w:val="0"/>
      <w:marTop w:val="0"/>
      <w:marBottom w:val="0"/>
      <w:divBdr>
        <w:top w:val="none" w:sz="0" w:space="0" w:color="auto"/>
        <w:left w:val="none" w:sz="0" w:space="0" w:color="auto"/>
        <w:bottom w:val="none" w:sz="0" w:space="0" w:color="auto"/>
        <w:right w:val="none" w:sz="0" w:space="0" w:color="auto"/>
      </w:divBdr>
    </w:div>
    <w:div w:id="792214261">
      <w:bodyDiv w:val="1"/>
      <w:marLeft w:val="0"/>
      <w:marRight w:val="0"/>
      <w:marTop w:val="0"/>
      <w:marBottom w:val="0"/>
      <w:divBdr>
        <w:top w:val="none" w:sz="0" w:space="0" w:color="auto"/>
        <w:left w:val="none" w:sz="0" w:space="0" w:color="auto"/>
        <w:bottom w:val="none" w:sz="0" w:space="0" w:color="auto"/>
        <w:right w:val="none" w:sz="0" w:space="0" w:color="auto"/>
      </w:divBdr>
    </w:div>
    <w:div w:id="934363468">
      <w:bodyDiv w:val="1"/>
      <w:marLeft w:val="0"/>
      <w:marRight w:val="0"/>
      <w:marTop w:val="0"/>
      <w:marBottom w:val="0"/>
      <w:divBdr>
        <w:top w:val="none" w:sz="0" w:space="0" w:color="auto"/>
        <w:left w:val="none" w:sz="0" w:space="0" w:color="auto"/>
        <w:bottom w:val="none" w:sz="0" w:space="0" w:color="auto"/>
        <w:right w:val="none" w:sz="0" w:space="0" w:color="auto"/>
      </w:divBdr>
    </w:div>
    <w:div w:id="973364069">
      <w:bodyDiv w:val="1"/>
      <w:marLeft w:val="0"/>
      <w:marRight w:val="0"/>
      <w:marTop w:val="0"/>
      <w:marBottom w:val="0"/>
      <w:divBdr>
        <w:top w:val="none" w:sz="0" w:space="0" w:color="auto"/>
        <w:left w:val="none" w:sz="0" w:space="0" w:color="auto"/>
        <w:bottom w:val="none" w:sz="0" w:space="0" w:color="auto"/>
        <w:right w:val="none" w:sz="0" w:space="0" w:color="auto"/>
      </w:divBdr>
    </w:div>
    <w:div w:id="1005205081">
      <w:bodyDiv w:val="1"/>
      <w:marLeft w:val="0"/>
      <w:marRight w:val="0"/>
      <w:marTop w:val="0"/>
      <w:marBottom w:val="0"/>
      <w:divBdr>
        <w:top w:val="none" w:sz="0" w:space="0" w:color="auto"/>
        <w:left w:val="none" w:sz="0" w:space="0" w:color="auto"/>
        <w:bottom w:val="none" w:sz="0" w:space="0" w:color="auto"/>
        <w:right w:val="none" w:sz="0" w:space="0" w:color="auto"/>
      </w:divBdr>
    </w:div>
    <w:div w:id="1029180198">
      <w:bodyDiv w:val="1"/>
      <w:marLeft w:val="0"/>
      <w:marRight w:val="0"/>
      <w:marTop w:val="0"/>
      <w:marBottom w:val="0"/>
      <w:divBdr>
        <w:top w:val="none" w:sz="0" w:space="0" w:color="auto"/>
        <w:left w:val="none" w:sz="0" w:space="0" w:color="auto"/>
        <w:bottom w:val="none" w:sz="0" w:space="0" w:color="auto"/>
        <w:right w:val="none" w:sz="0" w:space="0" w:color="auto"/>
      </w:divBdr>
    </w:div>
    <w:div w:id="1058624512">
      <w:bodyDiv w:val="1"/>
      <w:marLeft w:val="0"/>
      <w:marRight w:val="0"/>
      <w:marTop w:val="0"/>
      <w:marBottom w:val="0"/>
      <w:divBdr>
        <w:top w:val="none" w:sz="0" w:space="0" w:color="auto"/>
        <w:left w:val="none" w:sz="0" w:space="0" w:color="auto"/>
        <w:bottom w:val="none" w:sz="0" w:space="0" w:color="auto"/>
        <w:right w:val="none" w:sz="0" w:space="0" w:color="auto"/>
      </w:divBdr>
    </w:div>
    <w:div w:id="1307934241">
      <w:bodyDiv w:val="1"/>
      <w:marLeft w:val="0"/>
      <w:marRight w:val="0"/>
      <w:marTop w:val="0"/>
      <w:marBottom w:val="0"/>
      <w:divBdr>
        <w:top w:val="none" w:sz="0" w:space="0" w:color="auto"/>
        <w:left w:val="none" w:sz="0" w:space="0" w:color="auto"/>
        <w:bottom w:val="none" w:sz="0" w:space="0" w:color="auto"/>
        <w:right w:val="none" w:sz="0" w:space="0" w:color="auto"/>
      </w:divBdr>
    </w:div>
    <w:div w:id="1314602905">
      <w:bodyDiv w:val="1"/>
      <w:marLeft w:val="0"/>
      <w:marRight w:val="0"/>
      <w:marTop w:val="0"/>
      <w:marBottom w:val="0"/>
      <w:divBdr>
        <w:top w:val="none" w:sz="0" w:space="0" w:color="auto"/>
        <w:left w:val="none" w:sz="0" w:space="0" w:color="auto"/>
        <w:bottom w:val="none" w:sz="0" w:space="0" w:color="auto"/>
        <w:right w:val="none" w:sz="0" w:space="0" w:color="auto"/>
      </w:divBdr>
    </w:div>
    <w:div w:id="1328827296">
      <w:bodyDiv w:val="1"/>
      <w:marLeft w:val="0"/>
      <w:marRight w:val="0"/>
      <w:marTop w:val="0"/>
      <w:marBottom w:val="0"/>
      <w:divBdr>
        <w:top w:val="none" w:sz="0" w:space="0" w:color="auto"/>
        <w:left w:val="none" w:sz="0" w:space="0" w:color="auto"/>
        <w:bottom w:val="none" w:sz="0" w:space="0" w:color="auto"/>
        <w:right w:val="none" w:sz="0" w:space="0" w:color="auto"/>
      </w:divBdr>
    </w:div>
    <w:div w:id="1569461465">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69210082">
      <w:bodyDiv w:val="1"/>
      <w:marLeft w:val="0"/>
      <w:marRight w:val="0"/>
      <w:marTop w:val="0"/>
      <w:marBottom w:val="0"/>
      <w:divBdr>
        <w:top w:val="none" w:sz="0" w:space="0" w:color="auto"/>
        <w:left w:val="none" w:sz="0" w:space="0" w:color="auto"/>
        <w:bottom w:val="none" w:sz="0" w:space="0" w:color="auto"/>
        <w:right w:val="none" w:sz="0" w:space="0" w:color="auto"/>
      </w:divBdr>
    </w:div>
    <w:div w:id="1677994268">
      <w:bodyDiv w:val="1"/>
      <w:marLeft w:val="0"/>
      <w:marRight w:val="0"/>
      <w:marTop w:val="0"/>
      <w:marBottom w:val="0"/>
      <w:divBdr>
        <w:top w:val="none" w:sz="0" w:space="0" w:color="auto"/>
        <w:left w:val="none" w:sz="0" w:space="0" w:color="auto"/>
        <w:bottom w:val="none" w:sz="0" w:space="0" w:color="auto"/>
        <w:right w:val="none" w:sz="0" w:space="0" w:color="auto"/>
      </w:divBdr>
    </w:div>
    <w:div w:id="1749376551">
      <w:bodyDiv w:val="1"/>
      <w:marLeft w:val="0"/>
      <w:marRight w:val="0"/>
      <w:marTop w:val="0"/>
      <w:marBottom w:val="0"/>
      <w:divBdr>
        <w:top w:val="none" w:sz="0" w:space="0" w:color="auto"/>
        <w:left w:val="none" w:sz="0" w:space="0" w:color="auto"/>
        <w:bottom w:val="none" w:sz="0" w:space="0" w:color="auto"/>
        <w:right w:val="none" w:sz="0" w:space="0" w:color="auto"/>
      </w:divBdr>
    </w:div>
    <w:div w:id="1789927427">
      <w:bodyDiv w:val="1"/>
      <w:marLeft w:val="0"/>
      <w:marRight w:val="0"/>
      <w:marTop w:val="0"/>
      <w:marBottom w:val="0"/>
      <w:divBdr>
        <w:top w:val="none" w:sz="0" w:space="0" w:color="auto"/>
        <w:left w:val="none" w:sz="0" w:space="0" w:color="auto"/>
        <w:bottom w:val="none" w:sz="0" w:space="0" w:color="auto"/>
        <w:right w:val="none" w:sz="0" w:space="0" w:color="auto"/>
      </w:divBdr>
    </w:div>
    <w:div w:id="1812625265">
      <w:bodyDiv w:val="1"/>
      <w:marLeft w:val="0"/>
      <w:marRight w:val="0"/>
      <w:marTop w:val="0"/>
      <w:marBottom w:val="0"/>
      <w:divBdr>
        <w:top w:val="none" w:sz="0" w:space="0" w:color="auto"/>
        <w:left w:val="none" w:sz="0" w:space="0" w:color="auto"/>
        <w:bottom w:val="none" w:sz="0" w:space="0" w:color="auto"/>
        <w:right w:val="none" w:sz="0" w:space="0" w:color="auto"/>
      </w:divBdr>
    </w:div>
    <w:div w:id="1815414723">
      <w:bodyDiv w:val="1"/>
      <w:marLeft w:val="0"/>
      <w:marRight w:val="0"/>
      <w:marTop w:val="0"/>
      <w:marBottom w:val="0"/>
      <w:divBdr>
        <w:top w:val="none" w:sz="0" w:space="0" w:color="auto"/>
        <w:left w:val="none" w:sz="0" w:space="0" w:color="auto"/>
        <w:bottom w:val="none" w:sz="0" w:space="0" w:color="auto"/>
        <w:right w:val="none" w:sz="0" w:space="0" w:color="auto"/>
      </w:divBdr>
    </w:div>
    <w:div w:id="1835876276">
      <w:bodyDiv w:val="1"/>
      <w:marLeft w:val="0"/>
      <w:marRight w:val="0"/>
      <w:marTop w:val="0"/>
      <w:marBottom w:val="0"/>
      <w:divBdr>
        <w:top w:val="none" w:sz="0" w:space="0" w:color="auto"/>
        <w:left w:val="none" w:sz="0" w:space="0" w:color="auto"/>
        <w:bottom w:val="none" w:sz="0" w:space="0" w:color="auto"/>
        <w:right w:val="none" w:sz="0" w:space="0" w:color="auto"/>
      </w:divBdr>
    </w:div>
    <w:div w:id="1846241031">
      <w:bodyDiv w:val="1"/>
      <w:marLeft w:val="0"/>
      <w:marRight w:val="0"/>
      <w:marTop w:val="0"/>
      <w:marBottom w:val="0"/>
      <w:divBdr>
        <w:top w:val="none" w:sz="0" w:space="0" w:color="auto"/>
        <w:left w:val="none" w:sz="0" w:space="0" w:color="auto"/>
        <w:bottom w:val="none" w:sz="0" w:space="0" w:color="auto"/>
        <w:right w:val="none" w:sz="0" w:space="0" w:color="auto"/>
      </w:divBdr>
    </w:div>
    <w:div w:id="1863586870">
      <w:bodyDiv w:val="1"/>
      <w:marLeft w:val="0"/>
      <w:marRight w:val="0"/>
      <w:marTop w:val="0"/>
      <w:marBottom w:val="0"/>
      <w:divBdr>
        <w:top w:val="none" w:sz="0" w:space="0" w:color="auto"/>
        <w:left w:val="none" w:sz="0" w:space="0" w:color="auto"/>
        <w:bottom w:val="none" w:sz="0" w:space="0" w:color="auto"/>
        <w:right w:val="none" w:sz="0" w:space="0" w:color="auto"/>
      </w:divBdr>
    </w:div>
    <w:div w:id="1955744980">
      <w:bodyDiv w:val="1"/>
      <w:marLeft w:val="0"/>
      <w:marRight w:val="0"/>
      <w:marTop w:val="0"/>
      <w:marBottom w:val="0"/>
      <w:divBdr>
        <w:top w:val="none" w:sz="0" w:space="0" w:color="auto"/>
        <w:left w:val="none" w:sz="0" w:space="0" w:color="auto"/>
        <w:bottom w:val="none" w:sz="0" w:space="0" w:color="auto"/>
        <w:right w:val="none" w:sz="0" w:space="0" w:color="auto"/>
      </w:divBdr>
    </w:div>
    <w:div w:id="2074696431">
      <w:bodyDiv w:val="1"/>
      <w:marLeft w:val="0"/>
      <w:marRight w:val="0"/>
      <w:marTop w:val="0"/>
      <w:marBottom w:val="0"/>
      <w:divBdr>
        <w:top w:val="none" w:sz="0" w:space="0" w:color="auto"/>
        <w:left w:val="none" w:sz="0" w:space="0" w:color="auto"/>
        <w:bottom w:val="none" w:sz="0" w:space="0" w:color="auto"/>
        <w:right w:val="none" w:sz="0" w:space="0" w:color="auto"/>
      </w:divBdr>
    </w:div>
    <w:div w:id="209735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epc@environment.gov.au" TargetMode="External"/><Relationship Id="rId18" Type="http://schemas.openxmlformats.org/officeDocument/2006/relationships/header" Target="header5.xml"/><Relationship Id="rId26" Type="http://schemas.openxmlformats.org/officeDocument/2006/relationships/footer" Target="footer6.xml"/><Relationship Id="rId39" Type="http://schemas.openxmlformats.org/officeDocument/2006/relationships/header" Target="header15.xml"/><Relationship Id="rId21" Type="http://schemas.openxmlformats.org/officeDocument/2006/relationships/header" Target="header7.xml"/><Relationship Id="rId34" Type="http://schemas.openxmlformats.org/officeDocument/2006/relationships/image" Target="media/image1.png"/><Relationship Id="rId42" Type="http://schemas.openxmlformats.org/officeDocument/2006/relationships/image" Target="media/image2.png"/><Relationship Id="rId47" Type="http://schemas.openxmlformats.org/officeDocument/2006/relationships/header" Target="header19.xml"/><Relationship Id="rId50" Type="http://schemas.openxmlformats.org/officeDocument/2006/relationships/hyperlink" Target="mailto:nepc@environment.gov.au" TargetMode="External"/><Relationship Id="rId55" Type="http://schemas.openxmlformats.org/officeDocument/2006/relationships/hyperlink" Target="http://www.nepc.gov.au/resource/health-risk-assessment-preliminary-work-identify-concentration-response-functions-selected"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2.xml"/><Relationship Id="rId41" Type="http://schemas.openxmlformats.org/officeDocument/2006/relationships/footer" Target="footer10.xml"/><Relationship Id="rId54" Type="http://schemas.openxmlformats.org/officeDocument/2006/relationships/hyperlink" Target="http://www.ephc.gov.au"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hyperlink" Target="http://airquality-qualitedelair.ccme.ca/en/" TargetMode="External"/><Relationship Id="rId40" Type="http://schemas.openxmlformats.org/officeDocument/2006/relationships/header" Target="header16.xml"/><Relationship Id="rId45" Type="http://schemas.openxmlformats.org/officeDocument/2006/relationships/footer" Target="footer11.xml"/><Relationship Id="rId53" Type="http://schemas.openxmlformats.org/officeDocument/2006/relationships/hyperlink" Target="https://www.gov.uk/government/publications/air-quality-impact-pathway-guidance" TargetMode="External"/><Relationship Id="rId58" Type="http://schemas.openxmlformats.org/officeDocument/2006/relationships/hyperlink" Target="https://www.environment.gov.au/system/files/pages/dfe7ed5d-1eaf-4ff2-bfe7-dbb7ebaf21a9/files/aaq-nepm-draft-variation-impact-statement.pdf"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7.xml"/><Relationship Id="rId36" Type="http://schemas.openxmlformats.org/officeDocument/2006/relationships/hyperlink" Target="https://uk-air.defra.gov.uk/assets/documents/Air_Quality_Objectives_Update.pdf" TargetMode="External"/><Relationship Id="rId49" Type="http://schemas.openxmlformats.org/officeDocument/2006/relationships/hyperlink" Target="mailto:nepc@environment.gov.au" TargetMode="External"/><Relationship Id="rId57" Type="http://schemas.openxmlformats.org/officeDocument/2006/relationships/hyperlink" Target="http://www.nepc.gov.au/system/files/resources/3405e986-afe9-bdb4-5d2c-383f3ea1e911/files/aaq-review-report-2011.pdf" TargetMode="Externa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8.xml"/><Relationship Id="rId44" Type="http://schemas.openxmlformats.org/officeDocument/2006/relationships/header" Target="header17.xml"/><Relationship Id="rId52" Type="http://schemas.openxmlformats.org/officeDocument/2006/relationships/hyperlink" Target="https://www.gov.uk/government/publications/quantitative-systematic-review-of-short-term-associations-between-ambient-air-pollution-particulate-matter-ozone-nitrogen-dioxide-sulphur-dioxide-and-carbon-monoxide-and-mortality-and-morbidity" TargetMode="External"/><Relationship Id="rId60" Type="http://schemas.openxmlformats.org/officeDocument/2006/relationships/header" Target="header2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yperlink" Target="https://www.epa.gov/criteria-air-pollutants/naaqs-table" TargetMode="External"/><Relationship Id="rId43" Type="http://schemas.microsoft.com/office/2007/relationships/hdphoto" Target="media/hdphoto1.wdp"/><Relationship Id="rId48" Type="http://schemas.openxmlformats.org/officeDocument/2006/relationships/header" Target="header20.xml"/><Relationship Id="rId56" Type="http://schemas.openxmlformats.org/officeDocument/2006/relationships/hyperlink" Target="http://nepc.gov.au/system/files/consultations/50d14908-edc7-df44-099a-3aca53792ac1/files/aaq-discppr-review-aaq-nepm-discussion-paper-aq-standards-final-201007.pdf" TargetMode="External"/><Relationship Id="rId8" Type="http://schemas.openxmlformats.org/officeDocument/2006/relationships/endnotes" Target="endnotes.xml"/><Relationship Id="rId51" Type="http://schemas.openxmlformats.org/officeDocument/2006/relationships/header" Target="header21.xml"/><Relationship Id="rId3" Type="http://schemas.openxmlformats.org/officeDocument/2006/relationships/numbering" Target="numbering.xml"/><Relationship Id="rId12" Type="http://schemas.openxmlformats.org/officeDocument/2006/relationships/hyperlink" Target="mailto:nepc@environment.gov.au" TargetMode="Externa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footer" Target="footer9.xml"/><Relationship Id="rId38" Type="http://schemas.openxmlformats.org/officeDocument/2006/relationships/hyperlink" Target="http://ec.europa.eu/environment/air/quality/standards.htm" TargetMode="External"/><Relationship Id="rId46" Type="http://schemas.openxmlformats.org/officeDocument/2006/relationships/header" Target="header18.xml"/><Relationship Id="rId59" Type="http://schemas.openxmlformats.org/officeDocument/2006/relationships/hyperlink" Target="http://www.epa.nsw.gov.au/resources/epa/approved-methods-for-modelling-and-assessment-of-air-pollutants-in-NSW-160666.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atimes.com/local/lanow/la-me-ln-bad-air-days-20171115-story.html" TargetMode="External"/><Relationship Id="rId2" Type="http://schemas.openxmlformats.org/officeDocument/2006/relationships/hyperlink" Target="http://www.nepc.gov.au/resource/variation-ambient-air-quality-nepm-&#8211;-particles-standards" TargetMode="External"/><Relationship Id="rId1" Type="http://schemas.openxmlformats.org/officeDocument/2006/relationships/hyperlink" Target="http://www.environment.gov.au/protection/air-quality/national-clean-air-agre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ckenzie\Downloads\F002.013.009%20Report%20Wide%20Column%20Gen%20cover%20v.9%20Jul%2017%20NW%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BD802127E540FA92EDEAC2CEFAE6AD"/>
        <w:category>
          <w:name w:val="General"/>
          <w:gallery w:val="placeholder"/>
        </w:category>
        <w:types>
          <w:type w:val="bbPlcHdr"/>
        </w:types>
        <w:behaviors>
          <w:behavior w:val="content"/>
        </w:behaviors>
        <w:guid w:val="{6A666A62-2823-462F-B0BD-2A27CA6968AB}"/>
      </w:docPartPr>
      <w:docPartBody>
        <w:p w:rsidR="007417C2" w:rsidRDefault="007417C2">
          <w:pPr>
            <w:pStyle w:val="64BD802127E540FA92EDEAC2CEFAE6AD"/>
          </w:pPr>
          <w:r w:rsidRPr="000B223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ource Sans Pro">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Neue LT 55 Roman">
    <w:altName w:val="Arial"/>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YInterstate Light">
    <w:altName w:val="Times New Roman"/>
    <w:charset w:val="00"/>
    <w:family w:val="auto"/>
    <w:pitch w:val="variable"/>
    <w:sig w:usb0="00000001" w:usb1="5000206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EYInterstate Regular">
    <w:altName w:val="Calibri"/>
    <w:charset w:val="00"/>
    <w:family w:val="auto"/>
    <w:pitch w:val="variable"/>
    <w:sig w:usb0="00000001" w:usb1="5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rlett">
    <w:panose1 w:val="00000000000000000000"/>
    <w:charset w:val="02"/>
    <w:family w:val="auto"/>
    <w:pitch w:val="variable"/>
    <w:sig w:usb0="00000000" w:usb1="10000000" w:usb2="00000000" w:usb3="00000000" w:csb0="80000000" w:csb1="00000000"/>
  </w:font>
  <w:font w:name="Source Sans Pro Light">
    <w:charset w:val="00"/>
    <w:family w:val="swiss"/>
    <w:pitch w:val="variable"/>
    <w:sig w:usb0="600002F7"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iloOT-Text">
    <w:altName w:val="Arial"/>
    <w:panose1 w:val="00000000000000000000"/>
    <w:charset w:val="A1"/>
    <w:family w:val="swiss"/>
    <w:notTrueType/>
    <w:pitch w:val="default"/>
    <w:sig w:usb0="00000083" w:usb1="00000000" w:usb2="00000000" w:usb3="00000000" w:csb0="00000009" w:csb1="00000000"/>
  </w:font>
  <w:font w:name="MTSymbo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7C2"/>
    <w:rsid w:val="00001354"/>
    <w:rsid w:val="00006C70"/>
    <w:rsid w:val="00026A4B"/>
    <w:rsid w:val="0006708D"/>
    <w:rsid w:val="00086BC3"/>
    <w:rsid w:val="000A534D"/>
    <w:rsid w:val="000B6FAA"/>
    <w:rsid w:val="000C71C4"/>
    <w:rsid w:val="000E5B5E"/>
    <w:rsid w:val="000F03E5"/>
    <w:rsid w:val="000F40ED"/>
    <w:rsid w:val="001126AE"/>
    <w:rsid w:val="00130FC5"/>
    <w:rsid w:val="0016558D"/>
    <w:rsid w:val="00176AFB"/>
    <w:rsid w:val="001829F5"/>
    <w:rsid w:val="001C30AF"/>
    <w:rsid w:val="001D7124"/>
    <w:rsid w:val="002019E6"/>
    <w:rsid w:val="00215CC1"/>
    <w:rsid w:val="0022388A"/>
    <w:rsid w:val="002445B7"/>
    <w:rsid w:val="00277C12"/>
    <w:rsid w:val="00285106"/>
    <w:rsid w:val="0029221D"/>
    <w:rsid w:val="00297CA0"/>
    <w:rsid w:val="002B3100"/>
    <w:rsid w:val="002C7831"/>
    <w:rsid w:val="002D5831"/>
    <w:rsid w:val="002E40E9"/>
    <w:rsid w:val="0031766E"/>
    <w:rsid w:val="0032278E"/>
    <w:rsid w:val="003436E0"/>
    <w:rsid w:val="00346329"/>
    <w:rsid w:val="0035241D"/>
    <w:rsid w:val="003644BF"/>
    <w:rsid w:val="0037705A"/>
    <w:rsid w:val="003B2AE0"/>
    <w:rsid w:val="003D59E9"/>
    <w:rsid w:val="003D6802"/>
    <w:rsid w:val="003F4F4E"/>
    <w:rsid w:val="00412D27"/>
    <w:rsid w:val="00421999"/>
    <w:rsid w:val="004355A0"/>
    <w:rsid w:val="004558E7"/>
    <w:rsid w:val="004C4B1B"/>
    <w:rsid w:val="0050568E"/>
    <w:rsid w:val="00515495"/>
    <w:rsid w:val="00536FAD"/>
    <w:rsid w:val="005665AF"/>
    <w:rsid w:val="00596871"/>
    <w:rsid w:val="005E3817"/>
    <w:rsid w:val="005F5773"/>
    <w:rsid w:val="005F70E0"/>
    <w:rsid w:val="006111A5"/>
    <w:rsid w:val="006271D5"/>
    <w:rsid w:val="006406D9"/>
    <w:rsid w:val="00645E7B"/>
    <w:rsid w:val="006576C5"/>
    <w:rsid w:val="006652AA"/>
    <w:rsid w:val="006926D8"/>
    <w:rsid w:val="006A62E4"/>
    <w:rsid w:val="006F43BE"/>
    <w:rsid w:val="007417C2"/>
    <w:rsid w:val="00753AB5"/>
    <w:rsid w:val="00760F75"/>
    <w:rsid w:val="00776DF8"/>
    <w:rsid w:val="007866C2"/>
    <w:rsid w:val="007A1185"/>
    <w:rsid w:val="007F2CBA"/>
    <w:rsid w:val="007F72C8"/>
    <w:rsid w:val="008021D0"/>
    <w:rsid w:val="00820DFD"/>
    <w:rsid w:val="008351C4"/>
    <w:rsid w:val="00842D18"/>
    <w:rsid w:val="00863A24"/>
    <w:rsid w:val="008877DF"/>
    <w:rsid w:val="008B66DC"/>
    <w:rsid w:val="008C3723"/>
    <w:rsid w:val="008D4CE2"/>
    <w:rsid w:val="00932413"/>
    <w:rsid w:val="00933F3D"/>
    <w:rsid w:val="00942521"/>
    <w:rsid w:val="009653CD"/>
    <w:rsid w:val="00983098"/>
    <w:rsid w:val="0099108D"/>
    <w:rsid w:val="00995281"/>
    <w:rsid w:val="0099631A"/>
    <w:rsid w:val="00997ED9"/>
    <w:rsid w:val="009C74FD"/>
    <w:rsid w:val="00A216AC"/>
    <w:rsid w:val="00AC4CF7"/>
    <w:rsid w:val="00AC570C"/>
    <w:rsid w:val="00AE447B"/>
    <w:rsid w:val="00B430E3"/>
    <w:rsid w:val="00B94559"/>
    <w:rsid w:val="00BA45E8"/>
    <w:rsid w:val="00BC7C89"/>
    <w:rsid w:val="00C211AA"/>
    <w:rsid w:val="00C51C89"/>
    <w:rsid w:val="00C53120"/>
    <w:rsid w:val="00C60947"/>
    <w:rsid w:val="00CA5986"/>
    <w:rsid w:val="00CD2E61"/>
    <w:rsid w:val="00D223E9"/>
    <w:rsid w:val="00D23383"/>
    <w:rsid w:val="00D307CE"/>
    <w:rsid w:val="00D30FDD"/>
    <w:rsid w:val="00D31C18"/>
    <w:rsid w:val="00D64B87"/>
    <w:rsid w:val="00D672FD"/>
    <w:rsid w:val="00D87075"/>
    <w:rsid w:val="00DE53E1"/>
    <w:rsid w:val="00DF1511"/>
    <w:rsid w:val="00E0372B"/>
    <w:rsid w:val="00E06367"/>
    <w:rsid w:val="00E10A01"/>
    <w:rsid w:val="00E16E98"/>
    <w:rsid w:val="00E40E1E"/>
    <w:rsid w:val="00E5482E"/>
    <w:rsid w:val="00E84056"/>
    <w:rsid w:val="00F11B68"/>
    <w:rsid w:val="00F139A4"/>
    <w:rsid w:val="00F33957"/>
    <w:rsid w:val="00F4636F"/>
    <w:rsid w:val="00F57D36"/>
    <w:rsid w:val="00F84507"/>
    <w:rsid w:val="00F8474D"/>
    <w:rsid w:val="00F84F2F"/>
    <w:rsid w:val="00FA156F"/>
    <w:rsid w:val="00FB2133"/>
    <w:rsid w:val="00FF50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36F"/>
    <w:rPr>
      <w:color w:val="808080"/>
    </w:rPr>
  </w:style>
  <w:style w:type="paragraph" w:customStyle="1" w:styleId="5F0F39B6C8914990B3408BD2076585B1">
    <w:name w:val="5F0F39B6C8914990B3408BD2076585B1"/>
  </w:style>
  <w:style w:type="paragraph" w:customStyle="1" w:styleId="80B7331E7BCC4A6E95FC28B563B92959">
    <w:name w:val="80B7331E7BCC4A6E95FC28B563B92959"/>
  </w:style>
  <w:style w:type="paragraph" w:customStyle="1" w:styleId="64BD802127E540FA92EDEAC2CEFAE6AD">
    <w:name w:val="64BD802127E540FA92EDEAC2CEFAE6AD"/>
  </w:style>
  <w:style w:type="paragraph" w:customStyle="1" w:styleId="C7A3FC5273AF4249AF63EE586A15E488">
    <w:name w:val="C7A3FC5273AF4249AF63EE586A15E488"/>
  </w:style>
  <w:style w:type="paragraph" w:customStyle="1" w:styleId="465ADDA6555E466D9E2609292AD37A22">
    <w:name w:val="465ADDA6555E466D9E2609292AD37A22"/>
  </w:style>
  <w:style w:type="paragraph" w:customStyle="1" w:styleId="33E73B2A301B4D629ADB49B018AE984F">
    <w:name w:val="33E73B2A301B4D629ADB49B018AE984F"/>
  </w:style>
  <w:style w:type="paragraph" w:customStyle="1" w:styleId="03A58DD5617F4CF597A64BF660E6F639">
    <w:name w:val="03A58DD5617F4CF597A64BF660E6F639"/>
    <w:rsid w:val="008D4CE2"/>
    <w:pPr>
      <w:spacing w:after="160" w:line="259" w:lineRule="auto"/>
    </w:pPr>
  </w:style>
  <w:style w:type="paragraph" w:customStyle="1" w:styleId="D1A85AB5835D4B619F5FA89BBF3B0D3F">
    <w:name w:val="D1A85AB5835D4B619F5FA89BBF3B0D3F"/>
    <w:rsid w:val="00F4636F"/>
    <w:pPr>
      <w:spacing w:after="160" w:line="259" w:lineRule="auto"/>
    </w:pPr>
  </w:style>
  <w:style w:type="paragraph" w:customStyle="1" w:styleId="C31ADBF27EFD4B759EFB1EBB3184D4FE">
    <w:name w:val="C31ADBF27EFD4B759EFB1EBB3184D4FE"/>
    <w:rsid w:val="00F463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PEL Theme">
  <a:themeElements>
    <a:clrScheme name="PE Colours">
      <a:dk1>
        <a:srgbClr val="414142"/>
      </a:dk1>
      <a:lt1>
        <a:sysClr val="window" lastClr="FFFFFF"/>
      </a:lt1>
      <a:dk2>
        <a:srgbClr val="606372"/>
      </a:dk2>
      <a:lt2>
        <a:srgbClr val="E7E6E6"/>
      </a:lt2>
      <a:accent1>
        <a:srgbClr val="0076C0"/>
      </a:accent1>
      <a:accent2>
        <a:srgbClr val="D7BC3E"/>
      </a:accent2>
      <a:accent3>
        <a:srgbClr val="8AA854"/>
      </a:accent3>
      <a:accent4>
        <a:srgbClr val="DF9090"/>
      </a:accent4>
      <a:accent5>
        <a:srgbClr val="9FC1B1"/>
      </a:accent5>
      <a:accent6>
        <a:srgbClr val="CB8C44"/>
      </a:accent6>
      <a:hlink>
        <a:srgbClr val="95B5D2"/>
      </a:hlink>
      <a:folHlink>
        <a:srgbClr val="C43075"/>
      </a:folHlink>
    </a:clrScheme>
    <a:fontScheme name="P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projName/>
  <propDate>2019-04-22T00:00:00</propDate>
  <docContNum/>
  <custCoName/>
</root>
</file>

<file path=customXml/item2.xml><?xml version="1.0" encoding="utf-8"?>
<b:Sources xmlns:b="http://schemas.openxmlformats.org/officeDocument/2006/bibliography" xmlns="http://schemas.openxmlformats.org/officeDocument/2006/bibliography" SelectedStyle="\APASixthEditionOfficeOnline.xsl" StyleName="APA" Version="6">
  <b:Source>
    <b:Tag>Mar16</b:Tag>
    <b:SourceType>Report</b:SourceType>
    <b:Guid>{FD42E34B-29B4-4369-8A54-4BB470E38A49}</b:Guid>
    <b:Author>
      <b:Author>
        <b:Corporate>Department of Environment</b:Corporate>
      </b:Author>
    </b:Author>
    <b:Title>Review of the Fuel Quality Standards Act 2000</b:Title>
    <b:Year>2016</b:Year>
    <b:Publisher>Marsden Jacob Associates &amp; Pacific Environment Limited</b:Publisher>
    <b:RefOrder>1</b:RefOrder>
  </b:Source>
  <b:Source>
    <b:Tag>Del11</b:Tag>
    <b:SourceType>JournalArticle</b:SourceType>
    <b:Guid>{BC76793D-2F52-423E-80F5-A9F82013B096}</b:Guid>
    <b:Title>Victorian Air Emissions Inventory for 2006</b:Title>
    <b:Year>2011</b:Year>
    <b:Author>
      <b:Author>
        <b:NameList>
          <b:Person>
            <b:Last>Delaney</b:Last>
            <b:First>Wal</b:First>
          </b:Person>
          <b:Person>
            <b:Last>Marshall</b:Last>
            <b:First>Andrew</b:First>
          </b:Person>
        </b:NameList>
      </b:Author>
    </b:Author>
    <b:JournalName>CASANZ 2011 Conference - Auckland</b:JournalName>
    <b:RefOrder>2</b:RefOrder>
  </b:Source>
  <b:Source>
    <b:Tag>Que04</b:Tag>
    <b:SourceType>Report</b:SourceType>
    <b:Guid>{E9AFAA90-92E2-40D5-9596-423674EB8E56}</b:Guid>
    <b:Author>
      <b:Author>
        <b:Corporate>Queensland Government Environmental Protection Agency</b:Corporate>
      </b:Author>
    </b:Author>
    <b:Title>Air Emissions Inventory - South-east Queensland region</b:Title>
    <b:Year>2004</b:Year>
    <b:RefOrder>3</b:RefOrder>
  </b:Source>
  <b:Source>
    <b:Tag>Wes03</b:Tag>
    <b:SourceType>Report</b:SourceType>
    <b:Guid>{AEC0FF50-32A8-48DC-A6B6-FCEB29D248C2}</b:Guid>
    <b:Author>
      <b:Author>
        <b:Corporate>Western Australia Department of Environmental Protection</b:Corporate>
      </b:Author>
    </b:Author>
    <b:Title>National Pollution Inventory - Perth Airshed Emissions Study 1998/1999</b:Title>
    <b:Year>2003</b:Year>
    <b:RefOrder>4</b:RefOrder>
  </b:Source>
</b:Sources>
</file>

<file path=customXml/itemProps1.xml><?xml version="1.0" encoding="utf-8"?>
<ds:datastoreItem xmlns:ds="http://schemas.openxmlformats.org/officeDocument/2006/customXml" ds:itemID="{AB744645-93F6-480A-9B81-25C04A394EE3}">
  <ds:schemaRefs/>
</ds:datastoreItem>
</file>

<file path=customXml/itemProps2.xml><?xml version="1.0" encoding="utf-8"?>
<ds:datastoreItem xmlns:ds="http://schemas.openxmlformats.org/officeDocument/2006/customXml" ds:itemID="{AE43D52A-6864-4F25-8AF2-7FDB20D46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F002.013.009 Report Wide Column Gen cover v.9 Jul 17 NW (1).dotx</Template>
  <TotalTime>18</TotalTime>
  <Pages>55</Pages>
  <Words>47735</Words>
  <Characters>272090</Characters>
  <Application>Microsoft Office Word</Application>
  <DocSecurity>0</DocSecurity>
  <Lines>2267</Lines>
  <Paragraphs>638</Paragraphs>
  <ScaleCrop>false</ScaleCrop>
  <HeadingPairs>
    <vt:vector size="2" baseType="variant">
      <vt:variant>
        <vt:lpstr>Title</vt:lpstr>
      </vt:variant>
      <vt:variant>
        <vt:i4>1</vt:i4>
      </vt:variant>
    </vt:vector>
  </HeadingPairs>
  <TitlesOfParts>
    <vt:vector size="1" baseType="lpstr">
      <vt:lpstr>Impact Statement Draft Variation to the National Environment Protection (Ambient Air Quality) Measure for sulfur dioxide, nitrogen dioxide and ozone</vt:lpstr>
    </vt:vector>
  </TitlesOfParts>
  <Company>Hewlett-Packard Company</Company>
  <LinksUpToDate>false</LinksUpToDate>
  <CharactersWithSpaces>319187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Statement Draft Variation to the National Environment Protection (Ambient Air Quality) Measure for sulfur dioxide, nitrogen dioxide and ozone</dc:title>
  <dc:subject/>
  <dc:creator>Aaron McKenzie</dc:creator>
  <cp:keywords/>
  <dc:description/>
  <cp:lastModifiedBy>Nguyen, Lien</cp:lastModifiedBy>
  <cp:revision>12</cp:revision>
  <cp:lastPrinted>2019-05-09T01:25:00Z</cp:lastPrinted>
  <dcterms:created xsi:type="dcterms:W3CDTF">2019-03-19T00:46:00Z</dcterms:created>
  <dcterms:modified xsi:type="dcterms:W3CDTF">2019-05-23T05:19:00Z</dcterms:modified>
</cp:coreProperties>
</file>