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C8244" w14:textId="77777777" w:rsidR="00A8541C" w:rsidRPr="008B6C52" w:rsidRDefault="0098766C" w:rsidP="00A8541C">
      <w:r>
        <w:rPr>
          <w:noProof/>
          <w:lang w:val="en-GB" w:eastAsia="en-GB"/>
        </w:rPr>
        <w:drawing>
          <wp:inline distT="0" distB="0" distL="0" distR="0" wp14:anchorId="56734F85" wp14:editId="0D582A15">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26AE3DF3" w14:textId="1968B4C1" w:rsidR="00A8541C" w:rsidRPr="00A65D65" w:rsidRDefault="00A8541C" w:rsidP="00A8541C">
      <w:pPr>
        <w:pStyle w:val="Title"/>
        <w:pBdr>
          <w:bottom w:val="single" w:sz="4" w:space="3" w:color="auto"/>
        </w:pBdr>
        <w:rPr>
          <w:rFonts w:ascii="Times New Roman" w:hAnsi="Times New Roman" w:cs="Times New Roman"/>
        </w:rPr>
      </w:pPr>
      <w:bookmarkStart w:id="0" w:name="Citation"/>
      <w:r w:rsidRPr="00A65D65">
        <w:rPr>
          <w:rFonts w:ascii="Times New Roman" w:hAnsi="Times New Roman" w:cs="Times New Roman"/>
        </w:rPr>
        <w:t>National Environment Protecti</w:t>
      </w:r>
      <w:r w:rsidR="008D54F0" w:rsidRPr="00A65D65">
        <w:rPr>
          <w:rFonts w:ascii="Times New Roman" w:hAnsi="Times New Roman" w:cs="Times New Roman"/>
        </w:rPr>
        <w:t>on (Ambient Air Quality</w:t>
      </w:r>
      <w:r w:rsidRPr="00A65D65">
        <w:rPr>
          <w:rFonts w:ascii="Times New Roman" w:hAnsi="Times New Roman" w:cs="Times New Roman"/>
        </w:rPr>
        <w:t>) Measure</w:t>
      </w:r>
      <w:r w:rsidR="002974C6" w:rsidRPr="00A65D65">
        <w:rPr>
          <w:rFonts w:ascii="Times New Roman" w:hAnsi="Times New Roman" w:cs="Times New Roman"/>
        </w:rPr>
        <w:t xml:space="preserve"> Variation Instrument </w:t>
      </w:r>
      <w:bookmarkEnd w:id="0"/>
      <w:r w:rsidR="00930A7C" w:rsidRPr="00A65D65">
        <w:rPr>
          <w:rFonts w:ascii="Times New Roman" w:hAnsi="Times New Roman" w:cs="Times New Roman"/>
        </w:rPr>
        <w:t>202</w:t>
      </w:r>
      <w:r w:rsidR="00952FF9" w:rsidRPr="00A65D65">
        <w:rPr>
          <w:rFonts w:ascii="Times New Roman" w:hAnsi="Times New Roman" w:cs="Times New Roman"/>
        </w:rPr>
        <w:t>1</w:t>
      </w:r>
      <w:r w:rsidR="00930A7C" w:rsidRPr="00A65D65">
        <w:rPr>
          <w:rFonts w:ascii="Times New Roman" w:hAnsi="Times New Roman" w:cs="Times New Roman"/>
        </w:rPr>
        <w:t xml:space="preserve"> </w:t>
      </w:r>
    </w:p>
    <w:p w14:paraId="058B658D" w14:textId="048C9CB7" w:rsidR="00A8541C" w:rsidRPr="00A65D65" w:rsidRDefault="00A8541C" w:rsidP="00A8541C">
      <w:pPr>
        <w:pStyle w:val="CoverAct"/>
        <w:spacing w:before="360"/>
        <w:rPr>
          <w:rFonts w:ascii="Times New Roman" w:hAnsi="Times New Roman" w:cs="Times New Roman"/>
        </w:rPr>
      </w:pPr>
      <w:bookmarkStart w:id="1" w:name="Act"/>
      <w:r w:rsidRPr="00A65D65">
        <w:rPr>
          <w:rFonts w:ascii="Times New Roman" w:hAnsi="Times New Roman" w:cs="Times New Roman"/>
        </w:rPr>
        <w:t>National Environment Protect</w:t>
      </w:r>
      <w:r w:rsidR="00300DB7" w:rsidRPr="00A65D65">
        <w:rPr>
          <w:rFonts w:ascii="Times New Roman" w:hAnsi="Times New Roman" w:cs="Times New Roman"/>
        </w:rPr>
        <w:t>i</w:t>
      </w:r>
      <w:r w:rsidRPr="00A65D65">
        <w:rPr>
          <w:rFonts w:ascii="Times New Roman" w:hAnsi="Times New Roman" w:cs="Times New Roman"/>
        </w:rPr>
        <w:t>on Council Act 1994</w:t>
      </w:r>
      <w:bookmarkEnd w:id="1"/>
    </w:p>
    <w:p w14:paraId="4FC396A2" w14:textId="519032D6" w:rsidR="008D54F0" w:rsidRPr="008D54F0" w:rsidRDefault="00A8541C" w:rsidP="00A8541C">
      <w:pPr>
        <w:spacing w:before="360"/>
        <w:jc w:val="both"/>
        <w:rPr>
          <w:iCs/>
        </w:rPr>
      </w:pPr>
      <w:r>
        <w:t>The NATIONAL ENVIRONMENT PROTECTION COUNCIL makes this variation to the National Environment Protection (</w:t>
      </w:r>
      <w:r w:rsidR="004A2ED5">
        <w:t xml:space="preserve">Ambient Air Quality) Measure under </w:t>
      </w:r>
      <w:r w:rsidR="008C6723">
        <w:t xml:space="preserve">section 19 of the </w:t>
      </w:r>
      <w:r w:rsidR="008C6723" w:rsidRPr="004A2ED5">
        <w:rPr>
          <w:i/>
        </w:rPr>
        <w:t>National Environment Protection Council Act 1994</w:t>
      </w:r>
      <w:r w:rsidR="008C6723">
        <w:t xml:space="preserve"> </w:t>
      </w:r>
      <w:r w:rsidR="008C6723" w:rsidRPr="004A2ED5">
        <w:t>(</w:t>
      </w:r>
      <w:r w:rsidR="008C6723" w:rsidRPr="004A2ED5">
        <w:rPr>
          <w:iCs/>
        </w:rPr>
        <w:t>ACT)</w:t>
      </w:r>
      <w:r w:rsidR="008C6723">
        <w:rPr>
          <w:iCs/>
        </w:rPr>
        <w:t xml:space="preserve"> and</w:t>
      </w:r>
      <w:r w:rsidR="008C6723">
        <w:t xml:space="preserve"> </w:t>
      </w:r>
      <w:r w:rsidR="00404EB7">
        <w:t xml:space="preserve">section </w:t>
      </w:r>
      <w:r w:rsidR="008C6723">
        <w:t>20</w:t>
      </w:r>
      <w:r w:rsidR="00404EB7">
        <w:t xml:space="preserve"> of the </w:t>
      </w:r>
      <w:proofErr w:type="spellStart"/>
      <w:r w:rsidR="00F446E7" w:rsidRPr="00F446E7">
        <w:t>the</w:t>
      </w:r>
      <w:proofErr w:type="spellEnd"/>
      <w:r w:rsidR="00F446E7">
        <w:rPr>
          <w:i/>
          <w:iCs/>
        </w:rPr>
        <w:t xml:space="preserve"> </w:t>
      </w:r>
      <w:r w:rsidR="00F446E7" w:rsidRPr="004A2ED5">
        <w:rPr>
          <w:i/>
        </w:rPr>
        <w:t>National Environment Protection Council Act 1994</w:t>
      </w:r>
      <w:r w:rsidR="00F446E7">
        <w:rPr>
          <w:i/>
          <w:iCs/>
        </w:rPr>
        <w:t xml:space="preserve"> </w:t>
      </w:r>
      <w:r w:rsidR="00F446E7">
        <w:rPr>
          <w:iCs/>
        </w:rPr>
        <w:t>(</w:t>
      </w:r>
      <w:proofErr w:type="spellStart"/>
      <w:r w:rsidR="00F446E7">
        <w:rPr>
          <w:iCs/>
        </w:rPr>
        <w:t>C</w:t>
      </w:r>
      <w:r w:rsidR="00F446E7" w:rsidRPr="004A2ED5">
        <w:rPr>
          <w:iCs/>
        </w:rPr>
        <w:t>th</w:t>
      </w:r>
      <w:proofErr w:type="spellEnd"/>
      <w:r w:rsidR="00F446E7" w:rsidRPr="004A2ED5">
        <w:rPr>
          <w:iCs/>
        </w:rPr>
        <w:t>)</w:t>
      </w:r>
      <w:r w:rsidR="00F446E7">
        <w:rPr>
          <w:iCs/>
        </w:rPr>
        <w:t>,</w:t>
      </w:r>
      <w:r w:rsidR="004A2ED5">
        <w:rPr>
          <w:i/>
          <w:iCs/>
        </w:rPr>
        <w:t xml:space="preserve"> </w:t>
      </w:r>
      <w:r w:rsidR="004A2ED5" w:rsidRPr="004A2ED5">
        <w:rPr>
          <w:i/>
        </w:rPr>
        <w:t>National Environment Protection Council (New South Wales) Act 1995</w:t>
      </w:r>
      <w:r w:rsidR="004A2ED5">
        <w:t xml:space="preserve"> </w:t>
      </w:r>
      <w:r w:rsidR="004A2ED5" w:rsidRPr="004A2ED5">
        <w:rPr>
          <w:iCs/>
        </w:rPr>
        <w:t>(NSW),</w:t>
      </w:r>
      <w:r w:rsidR="004A2ED5">
        <w:rPr>
          <w:i/>
          <w:iCs/>
        </w:rPr>
        <w:t xml:space="preserve"> </w:t>
      </w:r>
      <w:r w:rsidR="004A2ED5" w:rsidRPr="004A2ED5">
        <w:rPr>
          <w:i/>
        </w:rPr>
        <w:t>National Environment Protection Council (Victoria) Act 1995</w:t>
      </w:r>
      <w:r w:rsidR="004A2ED5">
        <w:t xml:space="preserve"> </w:t>
      </w:r>
      <w:r w:rsidR="004A2ED5" w:rsidRPr="004A2ED5">
        <w:t>(</w:t>
      </w:r>
      <w:r w:rsidR="004A2ED5" w:rsidRPr="004A2ED5">
        <w:rPr>
          <w:iCs/>
        </w:rPr>
        <w:t xml:space="preserve">Vic), </w:t>
      </w:r>
      <w:r w:rsidR="004A2ED5" w:rsidRPr="004A2ED5">
        <w:rPr>
          <w:i/>
        </w:rPr>
        <w:t>National Environment Protection Council (Queensland) Act 1994</w:t>
      </w:r>
      <w:r w:rsidR="004A2ED5">
        <w:rPr>
          <w:i/>
          <w:iCs/>
        </w:rPr>
        <w:t xml:space="preserve"> </w:t>
      </w:r>
      <w:r w:rsidR="004A2ED5" w:rsidRPr="004A2ED5">
        <w:rPr>
          <w:iCs/>
        </w:rPr>
        <w:t>(</w:t>
      </w:r>
      <w:r w:rsidR="004A2ED5">
        <w:t>Qld)</w:t>
      </w:r>
      <w:r w:rsidR="004A2ED5">
        <w:rPr>
          <w:i/>
          <w:iCs/>
        </w:rPr>
        <w:t xml:space="preserve">, </w:t>
      </w:r>
      <w:r w:rsidR="004A2ED5" w:rsidRPr="004A2ED5">
        <w:rPr>
          <w:i/>
        </w:rPr>
        <w:t>National Environment Protection Council (Western Australia) Act 1996</w:t>
      </w:r>
      <w:r w:rsidR="004A2ED5">
        <w:rPr>
          <w:i/>
          <w:iCs/>
        </w:rPr>
        <w:t xml:space="preserve"> </w:t>
      </w:r>
      <w:r w:rsidR="004A2ED5" w:rsidRPr="004A2ED5">
        <w:rPr>
          <w:iCs/>
        </w:rPr>
        <w:t>(WA),</w:t>
      </w:r>
      <w:r w:rsidR="004A2ED5">
        <w:rPr>
          <w:i/>
          <w:iCs/>
        </w:rPr>
        <w:t xml:space="preserve"> </w:t>
      </w:r>
      <w:r w:rsidR="004A2ED5" w:rsidRPr="004A2ED5">
        <w:rPr>
          <w:i/>
        </w:rPr>
        <w:t>National Environment Protection Council (South Australia) Act 1995</w:t>
      </w:r>
      <w:r w:rsidR="004A2ED5">
        <w:rPr>
          <w:i/>
          <w:iCs/>
        </w:rPr>
        <w:t xml:space="preserve"> </w:t>
      </w:r>
      <w:r w:rsidR="004A2ED5" w:rsidRPr="004A2ED5">
        <w:rPr>
          <w:iCs/>
        </w:rPr>
        <w:t>(SA),</w:t>
      </w:r>
      <w:r w:rsidR="004A2ED5">
        <w:t xml:space="preserve"> </w:t>
      </w:r>
      <w:r w:rsidR="004A2ED5" w:rsidRPr="004A2ED5">
        <w:rPr>
          <w:i/>
        </w:rPr>
        <w:t>National Environment Protection Council (Tasmania) Act 1995</w:t>
      </w:r>
      <w:r w:rsidR="004A2ED5">
        <w:t xml:space="preserve"> </w:t>
      </w:r>
      <w:r w:rsidR="004A2ED5" w:rsidRPr="004A2ED5">
        <w:t>(</w:t>
      </w:r>
      <w:r w:rsidR="004A2ED5" w:rsidRPr="004A2ED5">
        <w:rPr>
          <w:iCs/>
        </w:rPr>
        <w:t>Tas)</w:t>
      </w:r>
      <w:r w:rsidR="004A2ED5">
        <w:rPr>
          <w:i/>
          <w:iCs/>
        </w:rPr>
        <w:t xml:space="preserve">, </w:t>
      </w:r>
      <w:r w:rsidR="004A2ED5" w:rsidRPr="004A2ED5">
        <w:rPr>
          <w:iCs/>
        </w:rPr>
        <w:t>and the</w:t>
      </w:r>
      <w:r w:rsidR="004A2ED5">
        <w:rPr>
          <w:i/>
          <w:iCs/>
        </w:rPr>
        <w:t xml:space="preserve"> </w:t>
      </w:r>
      <w:r w:rsidR="004A2ED5" w:rsidRPr="004A2ED5">
        <w:rPr>
          <w:i/>
        </w:rPr>
        <w:t>National Environment Protection Council (Northern Territory) Act 1994</w:t>
      </w:r>
      <w:r w:rsidR="004A2ED5">
        <w:t xml:space="preserve"> </w:t>
      </w:r>
      <w:r w:rsidR="004A2ED5" w:rsidRPr="004A2ED5">
        <w:rPr>
          <w:iCs/>
        </w:rPr>
        <w:t>(NT)</w:t>
      </w:r>
    </w:p>
    <w:p w14:paraId="1D769879" w14:textId="4348FE1D" w:rsidR="008D54F0" w:rsidRDefault="00A8541C" w:rsidP="00A8541C">
      <w:pPr>
        <w:tabs>
          <w:tab w:val="right" w:pos="3686"/>
        </w:tabs>
        <w:spacing w:before="300" w:after="1200" w:line="300" w:lineRule="exact"/>
      </w:pPr>
      <w:r>
        <w:t xml:space="preserve">Dated </w:t>
      </w:r>
      <w:bookmarkStart w:id="2" w:name="MadeDate"/>
      <w:bookmarkEnd w:id="2"/>
      <w:r w:rsidR="004A2ED5">
        <w:tab/>
      </w:r>
      <w:r w:rsidR="003A6AC8">
        <w:t>15</w:t>
      </w:r>
      <w:r w:rsidR="002974C6">
        <w:t xml:space="preserve"> </w:t>
      </w:r>
      <w:r w:rsidR="003A6AC8">
        <w:t>April</w:t>
      </w:r>
      <w:r w:rsidR="00930A7C">
        <w:t xml:space="preserve"> 202</w:t>
      </w:r>
      <w:r w:rsidR="0052655B">
        <w:t>1</w:t>
      </w:r>
    </w:p>
    <w:p w14:paraId="69C428B4" w14:textId="77777777" w:rsidR="007D6E09" w:rsidRDefault="007D6E09" w:rsidP="00A8541C">
      <w:pPr>
        <w:pBdr>
          <w:bottom w:val="single" w:sz="4" w:space="1" w:color="auto"/>
        </w:pBdr>
      </w:pPr>
    </w:p>
    <w:p w14:paraId="255A7DEC" w14:textId="77777777" w:rsidR="00A81D63" w:rsidRDefault="00A81D63">
      <w:pPr>
        <w:rPr>
          <w:rFonts w:ascii="Arial" w:hAnsi="Arial" w:cs="Arial"/>
          <w:b/>
          <w:bCs/>
          <w:noProof/>
          <w:lang w:val="en-US" w:eastAsia="en-US"/>
        </w:rPr>
      </w:pPr>
      <w:r>
        <w:br w:type="page"/>
      </w:r>
    </w:p>
    <w:p w14:paraId="3B3A2B38" w14:textId="77777777" w:rsidR="001B3E0A" w:rsidRPr="001B3E0A" w:rsidRDefault="001B3E0A" w:rsidP="001B3E0A">
      <w:pPr>
        <w:spacing w:line="260" w:lineRule="atLeast"/>
        <w:outlineLvl w:val="0"/>
        <w:rPr>
          <w:rFonts w:eastAsiaTheme="minorHAnsi" w:cstheme="minorBidi"/>
          <w:sz w:val="36"/>
          <w:szCs w:val="20"/>
          <w:lang w:eastAsia="en-US"/>
        </w:rPr>
      </w:pPr>
      <w:r w:rsidRPr="001B3E0A">
        <w:rPr>
          <w:rFonts w:eastAsiaTheme="minorHAnsi" w:cstheme="minorBidi"/>
          <w:sz w:val="36"/>
          <w:szCs w:val="20"/>
          <w:lang w:eastAsia="en-US"/>
        </w:rPr>
        <w:lastRenderedPageBreak/>
        <w:t>Contents</w:t>
      </w:r>
    </w:p>
    <w:bookmarkStart w:id="3" w:name="BKCheck15B_2"/>
    <w:bookmarkEnd w:id="3"/>
    <w:p w14:paraId="4198D46B" w14:textId="7EDCDBCB" w:rsidR="001B3E0A" w:rsidRPr="001B3E0A" w:rsidRDefault="001B3E0A" w:rsidP="001B3E0A">
      <w:pPr>
        <w:keepLines/>
        <w:tabs>
          <w:tab w:val="right" w:leader="dot" w:pos="8278"/>
        </w:tabs>
        <w:spacing w:before="40"/>
        <w:ind w:left="1985" w:right="567" w:hanging="567"/>
        <w:rPr>
          <w:rFonts w:asciiTheme="minorHAnsi" w:eastAsiaTheme="minorEastAsia" w:hAnsiTheme="minorHAnsi" w:cstheme="minorBidi"/>
          <w:noProof/>
          <w:sz w:val="22"/>
          <w:szCs w:val="22"/>
        </w:rPr>
      </w:pPr>
      <w:r w:rsidRPr="001B3E0A">
        <w:rPr>
          <w:kern w:val="28"/>
          <w:sz w:val="18"/>
          <w:szCs w:val="20"/>
        </w:rPr>
        <w:fldChar w:fldCharType="begin"/>
      </w:r>
      <w:r w:rsidRPr="001B3E0A">
        <w:rPr>
          <w:kern w:val="28"/>
          <w:sz w:val="18"/>
          <w:szCs w:val="20"/>
        </w:rPr>
        <w:instrText xml:space="preserve"> TOC \o "1-9" </w:instrText>
      </w:r>
      <w:r w:rsidRPr="001B3E0A">
        <w:rPr>
          <w:kern w:val="28"/>
          <w:sz w:val="18"/>
          <w:szCs w:val="20"/>
        </w:rPr>
        <w:fldChar w:fldCharType="separate"/>
      </w:r>
      <w:r w:rsidRPr="001B3E0A">
        <w:rPr>
          <w:noProof/>
          <w:kern w:val="28"/>
          <w:sz w:val="18"/>
          <w:szCs w:val="20"/>
        </w:rPr>
        <w:t>1</w:t>
      </w:r>
      <w:r w:rsidRPr="001B3E0A">
        <w:rPr>
          <w:noProof/>
          <w:kern w:val="28"/>
          <w:sz w:val="18"/>
          <w:szCs w:val="20"/>
        </w:rPr>
        <w:tab/>
        <w:t>Name</w:t>
      </w:r>
      <w:r w:rsidRPr="001B3E0A">
        <w:rPr>
          <w:noProof/>
          <w:kern w:val="28"/>
          <w:sz w:val="20"/>
          <w:szCs w:val="20"/>
        </w:rPr>
        <w:tab/>
      </w:r>
      <w:r w:rsidR="00412AB0">
        <w:rPr>
          <w:noProof/>
          <w:kern w:val="28"/>
          <w:sz w:val="20"/>
          <w:szCs w:val="20"/>
        </w:rPr>
        <w:t>1</w:t>
      </w:r>
    </w:p>
    <w:p w14:paraId="1F19D4E1" w14:textId="79B0D0DE" w:rsidR="001B3E0A" w:rsidRPr="001B3E0A" w:rsidRDefault="001B3E0A" w:rsidP="001B3E0A">
      <w:pPr>
        <w:keepLines/>
        <w:tabs>
          <w:tab w:val="right" w:leader="dot" w:pos="8278"/>
        </w:tabs>
        <w:spacing w:before="40"/>
        <w:ind w:left="1985" w:right="567" w:hanging="567"/>
        <w:rPr>
          <w:rFonts w:asciiTheme="minorHAnsi" w:eastAsiaTheme="minorEastAsia" w:hAnsiTheme="minorHAnsi" w:cstheme="minorBidi"/>
          <w:noProof/>
          <w:sz w:val="22"/>
          <w:szCs w:val="22"/>
        </w:rPr>
      </w:pPr>
      <w:r w:rsidRPr="001B3E0A">
        <w:rPr>
          <w:noProof/>
          <w:kern w:val="28"/>
          <w:sz w:val="18"/>
          <w:szCs w:val="20"/>
        </w:rPr>
        <w:t>2</w:t>
      </w:r>
      <w:r w:rsidRPr="001B3E0A">
        <w:rPr>
          <w:noProof/>
          <w:kern w:val="28"/>
          <w:sz w:val="18"/>
          <w:szCs w:val="20"/>
        </w:rPr>
        <w:tab/>
        <w:t>Commencement</w:t>
      </w:r>
      <w:r w:rsidRPr="001B3E0A">
        <w:rPr>
          <w:noProof/>
          <w:kern w:val="28"/>
          <w:sz w:val="20"/>
          <w:szCs w:val="20"/>
        </w:rPr>
        <w:tab/>
      </w:r>
      <w:r w:rsidR="00412AB0">
        <w:rPr>
          <w:noProof/>
          <w:kern w:val="28"/>
          <w:sz w:val="20"/>
          <w:szCs w:val="20"/>
        </w:rPr>
        <w:t>1</w:t>
      </w:r>
    </w:p>
    <w:p w14:paraId="3D088492" w14:textId="1BCB5FB9" w:rsidR="001B3E0A" w:rsidRPr="001B3E0A" w:rsidRDefault="001B3E0A" w:rsidP="001B3E0A">
      <w:pPr>
        <w:keepLines/>
        <w:tabs>
          <w:tab w:val="right" w:leader="dot" w:pos="8278"/>
        </w:tabs>
        <w:spacing w:before="40"/>
        <w:ind w:left="1985" w:right="567" w:hanging="567"/>
        <w:rPr>
          <w:rFonts w:asciiTheme="minorHAnsi" w:eastAsiaTheme="minorEastAsia" w:hAnsiTheme="minorHAnsi" w:cstheme="minorBidi"/>
          <w:noProof/>
          <w:sz w:val="22"/>
          <w:szCs w:val="22"/>
        </w:rPr>
      </w:pPr>
      <w:r w:rsidRPr="001B3E0A">
        <w:rPr>
          <w:noProof/>
          <w:kern w:val="28"/>
          <w:sz w:val="18"/>
          <w:szCs w:val="20"/>
        </w:rPr>
        <w:t>3</w:t>
      </w:r>
      <w:r w:rsidRPr="001B3E0A">
        <w:rPr>
          <w:noProof/>
          <w:kern w:val="28"/>
          <w:sz w:val="18"/>
          <w:szCs w:val="20"/>
        </w:rPr>
        <w:tab/>
        <w:t>Authority</w:t>
      </w:r>
      <w:r w:rsidRPr="001B3E0A">
        <w:rPr>
          <w:noProof/>
          <w:kern w:val="28"/>
          <w:sz w:val="20"/>
          <w:szCs w:val="20"/>
        </w:rPr>
        <w:tab/>
      </w:r>
      <w:r w:rsidR="00412AB0">
        <w:rPr>
          <w:noProof/>
          <w:kern w:val="28"/>
          <w:sz w:val="20"/>
          <w:szCs w:val="20"/>
        </w:rPr>
        <w:t>1</w:t>
      </w:r>
    </w:p>
    <w:p w14:paraId="0AD29DCC" w14:textId="55EA8D7D" w:rsidR="001B3E0A" w:rsidRPr="001B3E0A" w:rsidRDefault="001B3E0A" w:rsidP="001B3E0A">
      <w:pPr>
        <w:keepLines/>
        <w:tabs>
          <w:tab w:val="right" w:leader="dot" w:pos="8278"/>
        </w:tabs>
        <w:spacing w:before="40"/>
        <w:ind w:left="1985" w:right="567" w:hanging="567"/>
        <w:rPr>
          <w:rFonts w:asciiTheme="minorHAnsi" w:eastAsiaTheme="minorEastAsia" w:hAnsiTheme="minorHAnsi" w:cstheme="minorBidi"/>
          <w:noProof/>
          <w:sz w:val="22"/>
          <w:szCs w:val="22"/>
        </w:rPr>
      </w:pPr>
      <w:r w:rsidRPr="001B3E0A">
        <w:rPr>
          <w:noProof/>
          <w:kern w:val="28"/>
          <w:sz w:val="18"/>
          <w:szCs w:val="20"/>
        </w:rPr>
        <w:t>4</w:t>
      </w:r>
      <w:r w:rsidRPr="001B3E0A">
        <w:rPr>
          <w:noProof/>
          <w:kern w:val="28"/>
          <w:sz w:val="18"/>
          <w:szCs w:val="20"/>
        </w:rPr>
        <w:tab/>
      </w:r>
      <w:r w:rsidR="00F97476">
        <w:rPr>
          <w:noProof/>
          <w:kern w:val="28"/>
          <w:sz w:val="18"/>
          <w:szCs w:val="20"/>
        </w:rPr>
        <w:t>Variation of National Environment Protection (Ambient Air Quality) Measure</w:t>
      </w:r>
      <w:r w:rsidRPr="001B3E0A">
        <w:rPr>
          <w:noProof/>
          <w:kern w:val="28"/>
          <w:sz w:val="20"/>
          <w:szCs w:val="20"/>
        </w:rPr>
        <w:tab/>
      </w:r>
      <w:r w:rsidR="00412AB0">
        <w:rPr>
          <w:noProof/>
          <w:kern w:val="28"/>
          <w:sz w:val="20"/>
          <w:szCs w:val="20"/>
        </w:rPr>
        <w:t>1</w:t>
      </w:r>
    </w:p>
    <w:p w14:paraId="4CFC5CE5" w14:textId="1BFC3823" w:rsidR="001B3E0A" w:rsidRPr="001B3E0A" w:rsidRDefault="001B3E0A" w:rsidP="001B3E0A">
      <w:pPr>
        <w:keepLines/>
        <w:tabs>
          <w:tab w:val="right" w:pos="8278"/>
        </w:tabs>
        <w:spacing w:before="120"/>
        <w:ind w:left="1344" w:right="567" w:hanging="1344"/>
        <w:rPr>
          <w:rFonts w:asciiTheme="minorHAnsi" w:eastAsiaTheme="minorEastAsia" w:hAnsiTheme="minorHAnsi" w:cstheme="minorBidi"/>
          <w:noProof/>
          <w:sz w:val="22"/>
          <w:szCs w:val="22"/>
        </w:rPr>
      </w:pPr>
      <w:r w:rsidRPr="001B3E0A">
        <w:rPr>
          <w:b/>
          <w:noProof/>
          <w:kern w:val="28"/>
          <w:szCs w:val="20"/>
        </w:rPr>
        <w:t>Schedule 1—Amendments</w:t>
      </w:r>
      <w:r w:rsidRPr="001B3E0A">
        <w:rPr>
          <w:noProof/>
          <w:kern w:val="28"/>
          <w:sz w:val="20"/>
          <w:szCs w:val="20"/>
        </w:rPr>
        <w:tab/>
      </w:r>
      <w:r w:rsidR="00412AB0">
        <w:rPr>
          <w:noProof/>
          <w:kern w:val="28"/>
          <w:sz w:val="20"/>
          <w:szCs w:val="20"/>
        </w:rPr>
        <w:t>2</w:t>
      </w:r>
    </w:p>
    <w:p w14:paraId="0884A977" w14:textId="15B633FF" w:rsidR="001B3E0A" w:rsidRPr="001B3E0A" w:rsidRDefault="00F97476" w:rsidP="001B3E0A">
      <w:pPr>
        <w:keepLines/>
        <w:tabs>
          <w:tab w:val="right" w:pos="8278"/>
        </w:tabs>
        <w:spacing w:before="80"/>
        <w:ind w:left="851" w:right="567"/>
        <w:rPr>
          <w:rFonts w:asciiTheme="minorHAnsi" w:eastAsiaTheme="minorEastAsia" w:hAnsiTheme="minorHAnsi" w:cstheme="minorBidi"/>
          <w:noProof/>
          <w:sz w:val="22"/>
          <w:szCs w:val="22"/>
        </w:rPr>
      </w:pPr>
      <w:r>
        <w:rPr>
          <w:noProof/>
          <w:kern w:val="28"/>
          <w:sz w:val="20"/>
          <w:szCs w:val="20"/>
        </w:rPr>
        <w:t>National Environment Protection (Ambient Air Quality) Measure</w:t>
      </w:r>
      <w:r w:rsidR="001B3E0A" w:rsidRPr="001B3E0A">
        <w:rPr>
          <w:noProof/>
          <w:kern w:val="28"/>
          <w:sz w:val="20"/>
          <w:szCs w:val="20"/>
        </w:rPr>
        <w:tab/>
      </w:r>
      <w:r w:rsidR="00412AB0">
        <w:rPr>
          <w:noProof/>
          <w:kern w:val="28"/>
          <w:sz w:val="20"/>
          <w:szCs w:val="20"/>
        </w:rPr>
        <w:t>2</w:t>
      </w:r>
    </w:p>
    <w:p w14:paraId="1DAF80A4" w14:textId="61CADC82" w:rsidR="001B3E0A" w:rsidRPr="001B3E0A" w:rsidRDefault="001B3E0A" w:rsidP="001B3E0A">
      <w:pPr>
        <w:keepLines/>
        <w:tabs>
          <w:tab w:val="right" w:pos="8278"/>
        </w:tabs>
        <w:spacing w:before="80"/>
        <w:ind w:left="851" w:right="567"/>
        <w:rPr>
          <w:rFonts w:asciiTheme="minorHAnsi" w:eastAsiaTheme="minorEastAsia" w:hAnsiTheme="minorHAnsi" w:cstheme="minorBidi"/>
          <w:noProof/>
          <w:sz w:val="22"/>
          <w:szCs w:val="22"/>
        </w:rPr>
      </w:pPr>
    </w:p>
    <w:p w14:paraId="0FC3C36B" w14:textId="77777777" w:rsidR="00C93BBA" w:rsidRDefault="001B3E0A">
      <w:pPr>
        <w:pStyle w:val="SectionHeading1"/>
        <w:tabs>
          <w:tab w:val="left" w:pos="993"/>
        </w:tabs>
        <w:ind w:left="0" w:firstLine="0"/>
        <w:rPr>
          <w:rFonts w:eastAsiaTheme="minorHAnsi"/>
          <w:sz w:val="20"/>
          <w:szCs w:val="20"/>
        </w:rPr>
      </w:pPr>
      <w:r w:rsidRPr="001B3E0A">
        <w:rPr>
          <w:rFonts w:eastAsiaTheme="minorHAnsi"/>
          <w:sz w:val="20"/>
          <w:szCs w:val="20"/>
        </w:rPr>
        <w:fldChar w:fldCharType="end"/>
      </w:r>
    </w:p>
    <w:p w14:paraId="1D21DED0" w14:textId="77777777" w:rsidR="00C93BBA" w:rsidRPr="00412AB0" w:rsidRDefault="00C93BBA" w:rsidP="00C93BBA">
      <w:pPr>
        <w:rPr>
          <w:rFonts w:eastAsiaTheme="minorHAnsi"/>
          <w:lang w:val="en-US" w:eastAsia="en-US"/>
        </w:rPr>
      </w:pPr>
    </w:p>
    <w:p w14:paraId="0175ACB6" w14:textId="77777777" w:rsidR="00C93BBA" w:rsidRPr="00412AB0" w:rsidRDefault="00C93BBA" w:rsidP="00C93BBA">
      <w:pPr>
        <w:rPr>
          <w:rFonts w:eastAsiaTheme="minorHAnsi"/>
          <w:lang w:val="en-US" w:eastAsia="en-US"/>
        </w:rPr>
      </w:pPr>
    </w:p>
    <w:p w14:paraId="4146F6A9" w14:textId="77777777" w:rsidR="00C93BBA" w:rsidRPr="00412AB0" w:rsidRDefault="00C93BBA" w:rsidP="00C93BBA">
      <w:pPr>
        <w:rPr>
          <w:rFonts w:eastAsiaTheme="minorHAnsi"/>
          <w:lang w:val="en-US" w:eastAsia="en-US"/>
        </w:rPr>
      </w:pPr>
    </w:p>
    <w:p w14:paraId="4EAE58C0" w14:textId="77777777" w:rsidR="00C93BBA" w:rsidRPr="00412AB0" w:rsidRDefault="00C93BBA" w:rsidP="00C93BBA">
      <w:pPr>
        <w:rPr>
          <w:rFonts w:eastAsiaTheme="minorHAnsi"/>
          <w:lang w:val="en-US" w:eastAsia="en-US"/>
        </w:rPr>
      </w:pPr>
    </w:p>
    <w:p w14:paraId="4B52DD90" w14:textId="77777777" w:rsidR="00C93BBA" w:rsidRPr="00412AB0" w:rsidRDefault="00C93BBA" w:rsidP="00C93BBA">
      <w:pPr>
        <w:rPr>
          <w:rFonts w:eastAsiaTheme="minorHAnsi"/>
          <w:lang w:val="en-US" w:eastAsia="en-US"/>
        </w:rPr>
      </w:pPr>
    </w:p>
    <w:p w14:paraId="48E75068" w14:textId="77777777" w:rsidR="00C93BBA" w:rsidRPr="00412AB0" w:rsidRDefault="00C93BBA" w:rsidP="00C93BBA">
      <w:pPr>
        <w:rPr>
          <w:rFonts w:eastAsiaTheme="minorHAnsi"/>
          <w:lang w:val="en-US" w:eastAsia="en-US"/>
        </w:rPr>
      </w:pPr>
    </w:p>
    <w:p w14:paraId="60B7C766" w14:textId="77777777" w:rsidR="00C93BBA" w:rsidRPr="00412AB0" w:rsidRDefault="00C93BBA" w:rsidP="00C93BBA">
      <w:pPr>
        <w:rPr>
          <w:rFonts w:eastAsiaTheme="minorHAnsi"/>
          <w:lang w:val="en-US" w:eastAsia="en-US"/>
        </w:rPr>
      </w:pPr>
    </w:p>
    <w:p w14:paraId="396D3312" w14:textId="77777777" w:rsidR="00C93BBA" w:rsidRPr="00412AB0" w:rsidRDefault="00C93BBA" w:rsidP="00C93BBA">
      <w:pPr>
        <w:rPr>
          <w:rFonts w:eastAsiaTheme="minorHAnsi"/>
          <w:lang w:val="en-US" w:eastAsia="en-US"/>
        </w:rPr>
      </w:pPr>
    </w:p>
    <w:p w14:paraId="7F1B96DB" w14:textId="77777777" w:rsidR="00C93BBA" w:rsidRPr="00412AB0" w:rsidRDefault="00C93BBA" w:rsidP="00C93BBA">
      <w:pPr>
        <w:rPr>
          <w:rFonts w:eastAsiaTheme="minorHAnsi"/>
          <w:lang w:val="en-US" w:eastAsia="en-US"/>
        </w:rPr>
      </w:pPr>
    </w:p>
    <w:p w14:paraId="5E7AA3B8" w14:textId="77777777" w:rsidR="00C93BBA" w:rsidRPr="00412AB0" w:rsidRDefault="00C93BBA" w:rsidP="00C93BBA">
      <w:pPr>
        <w:rPr>
          <w:rFonts w:eastAsiaTheme="minorHAnsi"/>
          <w:lang w:val="en-US" w:eastAsia="en-US"/>
        </w:rPr>
      </w:pPr>
    </w:p>
    <w:p w14:paraId="527034DA" w14:textId="77777777" w:rsidR="00C93BBA" w:rsidRPr="00412AB0" w:rsidRDefault="00C93BBA" w:rsidP="00C93BBA">
      <w:pPr>
        <w:rPr>
          <w:rFonts w:eastAsiaTheme="minorHAnsi"/>
          <w:lang w:val="en-US" w:eastAsia="en-US"/>
        </w:rPr>
      </w:pPr>
    </w:p>
    <w:p w14:paraId="1A731D31" w14:textId="77777777" w:rsidR="00C93BBA" w:rsidRPr="00412AB0" w:rsidRDefault="00C93BBA" w:rsidP="00C93BBA">
      <w:pPr>
        <w:rPr>
          <w:rFonts w:eastAsiaTheme="minorHAnsi"/>
          <w:lang w:val="en-US" w:eastAsia="en-US"/>
        </w:rPr>
      </w:pPr>
    </w:p>
    <w:p w14:paraId="512ABE2D" w14:textId="77777777" w:rsidR="00C93BBA" w:rsidRPr="00412AB0" w:rsidRDefault="00C93BBA" w:rsidP="00C93BBA">
      <w:pPr>
        <w:rPr>
          <w:rFonts w:eastAsiaTheme="minorHAnsi"/>
          <w:lang w:val="en-US" w:eastAsia="en-US"/>
        </w:rPr>
      </w:pPr>
    </w:p>
    <w:p w14:paraId="6671B3C5" w14:textId="77777777" w:rsidR="00C93BBA" w:rsidRPr="00412AB0" w:rsidRDefault="00C93BBA" w:rsidP="00C93BBA">
      <w:pPr>
        <w:rPr>
          <w:rFonts w:eastAsiaTheme="minorHAnsi"/>
          <w:lang w:val="en-US" w:eastAsia="en-US"/>
        </w:rPr>
      </w:pPr>
    </w:p>
    <w:p w14:paraId="328E63DE" w14:textId="77777777" w:rsidR="00C93BBA" w:rsidRPr="00412AB0" w:rsidRDefault="00C93BBA" w:rsidP="00C93BBA">
      <w:pPr>
        <w:rPr>
          <w:rFonts w:eastAsiaTheme="minorHAnsi"/>
          <w:lang w:val="en-US" w:eastAsia="en-US"/>
        </w:rPr>
      </w:pPr>
    </w:p>
    <w:p w14:paraId="7DA51734" w14:textId="77777777" w:rsidR="00C93BBA" w:rsidRPr="00412AB0" w:rsidRDefault="00C93BBA" w:rsidP="00C93BBA">
      <w:pPr>
        <w:rPr>
          <w:rFonts w:eastAsiaTheme="minorHAnsi"/>
          <w:lang w:val="en-US" w:eastAsia="en-US"/>
        </w:rPr>
      </w:pPr>
    </w:p>
    <w:p w14:paraId="3A34AEA3" w14:textId="77777777" w:rsidR="00C93BBA" w:rsidRPr="00412AB0" w:rsidRDefault="00C93BBA" w:rsidP="00C93BBA">
      <w:pPr>
        <w:rPr>
          <w:rFonts w:eastAsiaTheme="minorHAnsi"/>
          <w:lang w:val="en-US" w:eastAsia="en-US"/>
        </w:rPr>
      </w:pPr>
    </w:p>
    <w:p w14:paraId="69FEF35E" w14:textId="77777777" w:rsidR="00C93BBA" w:rsidRPr="00412AB0" w:rsidRDefault="00C93BBA" w:rsidP="00C93BBA">
      <w:pPr>
        <w:rPr>
          <w:rFonts w:eastAsiaTheme="minorHAnsi"/>
          <w:lang w:val="en-US" w:eastAsia="en-US"/>
        </w:rPr>
      </w:pPr>
    </w:p>
    <w:p w14:paraId="36DD8D7C" w14:textId="77777777" w:rsidR="00C93BBA" w:rsidRPr="00412AB0" w:rsidRDefault="00C93BBA" w:rsidP="00C93BBA">
      <w:pPr>
        <w:rPr>
          <w:rFonts w:eastAsiaTheme="minorHAnsi"/>
          <w:lang w:val="en-US" w:eastAsia="en-US"/>
        </w:rPr>
      </w:pPr>
    </w:p>
    <w:p w14:paraId="744BAB8D" w14:textId="77777777" w:rsidR="00C93BBA" w:rsidRPr="00412AB0" w:rsidRDefault="00C93BBA" w:rsidP="00C93BBA">
      <w:pPr>
        <w:rPr>
          <w:rFonts w:eastAsiaTheme="minorHAnsi"/>
          <w:lang w:val="en-US" w:eastAsia="en-US"/>
        </w:rPr>
      </w:pPr>
    </w:p>
    <w:p w14:paraId="4A5ED858" w14:textId="77777777" w:rsidR="00C93BBA" w:rsidRPr="00412AB0" w:rsidRDefault="00C93BBA" w:rsidP="00C93BBA">
      <w:pPr>
        <w:rPr>
          <w:rFonts w:eastAsiaTheme="minorHAnsi"/>
          <w:lang w:val="en-US" w:eastAsia="en-US"/>
        </w:rPr>
      </w:pPr>
    </w:p>
    <w:p w14:paraId="613A6724" w14:textId="77777777" w:rsidR="00C93BBA" w:rsidRPr="00412AB0" w:rsidRDefault="00C93BBA" w:rsidP="00C93BBA">
      <w:pPr>
        <w:rPr>
          <w:rFonts w:eastAsiaTheme="minorHAnsi"/>
          <w:lang w:val="en-US" w:eastAsia="en-US"/>
        </w:rPr>
      </w:pPr>
    </w:p>
    <w:p w14:paraId="73E1CE6E" w14:textId="77777777" w:rsidR="00C93BBA" w:rsidRPr="00412AB0" w:rsidRDefault="00C93BBA" w:rsidP="00C93BBA">
      <w:pPr>
        <w:rPr>
          <w:rFonts w:eastAsiaTheme="minorHAnsi"/>
          <w:lang w:val="en-US" w:eastAsia="en-US"/>
        </w:rPr>
      </w:pPr>
    </w:p>
    <w:p w14:paraId="349B34BC" w14:textId="77777777" w:rsidR="00C93BBA" w:rsidRPr="00412AB0" w:rsidRDefault="00C93BBA" w:rsidP="00C93BBA">
      <w:pPr>
        <w:rPr>
          <w:rFonts w:eastAsiaTheme="minorHAnsi"/>
          <w:lang w:val="en-US" w:eastAsia="en-US"/>
        </w:rPr>
      </w:pPr>
    </w:p>
    <w:p w14:paraId="3AECE2A0" w14:textId="77777777" w:rsidR="00C93BBA" w:rsidRPr="00412AB0" w:rsidRDefault="00C93BBA" w:rsidP="00C93BBA">
      <w:pPr>
        <w:rPr>
          <w:rFonts w:eastAsiaTheme="minorHAnsi"/>
          <w:lang w:val="en-US" w:eastAsia="en-US"/>
        </w:rPr>
      </w:pPr>
    </w:p>
    <w:p w14:paraId="340F4AA7" w14:textId="77777777" w:rsidR="00C93BBA" w:rsidRPr="00412AB0" w:rsidRDefault="00C93BBA" w:rsidP="00C93BBA">
      <w:pPr>
        <w:rPr>
          <w:rFonts w:eastAsiaTheme="minorHAnsi"/>
          <w:lang w:val="en-US" w:eastAsia="en-US"/>
        </w:rPr>
      </w:pPr>
    </w:p>
    <w:p w14:paraId="760AEF4D" w14:textId="77777777" w:rsidR="00C93BBA" w:rsidRPr="00412AB0" w:rsidRDefault="00C93BBA" w:rsidP="00C93BBA">
      <w:pPr>
        <w:rPr>
          <w:rFonts w:eastAsiaTheme="minorHAnsi"/>
          <w:lang w:val="en-US" w:eastAsia="en-US"/>
        </w:rPr>
      </w:pPr>
    </w:p>
    <w:p w14:paraId="29573AF6" w14:textId="77777777" w:rsidR="00C93BBA" w:rsidRPr="00412AB0" w:rsidRDefault="00C93BBA" w:rsidP="00C93BBA">
      <w:pPr>
        <w:rPr>
          <w:rFonts w:eastAsiaTheme="minorHAnsi"/>
          <w:lang w:val="en-US" w:eastAsia="en-US"/>
        </w:rPr>
      </w:pPr>
    </w:p>
    <w:p w14:paraId="7C4F826F" w14:textId="77777777" w:rsidR="00C93BBA" w:rsidRPr="00412AB0" w:rsidRDefault="00C93BBA" w:rsidP="00C93BBA">
      <w:pPr>
        <w:rPr>
          <w:rFonts w:eastAsiaTheme="minorHAnsi"/>
          <w:lang w:val="en-US" w:eastAsia="en-US"/>
        </w:rPr>
      </w:pPr>
    </w:p>
    <w:p w14:paraId="26665812" w14:textId="77777777" w:rsidR="00C93BBA" w:rsidRPr="00412AB0" w:rsidRDefault="00C93BBA" w:rsidP="00C93BBA">
      <w:pPr>
        <w:rPr>
          <w:rFonts w:eastAsiaTheme="minorHAnsi"/>
          <w:lang w:val="en-US" w:eastAsia="en-US"/>
        </w:rPr>
      </w:pPr>
    </w:p>
    <w:p w14:paraId="18B49341" w14:textId="77777777" w:rsidR="00C93BBA" w:rsidRDefault="00C93BBA">
      <w:pPr>
        <w:pStyle w:val="SectionHeading1"/>
        <w:tabs>
          <w:tab w:val="left" w:pos="993"/>
        </w:tabs>
        <w:ind w:left="0" w:firstLine="0"/>
        <w:rPr>
          <w:rFonts w:eastAsiaTheme="minorHAnsi"/>
          <w:sz w:val="20"/>
          <w:szCs w:val="20"/>
        </w:rPr>
      </w:pPr>
    </w:p>
    <w:p w14:paraId="2B4B9085" w14:textId="77777777" w:rsidR="00C93BBA" w:rsidRPr="00C93BBA" w:rsidRDefault="00C93BBA" w:rsidP="00C93BBA">
      <w:pPr>
        <w:rPr>
          <w:rFonts w:eastAsiaTheme="minorHAnsi"/>
          <w:lang w:val="en-US" w:eastAsia="en-US"/>
        </w:rPr>
      </w:pPr>
    </w:p>
    <w:p w14:paraId="08054E19" w14:textId="77777777" w:rsidR="00C93BBA" w:rsidRDefault="00C93BBA">
      <w:pPr>
        <w:pStyle w:val="SectionHeading1"/>
        <w:tabs>
          <w:tab w:val="left" w:pos="993"/>
        </w:tabs>
        <w:ind w:left="0" w:firstLine="0"/>
        <w:rPr>
          <w:rFonts w:eastAsiaTheme="minorHAnsi"/>
          <w:sz w:val="20"/>
          <w:szCs w:val="20"/>
        </w:rPr>
      </w:pPr>
    </w:p>
    <w:p w14:paraId="1B9D9C3B" w14:textId="497E582D" w:rsidR="008D54F0" w:rsidRPr="00A76839" w:rsidRDefault="001B3E0A" w:rsidP="00C93BBA">
      <w:pPr>
        <w:pStyle w:val="SectionHeading1"/>
        <w:tabs>
          <w:tab w:val="left" w:pos="993"/>
        </w:tabs>
        <w:ind w:left="0" w:firstLine="0"/>
        <w:rPr>
          <w:rStyle w:val="CharSectno"/>
          <w:rFonts w:ascii="Times New Roman" w:hAnsi="Times New Roman" w:cs="Times New Roman"/>
          <w:bCs w:val="0"/>
          <w:noProof w:val="0"/>
          <w:kern w:val="28"/>
          <w:szCs w:val="20"/>
          <w:lang w:val="en-AU" w:eastAsia="en-AU"/>
        </w:rPr>
      </w:pPr>
      <w:r w:rsidRPr="00110C3B">
        <w:br w:type="page"/>
      </w:r>
      <w:r w:rsidR="002339C5" w:rsidRPr="00A65D65">
        <w:rPr>
          <w:rFonts w:ascii="Times New Roman" w:hAnsi="Times New Roman" w:cs="Times New Roman"/>
        </w:rPr>
        <w:lastRenderedPageBreak/>
        <w:t>1</w:t>
      </w:r>
      <w:r w:rsidRPr="00A65D65">
        <w:rPr>
          <w:rFonts w:ascii="Times New Roman" w:hAnsi="Times New Roman" w:cs="Times New Roman"/>
        </w:rPr>
        <w:tab/>
      </w:r>
      <w:r w:rsidR="002339C5" w:rsidRPr="00A76839">
        <w:rPr>
          <w:rStyle w:val="CharSectno"/>
          <w:rFonts w:ascii="Times New Roman" w:hAnsi="Times New Roman" w:cs="Times New Roman"/>
          <w:bCs w:val="0"/>
          <w:noProof w:val="0"/>
          <w:kern w:val="28"/>
          <w:szCs w:val="20"/>
          <w:lang w:val="en-AU" w:eastAsia="en-AU"/>
        </w:rPr>
        <w:t>Name</w:t>
      </w:r>
    </w:p>
    <w:p w14:paraId="087F4094" w14:textId="3E7A4E8E" w:rsidR="008D54F0" w:rsidRPr="008D54F0" w:rsidRDefault="002339C5" w:rsidP="00930FA6">
      <w:pPr>
        <w:pStyle w:val="SectionText"/>
      </w:pPr>
      <w:r w:rsidRPr="00F54B78">
        <w:tab/>
      </w:r>
      <w:r w:rsidRPr="00F24939">
        <w:t>This</w:t>
      </w:r>
      <w:r w:rsidR="00400EA9">
        <w:t xml:space="preserve"> instrument is</w:t>
      </w:r>
      <w:r w:rsidRPr="00F24939">
        <w:t xml:space="preserve"> the </w:t>
      </w:r>
      <w:r w:rsidRPr="002974C6">
        <w:rPr>
          <w:i/>
        </w:rPr>
        <w:t>National Environment Protection (</w:t>
      </w:r>
      <w:r w:rsidR="008D54F0" w:rsidRPr="002974C6">
        <w:rPr>
          <w:i/>
        </w:rPr>
        <w:t>Ambient Air Quality</w:t>
      </w:r>
      <w:r w:rsidRPr="002974C6">
        <w:rPr>
          <w:i/>
        </w:rPr>
        <w:t>) Measure</w:t>
      </w:r>
      <w:r w:rsidR="002974C6" w:rsidRPr="002974C6">
        <w:rPr>
          <w:i/>
        </w:rPr>
        <w:t xml:space="preserve"> Variation Instrument </w:t>
      </w:r>
      <w:r w:rsidR="00930A7C">
        <w:rPr>
          <w:i/>
        </w:rPr>
        <w:t>202</w:t>
      </w:r>
      <w:r w:rsidR="00C35270">
        <w:rPr>
          <w:i/>
        </w:rPr>
        <w:t>1</w:t>
      </w:r>
      <w:r w:rsidR="008D54F0">
        <w:t>.</w:t>
      </w:r>
    </w:p>
    <w:p w14:paraId="14DD29A3" w14:textId="77777777" w:rsidR="002339C5" w:rsidRPr="00A65D65" w:rsidRDefault="00A146CD" w:rsidP="00930FA6">
      <w:pPr>
        <w:pStyle w:val="SectionHeading1"/>
        <w:rPr>
          <w:rStyle w:val="CharSectno"/>
          <w:rFonts w:ascii="Times New Roman" w:hAnsi="Times New Roman" w:cs="Times New Roman"/>
          <w:bCs w:val="0"/>
          <w:noProof w:val="0"/>
          <w:kern w:val="28"/>
          <w:szCs w:val="20"/>
          <w:lang w:val="en-AU" w:eastAsia="en-AU"/>
        </w:rPr>
      </w:pPr>
      <w:r w:rsidRPr="00A65D65">
        <w:rPr>
          <w:rFonts w:ascii="Times New Roman" w:hAnsi="Times New Roman" w:cs="Times New Roman"/>
        </w:rPr>
        <w:t>2</w:t>
      </w:r>
      <w:r w:rsidR="008D54F0">
        <w:tab/>
      </w:r>
      <w:r w:rsidR="008D54F0" w:rsidRPr="00A65D65">
        <w:rPr>
          <w:rStyle w:val="CharSectno"/>
          <w:rFonts w:ascii="Times New Roman" w:hAnsi="Times New Roman" w:cs="Times New Roman"/>
          <w:bCs w:val="0"/>
          <w:noProof w:val="0"/>
          <w:kern w:val="28"/>
          <w:szCs w:val="20"/>
          <w:lang w:val="en-AU" w:eastAsia="en-AU"/>
        </w:rPr>
        <w:t>Commencement</w:t>
      </w:r>
    </w:p>
    <w:p w14:paraId="03930AB7" w14:textId="77777777" w:rsidR="008D54F0" w:rsidRDefault="00930FA6" w:rsidP="00930FA6">
      <w:pPr>
        <w:pStyle w:val="SectionText"/>
      </w:pPr>
      <w:r>
        <w:tab/>
      </w:r>
      <w:r w:rsidR="008D54F0" w:rsidRPr="00F24939">
        <w:t xml:space="preserve">This </w:t>
      </w:r>
      <w:r w:rsidR="002974C6">
        <w:t>instrument</w:t>
      </w:r>
      <w:r w:rsidR="008D54F0" w:rsidRPr="00F24939">
        <w:t xml:space="preserve"> commences on the day after it is registered</w:t>
      </w:r>
      <w:r w:rsidR="003C483C">
        <w:t xml:space="preserve"> </w:t>
      </w:r>
      <w:r w:rsidR="00E47B81">
        <w:t>on the Federal Register of Legislation</w:t>
      </w:r>
      <w:r w:rsidR="008D54F0" w:rsidRPr="00F24939">
        <w:t>.</w:t>
      </w:r>
    </w:p>
    <w:p w14:paraId="3B0EC04F" w14:textId="77777777" w:rsidR="002974C6" w:rsidRPr="00A65D65" w:rsidRDefault="00A146CD" w:rsidP="002974C6">
      <w:pPr>
        <w:pStyle w:val="SectionHeading1"/>
        <w:rPr>
          <w:rStyle w:val="CharSectno"/>
          <w:rFonts w:ascii="Times New Roman" w:hAnsi="Times New Roman" w:cs="Times New Roman"/>
          <w:bCs w:val="0"/>
          <w:noProof w:val="0"/>
          <w:kern w:val="28"/>
          <w:szCs w:val="20"/>
          <w:lang w:val="en-AU" w:eastAsia="en-AU"/>
        </w:rPr>
      </w:pPr>
      <w:r w:rsidRPr="00A65D65">
        <w:rPr>
          <w:rFonts w:ascii="Times New Roman" w:hAnsi="Times New Roman" w:cs="Times New Roman"/>
        </w:rPr>
        <w:t>3</w:t>
      </w:r>
      <w:r w:rsidR="002974C6">
        <w:tab/>
      </w:r>
      <w:r w:rsidR="002974C6" w:rsidRPr="00A65D65">
        <w:rPr>
          <w:rStyle w:val="CharSectno"/>
          <w:rFonts w:ascii="Times New Roman" w:hAnsi="Times New Roman" w:cs="Times New Roman"/>
          <w:bCs w:val="0"/>
          <w:noProof w:val="0"/>
          <w:kern w:val="28"/>
          <w:szCs w:val="20"/>
          <w:lang w:val="en-AU" w:eastAsia="en-AU"/>
        </w:rPr>
        <w:t>Authority</w:t>
      </w:r>
    </w:p>
    <w:p w14:paraId="333B1D52" w14:textId="75246391" w:rsidR="00AF3E2B" w:rsidRDefault="00F265B6" w:rsidP="00AF3E2B">
      <w:pPr>
        <w:pStyle w:val="SectionText"/>
      </w:pPr>
      <w:r>
        <w:tab/>
      </w:r>
      <w:r w:rsidR="002974C6">
        <w:t xml:space="preserve">This instrument is made </w:t>
      </w:r>
      <w:r w:rsidR="00E15122">
        <w:t>in accordance with</w:t>
      </w:r>
      <w:r w:rsidR="00AF3E2B">
        <w:t xml:space="preserve"> the following</w:t>
      </w:r>
      <w:r>
        <w:t>:</w:t>
      </w:r>
    </w:p>
    <w:p w14:paraId="25708E72" w14:textId="1FB2B9F4" w:rsidR="00404EB7" w:rsidRDefault="00F265B6" w:rsidP="00F265B6">
      <w:pPr>
        <w:pStyle w:val="SectionText"/>
        <w:numPr>
          <w:ilvl w:val="0"/>
          <w:numId w:val="21"/>
        </w:numPr>
      </w:pPr>
      <w:r>
        <w:t>s</w:t>
      </w:r>
      <w:r w:rsidR="00E15122">
        <w:t xml:space="preserve">ection </w:t>
      </w:r>
      <w:r w:rsidR="00404EB7">
        <w:t xml:space="preserve">19 </w:t>
      </w:r>
      <w:r w:rsidR="00E15122">
        <w:t xml:space="preserve">of the </w:t>
      </w:r>
      <w:r w:rsidR="00404EB7" w:rsidRPr="00E15122">
        <w:rPr>
          <w:i/>
        </w:rPr>
        <w:t>National Environment Protection Council Act 1994</w:t>
      </w:r>
      <w:r w:rsidR="00404EB7">
        <w:t xml:space="preserve"> </w:t>
      </w:r>
      <w:r w:rsidR="00404EB7" w:rsidRPr="004A2ED5">
        <w:t>(</w:t>
      </w:r>
      <w:r w:rsidR="00404EB7" w:rsidRPr="00E15122">
        <w:t>ACT);</w:t>
      </w:r>
      <w:r w:rsidR="00404EB7">
        <w:t xml:space="preserve"> and </w:t>
      </w:r>
    </w:p>
    <w:p w14:paraId="321EE919" w14:textId="2D41542B" w:rsidR="00404EB7" w:rsidRDefault="00F265B6" w:rsidP="00F265B6">
      <w:pPr>
        <w:pStyle w:val="SectionText"/>
        <w:numPr>
          <w:ilvl w:val="0"/>
          <w:numId w:val="21"/>
        </w:numPr>
        <w:ind w:hanging="352"/>
      </w:pPr>
      <w:r>
        <w:t>s</w:t>
      </w:r>
      <w:r w:rsidR="00404EB7">
        <w:t>ection 20 of the following:</w:t>
      </w:r>
    </w:p>
    <w:p w14:paraId="6B5985F2" w14:textId="7EB1B70F" w:rsidR="00AF3E2B" w:rsidRDefault="00AF3E2B" w:rsidP="00F265B6">
      <w:pPr>
        <w:pStyle w:val="section1a"/>
        <w:tabs>
          <w:tab w:val="clear" w:pos="993"/>
        </w:tabs>
      </w:pPr>
      <w:r>
        <w:tab/>
      </w:r>
      <w:r>
        <w:tab/>
        <w:t xml:space="preserve">(a) the </w:t>
      </w:r>
      <w:r w:rsidRPr="00F265B6">
        <w:rPr>
          <w:i/>
          <w:iCs/>
        </w:rPr>
        <w:t>National Environment</w:t>
      </w:r>
      <w:r w:rsidRPr="00E15122">
        <w:rPr>
          <w:i/>
        </w:rPr>
        <w:t xml:space="preserve"> Protection Council Act 1994</w:t>
      </w:r>
      <w:r w:rsidRPr="00E15122">
        <w:t xml:space="preserve"> (Cth); </w:t>
      </w:r>
      <w:r w:rsidR="00404EB7" w:rsidRPr="00E15122">
        <w:t xml:space="preserve">  </w:t>
      </w:r>
      <w:r w:rsidR="00404EB7">
        <w:tab/>
      </w:r>
    </w:p>
    <w:p w14:paraId="155E88ED" w14:textId="0C2AB698" w:rsidR="00E15122" w:rsidRPr="00E15122" w:rsidRDefault="00E15122" w:rsidP="00F265B6">
      <w:pPr>
        <w:pStyle w:val="section1a"/>
        <w:tabs>
          <w:tab w:val="clear" w:pos="993"/>
        </w:tabs>
        <w:ind w:left="1797" w:hanging="357"/>
      </w:pPr>
      <w:r>
        <w:t>(b)</w:t>
      </w:r>
      <w:r w:rsidR="00AF3E2B">
        <w:t xml:space="preserve"> </w:t>
      </w:r>
      <w:r>
        <w:t xml:space="preserve">the </w:t>
      </w:r>
      <w:r w:rsidR="002974C6" w:rsidRPr="00F265B6">
        <w:rPr>
          <w:i/>
          <w:iCs/>
        </w:rPr>
        <w:t>National Environment Protection Council (New South Wales) Act 1995</w:t>
      </w:r>
      <w:r w:rsidR="002974C6">
        <w:t xml:space="preserve"> </w:t>
      </w:r>
      <w:r w:rsidRPr="00E15122">
        <w:t>(NSW);</w:t>
      </w:r>
    </w:p>
    <w:p w14:paraId="66B7B899" w14:textId="67E8977B" w:rsidR="00E15122" w:rsidRPr="00E15122" w:rsidRDefault="00E15122" w:rsidP="00F265B6">
      <w:pPr>
        <w:pStyle w:val="section1a"/>
        <w:tabs>
          <w:tab w:val="clear" w:pos="993"/>
        </w:tabs>
        <w:ind w:left="1797" w:hanging="357"/>
      </w:pPr>
      <w:r>
        <w:t>(c)</w:t>
      </w:r>
      <w:r>
        <w:tab/>
        <w:t xml:space="preserve">the </w:t>
      </w:r>
      <w:r w:rsidR="002974C6" w:rsidRPr="00E15122">
        <w:rPr>
          <w:i/>
        </w:rPr>
        <w:t>National Environment Protection Council (Victoria) Act 1995</w:t>
      </w:r>
      <w:r w:rsidR="002974C6">
        <w:t xml:space="preserve"> </w:t>
      </w:r>
      <w:r w:rsidR="002974C6" w:rsidRPr="004A2ED5">
        <w:t>(</w:t>
      </w:r>
      <w:r w:rsidRPr="00E15122">
        <w:t>Vic);</w:t>
      </w:r>
    </w:p>
    <w:p w14:paraId="3131B0E1" w14:textId="61084085" w:rsidR="00E15122" w:rsidRPr="00E15122" w:rsidRDefault="00E15122" w:rsidP="00F265B6">
      <w:pPr>
        <w:pStyle w:val="section1a"/>
        <w:tabs>
          <w:tab w:val="clear" w:pos="993"/>
        </w:tabs>
        <w:ind w:left="1797" w:hanging="357"/>
      </w:pPr>
      <w:r>
        <w:t>(d)</w:t>
      </w:r>
      <w:r>
        <w:tab/>
        <w:t xml:space="preserve">the </w:t>
      </w:r>
      <w:r w:rsidR="002974C6" w:rsidRPr="00E15122">
        <w:rPr>
          <w:i/>
        </w:rPr>
        <w:t>National Environment Protection Council (Queensland) Act 1994</w:t>
      </w:r>
      <w:r w:rsidR="002974C6" w:rsidRPr="00E15122">
        <w:t xml:space="preserve"> (</w:t>
      </w:r>
      <w:r w:rsidR="002974C6">
        <w:t>Qld)</w:t>
      </w:r>
      <w:r w:rsidRPr="00E15122">
        <w:t>;</w:t>
      </w:r>
    </w:p>
    <w:p w14:paraId="5A5B85C6" w14:textId="14A00B4E" w:rsidR="00E15122" w:rsidRPr="00E15122" w:rsidRDefault="00E15122" w:rsidP="00F265B6">
      <w:pPr>
        <w:pStyle w:val="section1a"/>
        <w:tabs>
          <w:tab w:val="clear" w:pos="993"/>
        </w:tabs>
        <w:ind w:left="1797" w:hanging="357"/>
      </w:pPr>
      <w:r>
        <w:t>(e)</w:t>
      </w:r>
      <w:r>
        <w:tab/>
        <w:t xml:space="preserve">the </w:t>
      </w:r>
      <w:r w:rsidR="002974C6" w:rsidRPr="00E15122">
        <w:rPr>
          <w:i/>
        </w:rPr>
        <w:t>National Environment Protection Council (Western Australia) Act 1996</w:t>
      </w:r>
      <w:r w:rsidR="002974C6" w:rsidRPr="00E15122">
        <w:t xml:space="preserve"> </w:t>
      </w:r>
      <w:r w:rsidRPr="00E15122">
        <w:t>(WA);</w:t>
      </w:r>
    </w:p>
    <w:p w14:paraId="0427D533" w14:textId="5ADE72C5" w:rsidR="00E15122" w:rsidRDefault="00E15122" w:rsidP="00F265B6">
      <w:pPr>
        <w:pStyle w:val="section1a"/>
        <w:tabs>
          <w:tab w:val="clear" w:pos="993"/>
        </w:tabs>
        <w:ind w:left="1797" w:hanging="357"/>
      </w:pPr>
      <w:r>
        <w:t>(f)</w:t>
      </w:r>
      <w:r>
        <w:tab/>
        <w:t xml:space="preserve">the </w:t>
      </w:r>
      <w:r w:rsidR="002974C6" w:rsidRPr="00E15122">
        <w:rPr>
          <w:i/>
        </w:rPr>
        <w:t>National Environment Protection Council (South Australia) Act 1995</w:t>
      </w:r>
      <w:r w:rsidR="002974C6" w:rsidRPr="00E15122">
        <w:t xml:space="preserve"> </w:t>
      </w:r>
      <w:r w:rsidRPr="00E15122">
        <w:t>(SA);</w:t>
      </w:r>
    </w:p>
    <w:p w14:paraId="072AB7F5" w14:textId="398BA8CC" w:rsidR="00E15122" w:rsidRPr="00E15122" w:rsidRDefault="00E15122" w:rsidP="00F265B6">
      <w:pPr>
        <w:pStyle w:val="section1a"/>
        <w:tabs>
          <w:tab w:val="clear" w:pos="993"/>
        </w:tabs>
        <w:ind w:left="1797" w:hanging="357"/>
      </w:pPr>
      <w:r>
        <w:t>(</w:t>
      </w:r>
      <w:r w:rsidR="00AF3E2B">
        <w:t>g</w:t>
      </w:r>
      <w:r>
        <w:t>)</w:t>
      </w:r>
      <w:r>
        <w:tab/>
        <w:t xml:space="preserve">the </w:t>
      </w:r>
      <w:r w:rsidR="002974C6" w:rsidRPr="00E15122">
        <w:rPr>
          <w:i/>
        </w:rPr>
        <w:t>National Environment Protection Council (Tasmania) Act 1995</w:t>
      </w:r>
      <w:r w:rsidR="002974C6">
        <w:t xml:space="preserve"> </w:t>
      </w:r>
      <w:r w:rsidR="002974C6" w:rsidRPr="004A2ED5">
        <w:t>(</w:t>
      </w:r>
      <w:r w:rsidR="002974C6" w:rsidRPr="00E15122">
        <w:t>Tas)</w:t>
      </w:r>
      <w:r w:rsidRPr="00E15122">
        <w:t>;</w:t>
      </w:r>
      <w:r w:rsidR="002974C6" w:rsidRPr="00E15122">
        <w:t xml:space="preserve"> </w:t>
      </w:r>
    </w:p>
    <w:p w14:paraId="05DAC132" w14:textId="014C56B1" w:rsidR="002974C6" w:rsidRDefault="00E15122" w:rsidP="00F265B6">
      <w:pPr>
        <w:pStyle w:val="section1a"/>
        <w:tabs>
          <w:tab w:val="clear" w:pos="993"/>
        </w:tabs>
        <w:ind w:left="1797" w:hanging="357"/>
      </w:pPr>
      <w:r>
        <w:t>(</w:t>
      </w:r>
      <w:r w:rsidR="00AF3E2B">
        <w:t>h</w:t>
      </w:r>
      <w:r>
        <w:t>)</w:t>
      </w:r>
      <w:r>
        <w:tab/>
        <w:t xml:space="preserve">the </w:t>
      </w:r>
      <w:r w:rsidR="002974C6" w:rsidRPr="00E15122">
        <w:rPr>
          <w:i/>
        </w:rPr>
        <w:t>National Environment Protection Council (Northern Territory) Act 1994</w:t>
      </w:r>
      <w:r w:rsidR="002974C6">
        <w:t xml:space="preserve"> </w:t>
      </w:r>
      <w:r w:rsidR="002974C6" w:rsidRPr="00E15122">
        <w:t>(NT)</w:t>
      </w:r>
      <w:r w:rsidR="00A146CD">
        <w:t>.</w:t>
      </w:r>
    </w:p>
    <w:p w14:paraId="34323DC8" w14:textId="134A05D0" w:rsidR="002974C6" w:rsidRPr="00A65D65" w:rsidRDefault="00A146CD" w:rsidP="002974C6">
      <w:pPr>
        <w:pStyle w:val="SectionHeading1"/>
        <w:rPr>
          <w:rStyle w:val="CharSectno"/>
          <w:rFonts w:ascii="Times New Roman" w:hAnsi="Times New Roman" w:cs="Times New Roman"/>
          <w:bCs w:val="0"/>
          <w:noProof w:val="0"/>
          <w:kern w:val="28"/>
          <w:szCs w:val="20"/>
          <w:lang w:val="en-AU" w:eastAsia="en-AU"/>
        </w:rPr>
      </w:pPr>
      <w:r w:rsidRPr="00A65D65">
        <w:rPr>
          <w:rFonts w:ascii="Times New Roman" w:hAnsi="Times New Roman" w:cs="Times New Roman"/>
        </w:rPr>
        <w:t>4</w:t>
      </w:r>
      <w:r w:rsidR="002974C6">
        <w:tab/>
      </w:r>
      <w:r w:rsidRPr="00A65D65">
        <w:rPr>
          <w:rStyle w:val="CharSectno"/>
          <w:rFonts w:ascii="Times New Roman" w:hAnsi="Times New Roman" w:cs="Times New Roman"/>
          <w:bCs w:val="0"/>
          <w:noProof w:val="0"/>
          <w:kern w:val="28"/>
          <w:szCs w:val="20"/>
          <w:lang w:val="en-AU" w:eastAsia="en-AU"/>
        </w:rPr>
        <w:t>Variation</w:t>
      </w:r>
      <w:r w:rsidR="002974C6" w:rsidRPr="00A65D65">
        <w:rPr>
          <w:rStyle w:val="CharSectno"/>
          <w:rFonts w:ascii="Times New Roman" w:hAnsi="Times New Roman" w:cs="Times New Roman"/>
          <w:bCs w:val="0"/>
          <w:noProof w:val="0"/>
          <w:kern w:val="28"/>
          <w:szCs w:val="20"/>
          <w:lang w:val="en-AU" w:eastAsia="en-AU"/>
        </w:rPr>
        <w:t xml:space="preserve"> of National Environment Protection (</w:t>
      </w:r>
      <w:r w:rsidR="00886359" w:rsidRPr="00A65D65">
        <w:rPr>
          <w:rStyle w:val="CharSectno"/>
          <w:rFonts w:ascii="Times New Roman" w:hAnsi="Times New Roman" w:cs="Times New Roman"/>
          <w:bCs w:val="0"/>
          <w:noProof w:val="0"/>
          <w:kern w:val="28"/>
          <w:szCs w:val="20"/>
          <w:lang w:val="en-AU" w:eastAsia="en-AU"/>
        </w:rPr>
        <w:t>Ambient Air Quality</w:t>
      </w:r>
      <w:r w:rsidR="002974C6" w:rsidRPr="00A65D65">
        <w:rPr>
          <w:rStyle w:val="CharSectno"/>
          <w:rFonts w:ascii="Times New Roman" w:hAnsi="Times New Roman" w:cs="Times New Roman"/>
          <w:bCs w:val="0"/>
          <w:noProof w:val="0"/>
          <w:kern w:val="28"/>
          <w:szCs w:val="20"/>
          <w:lang w:val="en-AU" w:eastAsia="en-AU"/>
        </w:rPr>
        <w:t>) Measure</w:t>
      </w:r>
    </w:p>
    <w:p w14:paraId="0678F85A" w14:textId="77777777" w:rsidR="002974C6" w:rsidRPr="005A2D65" w:rsidRDefault="002974C6" w:rsidP="002974C6">
      <w:pPr>
        <w:pStyle w:val="SectionText"/>
      </w:pPr>
      <w:r w:rsidRPr="005A2D65">
        <w:tab/>
      </w:r>
      <w:r w:rsidR="00A146CD" w:rsidRPr="00CD3623">
        <w:t xml:space="preserve">The </w:t>
      </w:r>
      <w:r w:rsidR="00A146CD" w:rsidRPr="00A146CD">
        <w:rPr>
          <w:i/>
        </w:rPr>
        <w:t>National Environment Protection (Ambient Air Quality) Measure</w:t>
      </w:r>
      <w:r w:rsidR="00A146CD" w:rsidRPr="00CD3623">
        <w:t xml:space="preserve"> is amended as set out in Schedule 1.</w:t>
      </w:r>
    </w:p>
    <w:p w14:paraId="69DC4E3D" w14:textId="77777777" w:rsidR="002974C6" w:rsidRDefault="002974C6" w:rsidP="00930FA6">
      <w:pPr>
        <w:pStyle w:val="SectionText"/>
      </w:pPr>
    </w:p>
    <w:p w14:paraId="43B2672E" w14:textId="77777777" w:rsidR="002974C6" w:rsidRDefault="002974C6" w:rsidP="00930FA6">
      <w:pPr>
        <w:pStyle w:val="SectionText"/>
      </w:pPr>
    </w:p>
    <w:p w14:paraId="02991383" w14:textId="77777777" w:rsidR="00EE4093" w:rsidRPr="00F54B78" w:rsidRDefault="00EE4093" w:rsidP="00EE4093">
      <w:pPr>
        <w:pStyle w:val="Header"/>
        <w:keepNext/>
        <w:rPr>
          <w:b/>
          <w:vanish/>
          <w:szCs w:val="16"/>
        </w:rPr>
      </w:pP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tblGrid>
      <w:tr w:rsidR="00EE4093" w:rsidRPr="00F54B78" w14:paraId="4768611A" w14:textId="77777777">
        <w:tc>
          <w:tcPr>
            <w:tcW w:w="8364" w:type="dxa"/>
            <w:tcBorders>
              <w:top w:val="single" w:sz="4" w:space="0" w:color="auto"/>
              <w:left w:val="single" w:sz="4" w:space="0" w:color="auto"/>
              <w:bottom w:val="single" w:sz="4" w:space="0" w:color="auto"/>
              <w:right w:val="single" w:sz="4" w:space="0" w:color="auto"/>
            </w:tcBorders>
          </w:tcPr>
          <w:p w14:paraId="458E4129" w14:textId="77777777" w:rsidR="00EE4093" w:rsidRPr="00F54B78" w:rsidRDefault="00EE4093" w:rsidP="00EE4093">
            <w:pPr>
              <w:pStyle w:val="Heading1"/>
              <w:jc w:val="center"/>
            </w:pPr>
            <w:bookmarkStart w:id="4" w:name="_Toc169666825"/>
            <w:r w:rsidRPr="00F54B78">
              <w:t>Introductory Note</w:t>
            </w:r>
            <w:bookmarkEnd w:id="4"/>
          </w:p>
          <w:p w14:paraId="7D66A10D" w14:textId="77777777" w:rsidR="00DD0B44" w:rsidRDefault="00DD0B44" w:rsidP="00DD0B44">
            <w:pPr>
              <w:pStyle w:val="IntroductoryText"/>
              <w:jc w:val="left"/>
            </w:pPr>
            <w:r>
              <w:t xml:space="preserve">Section 20 of the </w:t>
            </w:r>
            <w:r>
              <w:rPr>
                <w:i/>
                <w:iCs/>
              </w:rPr>
              <w:t>National Environment Protection Council Act 1994</w:t>
            </w:r>
            <w:r>
              <w:t xml:space="preserve"> and the equivalent provision of the corresponding Act of each participating State and Territory enables the National Environment Protection Council to vary a National Environment Protection Measure.  This is a variation to the National Environment Protection (Ambient Air Quality) Measure made by the National Environment Protection Council on 26 June 1998 and varied on 23 May 2003</w:t>
            </w:r>
            <w:r w:rsidR="00A146CD">
              <w:t xml:space="preserve"> and 3 February 2016</w:t>
            </w:r>
            <w:r>
              <w:t>.</w:t>
            </w:r>
          </w:p>
          <w:p w14:paraId="653D7ACA" w14:textId="77777777" w:rsidR="00DD0B44" w:rsidRDefault="00DD0B44" w:rsidP="00DD0B44">
            <w:pPr>
              <w:pStyle w:val="IntroductoryText"/>
              <w:jc w:val="left"/>
            </w:pPr>
          </w:p>
          <w:p w14:paraId="5A776117" w14:textId="77777777" w:rsidR="00EE4093" w:rsidRDefault="00DD0B44" w:rsidP="00930FA6">
            <w:pPr>
              <w:pStyle w:val="IntroductoryText"/>
            </w:pPr>
            <w:r>
              <w:t>The Variation is to be implemented by the laws and other arrangements participating jurisdictions consider necessary (see Section 7 of the Commonwealth Act and the equivalent provision of the corresponding Act of each participating State and Territory).</w:t>
            </w:r>
          </w:p>
          <w:p w14:paraId="029C7605" w14:textId="2681BE89" w:rsidR="00412AB0" w:rsidRPr="00F54B78" w:rsidRDefault="00412AB0" w:rsidP="00930FA6">
            <w:pPr>
              <w:pStyle w:val="IntroductoryText"/>
            </w:pPr>
          </w:p>
        </w:tc>
      </w:tr>
    </w:tbl>
    <w:p w14:paraId="7F8FFF39" w14:textId="7774DEA1" w:rsidR="00400EA9" w:rsidRPr="00A95DB6" w:rsidRDefault="00400EA9" w:rsidP="00412AB0">
      <w:pPr>
        <w:pStyle w:val="HD"/>
      </w:pPr>
      <w:r w:rsidRPr="00F54B78">
        <w:t>Schedule 1</w:t>
      </w:r>
      <w:r>
        <w:t xml:space="preserve">– </w:t>
      </w:r>
      <w:r w:rsidRPr="00F54B78">
        <w:t>Amendments</w:t>
      </w:r>
      <w:r>
        <w:t xml:space="preserve"> </w:t>
      </w:r>
    </w:p>
    <w:p w14:paraId="34DF33A1" w14:textId="3FFCE0F9" w:rsidR="00400EA9" w:rsidRPr="00412AB0" w:rsidRDefault="00400EA9" w:rsidP="00412AB0">
      <w:pPr>
        <w:pStyle w:val="HP"/>
        <w:rPr>
          <w:rFonts w:ascii="Times New Roman" w:hAnsi="Times New Roman"/>
          <w:i/>
          <w:iCs/>
          <w:sz w:val="28"/>
          <w:szCs w:val="28"/>
        </w:rPr>
      </w:pPr>
      <w:r w:rsidRPr="00412AB0">
        <w:rPr>
          <w:rFonts w:ascii="Times New Roman" w:hAnsi="Times New Roman"/>
          <w:i/>
          <w:iCs/>
          <w:sz w:val="28"/>
          <w:szCs w:val="28"/>
        </w:rPr>
        <w:t>National Environment Protection (Ambient Air Quality) Measure</w:t>
      </w:r>
    </w:p>
    <w:p w14:paraId="0A6200A3" w14:textId="41843E2E" w:rsidR="001F056D" w:rsidRPr="00F54B78" w:rsidRDefault="009C24AD" w:rsidP="005A2D65">
      <w:pPr>
        <w:pStyle w:val="A1S"/>
        <w:rPr>
          <w:bCs/>
        </w:rPr>
      </w:pPr>
      <w:r>
        <w:t>[</w:t>
      </w:r>
      <w:r w:rsidR="00BA296D">
        <w:fldChar w:fldCharType="begin"/>
      </w:r>
      <w:r w:rsidR="00687B0E">
        <w:instrText xml:space="preserve"> SEQ Sch1Item </w:instrText>
      </w:r>
      <w:r w:rsidR="00BA296D">
        <w:fldChar w:fldCharType="separate"/>
      </w:r>
      <w:r w:rsidR="00AE0D22">
        <w:rPr>
          <w:noProof/>
        </w:rPr>
        <w:t>1</w:t>
      </w:r>
      <w:r w:rsidR="00BA296D">
        <w:rPr>
          <w:noProof/>
        </w:rPr>
        <w:fldChar w:fldCharType="end"/>
      </w:r>
      <w:r>
        <w:t>]</w:t>
      </w:r>
      <w:r w:rsidR="00DD0B44">
        <w:tab/>
      </w:r>
      <w:r w:rsidR="00A146CD">
        <w:t>Introductory Note</w:t>
      </w:r>
    </w:p>
    <w:p w14:paraId="6CBF1DB1" w14:textId="77777777" w:rsidR="001F056D" w:rsidRPr="00A146CD" w:rsidRDefault="00A146CD" w:rsidP="005A2D65">
      <w:pPr>
        <w:pStyle w:val="A2S"/>
        <w:rPr>
          <w:i w:val="0"/>
        </w:rPr>
      </w:pPr>
      <w:r>
        <w:rPr>
          <w:i w:val="0"/>
        </w:rPr>
        <w:t>Omit “section”, substitute “paragraph”.</w:t>
      </w:r>
    </w:p>
    <w:p w14:paraId="7AE2FD24" w14:textId="34534470" w:rsidR="001F056D" w:rsidRDefault="009C24AD" w:rsidP="005A2D65">
      <w:pPr>
        <w:pStyle w:val="A1S"/>
      </w:pPr>
      <w:r>
        <w:t>[</w:t>
      </w:r>
      <w:r w:rsidR="00BA296D">
        <w:fldChar w:fldCharType="begin"/>
      </w:r>
      <w:r w:rsidR="00687B0E">
        <w:instrText xml:space="preserve"> SEQ Sch1Item </w:instrText>
      </w:r>
      <w:r w:rsidR="00BA296D">
        <w:fldChar w:fldCharType="separate"/>
      </w:r>
      <w:r w:rsidR="00AE0D22">
        <w:rPr>
          <w:noProof/>
        </w:rPr>
        <w:t>2</w:t>
      </w:r>
      <w:r w:rsidR="00BA296D">
        <w:rPr>
          <w:noProof/>
        </w:rPr>
        <w:fldChar w:fldCharType="end"/>
      </w:r>
      <w:r>
        <w:t>]</w:t>
      </w:r>
      <w:r w:rsidR="00DD0B44">
        <w:tab/>
        <w:t>Section</w:t>
      </w:r>
      <w:r w:rsidR="00A146CD">
        <w:t>s</w:t>
      </w:r>
      <w:r w:rsidR="00DD0B44">
        <w:t xml:space="preserve"> 2</w:t>
      </w:r>
      <w:r w:rsidR="00A146CD">
        <w:t xml:space="preserve"> and 3</w:t>
      </w:r>
    </w:p>
    <w:p w14:paraId="7116595E" w14:textId="177C315A" w:rsidR="00A146CD" w:rsidRPr="00A146CD" w:rsidRDefault="00A146CD" w:rsidP="00A146CD">
      <w:pPr>
        <w:pStyle w:val="A2S"/>
        <w:rPr>
          <w:i w:val="0"/>
        </w:rPr>
      </w:pPr>
      <w:r>
        <w:rPr>
          <w:i w:val="0"/>
        </w:rPr>
        <w:t>Repeal the sections, substitute:</w:t>
      </w:r>
    </w:p>
    <w:p w14:paraId="016F5EC4" w14:textId="77777777" w:rsidR="00A146CD" w:rsidRPr="008C46F3" w:rsidRDefault="00A146CD" w:rsidP="00A146CD">
      <w:pPr>
        <w:pStyle w:val="HR"/>
        <w:rPr>
          <w:rStyle w:val="CharSectno"/>
        </w:rPr>
      </w:pPr>
      <w:bookmarkStart w:id="5" w:name="_Toc2935947"/>
      <w:r w:rsidRPr="008C46F3">
        <w:rPr>
          <w:rStyle w:val="CharSectno"/>
        </w:rPr>
        <w:t>2</w:t>
      </w:r>
      <w:r w:rsidRPr="008C46F3">
        <w:rPr>
          <w:rStyle w:val="CharSectno"/>
        </w:rPr>
        <w:tab/>
        <w:t>Definitions</w:t>
      </w:r>
      <w:bookmarkEnd w:id="5"/>
    </w:p>
    <w:p w14:paraId="2893432C" w14:textId="77777777" w:rsidR="00A146CD" w:rsidRDefault="00A146CD" w:rsidP="00A146CD">
      <w:pPr>
        <w:pStyle w:val="R1"/>
      </w:pPr>
      <w:r>
        <w:tab/>
        <w:t>(1)</w:t>
      </w:r>
      <w:r>
        <w:tab/>
        <w:t>This section defines particular words and expressions used in this Measure.</w:t>
      </w:r>
    </w:p>
    <w:p w14:paraId="3484AAC8" w14:textId="77777777" w:rsidR="00A146CD" w:rsidRDefault="00A146CD" w:rsidP="00A146CD">
      <w:pPr>
        <w:pStyle w:val="R2"/>
      </w:pPr>
      <w:r>
        <w:tab/>
        <w:t>(2)</w:t>
      </w:r>
      <w:r>
        <w:tab/>
        <w:t>The words and expressions indicated by an asterisk are defined in the Commonwealth Act and are included for information only to assist readers of the Measure. Minor changes from the definitions in the Commonwealth Act are indicated by square brackets (</w:t>
      </w:r>
      <w:proofErr w:type="gramStart"/>
      <w:r>
        <w:t>[ ]</w:t>
      </w:r>
      <w:proofErr w:type="gramEnd"/>
      <w:r>
        <w:t>).</w:t>
      </w:r>
    </w:p>
    <w:p w14:paraId="609877AF" w14:textId="77777777" w:rsidR="00A146CD" w:rsidRDefault="00A146CD" w:rsidP="00A146CD">
      <w:pPr>
        <w:pStyle w:val="R2"/>
      </w:pPr>
      <w:r>
        <w:tab/>
        <w:t>(3)</w:t>
      </w:r>
      <w:r>
        <w:tab/>
        <w:t>In this Measure:</w:t>
      </w:r>
    </w:p>
    <w:p w14:paraId="54345F89" w14:textId="77777777" w:rsidR="00A146CD" w:rsidRDefault="00A146CD" w:rsidP="00A146CD">
      <w:pPr>
        <w:pStyle w:val="definition"/>
      </w:pPr>
      <w:r>
        <w:t>*</w:t>
      </w:r>
      <w:r>
        <w:rPr>
          <w:b/>
          <w:bCs/>
          <w:i/>
          <w:iCs/>
        </w:rPr>
        <w:t>Agreement</w:t>
      </w:r>
      <w:r>
        <w:t xml:space="preserve"> means the agreement made on 1 May 1992 between the Commonwealth, the States, the Australian Capital Territory, the Northern Territory and the Australian Local Government Association, a copy of which is set out in the Schedule [to the Commonwealth Act].</w:t>
      </w:r>
    </w:p>
    <w:p w14:paraId="7841DC97" w14:textId="77777777" w:rsidR="00A146CD" w:rsidRDefault="00A146CD" w:rsidP="00A146CD">
      <w:pPr>
        <w:pStyle w:val="definition"/>
      </w:pPr>
      <w:r w:rsidRPr="003B72EE">
        <w:rPr>
          <w:b/>
          <w:bCs/>
          <w:i/>
          <w:iCs/>
        </w:rPr>
        <w:t>ambient air</w:t>
      </w:r>
      <w:r w:rsidRPr="003B72EE">
        <w:rPr>
          <w:b/>
          <w:bCs/>
        </w:rPr>
        <w:t xml:space="preserve"> </w:t>
      </w:r>
      <w:r w:rsidRPr="003B72EE">
        <w:t>means</w:t>
      </w:r>
      <w:r>
        <w:t xml:space="preserve"> the external air environment, it does not include the air environment inside buildings or structures. </w:t>
      </w:r>
    </w:p>
    <w:p w14:paraId="11B8742F" w14:textId="77777777" w:rsidR="004553EF" w:rsidRDefault="004553EF" w:rsidP="005F2D9C">
      <w:pPr>
        <w:pStyle w:val="definition"/>
      </w:pPr>
      <w:r w:rsidRPr="00182A66">
        <w:rPr>
          <w:b/>
          <w:i/>
        </w:rPr>
        <w:t>Australian Standard</w:t>
      </w:r>
      <w:r>
        <w:t xml:space="preserve"> means a standard that is published by Standards Australia Limited denoted by the letters “AS” and identifying numbers and letters. It includes an Australian/New Zealand Standard that is jointly published by Standards Australia Limited and Standards New Zealand, denoted by the letters “AS/NZS” and identifying numbers and letters.</w:t>
      </w:r>
    </w:p>
    <w:p w14:paraId="6C4DF521" w14:textId="77777777" w:rsidR="00A146CD" w:rsidRDefault="00A146CD" w:rsidP="00A146CD">
      <w:pPr>
        <w:pStyle w:val="definition"/>
      </w:pPr>
      <w:r>
        <w:rPr>
          <w:b/>
          <w:bCs/>
          <w:i/>
          <w:iCs/>
        </w:rPr>
        <w:lastRenderedPageBreak/>
        <w:t>Commonwealth Act</w:t>
      </w:r>
      <w:r>
        <w:rPr>
          <w:b/>
          <w:bCs/>
        </w:rPr>
        <w:t xml:space="preserve"> </w:t>
      </w:r>
      <w:r>
        <w:t xml:space="preserve">means the </w:t>
      </w:r>
      <w:r>
        <w:rPr>
          <w:i/>
          <w:iCs/>
        </w:rPr>
        <w:t>National Environment Protection Council Act 1994</w:t>
      </w:r>
      <w:r>
        <w:t xml:space="preserve"> of the Commonwealth.</w:t>
      </w:r>
    </w:p>
    <w:p w14:paraId="05C1ECD3" w14:textId="77777777" w:rsidR="00A146CD" w:rsidRDefault="00A146CD" w:rsidP="00A146CD">
      <w:pPr>
        <w:pStyle w:val="definition"/>
      </w:pPr>
      <w:r>
        <w:rPr>
          <w:b/>
          <w:bCs/>
          <w:i/>
          <w:iCs/>
        </w:rPr>
        <w:t>Council</w:t>
      </w:r>
      <w:r>
        <w:t xml:space="preserve"> means the National Environment Protection Council established by section 8 of the Commonwealth Act and the equivalent provision of the corresponding Act of each participating State and Territory. </w:t>
      </w:r>
    </w:p>
    <w:p w14:paraId="7BA71B9D" w14:textId="77777777" w:rsidR="00FB4635" w:rsidRPr="003D4A6B" w:rsidRDefault="00FB4635" w:rsidP="00FB4635">
      <w:pPr>
        <w:pStyle w:val="definition"/>
      </w:pPr>
      <w:r w:rsidRPr="003D4A6B">
        <w:rPr>
          <w:rStyle w:val="definitionChar"/>
        </w:rPr>
        <w:t>exceptional event</w:t>
      </w:r>
      <w:r w:rsidRPr="003D4A6B">
        <w:t xml:space="preserve"> means a fire or dust occurrence that adversely affects air quality at a particular location that: </w:t>
      </w:r>
    </w:p>
    <w:p w14:paraId="54DB4261" w14:textId="77777777" w:rsidR="00FB4635" w:rsidRPr="003D4A6B" w:rsidRDefault="00FB4635" w:rsidP="00D41C44">
      <w:pPr>
        <w:pStyle w:val="P1"/>
      </w:pPr>
      <w:r w:rsidRPr="003D4A6B">
        <w:tab/>
        <w:t>(a)</w:t>
      </w:r>
      <w:r w:rsidRPr="003D4A6B">
        <w:tab/>
        <w:t xml:space="preserve">causes an exceedance of one or more of the following that is </w:t>
      </w:r>
      <w:proofErr w:type="gramStart"/>
      <w:r w:rsidRPr="003D4A6B">
        <w:t>in excess of</w:t>
      </w:r>
      <w:proofErr w:type="gramEnd"/>
      <w:r w:rsidRPr="003D4A6B">
        <w:t xml:space="preserve"> normal historical fluctuations and background levels:</w:t>
      </w:r>
    </w:p>
    <w:p w14:paraId="7A8E7640" w14:textId="77777777" w:rsidR="00FB4635" w:rsidRPr="003D4A6B" w:rsidRDefault="00FB4635" w:rsidP="00FB4635">
      <w:pPr>
        <w:pStyle w:val="P2"/>
      </w:pPr>
      <w:r w:rsidRPr="003D4A6B">
        <w:tab/>
        <w:t>(</w:t>
      </w:r>
      <w:proofErr w:type="spellStart"/>
      <w:r w:rsidRPr="003D4A6B">
        <w:t>i</w:t>
      </w:r>
      <w:proofErr w:type="spellEnd"/>
      <w:r w:rsidRPr="003D4A6B">
        <w:t>)</w:t>
      </w:r>
      <w:r w:rsidRPr="003D4A6B">
        <w:tab/>
      </w:r>
      <w:proofErr w:type="gramStart"/>
      <w:r w:rsidRPr="003D4A6B">
        <w:t>1 day</w:t>
      </w:r>
      <w:proofErr w:type="gramEnd"/>
      <w:r w:rsidRPr="003D4A6B">
        <w:t xml:space="preserve"> average standard for particles as PM</w:t>
      </w:r>
      <w:r w:rsidRPr="003D4A6B">
        <w:rPr>
          <w:vertAlign w:val="subscript"/>
        </w:rPr>
        <w:t>10</w:t>
      </w:r>
      <w:r w:rsidRPr="003D4A6B">
        <w:t xml:space="preserve">; </w:t>
      </w:r>
    </w:p>
    <w:p w14:paraId="465B6E7C" w14:textId="77777777" w:rsidR="00FB4635" w:rsidRPr="003D4A6B" w:rsidRDefault="00FB4635" w:rsidP="00FB4635">
      <w:pPr>
        <w:pStyle w:val="P2"/>
      </w:pPr>
      <w:r w:rsidRPr="003D4A6B">
        <w:tab/>
        <w:t>(ii)</w:t>
      </w:r>
      <w:r w:rsidRPr="003D4A6B">
        <w:tab/>
      </w:r>
      <w:proofErr w:type="gramStart"/>
      <w:r w:rsidRPr="003D4A6B">
        <w:t>1 day</w:t>
      </w:r>
      <w:proofErr w:type="gramEnd"/>
      <w:r w:rsidRPr="003D4A6B">
        <w:t xml:space="preserve"> average standard for particles as PM</w:t>
      </w:r>
      <w:r w:rsidRPr="003D4A6B">
        <w:rPr>
          <w:vertAlign w:val="subscript"/>
        </w:rPr>
        <w:t>2.5</w:t>
      </w:r>
      <w:r w:rsidRPr="003D4A6B">
        <w:t xml:space="preserve">; </w:t>
      </w:r>
    </w:p>
    <w:p w14:paraId="3CAA60FD" w14:textId="77777777" w:rsidR="00FB4635" w:rsidRPr="003D4A6B" w:rsidRDefault="00FB4635" w:rsidP="00FB4635">
      <w:pPr>
        <w:pStyle w:val="P2"/>
      </w:pPr>
      <w:r w:rsidRPr="003D4A6B">
        <w:tab/>
        <w:t>(iii)</w:t>
      </w:r>
      <w:r w:rsidRPr="003D4A6B">
        <w:tab/>
      </w:r>
      <w:proofErr w:type="gramStart"/>
      <w:r w:rsidRPr="003D4A6B">
        <w:t>8 hour</w:t>
      </w:r>
      <w:proofErr w:type="gramEnd"/>
      <w:r w:rsidRPr="003D4A6B">
        <w:t xml:space="preserve"> average standard for photochemical oxidants (as ozone); and</w:t>
      </w:r>
    </w:p>
    <w:p w14:paraId="6F57B0DC" w14:textId="77777777" w:rsidR="00FB4635" w:rsidRPr="003D4A6B" w:rsidRDefault="00FB4635" w:rsidP="00D41C44">
      <w:pPr>
        <w:pStyle w:val="P1"/>
      </w:pPr>
      <w:r w:rsidRPr="003D4A6B">
        <w:tab/>
        <w:t>(b)</w:t>
      </w:r>
      <w:r w:rsidRPr="003D4A6B">
        <w:tab/>
        <w:t>is directly related to bushfire, jurisdiction authorised hazard reduction burning or continental scale windblown dust.</w:t>
      </w:r>
    </w:p>
    <w:p w14:paraId="1228D7CB" w14:textId="77777777" w:rsidR="00A146CD" w:rsidRDefault="00A81D63" w:rsidP="00A146CD">
      <w:pPr>
        <w:pStyle w:val="definition"/>
      </w:pPr>
      <w:r>
        <w:rPr>
          <w:b/>
          <w:bCs/>
          <w:i/>
          <w:iCs/>
        </w:rPr>
        <w:t>f</w:t>
      </w:r>
      <w:r w:rsidR="00A146CD">
        <w:rPr>
          <w:b/>
          <w:bCs/>
          <w:i/>
          <w:iCs/>
        </w:rPr>
        <w:t xml:space="preserve">ire management </w:t>
      </w:r>
      <w:r w:rsidR="00A146CD">
        <w:t>means all activities associated with the management of fire prone land, including the use of fire to meet land management goals and objectives.</w:t>
      </w:r>
    </w:p>
    <w:p w14:paraId="43EB4191" w14:textId="77777777" w:rsidR="00A146CD" w:rsidRDefault="00A146CD" w:rsidP="00A146CD">
      <w:pPr>
        <w:pStyle w:val="definition"/>
      </w:pPr>
      <w:r>
        <w:rPr>
          <w:b/>
          <w:bCs/>
          <w:i/>
          <w:iCs/>
        </w:rPr>
        <w:t>gravimetric method</w:t>
      </w:r>
      <w:r>
        <w:t xml:space="preserve"> means a manual method for sampling particles by drawing air through a filter and determining the mass by weighing the filters.</w:t>
      </w:r>
    </w:p>
    <w:p w14:paraId="333F21B5" w14:textId="77777777" w:rsidR="00A146CD" w:rsidRPr="00657019" w:rsidRDefault="00A146CD" w:rsidP="00A146CD">
      <w:pPr>
        <w:pStyle w:val="definition"/>
        <w:rPr>
          <w:bCs/>
          <w:iCs/>
        </w:rPr>
      </w:pPr>
      <w:r w:rsidRPr="00C66B64">
        <w:rPr>
          <w:b/>
          <w:bCs/>
          <w:i/>
          <w:iCs/>
        </w:rPr>
        <w:t>high ris</w:t>
      </w:r>
      <w:r w:rsidRPr="008F7575">
        <w:rPr>
          <w:b/>
          <w:bCs/>
          <w:i/>
          <w:iCs/>
        </w:rPr>
        <w:t xml:space="preserve">k </w:t>
      </w:r>
      <w:r w:rsidRPr="00F14C71">
        <w:rPr>
          <w:b/>
          <w:bCs/>
          <w:i/>
          <w:iCs/>
        </w:rPr>
        <w:t>areas</w:t>
      </w:r>
      <w:r w:rsidRPr="00657019">
        <w:rPr>
          <w:bCs/>
          <w:iCs/>
        </w:rPr>
        <w:t xml:space="preserve"> </w:t>
      </w:r>
      <w:proofErr w:type="gramStart"/>
      <w:r w:rsidRPr="00657019">
        <w:rPr>
          <w:bCs/>
          <w:iCs/>
        </w:rPr>
        <w:t>means</w:t>
      </w:r>
      <w:proofErr w:type="gramEnd"/>
      <w:r w:rsidRPr="00657019">
        <w:rPr>
          <w:bCs/>
          <w:iCs/>
        </w:rPr>
        <w:t xml:space="preserve"> areas</w:t>
      </w:r>
      <w:r>
        <w:rPr>
          <w:bCs/>
          <w:iCs/>
        </w:rPr>
        <w:t>,</w:t>
      </w:r>
      <w:r w:rsidRPr="00657019">
        <w:rPr>
          <w:bCs/>
          <w:iCs/>
        </w:rPr>
        <w:t xml:space="preserve"> </w:t>
      </w:r>
      <w:r>
        <w:rPr>
          <w:bCs/>
          <w:iCs/>
        </w:rPr>
        <w:t xml:space="preserve">determined by jurisdictions, </w:t>
      </w:r>
      <w:r w:rsidRPr="00657019">
        <w:rPr>
          <w:bCs/>
          <w:iCs/>
        </w:rPr>
        <w:t>where there is a high likelihood for adverse health effects from air pollution. High risk areas include regions or sub-regions containing:</w:t>
      </w:r>
    </w:p>
    <w:p w14:paraId="17FCE1EA" w14:textId="77777777" w:rsidR="00A146CD" w:rsidRPr="00657019" w:rsidRDefault="00A146CD" w:rsidP="00A146CD">
      <w:pPr>
        <w:pStyle w:val="definition"/>
        <w:rPr>
          <w:bCs/>
          <w:iCs/>
        </w:rPr>
      </w:pPr>
      <w:r>
        <w:rPr>
          <w:bCs/>
          <w:iCs/>
        </w:rPr>
        <w:t>(a)</w:t>
      </w:r>
      <w:r w:rsidRPr="00657019">
        <w:rPr>
          <w:bCs/>
          <w:iCs/>
        </w:rPr>
        <w:tab/>
        <w:t xml:space="preserve">sensitive land uses; or </w:t>
      </w:r>
    </w:p>
    <w:p w14:paraId="5B739A95" w14:textId="77777777" w:rsidR="00A146CD" w:rsidRDefault="00A146CD" w:rsidP="00A146CD">
      <w:pPr>
        <w:pStyle w:val="definition"/>
        <w:rPr>
          <w:bCs/>
          <w:iCs/>
        </w:rPr>
      </w:pPr>
      <w:r>
        <w:rPr>
          <w:bCs/>
          <w:iCs/>
        </w:rPr>
        <w:t>(</w:t>
      </w:r>
      <w:r w:rsidRPr="00657019">
        <w:rPr>
          <w:bCs/>
          <w:iCs/>
        </w:rPr>
        <w:t xml:space="preserve">b) </w:t>
      </w:r>
      <w:r>
        <w:rPr>
          <w:bCs/>
          <w:iCs/>
        </w:rPr>
        <w:tab/>
      </w:r>
      <w:r w:rsidRPr="00657019">
        <w:rPr>
          <w:bCs/>
          <w:iCs/>
        </w:rPr>
        <w:t xml:space="preserve">a </w:t>
      </w:r>
      <w:r>
        <w:rPr>
          <w:bCs/>
          <w:iCs/>
        </w:rPr>
        <w:t>large</w:t>
      </w:r>
      <w:r w:rsidRPr="00657019">
        <w:rPr>
          <w:bCs/>
          <w:iCs/>
        </w:rPr>
        <w:t xml:space="preserve"> population at risk; or </w:t>
      </w:r>
    </w:p>
    <w:p w14:paraId="7CFE3864" w14:textId="77777777" w:rsidR="00A146CD" w:rsidRDefault="00A146CD" w:rsidP="00A146CD">
      <w:pPr>
        <w:pStyle w:val="definition"/>
        <w:ind w:left="1437" w:hanging="473"/>
        <w:rPr>
          <w:bCs/>
          <w:iCs/>
        </w:rPr>
      </w:pPr>
      <w:r>
        <w:rPr>
          <w:bCs/>
          <w:iCs/>
        </w:rPr>
        <w:t xml:space="preserve">(c) </w:t>
      </w:r>
      <w:r>
        <w:rPr>
          <w:bCs/>
          <w:iCs/>
        </w:rPr>
        <w:tab/>
      </w:r>
      <w:proofErr w:type="gramStart"/>
      <w:r w:rsidRPr="00657019">
        <w:rPr>
          <w:bCs/>
          <w:iCs/>
        </w:rPr>
        <w:t>particular communities</w:t>
      </w:r>
      <w:proofErr w:type="gramEnd"/>
      <w:r w:rsidRPr="00657019">
        <w:rPr>
          <w:bCs/>
          <w:iCs/>
        </w:rPr>
        <w:t xml:space="preserve"> where there is relative disadvantage</w:t>
      </w:r>
      <w:r>
        <w:rPr>
          <w:bCs/>
          <w:iCs/>
        </w:rPr>
        <w:t>.</w:t>
      </w:r>
    </w:p>
    <w:p w14:paraId="3FC6549B" w14:textId="77777777" w:rsidR="00A146CD" w:rsidRDefault="00A146CD" w:rsidP="00A146CD">
      <w:pPr>
        <w:pStyle w:val="definition"/>
      </w:pPr>
      <w:r>
        <w:rPr>
          <w:b/>
          <w:bCs/>
          <w:i/>
          <w:iCs/>
        </w:rPr>
        <w:t>Measure</w:t>
      </w:r>
      <w:r>
        <w:t xml:space="preserve"> means the </w:t>
      </w:r>
      <w:r w:rsidRPr="00D41C44">
        <w:rPr>
          <w:i/>
        </w:rPr>
        <w:t>National Environment Protection (Ambient Air Quality) Measure</w:t>
      </w:r>
      <w:r>
        <w:t>.</w:t>
      </w:r>
    </w:p>
    <w:p w14:paraId="36A896F3" w14:textId="77777777" w:rsidR="00A146CD" w:rsidRDefault="00A146CD" w:rsidP="00A146CD">
      <w:pPr>
        <w:pStyle w:val="definition"/>
      </w:pPr>
      <w:r>
        <w:rPr>
          <w:b/>
          <w:bCs/>
          <w:i/>
          <w:iCs/>
        </w:rPr>
        <w:t xml:space="preserve">monitoring station </w:t>
      </w:r>
      <w:r>
        <w:t xml:space="preserve">means a facility for measuring the concentration of one or more pollutants in the ambient air in a region or sub-region. </w:t>
      </w:r>
    </w:p>
    <w:p w14:paraId="7CB3BD8B" w14:textId="77777777" w:rsidR="00A146CD" w:rsidRDefault="00A146CD" w:rsidP="00A146CD">
      <w:pPr>
        <w:pStyle w:val="definition"/>
      </w:pPr>
      <w:r>
        <w:t>*</w:t>
      </w:r>
      <w:r>
        <w:rPr>
          <w:b/>
          <w:bCs/>
          <w:i/>
          <w:iCs/>
        </w:rPr>
        <w:t>national environment protection goal</w:t>
      </w:r>
      <w:r>
        <w:t xml:space="preserve"> means a goal:</w:t>
      </w:r>
    </w:p>
    <w:p w14:paraId="167B7276" w14:textId="77777777" w:rsidR="00A146CD" w:rsidRDefault="00A146CD" w:rsidP="00A146CD">
      <w:pPr>
        <w:pStyle w:val="P1"/>
      </w:pPr>
      <w:r>
        <w:tab/>
        <w:t>(a)</w:t>
      </w:r>
      <w:r>
        <w:tab/>
        <w:t>that relates to desired environmental outcomes; and</w:t>
      </w:r>
    </w:p>
    <w:p w14:paraId="18E2E12D" w14:textId="77777777" w:rsidR="00A146CD" w:rsidRDefault="00A146CD" w:rsidP="00A146CD">
      <w:pPr>
        <w:pStyle w:val="P1"/>
      </w:pPr>
      <w:r>
        <w:tab/>
        <w:t>(b)</w:t>
      </w:r>
      <w:r>
        <w:tab/>
        <w:t xml:space="preserve">that guides the formulation of strategies for the management of human </w:t>
      </w:r>
      <w:r>
        <w:tab/>
        <w:t>activities that may affect the environment.</w:t>
      </w:r>
    </w:p>
    <w:p w14:paraId="52E539B0" w14:textId="77777777" w:rsidR="00A146CD" w:rsidRDefault="00A146CD" w:rsidP="00A146CD">
      <w:pPr>
        <w:pStyle w:val="definition"/>
      </w:pPr>
      <w:r>
        <w:t>*</w:t>
      </w:r>
      <w:r>
        <w:rPr>
          <w:b/>
          <w:bCs/>
          <w:i/>
          <w:iCs/>
        </w:rPr>
        <w:t>national environment protection protocol</w:t>
      </w:r>
      <w:r>
        <w:rPr>
          <w:i/>
          <w:iCs/>
        </w:rPr>
        <w:t xml:space="preserve"> </w:t>
      </w:r>
      <w:r>
        <w:t>means a protocol that relates to the process to be followed in measuring environmental characteristics to determine:</w:t>
      </w:r>
    </w:p>
    <w:p w14:paraId="3EE2F393" w14:textId="77777777" w:rsidR="00A146CD" w:rsidRDefault="00A146CD" w:rsidP="00A146CD">
      <w:pPr>
        <w:pStyle w:val="P1"/>
      </w:pPr>
      <w:r>
        <w:tab/>
        <w:t>(a)</w:t>
      </w:r>
      <w:r>
        <w:tab/>
        <w:t>whether a particular standard or goal is being met or achieved; or</w:t>
      </w:r>
    </w:p>
    <w:p w14:paraId="23A711B1" w14:textId="77777777" w:rsidR="00A146CD" w:rsidRDefault="00A146CD" w:rsidP="00A146CD">
      <w:pPr>
        <w:pStyle w:val="P1"/>
      </w:pPr>
      <w:r>
        <w:tab/>
        <w:t>(b)</w:t>
      </w:r>
      <w:r>
        <w:tab/>
        <w:t>the extent of the difference between the measured characteristic of the environment and a particular standard or a particular goal.</w:t>
      </w:r>
    </w:p>
    <w:p w14:paraId="5B5E6B1F" w14:textId="77777777" w:rsidR="00A146CD" w:rsidRDefault="00A146CD" w:rsidP="00A146CD">
      <w:pPr>
        <w:pStyle w:val="definition"/>
        <w:rPr>
          <w:b/>
          <w:bCs/>
          <w:i/>
          <w:iCs/>
        </w:rPr>
      </w:pPr>
      <w:r>
        <w:t>*</w:t>
      </w:r>
      <w:r>
        <w:rPr>
          <w:b/>
          <w:bCs/>
          <w:i/>
          <w:iCs/>
        </w:rPr>
        <w:t>national environment protection standard</w:t>
      </w:r>
      <w:r>
        <w:rPr>
          <w:b/>
          <w:bCs/>
        </w:rPr>
        <w:t xml:space="preserve"> </w:t>
      </w:r>
      <w:r>
        <w:t>means a standard that consists of quantifiable characteristics of the environment against which environmental quality can be assessed.</w:t>
      </w:r>
    </w:p>
    <w:p w14:paraId="50406A77" w14:textId="77777777" w:rsidR="00A146CD" w:rsidRDefault="00A146CD" w:rsidP="00A146CD">
      <w:pPr>
        <w:pStyle w:val="definition"/>
        <w:rPr>
          <w:b/>
          <w:bCs/>
          <w:i/>
          <w:iCs/>
        </w:rPr>
      </w:pPr>
      <w:r>
        <w:t>*</w:t>
      </w:r>
      <w:r>
        <w:rPr>
          <w:b/>
          <w:bCs/>
          <w:i/>
          <w:iCs/>
        </w:rPr>
        <w:t>participating jurisdiction</w:t>
      </w:r>
      <w:r>
        <w:t xml:space="preserve"> means the Commonwealth, a participating </w:t>
      </w:r>
      <w:proofErr w:type="gramStart"/>
      <w:r>
        <w:t>State</w:t>
      </w:r>
      <w:proofErr w:type="gramEnd"/>
      <w:r>
        <w:t xml:space="preserve"> or a participating Territory.</w:t>
      </w:r>
    </w:p>
    <w:p w14:paraId="524127C7" w14:textId="77777777" w:rsidR="00A146CD" w:rsidRDefault="00A146CD" w:rsidP="00A146CD">
      <w:pPr>
        <w:pStyle w:val="definition"/>
      </w:pPr>
      <w:r>
        <w:t>*</w:t>
      </w:r>
      <w:r>
        <w:rPr>
          <w:b/>
          <w:bCs/>
          <w:i/>
          <w:iCs/>
        </w:rPr>
        <w:t>participating State</w:t>
      </w:r>
      <w:r>
        <w:t xml:space="preserve"> means a State:</w:t>
      </w:r>
    </w:p>
    <w:p w14:paraId="289FE140" w14:textId="77777777" w:rsidR="00A146CD" w:rsidRDefault="00A146CD" w:rsidP="00A146CD">
      <w:pPr>
        <w:pStyle w:val="P1"/>
      </w:pPr>
      <w:r>
        <w:tab/>
        <w:t>(a)</w:t>
      </w:r>
      <w:r>
        <w:tab/>
        <w:t>that is a party to the Agreement; and</w:t>
      </w:r>
    </w:p>
    <w:p w14:paraId="18911391" w14:textId="77777777" w:rsidR="00A146CD" w:rsidRDefault="00A146CD" w:rsidP="00A146CD">
      <w:pPr>
        <w:pStyle w:val="P1"/>
      </w:pPr>
      <w:r>
        <w:lastRenderedPageBreak/>
        <w:tab/>
        <w:t>(b)</w:t>
      </w:r>
      <w:r>
        <w:tab/>
        <w:t>in which an Act that corresponds to [the Commonwealth] Act is in force in accordance with the Agreement.</w:t>
      </w:r>
    </w:p>
    <w:p w14:paraId="10A867D0" w14:textId="77777777" w:rsidR="00A146CD" w:rsidRDefault="00A146CD" w:rsidP="00A146CD">
      <w:pPr>
        <w:pStyle w:val="definition"/>
      </w:pPr>
      <w:r>
        <w:t>*</w:t>
      </w:r>
      <w:r>
        <w:rPr>
          <w:b/>
          <w:bCs/>
          <w:i/>
          <w:iCs/>
        </w:rPr>
        <w:t>participating Territory</w:t>
      </w:r>
      <w:r>
        <w:t xml:space="preserve"> means a Territory:</w:t>
      </w:r>
    </w:p>
    <w:p w14:paraId="27A34AA4" w14:textId="77777777" w:rsidR="00A146CD" w:rsidRDefault="00A146CD" w:rsidP="00A146CD">
      <w:pPr>
        <w:pStyle w:val="P1"/>
      </w:pPr>
      <w:r>
        <w:tab/>
        <w:t>(a)</w:t>
      </w:r>
      <w:r>
        <w:tab/>
        <w:t>that is a party to the Agreement; and</w:t>
      </w:r>
    </w:p>
    <w:p w14:paraId="3E733245" w14:textId="77777777" w:rsidR="00A146CD" w:rsidRDefault="00A146CD" w:rsidP="00A146CD">
      <w:pPr>
        <w:pStyle w:val="P1"/>
      </w:pPr>
      <w:r>
        <w:tab/>
        <w:t>(b)</w:t>
      </w:r>
      <w:r>
        <w:tab/>
        <w:t>in which an Act that corresponds to [the Commonwealth] Act is in force in accordance with the Agreement.</w:t>
      </w:r>
    </w:p>
    <w:p w14:paraId="645C5FD9" w14:textId="77777777" w:rsidR="00A146CD" w:rsidRDefault="00A146CD" w:rsidP="00A146CD">
      <w:pPr>
        <w:pStyle w:val="definition"/>
      </w:pPr>
      <w:r>
        <w:rPr>
          <w:b/>
          <w:bCs/>
          <w:i/>
          <w:iCs/>
        </w:rPr>
        <w:t>particles as PM</w:t>
      </w:r>
      <w:r>
        <w:rPr>
          <w:b/>
          <w:bCs/>
          <w:i/>
          <w:iCs/>
          <w:vertAlign w:val="subscript"/>
        </w:rPr>
        <w:t>10</w:t>
      </w:r>
      <w:r>
        <w:t xml:space="preserve"> means particulate matter with an equivalent</w:t>
      </w:r>
      <w:r>
        <w:rPr>
          <w:color w:val="FF0000"/>
        </w:rPr>
        <w:t xml:space="preserve"> </w:t>
      </w:r>
      <w:r>
        <w:t>aerodynamic diameter of 10 micrometres or less.</w:t>
      </w:r>
    </w:p>
    <w:p w14:paraId="46D5FF6B" w14:textId="77777777" w:rsidR="00A146CD" w:rsidRDefault="00A146CD" w:rsidP="00A146CD">
      <w:pPr>
        <w:pStyle w:val="definition"/>
        <w:spacing w:before="60" w:after="20"/>
      </w:pPr>
      <w:r>
        <w:rPr>
          <w:b/>
          <w:bCs/>
          <w:i/>
          <w:iCs/>
        </w:rPr>
        <w:t>particles as PM</w:t>
      </w:r>
      <w:r>
        <w:rPr>
          <w:b/>
          <w:bCs/>
          <w:i/>
          <w:iCs/>
          <w:vertAlign w:val="subscript"/>
        </w:rPr>
        <w:t>2.5</w:t>
      </w:r>
      <w:r>
        <w:rPr>
          <w:b/>
          <w:bCs/>
          <w:i/>
          <w:iCs/>
        </w:rPr>
        <w:t xml:space="preserve"> </w:t>
      </w:r>
      <w:r>
        <w:t>means particulate matter with an equivalent aerodynamic diameter of 2.5 micrometres or less.</w:t>
      </w:r>
    </w:p>
    <w:p w14:paraId="1AB481D1" w14:textId="77777777" w:rsidR="00A146CD" w:rsidRDefault="00A146CD" w:rsidP="00A146CD">
      <w:pPr>
        <w:pStyle w:val="definition"/>
      </w:pPr>
      <w:r>
        <w:rPr>
          <w:b/>
          <w:bCs/>
          <w:i/>
          <w:iCs/>
        </w:rPr>
        <w:t>performance monitoring station</w:t>
      </w:r>
      <w:r>
        <w:t xml:space="preserve"> means a monitoring station used to measure achievement against the goal.</w:t>
      </w:r>
    </w:p>
    <w:p w14:paraId="19E4EF84" w14:textId="77777777" w:rsidR="00A146CD" w:rsidRDefault="00A146CD" w:rsidP="00A146CD">
      <w:pPr>
        <w:pStyle w:val="definition"/>
      </w:pPr>
      <w:r>
        <w:rPr>
          <w:b/>
          <w:bCs/>
          <w:i/>
          <w:iCs/>
        </w:rPr>
        <w:t>pollutant</w:t>
      </w:r>
      <w:r>
        <w:rPr>
          <w:b/>
          <w:bCs/>
        </w:rPr>
        <w:t xml:space="preserve"> </w:t>
      </w:r>
      <w:r>
        <w:t>means a pollutant mentioned in Schedule 1.</w:t>
      </w:r>
    </w:p>
    <w:p w14:paraId="7EC56474" w14:textId="77777777" w:rsidR="00A146CD" w:rsidRPr="00657019" w:rsidRDefault="00A146CD" w:rsidP="00A146CD">
      <w:pPr>
        <w:pStyle w:val="definition"/>
        <w:rPr>
          <w:bCs/>
          <w:iCs/>
        </w:rPr>
      </w:pPr>
      <w:r>
        <w:rPr>
          <w:b/>
          <w:bCs/>
          <w:i/>
          <w:iCs/>
        </w:rPr>
        <w:t>p</w:t>
      </w:r>
      <w:r w:rsidRPr="00B346C1">
        <w:rPr>
          <w:b/>
          <w:bCs/>
          <w:i/>
          <w:iCs/>
        </w:rPr>
        <w:t xml:space="preserve">opulation at risk </w:t>
      </w:r>
      <w:r w:rsidRPr="00657019">
        <w:rPr>
          <w:bCs/>
          <w:iCs/>
        </w:rPr>
        <w:t xml:space="preserve">means the population of a region or sub-region that is at risk of being harmed by air pollution, </w:t>
      </w:r>
      <w:r w:rsidRPr="001F66A8">
        <w:rPr>
          <w:bCs/>
          <w:iCs/>
        </w:rPr>
        <w:t xml:space="preserve">as determined by </w:t>
      </w:r>
      <w:r w:rsidRPr="008F2016">
        <w:rPr>
          <w:bCs/>
          <w:iCs/>
        </w:rPr>
        <w:t xml:space="preserve">the relevant participating </w:t>
      </w:r>
      <w:r w:rsidRPr="001F66A8">
        <w:rPr>
          <w:bCs/>
          <w:iCs/>
        </w:rPr>
        <w:t>jurisdiction based on:</w:t>
      </w:r>
    </w:p>
    <w:p w14:paraId="75ABBD9C" w14:textId="77777777" w:rsidR="00A146CD" w:rsidRPr="009A69B9" w:rsidRDefault="00392979" w:rsidP="00D41C44">
      <w:pPr>
        <w:pStyle w:val="P1"/>
      </w:pPr>
      <w:r>
        <w:tab/>
      </w:r>
      <w:r w:rsidR="00A146CD" w:rsidRPr="009A69B9">
        <w:t>(a)</w:t>
      </w:r>
      <w:r w:rsidR="00A146CD" w:rsidRPr="009A69B9">
        <w:tab/>
        <w:t>the number of</w:t>
      </w:r>
      <w:r w:rsidR="00FB4635" w:rsidRPr="009A69B9">
        <w:t>,</w:t>
      </w:r>
      <w:r w:rsidR="00A146CD" w:rsidRPr="009A69B9">
        <w:t xml:space="preserve"> </w:t>
      </w:r>
      <w:r w:rsidR="00D11F67" w:rsidRPr="009A69B9">
        <w:t>or potential for</w:t>
      </w:r>
      <w:r w:rsidR="00FB4635" w:rsidRPr="009A69B9">
        <w:t>,</w:t>
      </w:r>
      <w:r w:rsidR="00D11F67" w:rsidRPr="009A69B9">
        <w:t xml:space="preserve"> </w:t>
      </w:r>
      <w:r w:rsidR="00A146CD" w:rsidRPr="009A69B9">
        <w:t xml:space="preserve">adverse health effects from exposure to air pollution (for example fatalities, </w:t>
      </w:r>
      <w:proofErr w:type="gramStart"/>
      <w:r w:rsidR="00A146CD" w:rsidRPr="009A69B9">
        <w:t>cancers</w:t>
      </w:r>
      <w:proofErr w:type="gramEnd"/>
      <w:r w:rsidR="00A146CD" w:rsidRPr="009A69B9">
        <w:t xml:space="preserve"> or illnesses) in the population of a region or sub-region over a specified period of time; or</w:t>
      </w:r>
    </w:p>
    <w:p w14:paraId="5895F318" w14:textId="77777777" w:rsidR="00A146CD" w:rsidRPr="009A69B9" w:rsidRDefault="00392979" w:rsidP="00D41C44">
      <w:pPr>
        <w:pStyle w:val="P1"/>
      </w:pPr>
      <w:r>
        <w:tab/>
      </w:r>
      <w:r w:rsidR="00A146CD" w:rsidRPr="009A69B9">
        <w:t>(b)</w:t>
      </w:r>
      <w:r w:rsidR="00A146CD" w:rsidRPr="009A69B9">
        <w:tab/>
        <w:t xml:space="preserve">the rate of adverse health effects from exposure to air pollution for a given location or sub-population within the region or sub-region. </w:t>
      </w:r>
    </w:p>
    <w:p w14:paraId="0B9BCF71" w14:textId="77777777" w:rsidR="00A146CD" w:rsidRDefault="00A146CD" w:rsidP="00A146CD">
      <w:pPr>
        <w:pStyle w:val="definition"/>
      </w:pPr>
      <w:r>
        <w:rPr>
          <w:b/>
          <w:bCs/>
          <w:i/>
          <w:iCs/>
        </w:rPr>
        <w:t>ppm</w:t>
      </w:r>
      <w:r>
        <w:rPr>
          <w:b/>
          <w:bCs/>
        </w:rPr>
        <w:t xml:space="preserve"> </w:t>
      </w:r>
      <w:r>
        <w:t>means parts per million by volume.</w:t>
      </w:r>
    </w:p>
    <w:p w14:paraId="7371CEDB" w14:textId="77777777" w:rsidR="00A146CD" w:rsidRDefault="005F2D9C" w:rsidP="00A146CD">
      <w:pPr>
        <w:pStyle w:val="definition"/>
      </w:pPr>
      <w:r>
        <w:rPr>
          <w:b/>
          <w:bCs/>
          <w:i/>
          <w:iCs/>
        </w:rPr>
        <w:t>r</w:t>
      </w:r>
      <w:r w:rsidR="00A146CD">
        <w:rPr>
          <w:b/>
          <w:bCs/>
          <w:i/>
          <w:iCs/>
        </w:rPr>
        <w:t>eference method</w:t>
      </w:r>
      <w:r w:rsidR="00A146CD">
        <w:t xml:space="preserve"> means a validated monitoring method used for collection of data.</w:t>
      </w:r>
    </w:p>
    <w:p w14:paraId="70199939" w14:textId="77777777" w:rsidR="00A146CD" w:rsidRDefault="00A146CD" w:rsidP="00A146CD">
      <w:pPr>
        <w:pStyle w:val="definition"/>
        <w:rPr>
          <w:b/>
          <w:bCs/>
        </w:rPr>
      </w:pPr>
      <w:r>
        <w:rPr>
          <w:b/>
          <w:bCs/>
          <w:i/>
          <w:iCs/>
        </w:rPr>
        <w:t>region</w:t>
      </w:r>
      <w:r>
        <w:rPr>
          <w:b/>
          <w:bCs/>
        </w:rPr>
        <w:t xml:space="preserve"> </w:t>
      </w:r>
      <w:r>
        <w:t>means an area within a boundary surrounding population centres as determined by the relevant participating jurisdiction.</w:t>
      </w:r>
      <w:r>
        <w:rPr>
          <w:b/>
          <w:bCs/>
        </w:rPr>
        <w:t xml:space="preserve"> </w:t>
      </w:r>
    </w:p>
    <w:p w14:paraId="21180EAE" w14:textId="77777777" w:rsidR="00A146CD" w:rsidRPr="00A364A3" w:rsidRDefault="00A146CD" w:rsidP="00A146CD">
      <w:pPr>
        <w:pStyle w:val="definition"/>
        <w:rPr>
          <w:bCs/>
          <w:iCs/>
        </w:rPr>
      </w:pPr>
      <w:r>
        <w:rPr>
          <w:b/>
          <w:bCs/>
          <w:i/>
          <w:iCs/>
        </w:rPr>
        <w:t>s</w:t>
      </w:r>
      <w:r w:rsidRPr="00A364A3">
        <w:rPr>
          <w:b/>
          <w:bCs/>
          <w:i/>
          <w:iCs/>
        </w:rPr>
        <w:t xml:space="preserve">ensitive land uses </w:t>
      </w:r>
      <w:r w:rsidRPr="00A364A3">
        <w:rPr>
          <w:bCs/>
          <w:iCs/>
        </w:rPr>
        <w:t>include residential premises</w:t>
      </w:r>
      <w:r>
        <w:rPr>
          <w:bCs/>
          <w:iCs/>
        </w:rPr>
        <w:t>,</w:t>
      </w:r>
      <w:r w:rsidRPr="00A364A3">
        <w:rPr>
          <w:bCs/>
          <w:iCs/>
        </w:rPr>
        <w:t xml:space="preserve"> education and childcare facilities</w:t>
      </w:r>
      <w:r>
        <w:rPr>
          <w:bCs/>
          <w:iCs/>
        </w:rPr>
        <w:t>,</w:t>
      </w:r>
      <w:r w:rsidRPr="00A364A3">
        <w:rPr>
          <w:bCs/>
          <w:iCs/>
        </w:rPr>
        <w:t xml:space="preserve"> nursing homes</w:t>
      </w:r>
      <w:r>
        <w:rPr>
          <w:bCs/>
          <w:iCs/>
        </w:rPr>
        <w:t>,</w:t>
      </w:r>
      <w:r w:rsidRPr="00A364A3">
        <w:rPr>
          <w:bCs/>
          <w:iCs/>
        </w:rPr>
        <w:t xml:space="preserve"> retirement villages</w:t>
      </w:r>
      <w:r>
        <w:rPr>
          <w:bCs/>
          <w:iCs/>
        </w:rPr>
        <w:t>,</w:t>
      </w:r>
      <w:r w:rsidRPr="00A364A3">
        <w:rPr>
          <w:bCs/>
          <w:iCs/>
        </w:rPr>
        <w:t xml:space="preserve"> </w:t>
      </w:r>
      <w:proofErr w:type="gramStart"/>
      <w:r w:rsidRPr="00A364A3">
        <w:rPr>
          <w:bCs/>
          <w:iCs/>
        </w:rPr>
        <w:t>hospitals</w:t>
      </w:r>
      <w:proofErr w:type="gramEnd"/>
      <w:r w:rsidRPr="00A364A3">
        <w:rPr>
          <w:bCs/>
          <w:iCs/>
        </w:rPr>
        <w:t xml:space="preserve"> and outdoor recreation sites.</w:t>
      </w:r>
    </w:p>
    <w:p w14:paraId="32F7DD23" w14:textId="77777777" w:rsidR="00A146CD" w:rsidRDefault="00A146CD" w:rsidP="00A146CD">
      <w:pPr>
        <w:pStyle w:val="definition"/>
      </w:pPr>
      <w:r>
        <w:rPr>
          <w:b/>
          <w:bCs/>
          <w:i/>
          <w:iCs/>
        </w:rPr>
        <w:t>sub-region</w:t>
      </w:r>
      <w:r>
        <w:rPr>
          <w:b/>
          <w:bCs/>
        </w:rPr>
        <w:t xml:space="preserve"> </w:t>
      </w:r>
      <w:r>
        <w:t xml:space="preserve">means a populated area within a region in which air quality differs from other areas in the region due to the topography, meteorology or sources of pollutants as determined by the relevant participating jurisdiction. </w:t>
      </w:r>
    </w:p>
    <w:p w14:paraId="69EB5CD5" w14:textId="77777777" w:rsidR="00A146CD" w:rsidRDefault="00A146CD" w:rsidP="00A146CD">
      <w:pPr>
        <w:pStyle w:val="definition"/>
      </w:pPr>
      <w:r>
        <w:rPr>
          <w:b/>
          <w:bCs/>
          <w:i/>
          <w:iCs/>
        </w:rPr>
        <w:t>µg/m</w:t>
      </w:r>
      <w:r>
        <w:rPr>
          <w:b/>
          <w:bCs/>
          <w:i/>
          <w:iCs/>
          <w:vertAlign w:val="superscript"/>
        </w:rPr>
        <w:t>3</w:t>
      </w:r>
      <w:r>
        <w:rPr>
          <w:b/>
          <w:bCs/>
        </w:rPr>
        <w:t xml:space="preserve"> </w:t>
      </w:r>
      <w:r>
        <w:t>means microgram per cubic metre referenced to a temperature of 0 degrees Celsius and an absolute pressure of 101.325 kilopascals.</w:t>
      </w:r>
    </w:p>
    <w:p w14:paraId="05553E69" w14:textId="77777777" w:rsidR="005F2D9C" w:rsidRDefault="005F2D9C" w:rsidP="005F2D9C">
      <w:pPr>
        <w:pStyle w:val="R2"/>
      </w:pPr>
      <w:r>
        <w:tab/>
        <w:t>(4)</w:t>
      </w:r>
      <w:r>
        <w:tab/>
        <w:t>In this Measure a reference to an Australian Standard is a reference to that standard as published and in force on 1 January 2020.</w:t>
      </w:r>
    </w:p>
    <w:p w14:paraId="3247EC41" w14:textId="77777777" w:rsidR="00A146CD" w:rsidRDefault="00A146CD" w:rsidP="00A146CD">
      <w:pPr>
        <w:pStyle w:val="HR"/>
      </w:pPr>
      <w:bookmarkStart w:id="6" w:name="_Toc2935948"/>
      <w:r>
        <w:rPr>
          <w:rStyle w:val="CharSectno"/>
        </w:rPr>
        <w:t>3</w:t>
      </w:r>
      <w:r>
        <w:tab/>
        <w:t>Application</w:t>
      </w:r>
      <w:bookmarkEnd w:id="6"/>
    </w:p>
    <w:p w14:paraId="0C3F569A" w14:textId="77777777" w:rsidR="00A146CD" w:rsidRPr="008304E4" w:rsidRDefault="00A146CD" w:rsidP="00A146CD">
      <w:pPr>
        <w:ind w:left="964"/>
      </w:pPr>
      <w:r>
        <w:t>Participating jurisdictions must</w:t>
      </w:r>
      <w:r w:rsidRPr="009F59A4">
        <w:t xml:space="preserve"> </w:t>
      </w:r>
      <w:r w:rsidRPr="00DF2000">
        <w:t xml:space="preserve">monitor, </w:t>
      </w:r>
      <w:proofErr w:type="gramStart"/>
      <w:r w:rsidRPr="00DF2000">
        <w:t>assess</w:t>
      </w:r>
      <w:proofErr w:type="gramEnd"/>
      <w:r w:rsidRPr="00DF2000">
        <w:t xml:space="preserve"> and report in</w:t>
      </w:r>
      <w:r w:rsidRPr="00E5257A">
        <w:t xml:space="preserve"> accordance with the </w:t>
      </w:r>
      <w:r>
        <w:t>p</w:t>
      </w:r>
      <w:r w:rsidRPr="00E5257A">
        <w:t>rotocol in this Measure</w:t>
      </w:r>
      <w:r>
        <w:t xml:space="preserve"> </w:t>
      </w:r>
      <w:r w:rsidRPr="00E5257A">
        <w:t xml:space="preserve">for carbon monoxide, nitrogen dioxide, photochemical oxidants (as ozone), </w:t>
      </w:r>
      <w:proofErr w:type="spellStart"/>
      <w:r w:rsidRPr="00E5257A">
        <w:t>sulfur</w:t>
      </w:r>
      <w:proofErr w:type="spellEnd"/>
      <w:r w:rsidRPr="00E5257A">
        <w:t xml:space="preserve"> dioxide, lead, particles as PM</w:t>
      </w:r>
      <w:r w:rsidRPr="00E5257A">
        <w:rPr>
          <w:vertAlign w:val="subscript"/>
        </w:rPr>
        <w:t xml:space="preserve">2.5 </w:t>
      </w:r>
      <w:r w:rsidRPr="00E5257A">
        <w:t>and particles as PM</w:t>
      </w:r>
      <w:r w:rsidRPr="00E5257A">
        <w:rPr>
          <w:vertAlign w:val="subscript"/>
        </w:rPr>
        <w:t>10</w:t>
      </w:r>
      <w:r w:rsidRPr="00E5257A">
        <w:t>.</w:t>
      </w:r>
    </w:p>
    <w:p w14:paraId="74EA1561" w14:textId="2537AE35" w:rsidR="00F73D5B" w:rsidRPr="00F54B78" w:rsidRDefault="002C4009" w:rsidP="00F73D5B">
      <w:pPr>
        <w:pStyle w:val="A1S"/>
        <w:rPr>
          <w:bCs/>
        </w:rPr>
      </w:pPr>
      <w:r w:rsidDel="002C4009">
        <w:t xml:space="preserve"> </w:t>
      </w:r>
      <w:r w:rsidR="00F73D5B">
        <w:t>[</w:t>
      </w:r>
      <w:r w:rsidR="00BA296D">
        <w:fldChar w:fldCharType="begin"/>
      </w:r>
      <w:r w:rsidR="00F73D5B">
        <w:instrText xml:space="preserve"> SEQ Sch1Item </w:instrText>
      </w:r>
      <w:r w:rsidR="00BA296D">
        <w:fldChar w:fldCharType="separate"/>
      </w:r>
      <w:r w:rsidR="00AE0D22">
        <w:rPr>
          <w:noProof/>
        </w:rPr>
        <w:t>3</w:t>
      </w:r>
      <w:r w:rsidR="00BA296D">
        <w:fldChar w:fldCharType="end"/>
      </w:r>
      <w:r w:rsidR="00F73D5B">
        <w:t>]</w:t>
      </w:r>
      <w:r w:rsidR="00F73D5B">
        <w:tab/>
      </w:r>
      <w:r w:rsidR="005A494A">
        <w:t>Parts 2, 3 and 4</w:t>
      </w:r>
    </w:p>
    <w:p w14:paraId="5343165C" w14:textId="76F4124C" w:rsidR="00032922" w:rsidRPr="005A494A" w:rsidRDefault="005A494A" w:rsidP="005A2D65">
      <w:pPr>
        <w:pStyle w:val="A2S"/>
        <w:rPr>
          <w:i w:val="0"/>
        </w:rPr>
      </w:pPr>
      <w:r w:rsidRPr="005A494A">
        <w:rPr>
          <w:i w:val="0"/>
        </w:rPr>
        <w:t>Repeal the Parts, substitute:</w:t>
      </w:r>
    </w:p>
    <w:p w14:paraId="4FBDA575" w14:textId="77777777" w:rsidR="005A494A" w:rsidRDefault="005A494A" w:rsidP="005A494A">
      <w:pPr>
        <w:pStyle w:val="HP"/>
        <w:pageBreakBefore/>
      </w:pPr>
      <w:bookmarkStart w:id="7" w:name="_Toc45599262"/>
      <w:bookmarkStart w:id="8" w:name="_Toc2935949"/>
      <w:r>
        <w:rPr>
          <w:rStyle w:val="CharPartNo"/>
        </w:rPr>
        <w:lastRenderedPageBreak/>
        <w:t>Part 2</w:t>
      </w:r>
      <w:r>
        <w:tab/>
      </w:r>
      <w:r>
        <w:rPr>
          <w:rStyle w:val="CharPartText"/>
        </w:rPr>
        <w:t>National environment protection goal</w:t>
      </w:r>
      <w:bookmarkEnd w:id="7"/>
      <w:bookmarkEnd w:id="8"/>
    </w:p>
    <w:p w14:paraId="398151C5" w14:textId="77777777" w:rsidR="005A494A" w:rsidRDefault="005A494A" w:rsidP="005A494A">
      <w:pPr>
        <w:pStyle w:val="HR"/>
      </w:pPr>
      <w:bookmarkStart w:id="9" w:name="_Toc2935950"/>
      <w:r>
        <w:rPr>
          <w:rStyle w:val="CharSectno"/>
        </w:rPr>
        <w:t>4</w:t>
      </w:r>
      <w:r>
        <w:tab/>
        <w:t>Purpose of Part</w:t>
      </w:r>
      <w:bookmarkEnd w:id="9"/>
    </w:p>
    <w:p w14:paraId="312ACB5C" w14:textId="77777777" w:rsidR="005A494A" w:rsidRDefault="005A494A" w:rsidP="005A494A">
      <w:pPr>
        <w:pStyle w:val="R1"/>
      </w:pPr>
      <w:r>
        <w:tab/>
      </w:r>
      <w:r>
        <w:tab/>
        <w:t>The purpose of this Part is to set out goals:</w:t>
      </w:r>
    </w:p>
    <w:p w14:paraId="51C84543" w14:textId="77777777" w:rsidR="005A494A" w:rsidRDefault="005A494A" w:rsidP="005A494A">
      <w:pPr>
        <w:pStyle w:val="P1"/>
      </w:pPr>
      <w:r>
        <w:tab/>
        <w:t>(a)</w:t>
      </w:r>
      <w:r>
        <w:tab/>
        <w:t>that relate to the desired environmental outcomes; and</w:t>
      </w:r>
    </w:p>
    <w:p w14:paraId="0B160810" w14:textId="77777777" w:rsidR="005A494A" w:rsidRDefault="005A494A" w:rsidP="005A494A">
      <w:pPr>
        <w:pStyle w:val="P1"/>
      </w:pPr>
      <w:r>
        <w:tab/>
        <w:t>(b)</w:t>
      </w:r>
      <w:r>
        <w:tab/>
        <w:t xml:space="preserve">that guide the formulation of strategies for the management of human activities that may affect the environment. </w:t>
      </w:r>
    </w:p>
    <w:p w14:paraId="674016CA" w14:textId="77777777" w:rsidR="005A494A" w:rsidRDefault="005A494A" w:rsidP="005A494A">
      <w:pPr>
        <w:pStyle w:val="HR"/>
      </w:pPr>
      <w:bookmarkStart w:id="10" w:name="_Toc2935951"/>
      <w:r>
        <w:rPr>
          <w:rStyle w:val="CharSectno"/>
        </w:rPr>
        <w:t>5</w:t>
      </w:r>
      <w:r>
        <w:tab/>
        <w:t xml:space="preserve">Desired environmental </w:t>
      </w:r>
      <w:proofErr w:type="gramStart"/>
      <w:r>
        <w:t>outcome</w:t>
      </w:r>
      <w:bookmarkEnd w:id="10"/>
      <w:proofErr w:type="gramEnd"/>
    </w:p>
    <w:p w14:paraId="20B74071" w14:textId="77777777" w:rsidR="005A494A" w:rsidRDefault="005A494A" w:rsidP="005A494A">
      <w:pPr>
        <w:pStyle w:val="R1"/>
      </w:pPr>
      <w:r>
        <w:tab/>
      </w:r>
      <w:r>
        <w:tab/>
        <w:t>The desired environmental outcome of this Measure is ambient air quality that m</w:t>
      </w:r>
      <w:r w:rsidRPr="00C45388">
        <w:t>inimise</w:t>
      </w:r>
      <w:r>
        <w:t>s</w:t>
      </w:r>
      <w:r w:rsidRPr="00C45388">
        <w:t xml:space="preserve"> the risk of adverse health impacts from exposure to air pollutio</w:t>
      </w:r>
      <w:r w:rsidRPr="00141EF5">
        <w:t>n.</w:t>
      </w:r>
    </w:p>
    <w:p w14:paraId="312FE899" w14:textId="77777777" w:rsidR="005A494A" w:rsidRDefault="005A494A" w:rsidP="005A494A">
      <w:pPr>
        <w:pStyle w:val="HR"/>
      </w:pPr>
      <w:bookmarkStart w:id="11" w:name="_Toc2935952"/>
      <w:r w:rsidRPr="004D6E5E">
        <w:rPr>
          <w:rStyle w:val="CharSectno"/>
        </w:rPr>
        <w:t>6</w:t>
      </w:r>
      <w:r>
        <w:tab/>
        <w:t>National Environment Protection Goal</w:t>
      </w:r>
      <w:bookmarkEnd w:id="11"/>
    </w:p>
    <w:p w14:paraId="15FAFC3E" w14:textId="77777777" w:rsidR="005A494A" w:rsidRPr="00E5257A" w:rsidRDefault="005A494A" w:rsidP="005A494A">
      <w:pPr>
        <w:pStyle w:val="Section1"/>
      </w:pPr>
      <w:r>
        <w:tab/>
      </w:r>
      <w:r>
        <w:tab/>
      </w:r>
      <w:r w:rsidRPr="00E5257A">
        <w:t xml:space="preserve">The </w:t>
      </w:r>
      <w:r>
        <w:t>n</w:t>
      </w:r>
      <w:r w:rsidRPr="00E5257A">
        <w:t xml:space="preserve">ational </w:t>
      </w:r>
      <w:r>
        <w:t>e</w:t>
      </w:r>
      <w:r w:rsidRPr="00E5257A">
        <w:t xml:space="preserve">nvironment </w:t>
      </w:r>
      <w:r>
        <w:t>p</w:t>
      </w:r>
      <w:r w:rsidRPr="00E5257A">
        <w:t xml:space="preserve">rotection </w:t>
      </w:r>
      <w:r>
        <w:t>g</w:t>
      </w:r>
      <w:r w:rsidRPr="00E5257A">
        <w:t>oal</w:t>
      </w:r>
      <w:r>
        <w:t>s</w:t>
      </w:r>
      <w:r w:rsidRPr="00E5257A">
        <w:t xml:space="preserve"> of this Measure </w:t>
      </w:r>
      <w:r>
        <w:t>are</w:t>
      </w:r>
      <w:r w:rsidRPr="00E5257A">
        <w:t>:</w:t>
      </w:r>
    </w:p>
    <w:p w14:paraId="58AB9503" w14:textId="77777777" w:rsidR="005A494A" w:rsidRDefault="005F2D9C" w:rsidP="00D41C44">
      <w:pPr>
        <w:pStyle w:val="P1"/>
      </w:pPr>
      <w:r>
        <w:tab/>
      </w:r>
      <w:r w:rsidR="005A494A" w:rsidRPr="00E41907">
        <w:t>(a)</w:t>
      </w:r>
      <w:r>
        <w:tab/>
      </w:r>
      <w:r w:rsidR="005A494A" w:rsidRPr="00E41907">
        <w:t xml:space="preserve">for carbon monoxide, </w:t>
      </w:r>
      <w:r w:rsidR="00470146" w:rsidRPr="009A69B9">
        <w:t>nitrogen dioxide</w:t>
      </w:r>
      <w:r w:rsidR="00470146">
        <w:t xml:space="preserve">, </w:t>
      </w:r>
      <w:r w:rsidR="005A494A" w:rsidRPr="00E41907">
        <w:t>photochemical oxidants (as ozone), lead and particles (as PM</w:t>
      </w:r>
      <w:r w:rsidR="005A494A" w:rsidRPr="006637A2">
        <w:rPr>
          <w:vertAlign w:val="subscript"/>
        </w:rPr>
        <w:t>10</w:t>
      </w:r>
      <w:r w:rsidR="005A494A" w:rsidRPr="00E41907">
        <w:t xml:space="preserve"> and </w:t>
      </w:r>
      <w:r w:rsidR="00B51C33" w:rsidRPr="00775E0D">
        <w:t>PM</w:t>
      </w:r>
      <w:r w:rsidR="00B51C33" w:rsidRPr="00775E0D">
        <w:rPr>
          <w:vertAlign w:val="subscript"/>
        </w:rPr>
        <w:t>2.5</w:t>
      </w:r>
      <w:r w:rsidR="005A494A" w:rsidRPr="00E41907">
        <w:t>)</w:t>
      </w:r>
      <w:r>
        <w:t>—</w:t>
      </w:r>
      <w:r w:rsidR="005A494A" w:rsidRPr="00E41907">
        <w:t xml:space="preserve">to achieve the national environment protection standards specified in table 1 of Schedule </w:t>
      </w:r>
      <w:proofErr w:type="gramStart"/>
      <w:r w:rsidR="005A494A" w:rsidRPr="00E41907">
        <w:t>2;</w:t>
      </w:r>
      <w:proofErr w:type="gramEnd"/>
    </w:p>
    <w:p w14:paraId="498080A9" w14:textId="77777777" w:rsidR="005A494A" w:rsidRDefault="005F2D9C" w:rsidP="00D41C44">
      <w:pPr>
        <w:pStyle w:val="P1"/>
      </w:pPr>
      <w:r>
        <w:tab/>
      </w:r>
      <w:r w:rsidR="005A494A" w:rsidRPr="00560721">
        <w:t>(</w:t>
      </w:r>
      <w:r w:rsidR="005A494A">
        <w:t>b</w:t>
      </w:r>
      <w:r w:rsidR="005A494A" w:rsidRPr="00560721">
        <w:t>)</w:t>
      </w:r>
      <w:r w:rsidR="005A494A" w:rsidRPr="00D03081">
        <w:tab/>
      </w:r>
      <w:r w:rsidR="005A494A">
        <w:t xml:space="preserve">for </w:t>
      </w:r>
      <w:proofErr w:type="spellStart"/>
      <w:r w:rsidR="005A494A" w:rsidRPr="00DF2000">
        <w:t>sulfur</w:t>
      </w:r>
      <w:proofErr w:type="spellEnd"/>
      <w:r w:rsidR="005A494A" w:rsidRPr="00DF2000">
        <w:t xml:space="preserve"> dioxide</w:t>
      </w:r>
      <w:r>
        <w:t>—</w:t>
      </w:r>
      <w:r w:rsidR="005A494A" w:rsidRPr="00DF2000">
        <w:t>to</w:t>
      </w:r>
      <w:r w:rsidR="005A494A" w:rsidRPr="00E5257A">
        <w:t xml:space="preserve"> achieve the </w:t>
      </w:r>
      <w:r w:rsidR="005A494A">
        <w:t>n</w:t>
      </w:r>
      <w:r w:rsidR="005A494A" w:rsidRPr="00E5257A">
        <w:t xml:space="preserve">ational </w:t>
      </w:r>
      <w:r w:rsidR="005A494A">
        <w:t>e</w:t>
      </w:r>
      <w:r w:rsidR="005A494A" w:rsidRPr="00E5257A">
        <w:t xml:space="preserve">nvironment </w:t>
      </w:r>
      <w:r w:rsidR="005A494A">
        <w:t>p</w:t>
      </w:r>
      <w:r w:rsidR="005A494A" w:rsidRPr="00E5257A">
        <w:t xml:space="preserve">rotection </w:t>
      </w:r>
      <w:r w:rsidR="005A494A">
        <w:t>s</w:t>
      </w:r>
      <w:r w:rsidR="005A494A" w:rsidRPr="00E5257A">
        <w:t xml:space="preserve">tandards </w:t>
      </w:r>
      <w:r w:rsidR="005A494A">
        <w:t xml:space="preserve">specified in table 1 of Schedule 2, and from 1 January 2025 </w:t>
      </w:r>
      <w:r w:rsidR="00014027">
        <w:t xml:space="preserve">to achieve the national environment protection standard specified </w:t>
      </w:r>
      <w:r w:rsidR="005A494A">
        <w:t>in table 1A</w:t>
      </w:r>
      <w:r w:rsidR="001D4ED0">
        <w:t xml:space="preserve"> of Schedule </w:t>
      </w:r>
      <w:proofErr w:type="gramStart"/>
      <w:r w:rsidR="001D4ED0">
        <w:t>2</w:t>
      </w:r>
      <w:r w:rsidR="005A494A">
        <w:t>;</w:t>
      </w:r>
      <w:proofErr w:type="gramEnd"/>
      <w:r w:rsidR="005A494A">
        <w:t xml:space="preserve"> </w:t>
      </w:r>
    </w:p>
    <w:p w14:paraId="61D4B4CD" w14:textId="77777777" w:rsidR="005A494A" w:rsidRDefault="005F2D9C" w:rsidP="00D41C44">
      <w:pPr>
        <w:pStyle w:val="P1"/>
      </w:pPr>
      <w:r>
        <w:tab/>
      </w:r>
      <w:r w:rsidR="005A494A">
        <w:t>(c)</w:t>
      </w:r>
      <w:r w:rsidR="005A494A">
        <w:tab/>
      </w:r>
      <w:r w:rsidR="005A494A" w:rsidRPr="00D03081">
        <w:t xml:space="preserve">for particles as </w:t>
      </w:r>
      <w:r w:rsidR="00B51C33" w:rsidRPr="00775E0D">
        <w:t>PM</w:t>
      </w:r>
      <w:r w:rsidR="00B51C33" w:rsidRPr="00775E0D">
        <w:rPr>
          <w:vertAlign w:val="subscript"/>
        </w:rPr>
        <w:t>2.5</w:t>
      </w:r>
      <w:r w:rsidR="00A70178">
        <w:rPr>
          <w:vertAlign w:val="subscript"/>
        </w:rPr>
        <w:t xml:space="preserve"> </w:t>
      </w:r>
      <w:r w:rsidR="005A494A">
        <w:t>from 1 January 2025</w:t>
      </w:r>
      <w:r>
        <w:t>—</w:t>
      </w:r>
      <w:r w:rsidR="005A494A" w:rsidRPr="00D03081">
        <w:t xml:space="preserve">to </w:t>
      </w:r>
      <w:r w:rsidR="005A494A">
        <w:t xml:space="preserve">seek to achieve the </w:t>
      </w:r>
      <w:r w:rsidR="005A494A" w:rsidRPr="00D03081">
        <w:t xml:space="preserve">further reductions in maximum concentrations specified in </w:t>
      </w:r>
      <w:r w:rsidR="005A494A">
        <w:t xml:space="preserve">table 2 of </w:t>
      </w:r>
      <w:r w:rsidR="005A494A" w:rsidRPr="00D03081">
        <w:t>Schedule 2</w:t>
      </w:r>
      <w:r w:rsidR="005A494A">
        <w:t>.</w:t>
      </w:r>
    </w:p>
    <w:p w14:paraId="3828FB68" w14:textId="77777777" w:rsidR="005A494A" w:rsidRDefault="005A494A" w:rsidP="005A494A">
      <w:pPr>
        <w:pStyle w:val="Note"/>
      </w:pPr>
      <w:bookmarkStart w:id="12" w:name="_Hlk534369223"/>
      <w:r>
        <w:t xml:space="preserve">Note   The goal </w:t>
      </w:r>
      <w:r w:rsidRPr="00042E64">
        <w:t>for particles as PM</w:t>
      </w:r>
      <w:r w:rsidRPr="00F14C71">
        <w:rPr>
          <w:vertAlign w:val="subscript"/>
        </w:rPr>
        <w:t>2.5</w:t>
      </w:r>
      <w:r w:rsidRPr="00042E64">
        <w:t xml:space="preserve"> from 1 January 2025 </w:t>
      </w:r>
      <w:r>
        <w:t xml:space="preserve">will </w:t>
      </w:r>
      <w:r w:rsidRPr="001F66A8">
        <w:t>provide a framework for continuous improvement and facilitate a review of the PM</w:t>
      </w:r>
      <w:r w:rsidRPr="008F2016">
        <w:rPr>
          <w:vertAlign w:val="subscript"/>
        </w:rPr>
        <w:t>2.5</w:t>
      </w:r>
      <w:r w:rsidRPr="001F66A8">
        <w:t xml:space="preserve"> standard.</w:t>
      </w:r>
    </w:p>
    <w:bookmarkEnd w:id="12"/>
    <w:p w14:paraId="1741A3F1" w14:textId="77777777" w:rsidR="005A494A" w:rsidRDefault="005A494A" w:rsidP="005A494A">
      <w:pPr>
        <w:pStyle w:val="P1"/>
      </w:pPr>
    </w:p>
    <w:p w14:paraId="4C3B2240" w14:textId="77777777" w:rsidR="005A494A" w:rsidRDefault="005A494A" w:rsidP="005A494A">
      <w:pPr>
        <w:pStyle w:val="HP"/>
        <w:pageBreakBefore/>
      </w:pPr>
      <w:bookmarkStart w:id="13" w:name="_Toc45599266"/>
      <w:bookmarkStart w:id="14" w:name="_Toc2935953"/>
      <w:r>
        <w:rPr>
          <w:rStyle w:val="CharPartNo"/>
        </w:rPr>
        <w:lastRenderedPageBreak/>
        <w:t>Part 3</w:t>
      </w:r>
      <w:r>
        <w:tab/>
      </w:r>
      <w:r>
        <w:rPr>
          <w:rStyle w:val="CharPartText"/>
        </w:rPr>
        <w:t>National environment protection standards</w:t>
      </w:r>
      <w:bookmarkEnd w:id="13"/>
      <w:bookmarkEnd w:id="14"/>
    </w:p>
    <w:p w14:paraId="139DD8F4" w14:textId="77777777" w:rsidR="005A494A" w:rsidRDefault="005A494A" w:rsidP="005A494A">
      <w:pPr>
        <w:pStyle w:val="HR"/>
      </w:pPr>
      <w:bookmarkStart w:id="15" w:name="_Toc2935954"/>
      <w:r>
        <w:rPr>
          <w:rStyle w:val="CharSectno"/>
        </w:rPr>
        <w:t>7</w:t>
      </w:r>
      <w:r>
        <w:tab/>
        <w:t>Purpose of Part</w:t>
      </w:r>
      <w:bookmarkEnd w:id="15"/>
    </w:p>
    <w:p w14:paraId="2998CB1B" w14:textId="77777777" w:rsidR="005A494A" w:rsidRDefault="005A494A" w:rsidP="005A494A">
      <w:pPr>
        <w:pStyle w:val="R1"/>
      </w:pPr>
      <w:r>
        <w:tab/>
      </w:r>
      <w:r>
        <w:tab/>
        <w:t>The purpose of this Part is to set standards that consist of quantifiable characteristics of the air against which ambient air quality can be assessed.</w:t>
      </w:r>
    </w:p>
    <w:p w14:paraId="65B482B4" w14:textId="77777777" w:rsidR="005A494A" w:rsidRDefault="005A494A" w:rsidP="005A494A">
      <w:pPr>
        <w:pStyle w:val="HR"/>
      </w:pPr>
      <w:bookmarkStart w:id="16" w:name="_Toc2935955"/>
      <w:r>
        <w:rPr>
          <w:rStyle w:val="CharSectno"/>
        </w:rPr>
        <w:t>8</w:t>
      </w:r>
      <w:r>
        <w:tab/>
        <w:t>National environment protection standards</w:t>
      </w:r>
      <w:bookmarkEnd w:id="16"/>
    </w:p>
    <w:p w14:paraId="5907208F" w14:textId="77777777" w:rsidR="005A494A" w:rsidRDefault="005A494A" w:rsidP="005A494A">
      <w:pPr>
        <w:pStyle w:val="R1"/>
      </w:pPr>
      <w:r>
        <w:tab/>
        <w:t>(1)</w:t>
      </w:r>
      <w:r>
        <w:rPr>
          <w:b/>
          <w:bCs/>
        </w:rPr>
        <w:tab/>
      </w:r>
      <w:r>
        <w:t>The national environment protection standards of this Measure are the standards set out in tables 1 and 1A of Schedule 2.</w:t>
      </w:r>
    </w:p>
    <w:p w14:paraId="017900BE" w14:textId="77777777" w:rsidR="005A494A" w:rsidRDefault="005A494A" w:rsidP="005A494A">
      <w:pPr>
        <w:pStyle w:val="R1"/>
      </w:pPr>
      <w:r>
        <w:tab/>
      </w:r>
      <w:r w:rsidRPr="002C2C2A">
        <w:t>(</w:t>
      </w:r>
      <w:r>
        <w:t>2</w:t>
      </w:r>
      <w:r w:rsidRPr="002C2C2A">
        <w:t>)</w:t>
      </w:r>
      <w:r w:rsidRPr="002C2C2A">
        <w:tab/>
        <w:t>The national environment protection standards must be assessed in accordance with the national environment protection protocol in Part 4 of this Measure.</w:t>
      </w:r>
      <w:r>
        <w:t xml:space="preserve"> </w:t>
      </w:r>
    </w:p>
    <w:p w14:paraId="1A1E36FE" w14:textId="77777777" w:rsidR="005A494A" w:rsidRDefault="005A494A" w:rsidP="005A494A">
      <w:pPr>
        <w:pStyle w:val="R1"/>
      </w:pPr>
      <w:r>
        <w:tab/>
        <w:t>(3)</w:t>
      </w:r>
      <w:r>
        <w:tab/>
        <w:t>Subject to subsection (4), f</w:t>
      </w:r>
      <w:r w:rsidRPr="00A30A23">
        <w:t xml:space="preserve">or each pollutant mentioned in table 1 of Schedule 2, the standard for </w:t>
      </w:r>
      <w:r>
        <w:t>a</w:t>
      </w:r>
      <w:r w:rsidRPr="00A30A23">
        <w:t xml:space="preserve">n averaging period </w:t>
      </w:r>
      <w:r w:rsidRPr="00DF2000">
        <w:t xml:space="preserve">mentioned in the Schedule </w:t>
      </w:r>
      <w:r w:rsidRPr="00A30A23">
        <w:t>is the concentration in column 4 of table 1 of Schedule 2</w:t>
      </w:r>
      <w:r>
        <w:t>.</w:t>
      </w:r>
    </w:p>
    <w:p w14:paraId="14306A12" w14:textId="77777777" w:rsidR="005A494A" w:rsidRDefault="005A494A" w:rsidP="005A494A">
      <w:pPr>
        <w:pStyle w:val="R1"/>
      </w:pPr>
      <w:r>
        <w:tab/>
        <w:t>(4)</w:t>
      </w:r>
      <w:r>
        <w:tab/>
      </w:r>
      <w:r w:rsidRPr="00A30A23">
        <w:t xml:space="preserve">For </w:t>
      </w:r>
      <w:proofErr w:type="spellStart"/>
      <w:r>
        <w:t>sulfur</w:t>
      </w:r>
      <w:proofErr w:type="spellEnd"/>
      <w:r>
        <w:t xml:space="preserve"> dioxide</w:t>
      </w:r>
      <w:r w:rsidRPr="00A30A23">
        <w:t xml:space="preserve">, </w:t>
      </w:r>
      <w:r>
        <w:t xml:space="preserve">from 1 January 2025 </w:t>
      </w:r>
      <w:r w:rsidRPr="00A30A23">
        <w:t xml:space="preserve">the standard for </w:t>
      </w:r>
      <w:r>
        <w:t>a</w:t>
      </w:r>
      <w:r w:rsidRPr="00A30A23">
        <w:t xml:space="preserve">n averaging period </w:t>
      </w:r>
      <w:r w:rsidRPr="00DF2000">
        <w:t>mentioned in</w:t>
      </w:r>
      <w:r>
        <w:t xml:space="preserve"> column 2 of table 1A of</w:t>
      </w:r>
      <w:r w:rsidRPr="00DF2000">
        <w:t xml:space="preserve"> Schedule</w:t>
      </w:r>
      <w:r>
        <w:t xml:space="preserve"> 2</w:t>
      </w:r>
      <w:r w:rsidRPr="00DF2000">
        <w:t xml:space="preserve"> </w:t>
      </w:r>
      <w:r w:rsidRPr="00A30A23">
        <w:t xml:space="preserve">is the concentration in column </w:t>
      </w:r>
      <w:r>
        <w:t>3</w:t>
      </w:r>
      <w:r w:rsidRPr="00A30A23">
        <w:t xml:space="preserve"> of</w:t>
      </w:r>
      <w:r>
        <w:t xml:space="preserve"> that table.</w:t>
      </w:r>
    </w:p>
    <w:p w14:paraId="2061F192" w14:textId="77777777" w:rsidR="005A494A" w:rsidRDefault="005A494A" w:rsidP="009A2FD8">
      <w:pPr>
        <w:pStyle w:val="R1"/>
        <w:ind w:left="0" w:firstLine="0"/>
      </w:pPr>
      <w:r>
        <w:tab/>
      </w:r>
    </w:p>
    <w:p w14:paraId="687D32A2" w14:textId="77777777" w:rsidR="005A494A" w:rsidRDefault="005A494A" w:rsidP="005A494A">
      <w:pPr>
        <w:pStyle w:val="HP"/>
        <w:pageBreakBefore/>
      </w:pPr>
      <w:bookmarkStart w:id="17" w:name="_Toc45599269"/>
      <w:bookmarkStart w:id="18" w:name="_Toc2935956"/>
      <w:r>
        <w:rPr>
          <w:rStyle w:val="CharPartNo"/>
        </w:rPr>
        <w:lastRenderedPageBreak/>
        <w:t>Part 4</w:t>
      </w:r>
      <w:r>
        <w:tab/>
      </w:r>
      <w:r>
        <w:rPr>
          <w:rStyle w:val="CharPartText"/>
        </w:rPr>
        <w:t>National environment protection protocol</w:t>
      </w:r>
      <w:bookmarkEnd w:id="17"/>
      <w:bookmarkEnd w:id="18"/>
    </w:p>
    <w:p w14:paraId="260C6913" w14:textId="77777777" w:rsidR="005A494A" w:rsidRDefault="005A494A" w:rsidP="005A494A">
      <w:pPr>
        <w:pStyle w:val="HR"/>
      </w:pPr>
      <w:bookmarkStart w:id="19" w:name="_Toc2935957"/>
      <w:r>
        <w:rPr>
          <w:rStyle w:val="CharSectno"/>
        </w:rPr>
        <w:t>9</w:t>
      </w:r>
      <w:r>
        <w:tab/>
        <w:t>Purpose of Part</w:t>
      </w:r>
      <w:bookmarkEnd w:id="19"/>
    </w:p>
    <w:p w14:paraId="4527D592" w14:textId="77777777" w:rsidR="005A494A" w:rsidRDefault="005A494A" w:rsidP="005A494A">
      <w:pPr>
        <w:pStyle w:val="R1"/>
      </w:pPr>
      <w:r>
        <w:tab/>
      </w:r>
      <w:r>
        <w:tab/>
        <w:t>The purpose of this Part is to set out the processes to be followed in measuring the concentration of pollutants in the air to determine:</w:t>
      </w:r>
    </w:p>
    <w:p w14:paraId="24390973" w14:textId="77777777" w:rsidR="005A494A" w:rsidRDefault="005A494A" w:rsidP="005A494A">
      <w:pPr>
        <w:pStyle w:val="P1"/>
      </w:pPr>
      <w:r>
        <w:tab/>
        <w:t>(a)</w:t>
      </w:r>
      <w:r>
        <w:tab/>
        <w:t>whether the standards of this Measure are being met; or</w:t>
      </w:r>
    </w:p>
    <w:p w14:paraId="3B2C383A" w14:textId="77777777" w:rsidR="005A494A" w:rsidRDefault="005A494A" w:rsidP="005A494A">
      <w:pPr>
        <w:pStyle w:val="P1"/>
      </w:pPr>
      <w:r>
        <w:tab/>
        <w:t>(b)</w:t>
      </w:r>
      <w:r>
        <w:tab/>
        <w:t>the extent of the difference between the measured concentration of pollutants in the air and the standards.</w:t>
      </w:r>
    </w:p>
    <w:p w14:paraId="2A75CC6F" w14:textId="77777777" w:rsidR="005A494A" w:rsidRDefault="005A494A" w:rsidP="005A494A">
      <w:pPr>
        <w:pStyle w:val="HR"/>
      </w:pPr>
      <w:bookmarkStart w:id="20" w:name="_Toc2935958"/>
      <w:r>
        <w:rPr>
          <w:rStyle w:val="CharSectno"/>
        </w:rPr>
        <w:t>10</w:t>
      </w:r>
      <w:r>
        <w:tab/>
        <w:t>Monitoring plans</w:t>
      </w:r>
      <w:bookmarkEnd w:id="20"/>
      <w:r>
        <w:t xml:space="preserve">  </w:t>
      </w:r>
    </w:p>
    <w:p w14:paraId="04307D1E" w14:textId="77777777" w:rsidR="005A494A" w:rsidRDefault="005A494A" w:rsidP="005A494A">
      <w:pPr>
        <w:pStyle w:val="R1"/>
      </w:pPr>
      <w:r>
        <w:tab/>
        <w:t>(1)</w:t>
      </w:r>
      <w:r>
        <w:rPr>
          <w:b/>
          <w:bCs/>
        </w:rPr>
        <w:tab/>
      </w:r>
      <w:r>
        <w:t xml:space="preserve">Each participating jurisdiction </w:t>
      </w:r>
      <w:r>
        <w:rPr>
          <w:color w:val="000000"/>
        </w:rPr>
        <w:t>must</w:t>
      </w:r>
      <w:r>
        <w:rPr>
          <w:i/>
          <w:iCs/>
          <w:color w:val="FF0000"/>
        </w:rPr>
        <w:t xml:space="preserve"> </w:t>
      </w:r>
      <w:r>
        <w:t xml:space="preserve">ensure that a monitoring </w:t>
      </w:r>
      <w:r>
        <w:rPr>
          <w:color w:val="000000"/>
        </w:rPr>
        <w:t>plan consistent with this Part</w:t>
      </w:r>
      <w:r>
        <w:t xml:space="preserve"> is prepared setting out how the jurisdiction proposes to monitor air quality for the purposes of this Measure.</w:t>
      </w:r>
    </w:p>
    <w:p w14:paraId="533CA39E" w14:textId="77777777" w:rsidR="005A494A" w:rsidRDefault="005A494A" w:rsidP="005A494A">
      <w:pPr>
        <w:pStyle w:val="R2"/>
      </w:pPr>
      <w:r>
        <w:tab/>
        <w:t>(2)</w:t>
      </w:r>
      <w:r>
        <w:rPr>
          <w:b/>
          <w:bCs/>
        </w:rPr>
        <w:tab/>
      </w:r>
      <w:r>
        <w:t>Each monitoring plan must be submitted to Council.</w:t>
      </w:r>
    </w:p>
    <w:p w14:paraId="585DB552" w14:textId="77777777" w:rsidR="005A494A" w:rsidRDefault="005A494A" w:rsidP="005A494A">
      <w:pPr>
        <w:pStyle w:val="HR"/>
      </w:pPr>
      <w:bookmarkStart w:id="21" w:name="_Toc2935959"/>
      <w:r>
        <w:rPr>
          <w:rStyle w:val="CharSectno"/>
        </w:rPr>
        <w:t>11</w:t>
      </w:r>
      <w:r>
        <w:tab/>
        <w:t>Methods of measuring and assessing concentration of pollutants</w:t>
      </w:r>
      <w:bookmarkEnd w:id="21"/>
    </w:p>
    <w:p w14:paraId="1E01EB39" w14:textId="77777777" w:rsidR="005A494A" w:rsidRDefault="005A494A" w:rsidP="005A494A">
      <w:pPr>
        <w:pStyle w:val="R1"/>
      </w:pPr>
      <w:r>
        <w:tab/>
      </w:r>
      <w:r>
        <w:tab/>
      </w:r>
      <w:proofErr w:type="gramStart"/>
      <w:r>
        <w:t>For the purpose of</w:t>
      </w:r>
      <w:proofErr w:type="gramEnd"/>
      <w:r>
        <w:t xml:space="preserve"> evaluating performance against the standards the concentration of pollutants in the air:</w:t>
      </w:r>
    </w:p>
    <w:p w14:paraId="4AA9BAC7" w14:textId="77777777" w:rsidR="005A494A" w:rsidRDefault="005A494A" w:rsidP="005A494A">
      <w:pPr>
        <w:pStyle w:val="P1"/>
      </w:pPr>
      <w:r>
        <w:tab/>
        <w:t>(a)</w:t>
      </w:r>
      <w:r>
        <w:tab/>
        <w:t>is to be measured at performance monitoring stations; or</w:t>
      </w:r>
    </w:p>
    <w:p w14:paraId="6C6F52A9" w14:textId="77777777" w:rsidR="005A494A" w:rsidRDefault="005A494A" w:rsidP="005A494A">
      <w:pPr>
        <w:pStyle w:val="Note"/>
      </w:pPr>
      <w:r>
        <w:t>Note   Because the concentrations of different pollutants vary across a region, it would not be necessary or appropriate to co-locate the measuring instrumentation for all pollutants at each performance monitoring station.</w:t>
      </w:r>
    </w:p>
    <w:p w14:paraId="05C30C98" w14:textId="77777777" w:rsidR="005A494A" w:rsidRDefault="005A494A" w:rsidP="005A494A">
      <w:pPr>
        <w:pStyle w:val="P1"/>
      </w:pPr>
      <w:r>
        <w:tab/>
        <w:t>(b)</w:t>
      </w:r>
      <w:r>
        <w:tab/>
        <w:t>is to be assessed by other means that provide information equivalent to measurements which would otherwise occur at a performance monitoring station.</w:t>
      </w:r>
    </w:p>
    <w:p w14:paraId="26C6C59D" w14:textId="77777777" w:rsidR="005A494A" w:rsidRDefault="005A494A" w:rsidP="005A494A">
      <w:pPr>
        <w:pStyle w:val="Note"/>
      </w:pPr>
      <w:r>
        <w:t xml:space="preserve">Note   These methods could include, for example, the use of emission inventories, </w:t>
      </w:r>
      <w:proofErr w:type="spellStart"/>
      <w:r>
        <w:t>windfield</w:t>
      </w:r>
      <w:proofErr w:type="spellEnd"/>
      <w:r>
        <w:t xml:space="preserve"> and dispersion modelling, and comparisons with other regions. </w:t>
      </w:r>
    </w:p>
    <w:p w14:paraId="3297D9D3" w14:textId="77777777" w:rsidR="005A494A" w:rsidRDefault="005A494A" w:rsidP="005A494A">
      <w:pPr>
        <w:pStyle w:val="HR"/>
      </w:pPr>
      <w:bookmarkStart w:id="22" w:name="_Toc2935960"/>
      <w:r>
        <w:rPr>
          <w:rStyle w:val="CharSectno"/>
        </w:rPr>
        <w:t>12</w:t>
      </w:r>
      <w:r>
        <w:tab/>
        <w:t>Accreditation of performance monitoring</w:t>
      </w:r>
      <w:bookmarkEnd w:id="22"/>
    </w:p>
    <w:p w14:paraId="068C3990" w14:textId="77777777" w:rsidR="005A494A" w:rsidRDefault="005A494A" w:rsidP="005A494A">
      <w:pPr>
        <w:pStyle w:val="R1"/>
      </w:pPr>
      <w:r>
        <w:tab/>
        <w:t>(1)</w:t>
      </w:r>
      <w:r>
        <w:tab/>
        <w:t xml:space="preserve">Subject to subsection (2) the operator of a performance monitoring station </w:t>
      </w:r>
      <w:r>
        <w:rPr>
          <w:color w:val="000000"/>
        </w:rPr>
        <w:t>must</w:t>
      </w:r>
      <w:r>
        <w:rPr>
          <w:i/>
          <w:iCs/>
          <w:color w:val="FF0000"/>
        </w:rPr>
        <w:t xml:space="preserve"> </w:t>
      </w:r>
      <w:r>
        <w:t>be</w:t>
      </w:r>
      <w:r>
        <w:rPr>
          <w:i/>
          <w:iCs/>
          <w:color w:val="FF0000"/>
        </w:rPr>
        <w:t xml:space="preserve"> </w:t>
      </w:r>
      <w:r>
        <w:t xml:space="preserve">accredited by the National Association of Testing Authorities. </w:t>
      </w:r>
    </w:p>
    <w:p w14:paraId="4C890ED8" w14:textId="77777777" w:rsidR="005A494A" w:rsidRDefault="005A494A" w:rsidP="005A494A">
      <w:pPr>
        <w:pStyle w:val="R2"/>
      </w:pPr>
      <w:r>
        <w:tab/>
        <w:t>(2)</w:t>
      </w:r>
      <w:r>
        <w:tab/>
        <w:t>The operator may apply an equivalent system for ensuring adequate monitoring, quality assurance, and validation procedures.</w:t>
      </w:r>
    </w:p>
    <w:p w14:paraId="410B63E3" w14:textId="77777777" w:rsidR="005A494A" w:rsidRDefault="005A494A" w:rsidP="005A494A">
      <w:pPr>
        <w:pStyle w:val="HR"/>
      </w:pPr>
      <w:bookmarkStart w:id="23" w:name="_Toc2935961"/>
      <w:r>
        <w:rPr>
          <w:rStyle w:val="CharSectno"/>
        </w:rPr>
        <w:t>13</w:t>
      </w:r>
      <w:r>
        <w:tab/>
        <w:t>Location of performance monitoring stations</w:t>
      </w:r>
      <w:bookmarkEnd w:id="23"/>
    </w:p>
    <w:p w14:paraId="6D03D91F" w14:textId="77777777" w:rsidR="005A494A" w:rsidRDefault="005A494A" w:rsidP="005A494A">
      <w:pPr>
        <w:pStyle w:val="R1"/>
      </w:pPr>
      <w:r>
        <w:tab/>
        <w:t>(1)</w:t>
      </w:r>
      <w:r>
        <w:tab/>
      </w:r>
      <w:r w:rsidRPr="006C09C8">
        <w:t xml:space="preserve">To the extent practicable, performance monitoring stations </w:t>
      </w:r>
      <w:r>
        <w:t>must</w:t>
      </w:r>
      <w:r w:rsidRPr="006C09C8">
        <w:t xml:space="preserve"> be sited in accordance with the requirements for Australian Standard AS/NZS 3580.1.1:20</w:t>
      </w:r>
      <w:r>
        <w:t>16</w:t>
      </w:r>
      <w:r w:rsidRPr="006C09C8">
        <w:t xml:space="preserve"> (Methods for sampling and analysis of ambient air – Guide to siting air monitoring equipment)</w:t>
      </w:r>
      <w:r>
        <w:t>.</w:t>
      </w:r>
      <w:r w:rsidRPr="006C09C8">
        <w:t xml:space="preserve"> Any variations from AS/NZS 3580.1.1:20</w:t>
      </w:r>
      <w:r>
        <w:t>16</w:t>
      </w:r>
      <w:r w:rsidRPr="006C09C8">
        <w:t xml:space="preserve"> must be notified to Council for use in assessing reports.</w:t>
      </w:r>
    </w:p>
    <w:p w14:paraId="47AD7C69" w14:textId="77777777" w:rsidR="005A494A" w:rsidRDefault="005A494A" w:rsidP="005A494A">
      <w:pPr>
        <w:pStyle w:val="R2"/>
      </w:pPr>
      <w:r>
        <w:tab/>
        <w:t>(2)</w:t>
      </w:r>
      <w:r>
        <w:tab/>
        <w:t xml:space="preserve">Performance monitoring station(s) must </w:t>
      </w:r>
      <w:proofErr w:type="gramStart"/>
      <w:r>
        <w:t>be located in</w:t>
      </w:r>
      <w:proofErr w:type="gramEnd"/>
      <w:r>
        <w:t xml:space="preserve"> a manner such that they contribute to obtaining a representative measure of the air quality likely to be experienced by the general population in the region or sub-region.</w:t>
      </w:r>
    </w:p>
    <w:p w14:paraId="658AB59D" w14:textId="77777777" w:rsidR="005A494A" w:rsidRDefault="005A494A" w:rsidP="005A494A">
      <w:pPr>
        <w:pStyle w:val="R2"/>
      </w:pPr>
      <w:r>
        <w:lastRenderedPageBreak/>
        <w:tab/>
        <w:t>(3)</w:t>
      </w:r>
      <w:r>
        <w:tab/>
        <w:t>To the extent practicable, performance monitoring stations must be operated in the same location for at least 5 years unless the integrity of the measurements is affected by unforeseen circumstances.</w:t>
      </w:r>
    </w:p>
    <w:p w14:paraId="15663057" w14:textId="77777777" w:rsidR="005A494A" w:rsidRPr="00992B98" w:rsidRDefault="005A494A" w:rsidP="005A494A">
      <w:pPr>
        <w:pStyle w:val="HR"/>
      </w:pPr>
      <w:bookmarkStart w:id="24" w:name="_Toc2935962"/>
      <w:r w:rsidRPr="00992B98">
        <w:rPr>
          <w:rStyle w:val="CharSectno"/>
        </w:rPr>
        <w:t>14</w:t>
      </w:r>
      <w:r w:rsidRPr="00992B98">
        <w:tab/>
        <w:t>Number of performance monitoring stations</w:t>
      </w:r>
      <w:bookmarkEnd w:id="24"/>
    </w:p>
    <w:p w14:paraId="0C592717" w14:textId="77777777" w:rsidR="005A494A" w:rsidRPr="00992B98" w:rsidRDefault="005A494A" w:rsidP="005A494A">
      <w:pPr>
        <w:pStyle w:val="R2"/>
        <w:ind w:hanging="397"/>
      </w:pPr>
      <w:r w:rsidRPr="00992B98">
        <w:tab/>
        <w:t>(1)</w:t>
      </w:r>
      <w:r>
        <w:tab/>
      </w:r>
      <w:r w:rsidRPr="00992B98">
        <w:t xml:space="preserve">The number of performance monitoring stations </w:t>
      </w:r>
      <w:r>
        <w:t xml:space="preserve">must </w:t>
      </w:r>
      <w:r w:rsidRPr="00992B98">
        <w:t>be based on determining the potential population at risk.</w:t>
      </w:r>
    </w:p>
    <w:p w14:paraId="533D5AA5" w14:textId="77777777" w:rsidR="005A494A" w:rsidRPr="00992B98" w:rsidRDefault="005A494A" w:rsidP="005A494A">
      <w:pPr>
        <w:pStyle w:val="R2"/>
        <w:ind w:hanging="397"/>
        <w:rPr>
          <w:color w:val="000000"/>
        </w:rPr>
      </w:pPr>
      <w:r w:rsidRPr="00992B98">
        <w:rPr>
          <w:color w:val="000000"/>
        </w:rPr>
        <w:t>(2)</w:t>
      </w:r>
      <w:r w:rsidRPr="00992B98">
        <w:rPr>
          <w:color w:val="000000"/>
        </w:rPr>
        <w:tab/>
      </w:r>
      <w:r w:rsidRPr="008866A9">
        <w:rPr>
          <w:color w:val="000000"/>
        </w:rPr>
        <w:t>In high risk areas, additional performance monitoring stations may be needed if determined by relevant participating jurisdictions</w:t>
      </w:r>
      <w:r w:rsidRPr="00992B98">
        <w:rPr>
          <w:color w:val="000000"/>
        </w:rPr>
        <w:t>.</w:t>
      </w:r>
    </w:p>
    <w:p w14:paraId="73CB5C1B" w14:textId="77777777" w:rsidR="005A494A" w:rsidRPr="00992B98" w:rsidRDefault="005A494A" w:rsidP="005A494A">
      <w:pPr>
        <w:pStyle w:val="R2"/>
        <w:ind w:hanging="397"/>
        <w:rPr>
          <w:color w:val="000000"/>
        </w:rPr>
      </w:pPr>
      <w:r w:rsidRPr="00992B98">
        <w:rPr>
          <w:color w:val="000000"/>
        </w:rPr>
        <w:t>(3)</w:t>
      </w:r>
      <w:r w:rsidRPr="00992B98">
        <w:rPr>
          <w:color w:val="000000"/>
        </w:rPr>
        <w:tab/>
        <w:t xml:space="preserve">Fewer performance monitoring stations may be needed where it can be demonstrated that pollutant levels are reasonably expected to be consistently lower than the standards </w:t>
      </w:r>
      <w:r>
        <w:rPr>
          <w:color w:val="000000"/>
        </w:rPr>
        <w:t xml:space="preserve">specified </w:t>
      </w:r>
      <w:r w:rsidRPr="00992B98">
        <w:rPr>
          <w:color w:val="000000"/>
        </w:rPr>
        <w:t>in this Measure.</w:t>
      </w:r>
    </w:p>
    <w:p w14:paraId="5B9974CA" w14:textId="77777777" w:rsidR="005A494A" w:rsidRPr="00992B98" w:rsidRDefault="005A494A" w:rsidP="005A494A">
      <w:pPr>
        <w:pStyle w:val="R2"/>
        <w:ind w:hanging="397"/>
        <w:rPr>
          <w:color w:val="000000"/>
        </w:rPr>
      </w:pPr>
      <w:r w:rsidRPr="00992B98">
        <w:rPr>
          <w:color w:val="000000"/>
        </w:rPr>
        <w:t>(4)</w:t>
      </w:r>
      <w:r w:rsidRPr="00992B98">
        <w:rPr>
          <w:color w:val="000000"/>
        </w:rPr>
        <w:tab/>
        <w:t>Subject to subsections (1) to (3), the number of performance monitoring stations for a region with a population of 25,000 people or more must be at least the next whole number above the number calculated in accordance with the formula:</w:t>
      </w:r>
    </w:p>
    <w:p w14:paraId="29224253" w14:textId="77777777" w:rsidR="005A494A" w:rsidRPr="00992B98" w:rsidRDefault="005A494A" w:rsidP="005A494A">
      <w:pPr>
        <w:pStyle w:val="R2"/>
        <w:ind w:left="1758"/>
        <w:rPr>
          <w:color w:val="000000"/>
        </w:rPr>
      </w:pPr>
      <w:r w:rsidRPr="00992B98">
        <w:rPr>
          <w:color w:val="000000"/>
        </w:rPr>
        <w:tab/>
      </w:r>
      <w:r w:rsidRPr="00992B98">
        <w:rPr>
          <w:color w:val="000000"/>
        </w:rPr>
        <w:tab/>
      </w:r>
      <w:r w:rsidRPr="00992B98">
        <w:rPr>
          <w:color w:val="000000"/>
        </w:rPr>
        <w:tab/>
      </w:r>
      <w:bookmarkStart w:id="25" w:name="_Hlk2949938"/>
      <w:r w:rsidRPr="00992B98">
        <w:rPr>
          <w:color w:val="000000"/>
        </w:rPr>
        <w:t>1.5P + 0.5</w:t>
      </w:r>
      <w:bookmarkEnd w:id="25"/>
    </w:p>
    <w:p w14:paraId="225734EF" w14:textId="77777777" w:rsidR="005A494A" w:rsidRDefault="005A494A" w:rsidP="005A494A">
      <w:pPr>
        <w:pStyle w:val="R2"/>
        <w:ind w:left="1684" w:hanging="691"/>
        <w:rPr>
          <w:color w:val="000000"/>
        </w:rPr>
      </w:pPr>
      <w:r w:rsidRPr="00992B98">
        <w:rPr>
          <w:color w:val="000000"/>
        </w:rPr>
        <w:t>where P is the population of the region (in millions).</w:t>
      </w:r>
    </w:p>
    <w:p w14:paraId="069672F2" w14:textId="77777777" w:rsidR="005A494A" w:rsidRPr="005D19E2" w:rsidRDefault="005A494A" w:rsidP="005A494A">
      <w:pPr>
        <w:pStyle w:val="Note"/>
      </w:pPr>
      <w:r w:rsidRPr="005D19E2">
        <w:t>Note</w:t>
      </w:r>
      <w:r>
        <w:t>   </w:t>
      </w:r>
      <w:r w:rsidRPr="005D19E2">
        <w:t xml:space="preserve">To ensure national consistency, </w:t>
      </w:r>
      <w:r>
        <w:t xml:space="preserve">the determination of risk shall be </w:t>
      </w:r>
      <w:r w:rsidRPr="005D19E2">
        <w:t>undertaken in accordance with any procedures or methods agreed by participating jurisdictions.</w:t>
      </w:r>
    </w:p>
    <w:p w14:paraId="54C45147" w14:textId="77777777" w:rsidR="005A494A" w:rsidRDefault="005A494A" w:rsidP="005A494A">
      <w:pPr>
        <w:pStyle w:val="HR"/>
      </w:pPr>
      <w:bookmarkStart w:id="26" w:name="_Toc2935963"/>
      <w:r>
        <w:rPr>
          <w:rStyle w:val="CharSectno"/>
        </w:rPr>
        <w:t>15</w:t>
      </w:r>
      <w:r>
        <w:tab/>
        <w:t>Trend stations</w:t>
      </w:r>
      <w:bookmarkEnd w:id="26"/>
    </w:p>
    <w:p w14:paraId="0A6F06CF" w14:textId="77777777" w:rsidR="005A494A" w:rsidRDefault="005A494A" w:rsidP="005A494A">
      <w:pPr>
        <w:pStyle w:val="R1"/>
      </w:pPr>
      <w:r>
        <w:tab/>
        <w:t>(1)</w:t>
      </w:r>
      <w:r>
        <w:tab/>
      </w:r>
      <w:proofErr w:type="gramStart"/>
      <w:r>
        <w:t>A number of</w:t>
      </w:r>
      <w:proofErr w:type="gramEnd"/>
      <w:r>
        <w:t xml:space="preserve"> performance monitoring stations in each participating State and participating Territory </w:t>
      </w:r>
      <w:r>
        <w:rPr>
          <w:color w:val="000000"/>
        </w:rPr>
        <w:t>must</w:t>
      </w:r>
      <w:r>
        <w:rPr>
          <w:i/>
          <w:iCs/>
          <w:color w:val="FF0000"/>
        </w:rPr>
        <w:t xml:space="preserve"> </w:t>
      </w:r>
      <w:r>
        <w:t>be nominated as trend stations.</w:t>
      </w:r>
    </w:p>
    <w:p w14:paraId="6064E9E5" w14:textId="77777777" w:rsidR="005A494A" w:rsidRDefault="005A494A" w:rsidP="005A494A">
      <w:pPr>
        <w:pStyle w:val="R2"/>
      </w:pPr>
      <w:r>
        <w:tab/>
        <w:t>(2)</w:t>
      </w:r>
      <w:r>
        <w:tab/>
        <w:t xml:space="preserve">The number of performance monitoring stations to be nominated as trend stations must be sufficient to monitor and assess long term changes in ambient air quality in different parts of the jurisdiction. </w:t>
      </w:r>
    </w:p>
    <w:p w14:paraId="1A6DE6F6" w14:textId="77777777" w:rsidR="005A494A" w:rsidRDefault="005A494A" w:rsidP="005A494A">
      <w:pPr>
        <w:pStyle w:val="R2"/>
      </w:pPr>
      <w:r>
        <w:tab/>
        <w:t>(3)</w:t>
      </w:r>
      <w:r>
        <w:rPr>
          <w:b/>
          <w:bCs/>
        </w:rPr>
        <w:tab/>
      </w:r>
      <w:r>
        <w:t>A trend station must be operated in the same location for one or more decades.</w:t>
      </w:r>
    </w:p>
    <w:p w14:paraId="05422D02" w14:textId="77777777" w:rsidR="005A494A" w:rsidRDefault="005A494A" w:rsidP="005A494A">
      <w:pPr>
        <w:pStyle w:val="HR"/>
      </w:pPr>
      <w:bookmarkStart w:id="27" w:name="_Toc2935964"/>
      <w:r>
        <w:rPr>
          <w:rStyle w:val="CharSectno"/>
        </w:rPr>
        <w:t>16</w:t>
      </w:r>
      <w:r>
        <w:tab/>
        <w:t>Monitoring methods</w:t>
      </w:r>
      <w:bookmarkEnd w:id="27"/>
      <w:r>
        <w:t xml:space="preserve"> </w:t>
      </w:r>
    </w:p>
    <w:p w14:paraId="56C55DB2" w14:textId="77777777" w:rsidR="005A494A" w:rsidRDefault="005A494A" w:rsidP="005A494A">
      <w:pPr>
        <w:pStyle w:val="R1"/>
        <w:rPr>
          <w:color w:val="000000"/>
        </w:rPr>
      </w:pPr>
      <w:r>
        <w:tab/>
        <w:t>(1)</w:t>
      </w:r>
      <w:r>
        <w:tab/>
        <w:t>Subject to subsections (2) and (3)</w:t>
      </w:r>
      <w:r w:rsidR="00151FF4">
        <w:t>,</w:t>
      </w:r>
      <w:r>
        <w:rPr>
          <w:b/>
          <w:bCs/>
        </w:rPr>
        <w:t xml:space="preserve"> </w:t>
      </w:r>
      <w:r>
        <w:t xml:space="preserve">the Australian Standard Methods set out in Schedule </w:t>
      </w:r>
      <w:r>
        <w:rPr>
          <w:color w:val="000000"/>
        </w:rPr>
        <w:t>3 must be used as reference methods for monitoring pollutants in the air.</w:t>
      </w:r>
    </w:p>
    <w:p w14:paraId="6CA869CD" w14:textId="77777777" w:rsidR="005A494A" w:rsidRDefault="005A494A" w:rsidP="005A494A">
      <w:pPr>
        <w:pStyle w:val="R2"/>
      </w:pPr>
      <w:r>
        <w:tab/>
        <w:t>(2)</w:t>
      </w:r>
      <w:r>
        <w:tab/>
        <w:t>Where an Australian Standard Method has not yet been developed for a monitoring method, appropriate internationally recognised methods or standards may be used that provide equivalent information for assessment purposes.</w:t>
      </w:r>
    </w:p>
    <w:p w14:paraId="13EFCC25" w14:textId="77777777" w:rsidR="005A494A" w:rsidRDefault="005A494A" w:rsidP="005A494A">
      <w:pPr>
        <w:pStyle w:val="R2"/>
      </w:pPr>
      <w:r>
        <w:tab/>
        <w:t>(3)</w:t>
      </w:r>
      <w:r>
        <w:rPr>
          <w:b/>
          <w:bCs/>
        </w:rPr>
        <w:tab/>
      </w:r>
      <w:r>
        <w:t>Other monitoring methods may be used if:</w:t>
      </w:r>
    </w:p>
    <w:p w14:paraId="717765DB" w14:textId="77777777" w:rsidR="005A494A" w:rsidRDefault="005A494A" w:rsidP="005A494A">
      <w:pPr>
        <w:pStyle w:val="P1"/>
      </w:pPr>
      <w:r>
        <w:tab/>
        <w:t>(a)</w:t>
      </w:r>
      <w:r>
        <w:tab/>
        <w:t>calibration and validation studies show:</w:t>
      </w:r>
    </w:p>
    <w:p w14:paraId="0C8B682A" w14:textId="77777777" w:rsidR="005A494A" w:rsidRDefault="005A494A" w:rsidP="005A494A">
      <w:pPr>
        <w:pStyle w:val="P2"/>
      </w:pPr>
      <w:r>
        <w:tab/>
        <w:t>(</w:t>
      </w:r>
      <w:proofErr w:type="spellStart"/>
      <w:r>
        <w:t>i</w:t>
      </w:r>
      <w:proofErr w:type="spellEnd"/>
      <w:r>
        <w:t>)</w:t>
      </w:r>
      <w:r>
        <w:tab/>
        <w:t>the accuracy and precision of the other method; and</w:t>
      </w:r>
    </w:p>
    <w:p w14:paraId="5B27D26C" w14:textId="77777777" w:rsidR="005A494A" w:rsidRDefault="005A494A" w:rsidP="005A494A">
      <w:pPr>
        <w:pStyle w:val="P2"/>
        <w:rPr>
          <w:color w:val="000000"/>
        </w:rPr>
      </w:pPr>
      <w:r>
        <w:tab/>
        <w:t>(ii)</w:t>
      </w:r>
      <w:r>
        <w:tab/>
        <w:t xml:space="preserve">the method can be compared with the relevant Australian </w:t>
      </w:r>
      <w:r>
        <w:rPr>
          <w:color w:val="000000"/>
        </w:rPr>
        <w:t>Standard Method; and</w:t>
      </w:r>
    </w:p>
    <w:p w14:paraId="21C057CC" w14:textId="77777777" w:rsidR="005A494A" w:rsidRDefault="005A494A" w:rsidP="005A494A">
      <w:pPr>
        <w:pStyle w:val="P1"/>
      </w:pPr>
      <w:r>
        <w:tab/>
        <w:t>(b)</w:t>
      </w:r>
      <w:r>
        <w:tab/>
        <w:t>the equipment used is calibrated to the standard required by the equipment manufacturer</w:t>
      </w:r>
      <w:r w:rsidRPr="009A2FD8">
        <w:rPr>
          <w:iCs/>
        </w:rPr>
        <w:t>;</w:t>
      </w:r>
      <w:r>
        <w:t xml:space="preserve"> and</w:t>
      </w:r>
    </w:p>
    <w:p w14:paraId="6AF4E96D" w14:textId="77777777" w:rsidR="005A494A" w:rsidRDefault="005A494A" w:rsidP="005A494A">
      <w:pPr>
        <w:pStyle w:val="P1"/>
      </w:pPr>
      <w:r>
        <w:tab/>
        <w:t>(c)</w:t>
      </w:r>
      <w:r>
        <w:tab/>
        <w:t>the equipment provides equivalent information for assessment purposes.</w:t>
      </w:r>
    </w:p>
    <w:p w14:paraId="50ABDCE7" w14:textId="77777777" w:rsidR="005A494A" w:rsidRDefault="005A494A" w:rsidP="005A494A">
      <w:pPr>
        <w:pStyle w:val="HR"/>
      </w:pPr>
      <w:bookmarkStart w:id="28" w:name="_Toc2935965"/>
      <w:r>
        <w:rPr>
          <w:rStyle w:val="CharSectno"/>
        </w:rPr>
        <w:lastRenderedPageBreak/>
        <w:t>17</w:t>
      </w:r>
      <w:r>
        <w:tab/>
        <w:t>Evaluation of performance against standards and goal</w:t>
      </w:r>
      <w:bookmarkEnd w:id="28"/>
    </w:p>
    <w:p w14:paraId="6C466FBE" w14:textId="77777777" w:rsidR="005A494A" w:rsidRDefault="005A494A" w:rsidP="005A494A">
      <w:pPr>
        <w:pStyle w:val="R2"/>
      </w:pPr>
      <w:r>
        <w:tab/>
        <w:t>(1)</w:t>
      </w:r>
      <w:r>
        <w:rPr>
          <w:b/>
          <w:bCs/>
        </w:rPr>
        <w:tab/>
      </w:r>
      <w:r>
        <w:t xml:space="preserve">Each participating jurisdiction </w:t>
      </w:r>
      <w:r>
        <w:rPr>
          <w:color w:val="000000"/>
        </w:rPr>
        <w:t>must</w:t>
      </w:r>
      <w:r>
        <w:t xml:space="preserve"> evaluate its annual performance as set out in this</w:t>
      </w:r>
      <w:r w:rsidRPr="00992B98">
        <w:t xml:space="preserve"> </w:t>
      </w:r>
      <w:r>
        <w:t>section.</w:t>
      </w:r>
    </w:p>
    <w:p w14:paraId="6539C674" w14:textId="77777777" w:rsidR="005A494A" w:rsidRDefault="005A494A" w:rsidP="005A494A">
      <w:pPr>
        <w:pStyle w:val="R2"/>
      </w:pPr>
      <w:r>
        <w:tab/>
        <w:t>(2)</w:t>
      </w:r>
      <w:r w:rsidRPr="00401C06">
        <w:tab/>
      </w:r>
      <w:r>
        <w:t xml:space="preserve">For each performance monitoring station in the </w:t>
      </w:r>
      <w:r w:rsidR="00A81D63">
        <w:t xml:space="preserve">participating </w:t>
      </w:r>
      <w:r>
        <w:t xml:space="preserve">jurisdiction or assessment in accordance with paragraph 11(b) there </w:t>
      </w:r>
      <w:r w:rsidRPr="00401C06">
        <w:t xml:space="preserve">must </w:t>
      </w:r>
      <w:r>
        <w:t>be:</w:t>
      </w:r>
    </w:p>
    <w:p w14:paraId="747F48D9" w14:textId="77777777" w:rsidR="005A494A" w:rsidRDefault="005F2D9C" w:rsidP="00D41C44">
      <w:pPr>
        <w:pStyle w:val="P1"/>
      </w:pPr>
      <w:r>
        <w:tab/>
      </w:r>
      <w:r w:rsidR="005A494A">
        <w:t>(a)</w:t>
      </w:r>
      <w:r w:rsidR="005A494A">
        <w:tab/>
        <w:t xml:space="preserve">a determination of the exposed population </w:t>
      </w:r>
      <w:r w:rsidR="005A494A" w:rsidRPr="00401C06">
        <w:t xml:space="preserve">in the region or </w:t>
      </w:r>
      <w:r w:rsidR="005A494A">
        <w:t>sub-region represented by the station; and</w:t>
      </w:r>
    </w:p>
    <w:p w14:paraId="521A9E93" w14:textId="77777777" w:rsidR="005A494A" w:rsidRDefault="005F2D9C" w:rsidP="00D41C44">
      <w:pPr>
        <w:pStyle w:val="P1"/>
      </w:pPr>
      <w:r>
        <w:tab/>
      </w:r>
      <w:r w:rsidR="005A494A">
        <w:t>(b)</w:t>
      </w:r>
      <w:r w:rsidR="005A494A">
        <w:tab/>
        <w:t xml:space="preserve">an evaluation of performance against the standards and goal of this Measure, </w:t>
      </w:r>
      <w:r w:rsidR="005A494A" w:rsidRPr="008D7133">
        <w:t>other than in relation to table 2 of Schedule 2</w:t>
      </w:r>
      <w:r w:rsidR="005A494A">
        <w:t>, as:</w:t>
      </w:r>
    </w:p>
    <w:p w14:paraId="62423D0D" w14:textId="77777777" w:rsidR="005A494A" w:rsidRDefault="005F2D9C" w:rsidP="00D41C44">
      <w:pPr>
        <w:pStyle w:val="P2"/>
      </w:pPr>
      <w:r>
        <w:tab/>
      </w:r>
      <w:r w:rsidR="005A494A">
        <w:t>(</w:t>
      </w:r>
      <w:proofErr w:type="spellStart"/>
      <w:r w:rsidR="005A494A">
        <w:t>i</w:t>
      </w:r>
      <w:proofErr w:type="spellEnd"/>
      <w:r w:rsidR="005A494A">
        <w:t>)</w:t>
      </w:r>
      <w:r w:rsidR="005A494A">
        <w:tab/>
        <w:t>meeting; or</w:t>
      </w:r>
    </w:p>
    <w:p w14:paraId="222CF8C9" w14:textId="77777777" w:rsidR="005A494A" w:rsidRDefault="005F2D9C" w:rsidP="00D41C44">
      <w:pPr>
        <w:pStyle w:val="P2"/>
      </w:pPr>
      <w:r>
        <w:tab/>
      </w:r>
      <w:r w:rsidR="005A494A">
        <w:t>(ii)</w:t>
      </w:r>
      <w:r w:rsidR="005A494A">
        <w:tab/>
        <w:t>not meeting; or</w:t>
      </w:r>
    </w:p>
    <w:p w14:paraId="3251016D" w14:textId="77777777" w:rsidR="005A494A" w:rsidRDefault="005F2D9C" w:rsidP="00D41C44">
      <w:pPr>
        <w:pStyle w:val="P2"/>
      </w:pPr>
      <w:r>
        <w:tab/>
      </w:r>
      <w:r w:rsidR="005A494A">
        <w:t>(iii)</w:t>
      </w:r>
      <w:r w:rsidR="005A494A">
        <w:tab/>
        <w:t>not demonstrated.</w:t>
      </w:r>
    </w:p>
    <w:p w14:paraId="68B0743C" w14:textId="77777777" w:rsidR="005A494A" w:rsidRDefault="005A494A" w:rsidP="005A494A">
      <w:pPr>
        <w:pStyle w:val="Section1ai"/>
        <w:tabs>
          <w:tab w:val="clear" w:pos="1418"/>
          <w:tab w:val="clear" w:pos="1843"/>
          <w:tab w:val="left" w:pos="426"/>
        </w:tabs>
        <w:ind w:left="993" w:hanging="567"/>
      </w:pPr>
      <w:r>
        <w:tab/>
        <w:t>(</w:t>
      </w:r>
      <w:r w:rsidRPr="005D19E2">
        <w:t>2A)</w:t>
      </w:r>
      <w:r>
        <w:t xml:space="preserve"> </w:t>
      </w:r>
      <w:r>
        <w:tab/>
        <w:t xml:space="preserve">Each participating jurisdiction must </w:t>
      </w:r>
      <w:r w:rsidRPr="005D19E2">
        <w:t>evaluate and report population exposures</w:t>
      </w:r>
      <w:r>
        <w:t xml:space="preserve"> to:</w:t>
      </w:r>
    </w:p>
    <w:p w14:paraId="54680021" w14:textId="77777777" w:rsidR="005A494A" w:rsidRDefault="005F2D9C" w:rsidP="00D41C44">
      <w:pPr>
        <w:pStyle w:val="P1"/>
      </w:pPr>
      <w:r>
        <w:tab/>
        <w:t>(a)</w:t>
      </w:r>
      <w:r>
        <w:tab/>
      </w:r>
      <w:r w:rsidR="005A494A" w:rsidRPr="005D19E2">
        <w:t xml:space="preserve">particles as </w:t>
      </w:r>
      <w:r w:rsidR="00466588" w:rsidRPr="00775E0D">
        <w:t>PM</w:t>
      </w:r>
      <w:r w:rsidR="00466588" w:rsidRPr="00775E0D">
        <w:rPr>
          <w:vertAlign w:val="subscript"/>
        </w:rPr>
        <w:t>2.5</w:t>
      </w:r>
      <w:r w:rsidR="00466588">
        <w:rPr>
          <w:vertAlign w:val="subscript"/>
        </w:rPr>
        <w:t xml:space="preserve"> </w:t>
      </w:r>
      <w:r w:rsidR="005A494A">
        <w:t>from June 2018; and</w:t>
      </w:r>
    </w:p>
    <w:p w14:paraId="34D9E621" w14:textId="77777777" w:rsidR="005A494A" w:rsidRDefault="005F2D9C" w:rsidP="00D41C44">
      <w:pPr>
        <w:pStyle w:val="P1"/>
      </w:pPr>
      <w:r>
        <w:tab/>
        <w:t>(b)</w:t>
      </w:r>
      <w:r>
        <w:tab/>
      </w:r>
      <w:r w:rsidR="005A494A">
        <w:t>nitrogen dioxide</w:t>
      </w:r>
      <w:r w:rsidR="005A494A" w:rsidRPr="00D41C44">
        <w:t xml:space="preserve"> </w:t>
      </w:r>
      <w:r w:rsidR="005A494A" w:rsidRPr="00740250">
        <w:t xml:space="preserve">and </w:t>
      </w:r>
      <w:r w:rsidR="005A494A">
        <w:t xml:space="preserve">photochemical oxidants (as ozone) from June </w:t>
      </w:r>
      <w:r w:rsidR="00035789">
        <w:t>2021</w:t>
      </w:r>
      <w:r w:rsidR="005A494A" w:rsidRPr="005D19E2">
        <w:t>.</w:t>
      </w:r>
    </w:p>
    <w:p w14:paraId="265E484C" w14:textId="77777777" w:rsidR="005A494A" w:rsidRPr="005D19E2" w:rsidRDefault="005A494A" w:rsidP="005A494A">
      <w:pPr>
        <w:pStyle w:val="Note"/>
      </w:pPr>
      <w:r w:rsidRPr="005D19E2">
        <w:t>Note</w:t>
      </w:r>
      <w:r>
        <w:t>   </w:t>
      </w:r>
      <w:r w:rsidRPr="005D19E2">
        <w:t>To ensure national consistency, evaluation and reporting shall be undertaken in accordance with any procedures or methods agreed by participating jurisdictions.</w:t>
      </w:r>
    </w:p>
    <w:p w14:paraId="0A0849F4" w14:textId="77777777" w:rsidR="005A494A" w:rsidRDefault="005A494A" w:rsidP="005A494A">
      <w:pPr>
        <w:pStyle w:val="R2"/>
      </w:pPr>
      <w:r>
        <w:tab/>
        <w:t>(3)</w:t>
      </w:r>
      <w:r>
        <w:tab/>
      </w:r>
      <w:r w:rsidR="00A81D63">
        <w:t>Participating j</w:t>
      </w:r>
      <w:r>
        <w:t xml:space="preserve">urisdictions may provide an evaluation of a region </w:t>
      </w:r>
      <w:proofErr w:type="gramStart"/>
      <w:r>
        <w:t>as a whole against</w:t>
      </w:r>
      <w:proofErr w:type="gramEnd"/>
      <w:r>
        <w:t xml:space="preserve"> the standards using appropriate methodologies that provide equivalent information for assessment purposes.</w:t>
      </w:r>
    </w:p>
    <w:p w14:paraId="7B09CDE9" w14:textId="77777777" w:rsidR="005A494A" w:rsidRDefault="005A494A" w:rsidP="005A494A">
      <w:pPr>
        <w:pStyle w:val="R2"/>
        <w:rPr>
          <w:color w:val="000000"/>
        </w:rPr>
      </w:pPr>
      <w:r>
        <w:tab/>
        <w:t>(4)</w:t>
      </w:r>
      <w:r>
        <w:tab/>
        <w:t>Performance must be evaluated as ‘not demonstrated’ if there has been no monitoring or no assessment by an approved alternative method as provided in section 11.</w:t>
      </w:r>
    </w:p>
    <w:p w14:paraId="422D4D4B" w14:textId="77777777" w:rsidR="005A494A" w:rsidRDefault="005A494A" w:rsidP="005A494A">
      <w:pPr>
        <w:pStyle w:val="HR"/>
      </w:pPr>
      <w:bookmarkStart w:id="29" w:name="_Toc2935966"/>
      <w:r>
        <w:rPr>
          <w:rStyle w:val="CharSectno"/>
        </w:rPr>
        <w:t>18</w:t>
      </w:r>
      <w:r>
        <w:tab/>
        <w:t>Reporting</w:t>
      </w:r>
      <w:bookmarkEnd w:id="29"/>
    </w:p>
    <w:p w14:paraId="5EFB1494" w14:textId="77777777" w:rsidR="005A494A" w:rsidRDefault="005A494A" w:rsidP="00182A66">
      <w:pPr>
        <w:pStyle w:val="R2"/>
      </w:pPr>
      <w:r>
        <w:tab/>
        <w:t>(1</w:t>
      </w:r>
      <w:r w:rsidRPr="005D19E2">
        <w:t>)</w:t>
      </w:r>
      <w:r w:rsidR="00A81D63">
        <w:tab/>
      </w:r>
      <w:r>
        <w:t>Each participating jurisdiction must submit a report on its compliance</w:t>
      </w:r>
      <w:r w:rsidR="00E037C4">
        <w:t xml:space="preserve"> </w:t>
      </w:r>
      <w:r>
        <w:t xml:space="preserve">with the </w:t>
      </w:r>
      <w:r w:rsidRPr="00406BB9">
        <w:t>Measure, other than in relation to table 2 of Schedule 2, in</w:t>
      </w:r>
      <w:r>
        <w:t xml:space="preserve"> an approved form to Council by the 30 June next following each reporting</w:t>
      </w:r>
      <w:r w:rsidR="00E037C4">
        <w:t xml:space="preserve"> </w:t>
      </w:r>
      <w:r>
        <w:t>year.</w:t>
      </w:r>
    </w:p>
    <w:p w14:paraId="615165E7" w14:textId="77777777" w:rsidR="005A494A" w:rsidRDefault="005A494A" w:rsidP="005A494A">
      <w:pPr>
        <w:pStyle w:val="R1"/>
        <w:rPr>
          <w:color w:val="000000"/>
        </w:rPr>
      </w:pPr>
      <w:r>
        <w:tab/>
        <w:t>(2)</w:t>
      </w:r>
      <w:r>
        <w:tab/>
        <w:t>In this section</w:t>
      </w:r>
      <w:r>
        <w:rPr>
          <w:b/>
          <w:bCs/>
          <w:i/>
          <w:iCs/>
        </w:rPr>
        <w:t xml:space="preserve"> reporting year</w:t>
      </w:r>
      <w:r>
        <w:t xml:space="preserve"> means a year ending on 31 December.</w:t>
      </w:r>
    </w:p>
    <w:p w14:paraId="0ABF3D97" w14:textId="77777777" w:rsidR="005A494A" w:rsidRDefault="005A494A" w:rsidP="005A494A">
      <w:pPr>
        <w:pStyle w:val="R2"/>
        <w:rPr>
          <w:color w:val="000000"/>
        </w:rPr>
      </w:pPr>
      <w:r>
        <w:rPr>
          <w:color w:val="000000"/>
        </w:rPr>
        <w:tab/>
      </w:r>
      <w:r w:rsidR="00E037C4">
        <w:rPr>
          <w:color w:val="000000"/>
        </w:rPr>
        <w:t>(2A)</w:t>
      </w:r>
      <w:r>
        <w:rPr>
          <w:color w:val="000000"/>
        </w:rPr>
        <w:tab/>
        <w:t>The report must include:</w:t>
      </w:r>
    </w:p>
    <w:p w14:paraId="65AA8832" w14:textId="77777777" w:rsidR="005A494A" w:rsidRDefault="005A494A" w:rsidP="005A494A">
      <w:pPr>
        <w:pStyle w:val="P1"/>
      </w:pPr>
      <w:r>
        <w:tab/>
        <w:t>(a)</w:t>
      </w:r>
      <w:r>
        <w:tab/>
        <w:t>the evaluations and assessments mentioned in section 17; and</w:t>
      </w:r>
    </w:p>
    <w:p w14:paraId="5A37C4CC" w14:textId="77777777" w:rsidR="005A494A" w:rsidRDefault="005A494A" w:rsidP="005A494A">
      <w:pPr>
        <w:pStyle w:val="P1"/>
      </w:pPr>
      <w:r>
        <w:tab/>
        <w:t>(b)</w:t>
      </w:r>
      <w:r>
        <w:tab/>
        <w:t>an analysis of the extent to which the standards of this Measure are, or are not, met in the jurisdiction; and</w:t>
      </w:r>
    </w:p>
    <w:p w14:paraId="2885AFC3" w14:textId="77777777" w:rsidR="005A494A" w:rsidRDefault="005A494A" w:rsidP="005A494A">
      <w:pPr>
        <w:pStyle w:val="P1"/>
      </w:pPr>
      <w:r>
        <w:tab/>
        <w:t>(c)</w:t>
      </w:r>
      <w:r>
        <w:tab/>
        <w:t>a statement of the progress made towards achieving the goal.</w:t>
      </w:r>
    </w:p>
    <w:p w14:paraId="2BB483AA" w14:textId="77777777" w:rsidR="005A494A" w:rsidRDefault="005A494A" w:rsidP="005A494A">
      <w:pPr>
        <w:pStyle w:val="R2"/>
      </w:pPr>
      <w:r>
        <w:tab/>
        <w:t>(3)</w:t>
      </w:r>
      <w:r>
        <w:tab/>
        <w:t xml:space="preserve">The description of the circumstances which led to </w:t>
      </w:r>
      <w:r w:rsidR="00B33440">
        <w:t>exceedances</w:t>
      </w:r>
      <w:r>
        <w:t>, including the influence of natural events and fire management, must be reported to the extent that such information can be determined.</w:t>
      </w:r>
    </w:p>
    <w:p w14:paraId="472BD099" w14:textId="77777777" w:rsidR="005A494A" w:rsidRDefault="005A494A" w:rsidP="005A494A">
      <w:pPr>
        <w:pStyle w:val="R2"/>
      </w:pPr>
      <w:r>
        <w:tab/>
      </w:r>
      <w:r w:rsidRPr="00775E0D">
        <w:t>(3A)</w:t>
      </w:r>
      <w:r w:rsidRPr="00775E0D">
        <w:tab/>
        <w:t xml:space="preserve">When reporting against </w:t>
      </w:r>
      <w:r>
        <w:t xml:space="preserve">the </w:t>
      </w:r>
      <w:r w:rsidRPr="00775E0D">
        <w:t>PM</w:t>
      </w:r>
      <w:r w:rsidRPr="00775E0D">
        <w:rPr>
          <w:vertAlign w:val="subscript"/>
        </w:rPr>
        <w:t>10</w:t>
      </w:r>
      <w:r w:rsidRPr="00775E0D">
        <w:t xml:space="preserve"> and PM</w:t>
      </w:r>
      <w:r w:rsidRPr="00775E0D">
        <w:rPr>
          <w:vertAlign w:val="subscript"/>
        </w:rPr>
        <w:t>2.5</w:t>
      </w:r>
      <w:r w:rsidRPr="00775E0D">
        <w:t xml:space="preserve"> 1 day average </w:t>
      </w:r>
      <w:r>
        <w:t>and photochemical oxidants (as ozone) 8 hour average</w:t>
      </w:r>
      <w:r w:rsidRPr="00775E0D">
        <w:t xml:space="preserve"> standards </w:t>
      </w:r>
      <w:r>
        <w:t>specified in this measure,</w:t>
      </w:r>
      <w:r w:rsidR="00FB4635">
        <w:t xml:space="preserve"> participating</w:t>
      </w:r>
      <w:r>
        <w:t xml:space="preserve"> </w:t>
      </w:r>
      <w:r w:rsidRPr="00775E0D">
        <w:t xml:space="preserve">jurisdictions will </w:t>
      </w:r>
      <w:r>
        <w:t xml:space="preserve">report all measured data, including monitoring data that is directly associated with an exceptional event, and </w:t>
      </w:r>
      <w:r w:rsidRPr="00775E0D">
        <w:t>identify and describe any exceptional event.</w:t>
      </w:r>
    </w:p>
    <w:p w14:paraId="76EE4E20" w14:textId="77777777" w:rsidR="005A494A" w:rsidRDefault="005A494A" w:rsidP="005A494A">
      <w:pPr>
        <w:pStyle w:val="R2"/>
      </w:pPr>
      <w:r>
        <w:lastRenderedPageBreak/>
        <w:tab/>
      </w:r>
      <w:r w:rsidRPr="00775E0D">
        <w:t>(3B)</w:t>
      </w:r>
      <w:r w:rsidRPr="00775E0D">
        <w:tab/>
      </w:r>
      <w:r w:rsidR="00E037C4">
        <w:t>Participating j</w:t>
      </w:r>
      <w:r w:rsidRPr="00775E0D">
        <w:t>urisdictions are to maintain and make available records relating to the determination of exceptional events.</w:t>
      </w:r>
    </w:p>
    <w:p w14:paraId="2F382BF2" w14:textId="77777777" w:rsidR="005A494A" w:rsidRDefault="005A494A" w:rsidP="005A494A">
      <w:pPr>
        <w:pStyle w:val="R2"/>
      </w:pPr>
      <w:r>
        <w:tab/>
      </w:r>
      <w:r w:rsidRPr="00775E0D">
        <w:t>(3C)</w:t>
      </w:r>
      <w:r w:rsidRPr="00775E0D">
        <w:tab/>
        <w:t xml:space="preserve">For the purpose of reporting compliance against </w:t>
      </w:r>
      <w:r>
        <w:t xml:space="preserve">the </w:t>
      </w:r>
      <w:r w:rsidRPr="00775E0D">
        <w:t>PM</w:t>
      </w:r>
      <w:r w:rsidRPr="00775E0D">
        <w:rPr>
          <w:vertAlign w:val="subscript"/>
        </w:rPr>
        <w:t>10</w:t>
      </w:r>
      <w:r w:rsidRPr="00775E0D">
        <w:t xml:space="preserve"> and PM</w:t>
      </w:r>
      <w:r w:rsidRPr="00775E0D">
        <w:rPr>
          <w:vertAlign w:val="subscript"/>
        </w:rPr>
        <w:t>2.5</w:t>
      </w:r>
      <w:r w:rsidRPr="00775E0D">
        <w:t xml:space="preserve"> 1 day average </w:t>
      </w:r>
      <w:r w:rsidRPr="00940EA8">
        <w:t xml:space="preserve">and </w:t>
      </w:r>
      <w:r>
        <w:t>photochemical oxidants (as ozone)</w:t>
      </w:r>
      <w:r w:rsidRPr="00940EA8">
        <w:t xml:space="preserve"> 8 hour average</w:t>
      </w:r>
      <w:r w:rsidRPr="00775E0D">
        <w:t xml:space="preserve"> standards</w:t>
      </w:r>
      <w:r>
        <w:t xml:space="preserve"> specified in this measure</w:t>
      </w:r>
      <w:r w:rsidRPr="00775E0D">
        <w:t xml:space="preserve">, </w:t>
      </w:r>
      <w:r w:rsidR="00E037C4">
        <w:t xml:space="preserve">participating </w:t>
      </w:r>
      <w:r w:rsidRPr="00775E0D">
        <w:t>jurisdictions shall exclude monitoring data that has been determined as being directly associated with an exceptional event.</w:t>
      </w:r>
    </w:p>
    <w:p w14:paraId="18FAA262" w14:textId="77777777" w:rsidR="005A494A" w:rsidRDefault="005A494A" w:rsidP="005A494A">
      <w:pPr>
        <w:pStyle w:val="R2"/>
      </w:pPr>
      <w:r>
        <w:tab/>
      </w:r>
      <w:r w:rsidRPr="00775E0D">
        <w:t>(3D)</w:t>
      </w:r>
      <w:r w:rsidRPr="00775E0D">
        <w:tab/>
        <w:t xml:space="preserve">For the purpose of reporting compliance against </w:t>
      </w:r>
      <w:r>
        <w:t xml:space="preserve">the </w:t>
      </w:r>
      <w:r w:rsidRPr="00775E0D">
        <w:t>PM</w:t>
      </w:r>
      <w:r w:rsidRPr="00775E0D">
        <w:rPr>
          <w:vertAlign w:val="subscript"/>
        </w:rPr>
        <w:t>10</w:t>
      </w:r>
      <w:r w:rsidRPr="00775E0D">
        <w:t xml:space="preserve"> and PM</w:t>
      </w:r>
      <w:r w:rsidRPr="00775E0D">
        <w:rPr>
          <w:vertAlign w:val="subscript"/>
        </w:rPr>
        <w:t>2.5</w:t>
      </w:r>
      <w:r w:rsidRPr="00775E0D">
        <w:t xml:space="preserve"> </w:t>
      </w:r>
      <w:proofErr w:type="gramStart"/>
      <w:r w:rsidRPr="00775E0D">
        <w:t>1 year</w:t>
      </w:r>
      <w:proofErr w:type="gramEnd"/>
      <w:r w:rsidRPr="00775E0D">
        <w:t xml:space="preserve"> average standards</w:t>
      </w:r>
      <w:r>
        <w:t xml:space="preserve"> specified in this measure</w:t>
      </w:r>
      <w:r w:rsidRPr="00775E0D">
        <w:t xml:space="preserve">, </w:t>
      </w:r>
      <w:r w:rsidR="00FB4635">
        <w:t xml:space="preserve">participating </w:t>
      </w:r>
      <w:r w:rsidRPr="00775E0D">
        <w:t xml:space="preserve">jurisdictions shall include all </w:t>
      </w:r>
      <w:r>
        <w:t xml:space="preserve">measured </w:t>
      </w:r>
      <w:r w:rsidRPr="00775E0D">
        <w:t xml:space="preserve">data, including monitoring data that </w:t>
      </w:r>
      <w:r>
        <w:t>is</w:t>
      </w:r>
      <w:r w:rsidRPr="00775E0D">
        <w:t xml:space="preserve"> directly associated with an exceptional event.</w:t>
      </w:r>
    </w:p>
    <w:p w14:paraId="6234374E" w14:textId="77777777" w:rsidR="005A494A" w:rsidRDefault="005A494A" w:rsidP="005A494A">
      <w:pPr>
        <w:pStyle w:val="Note"/>
      </w:pPr>
      <w:r w:rsidRPr="00775E0D">
        <w:t xml:space="preserve">Note   To ensure national consistency, all reporting or record-keeping referred to in </w:t>
      </w:r>
      <w:r>
        <w:t>subsections</w:t>
      </w:r>
      <w:r w:rsidRPr="00775E0D">
        <w:t xml:space="preserve"> </w:t>
      </w:r>
      <w:r>
        <w:t>18(3A), (3B), (3C) or (3D)</w:t>
      </w:r>
      <w:r w:rsidRPr="00775E0D">
        <w:t xml:space="preserve"> shall be undertaken in accordance with any procedures or methods agreed by participating jurisdictions.</w:t>
      </w:r>
    </w:p>
    <w:p w14:paraId="083AA3E6" w14:textId="77777777" w:rsidR="005A494A" w:rsidRDefault="005A494A" w:rsidP="005A494A">
      <w:pPr>
        <w:pStyle w:val="R2"/>
      </w:pPr>
      <w:r>
        <w:tab/>
        <w:t>(4)</w:t>
      </w:r>
      <w:r>
        <w:tab/>
        <w:t xml:space="preserve">A report for a pollutant must include the percentage of data available in the reporting period. </w:t>
      </w:r>
    </w:p>
    <w:p w14:paraId="4CAE6BFF" w14:textId="2D4CCEA2" w:rsidR="00393A9F" w:rsidRPr="00F54B78" w:rsidRDefault="005A494A" w:rsidP="005A494A">
      <w:pPr>
        <w:pStyle w:val="A1S"/>
        <w:rPr>
          <w:bCs/>
          <w:i/>
        </w:rPr>
      </w:pPr>
      <w:r>
        <w:t xml:space="preserve"> </w:t>
      </w:r>
      <w:r w:rsidR="009C24AD">
        <w:t>[</w:t>
      </w:r>
      <w:r w:rsidR="00BA296D">
        <w:fldChar w:fldCharType="begin"/>
      </w:r>
      <w:r w:rsidR="00687B0E">
        <w:instrText xml:space="preserve"> SEQ Sch1Item </w:instrText>
      </w:r>
      <w:r w:rsidR="00BA296D">
        <w:fldChar w:fldCharType="separate"/>
      </w:r>
      <w:r w:rsidR="00AE0D22">
        <w:rPr>
          <w:noProof/>
        </w:rPr>
        <w:t>4</w:t>
      </w:r>
      <w:r w:rsidR="00BA296D">
        <w:rPr>
          <w:noProof/>
        </w:rPr>
        <w:fldChar w:fldCharType="end"/>
      </w:r>
      <w:r w:rsidR="009C24AD">
        <w:t>]</w:t>
      </w:r>
      <w:r w:rsidR="00B36EA7">
        <w:tab/>
      </w:r>
      <w:r>
        <w:t>Schedules 2 and 3</w:t>
      </w:r>
    </w:p>
    <w:p w14:paraId="5A71ED60" w14:textId="2512ECDF" w:rsidR="00B36EA7" w:rsidRPr="005A494A" w:rsidRDefault="009B2AE8" w:rsidP="00B36EA7">
      <w:pPr>
        <w:pStyle w:val="A2S"/>
        <w:rPr>
          <w:i w:val="0"/>
        </w:rPr>
      </w:pPr>
      <w:r w:rsidRPr="005A494A">
        <w:rPr>
          <w:i w:val="0"/>
        </w:rPr>
        <w:t>R</w:t>
      </w:r>
      <w:r w:rsidR="00B36EA7" w:rsidRPr="005A494A">
        <w:rPr>
          <w:i w:val="0"/>
        </w:rPr>
        <w:t>epeal</w:t>
      </w:r>
      <w:r w:rsidR="009546B9" w:rsidRPr="005A494A">
        <w:rPr>
          <w:i w:val="0"/>
        </w:rPr>
        <w:t xml:space="preserve"> the </w:t>
      </w:r>
      <w:r w:rsidR="005A494A">
        <w:rPr>
          <w:i w:val="0"/>
        </w:rPr>
        <w:t>Schedules</w:t>
      </w:r>
      <w:r w:rsidR="00B36EA7" w:rsidRPr="005A494A">
        <w:rPr>
          <w:i w:val="0"/>
        </w:rPr>
        <w:t>, substitute</w:t>
      </w:r>
      <w:r w:rsidR="008754CC" w:rsidRPr="005A494A">
        <w:rPr>
          <w:i w:val="0"/>
        </w:rPr>
        <w:t>:</w:t>
      </w:r>
      <w:r w:rsidR="00B36EA7" w:rsidRPr="005A494A">
        <w:rPr>
          <w:i w:val="0"/>
        </w:rPr>
        <w:t xml:space="preserve"> </w:t>
      </w:r>
    </w:p>
    <w:p w14:paraId="5FAC709D" w14:textId="77777777" w:rsidR="005A494A" w:rsidRDefault="005A494A" w:rsidP="005A494A">
      <w:pPr>
        <w:pStyle w:val="Scheduletitle"/>
        <w:pageBreakBefore/>
      </w:pPr>
      <w:bookmarkStart w:id="30" w:name="_Toc2935968"/>
      <w:r>
        <w:rPr>
          <w:rStyle w:val="CharAmSchNo"/>
        </w:rPr>
        <w:lastRenderedPageBreak/>
        <w:t>Schedule 2</w:t>
      </w:r>
      <w:r>
        <w:tab/>
      </w:r>
      <w:r>
        <w:rPr>
          <w:rStyle w:val="CharAmSchText"/>
        </w:rPr>
        <w:t>Standards and Goal</w:t>
      </w:r>
      <w:bookmarkEnd w:id="30"/>
      <w:r>
        <w:rPr>
          <w:rStyle w:val="CharAmSchText"/>
        </w:rPr>
        <w:t xml:space="preserve"> </w:t>
      </w:r>
    </w:p>
    <w:p w14:paraId="756910B9" w14:textId="4682F58A" w:rsidR="005A494A" w:rsidRDefault="005A494A" w:rsidP="005A494A">
      <w:pPr>
        <w:pStyle w:val="ScheduleHeading"/>
        <w:spacing w:after="120"/>
        <w:ind w:firstLine="0"/>
      </w:pPr>
      <w:r w:rsidRPr="00A70AF6">
        <w:t xml:space="preserve">Table </w:t>
      </w:r>
      <w:r w:rsidR="00907DB3">
        <w:rPr>
          <w:noProof/>
        </w:rPr>
        <w:fldChar w:fldCharType="begin"/>
      </w:r>
      <w:r w:rsidR="00907DB3">
        <w:rPr>
          <w:noProof/>
        </w:rPr>
        <w:instrText xml:space="preserve"> SEQ Table \* ARABIC </w:instrText>
      </w:r>
      <w:r w:rsidR="00907DB3">
        <w:rPr>
          <w:noProof/>
        </w:rPr>
        <w:fldChar w:fldCharType="separate"/>
      </w:r>
      <w:r w:rsidR="00AE0D22">
        <w:rPr>
          <w:noProof/>
        </w:rPr>
        <w:t>1</w:t>
      </w:r>
      <w:r w:rsidR="00907DB3">
        <w:rPr>
          <w:noProof/>
        </w:rPr>
        <w:fldChar w:fldCharType="end"/>
      </w:r>
      <w:r w:rsidRPr="00A70AF6">
        <w:t xml:space="preserve">: Standards </w:t>
      </w:r>
      <w:r>
        <w:t>for Pollutants</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3"/>
        <w:gridCol w:w="1630"/>
        <w:gridCol w:w="2339"/>
      </w:tblGrid>
      <w:tr w:rsidR="005A494A" w:rsidRPr="00B8790A" w14:paraId="4C9F62FD" w14:textId="77777777" w:rsidTr="004553EF">
        <w:tc>
          <w:tcPr>
            <w:tcW w:w="1134" w:type="dxa"/>
          </w:tcPr>
          <w:p w14:paraId="5AB3734E"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Column 1</w:t>
            </w:r>
          </w:p>
          <w:p w14:paraId="315B58F8"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Item</w:t>
            </w:r>
          </w:p>
        </w:tc>
        <w:tc>
          <w:tcPr>
            <w:tcW w:w="2263" w:type="dxa"/>
          </w:tcPr>
          <w:p w14:paraId="1870EF93"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Column 2</w:t>
            </w:r>
          </w:p>
          <w:p w14:paraId="3FA386D6"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Pollutant</w:t>
            </w:r>
          </w:p>
        </w:tc>
        <w:tc>
          <w:tcPr>
            <w:tcW w:w="1630" w:type="dxa"/>
          </w:tcPr>
          <w:p w14:paraId="7F788E90"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Column 3</w:t>
            </w:r>
          </w:p>
          <w:p w14:paraId="4F022DD0"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Averaging period</w:t>
            </w:r>
          </w:p>
        </w:tc>
        <w:tc>
          <w:tcPr>
            <w:tcW w:w="2339" w:type="dxa"/>
          </w:tcPr>
          <w:p w14:paraId="21A45603"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Column 4</w:t>
            </w:r>
          </w:p>
          <w:p w14:paraId="38847593"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Maximum concentration standard</w:t>
            </w:r>
          </w:p>
        </w:tc>
      </w:tr>
      <w:tr w:rsidR="005A494A" w:rsidRPr="00B8790A" w14:paraId="3137CD36" w14:textId="77777777" w:rsidTr="004553EF">
        <w:tc>
          <w:tcPr>
            <w:tcW w:w="1134" w:type="dxa"/>
          </w:tcPr>
          <w:p w14:paraId="19A574E8" w14:textId="77777777" w:rsidR="005A494A" w:rsidRPr="003F7ACE" w:rsidRDefault="005A494A" w:rsidP="004553EF">
            <w:pPr>
              <w:spacing w:beforeLines="40" w:before="96" w:afterLines="40" w:after="96"/>
              <w:jc w:val="center"/>
              <w:rPr>
                <w:sz w:val="20"/>
                <w:szCs w:val="20"/>
              </w:rPr>
            </w:pPr>
            <w:r w:rsidRPr="003F7ACE">
              <w:rPr>
                <w:sz w:val="20"/>
                <w:szCs w:val="20"/>
              </w:rPr>
              <w:t>1</w:t>
            </w:r>
          </w:p>
        </w:tc>
        <w:tc>
          <w:tcPr>
            <w:tcW w:w="2263" w:type="dxa"/>
          </w:tcPr>
          <w:p w14:paraId="7B829875" w14:textId="77777777" w:rsidR="005A494A" w:rsidRPr="003F7ACE" w:rsidRDefault="005A494A" w:rsidP="004553EF">
            <w:pPr>
              <w:spacing w:beforeLines="40" w:before="96" w:afterLines="40" w:after="96"/>
              <w:rPr>
                <w:sz w:val="20"/>
                <w:szCs w:val="20"/>
              </w:rPr>
            </w:pPr>
            <w:r w:rsidRPr="003F7ACE">
              <w:rPr>
                <w:sz w:val="20"/>
                <w:szCs w:val="20"/>
              </w:rPr>
              <w:t>Carbon monoxide</w:t>
            </w:r>
          </w:p>
        </w:tc>
        <w:tc>
          <w:tcPr>
            <w:tcW w:w="1630" w:type="dxa"/>
          </w:tcPr>
          <w:p w14:paraId="5C1FB8D6" w14:textId="77777777" w:rsidR="005A494A" w:rsidRPr="003F7ACE" w:rsidRDefault="005A494A" w:rsidP="004553EF">
            <w:pPr>
              <w:spacing w:beforeLines="40" w:before="96" w:afterLines="40" w:after="96"/>
              <w:rPr>
                <w:sz w:val="20"/>
                <w:szCs w:val="20"/>
              </w:rPr>
            </w:pPr>
            <w:r w:rsidRPr="003F7ACE">
              <w:rPr>
                <w:sz w:val="20"/>
                <w:szCs w:val="20"/>
              </w:rPr>
              <w:t>8 hours</w:t>
            </w:r>
          </w:p>
        </w:tc>
        <w:tc>
          <w:tcPr>
            <w:tcW w:w="2339" w:type="dxa"/>
          </w:tcPr>
          <w:p w14:paraId="4802DF28" w14:textId="77777777" w:rsidR="005A494A" w:rsidRPr="003F7ACE" w:rsidRDefault="005A494A" w:rsidP="004553EF">
            <w:pPr>
              <w:spacing w:beforeLines="40" w:before="96" w:afterLines="40" w:after="96"/>
              <w:rPr>
                <w:sz w:val="20"/>
                <w:szCs w:val="20"/>
              </w:rPr>
            </w:pPr>
            <w:r w:rsidRPr="003F7ACE">
              <w:rPr>
                <w:sz w:val="20"/>
                <w:szCs w:val="20"/>
              </w:rPr>
              <w:t>9.0 ppm</w:t>
            </w:r>
          </w:p>
        </w:tc>
      </w:tr>
      <w:tr w:rsidR="005A494A" w:rsidRPr="00B8790A" w14:paraId="1C24D2BC" w14:textId="77777777" w:rsidTr="004553EF">
        <w:tc>
          <w:tcPr>
            <w:tcW w:w="1134" w:type="dxa"/>
          </w:tcPr>
          <w:p w14:paraId="44C855A0" w14:textId="77777777" w:rsidR="005A494A" w:rsidRPr="003F7ACE" w:rsidRDefault="005A494A" w:rsidP="004553EF">
            <w:pPr>
              <w:spacing w:before="40" w:afterLines="40" w:after="96"/>
              <w:jc w:val="center"/>
              <w:rPr>
                <w:sz w:val="20"/>
                <w:szCs w:val="20"/>
              </w:rPr>
            </w:pPr>
            <w:r w:rsidRPr="003F7ACE">
              <w:rPr>
                <w:sz w:val="20"/>
                <w:szCs w:val="20"/>
              </w:rPr>
              <w:t>2</w:t>
            </w:r>
          </w:p>
        </w:tc>
        <w:tc>
          <w:tcPr>
            <w:tcW w:w="2263" w:type="dxa"/>
          </w:tcPr>
          <w:p w14:paraId="5489C021" w14:textId="77777777" w:rsidR="005A494A" w:rsidRPr="003F7ACE" w:rsidRDefault="005A494A" w:rsidP="004553EF">
            <w:pPr>
              <w:spacing w:before="40" w:afterLines="40" w:after="96"/>
              <w:rPr>
                <w:sz w:val="20"/>
                <w:szCs w:val="20"/>
              </w:rPr>
            </w:pPr>
            <w:r w:rsidRPr="003F7ACE">
              <w:rPr>
                <w:sz w:val="20"/>
                <w:szCs w:val="20"/>
              </w:rPr>
              <w:t>Nitrogen dioxide</w:t>
            </w:r>
          </w:p>
        </w:tc>
        <w:tc>
          <w:tcPr>
            <w:tcW w:w="1630" w:type="dxa"/>
          </w:tcPr>
          <w:p w14:paraId="439C8622" w14:textId="77777777" w:rsidR="005A494A" w:rsidRPr="003F7ACE" w:rsidRDefault="005A494A" w:rsidP="004553EF">
            <w:pPr>
              <w:spacing w:before="40" w:afterLines="40" w:after="96"/>
              <w:rPr>
                <w:sz w:val="20"/>
                <w:szCs w:val="20"/>
              </w:rPr>
            </w:pPr>
            <w:r w:rsidRPr="003F7ACE">
              <w:rPr>
                <w:sz w:val="20"/>
                <w:szCs w:val="20"/>
              </w:rPr>
              <w:t>1 hour</w:t>
            </w:r>
          </w:p>
          <w:p w14:paraId="66D29F84" w14:textId="77777777" w:rsidR="005A494A" w:rsidRPr="003F7ACE" w:rsidRDefault="005A494A" w:rsidP="004553EF">
            <w:pPr>
              <w:spacing w:before="40" w:afterLines="40" w:after="96"/>
              <w:rPr>
                <w:sz w:val="20"/>
                <w:szCs w:val="20"/>
              </w:rPr>
            </w:pPr>
            <w:r w:rsidRPr="003F7ACE">
              <w:rPr>
                <w:sz w:val="20"/>
                <w:szCs w:val="20"/>
              </w:rPr>
              <w:t>1 year</w:t>
            </w:r>
          </w:p>
        </w:tc>
        <w:tc>
          <w:tcPr>
            <w:tcW w:w="2339" w:type="dxa"/>
          </w:tcPr>
          <w:p w14:paraId="393E6AA3" w14:textId="77777777" w:rsidR="005A494A" w:rsidRPr="00B0340B" w:rsidRDefault="005A494A" w:rsidP="004553EF">
            <w:pPr>
              <w:spacing w:before="40" w:afterLines="40" w:after="96"/>
              <w:rPr>
                <w:sz w:val="20"/>
                <w:szCs w:val="20"/>
              </w:rPr>
            </w:pPr>
            <w:r w:rsidRPr="00B0340B">
              <w:rPr>
                <w:sz w:val="20"/>
                <w:szCs w:val="20"/>
              </w:rPr>
              <w:t>0.</w:t>
            </w:r>
            <w:r w:rsidR="0020359F" w:rsidRPr="00B0340B">
              <w:rPr>
                <w:sz w:val="20"/>
                <w:szCs w:val="20"/>
              </w:rPr>
              <w:t>08</w:t>
            </w:r>
            <w:r w:rsidRPr="00B0340B">
              <w:rPr>
                <w:sz w:val="20"/>
                <w:szCs w:val="20"/>
              </w:rPr>
              <w:t xml:space="preserve"> ppm</w:t>
            </w:r>
          </w:p>
          <w:p w14:paraId="2A8DC755" w14:textId="77777777" w:rsidR="005A494A" w:rsidRPr="003F7ACE" w:rsidRDefault="005A494A" w:rsidP="004553EF">
            <w:pPr>
              <w:spacing w:before="40" w:afterLines="40" w:after="96"/>
              <w:rPr>
                <w:sz w:val="20"/>
                <w:szCs w:val="20"/>
              </w:rPr>
            </w:pPr>
            <w:r w:rsidRPr="00B0340B">
              <w:rPr>
                <w:sz w:val="20"/>
                <w:szCs w:val="20"/>
              </w:rPr>
              <w:t>0.0</w:t>
            </w:r>
            <w:r w:rsidR="0020359F" w:rsidRPr="00B0340B">
              <w:rPr>
                <w:sz w:val="20"/>
                <w:szCs w:val="20"/>
              </w:rPr>
              <w:t>15</w:t>
            </w:r>
            <w:r w:rsidRPr="00B0340B">
              <w:rPr>
                <w:sz w:val="20"/>
                <w:szCs w:val="20"/>
              </w:rPr>
              <w:t xml:space="preserve"> ppm</w:t>
            </w:r>
          </w:p>
        </w:tc>
      </w:tr>
      <w:tr w:rsidR="005A494A" w:rsidRPr="00B8790A" w14:paraId="146FDE11" w14:textId="77777777" w:rsidTr="004553EF">
        <w:tc>
          <w:tcPr>
            <w:tcW w:w="1134" w:type="dxa"/>
          </w:tcPr>
          <w:p w14:paraId="4BB53B61" w14:textId="77777777" w:rsidR="005A494A" w:rsidRPr="003F7ACE" w:rsidRDefault="005A494A" w:rsidP="004553EF">
            <w:pPr>
              <w:spacing w:before="40" w:afterLines="40" w:after="96"/>
              <w:jc w:val="center"/>
              <w:rPr>
                <w:sz w:val="20"/>
                <w:szCs w:val="20"/>
              </w:rPr>
            </w:pPr>
            <w:r w:rsidRPr="003F7ACE">
              <w:rPr>
                <w:sz w:val="20"/>
                <w:szCs w:val="20"/>
              </w:rPr>
              <w:t>3</w:t>
            </w:r>
          </w:p>
        </w:tc>
        <w:tc>
          <w:tcPr>
            <w:tcW w:w="2263" w:type="dxa"/>
          </w:tcPr>
          <w:p w14:paraId="02B3E437" w14:textId="77777777" w:rsidR="005A494A" w:rsidRPr="003F7ACE" w:rsidRDefault="005A494A" w:rsidP="004553EF">
            <w:pPr>
              <w:spacing w:before="40" w:afterLines="40" w:after="96"/>
              <w:rPr>
                <w:sz w:val="20"/>
                <w:szCs w:val="20"/>
              </w:rPr>
            </w:pPr>
            <w:r w:rsidRPr="003F7ACE">
              <w:rPr>
                <w:sz w:val="20"/>
                <w:szCs w:val="20"/>
              </w:rPr>
              <w:t>Photochemical oxidants (as ozone)</w:t>
            </w:r>
          </w:p>
        </w:tc>
        <w:tc>
          <w:tcPr>
            <w:tcW w:w="1630" w:type="dxa"/>
          </w:tcPr>
          <w:p w14:paraId="4A46BBA4" w14:textId="77777777" w:rsidR="005A494A" w:rsidRPr="003F7ACE" w:rsidRDefault="005A494A" w:rsidP="004553EF">
            <w:pPr>
              <w:spacing w:before="40" w:afterLines="40" w:after="96"/>
              <w:rPr>
                <w:sz w:val="20"/>
                <w:szCs w:val="20"/>
              </w:rPr>
            </w:pPr>
            <w:r>
              <w:rPr>
                <w:sz w:val="20"/>
                <w:szCs w:val="20"/>
              </w:rPr>
              <w:t>8 hours</w:t>
            </w:r>
          </w:p>
        </w:tc>
        <w:tc>
          <w:tcPr>
            <w:tcW w:w="2339" w:type="dxa"/>
          </w:tcPr>
          <w:p w14:paraId="16995C1F" w14:textId="77777777" w:rsidR="005A494A" w:rsidRPr="003F7ACE" w:rsidRDefault="005A494A" w:rsidP="004553EF">
            <w:pPr>
              <w:spacing w:before="40" w:afterLines="40" w:after="96"/>
              <w:rPr>
                <w:sz w:val="20"/>
                <w:szCs w:val="20"/>
              </w:rPr>
            </w:pPr>
            <w:r>
              <w:rPr>
                <w:sz w:val="20"/>
                <w:szCs w:val="20"/>
              </w:rPr>
              <w:t>0.065 ppm</w:t>
            </w:r>
          </w:p>
        </w:tc>
      </w:tr>
      <w:tr w:rsidR="005A494A" w:rsidRPr="00B8790A" w14:paraId="37E2FE37" w14:textId="77777777" w:rsidTr="004553EF">
        <w:tc>
          <w:tcPr>
            <w:tcW w:w="1134" w:type="dxa"/>
          </w:tcPr>
          <w:p w14:paraId="22A6EC9F" w14:textId="77777777" w:rsidR="005A494A" w:rsidRPr="003F7ACE" w:rsidRDefault="005A494A" w:rsidP="004553EF">
            <w:pPr>
              <w:spacing w:before="40" w:afterLines="40" w:after="96"/>
              <w:jc w:val="center"/>
              <w:rPr>
                <w:sz w:val="20"/>
                <w:szCs w:val="20"/>
              </w:rPr>
            </w:pPr>
            <w:r w:rsidRPr="003F7ACE">
              <w:rPr>
                <w:sz w:val="20"/>
                <w:szCs w:val="20"/>
              </w:rPr>
              <w:t>4</w:t>
            </w:r>
          </w:p>
        </w:tc>
        <w:tc>
          <w:tcPr>
            <w:tcW w:w="2263" w:type="dxa"/>
          </w:tcPr>
          <w:p w14:paraId="78D05D4F" w14:textId="77777777" w:rsidR="005A494A" w:rsidRPr="003F7ACE" w:rsidRDefault="005A494A" w:rsidP="004553EF">
            <w:pPr>
              <w:spacing w:before="40" w:afterLines="40" w:after="96"/>
              <w:rPr>
                <w:sz w:val="20"/>
                <w:szCs w:val="20"/>
              </w:rPr>
            </w:pPr>
            <w:proofErr w:type="spellStart"/>
            <w:r w:rsidRPr="003F7ACE">
              <w:rPr>
                <w:sz w:val="20"/>
                <w:szCs w:val="20"/>
              </w:rPr>
              <w:t>Sulfur</w:t>
            </w:r>
            <w:proofErr w:type="spellEnd"/>
            <w:r w:rsidRPr="003F7ACE">
              <w:rPr>
                <w:sz w:val="20"/>
                <w:szCs w:val="20"/>
              </w:rPr>
              <w:t xml:space="preserve"> dioxide</w:t>
            </w:r>
          </w:p>
        </w:tc>
        <w:tc>
          <w:tcPr>
            <w:tcW w:w="1630" w:type="dxa"/>
          </w:tcPr>
          <w:p w14:paraId="6C989FD3" w14:textId="77777777" w:rsidR="005A494A" w:rsidRPr="003F7ACE" w:rsidRDefault="005A494A" w:rsidP="004553EF">
            <w:pPr>
              <w:spacing w:before="40" w:afterLines="40" w:after="96"/>
              <w:rPr>
                <w:sz w:val="20"/>
                <w:szCs w:val="20"/>
              </w:rPr>
            </w:pPr>
            <w:r w:rsidRPr="003F7ACE">
              <w:rPr>
                <w:sz w:val="20"/>
                <w:szCs w:val="20"/>
              </w:rPr>
              <w:t>1 hour</w:t>
            </w:r>
          </w:p>
          <w:p w14:paraId="363852DF" w14:textId="77777777" w:rsidR="005A494A" w:rsidRPr="003F7ACE" w:rsidRDefault="005A494A" w:rsidP="004553EF">
            <w:pPr>
              <w:spacing w:before="40" w:afterLines="40" w:after="96"/>
              <w:rPr>
                <w:sz w:val="20"/>
                <w:szCs w:val="20"/>
              </w:rPr>
            </w:pPr>
            <w:r w:rsidRPr="003F7ACE">
              <w:rPr>
                <w:sz w:val="20"/>
                <w:szCs w:val="20"/>
              </w:rPr>
              <w:t>1 day</w:t>
            </w:r>
          </w:p>
        </w:tc>
        <w:tc>
          <w:tcPr>
            <w:tcW w:w="2339" w:type="dxa"/>
          </w:tcPr>
          <w:p w14:paraId="29CFFA2C" w14:textId="77777777" w:rsidR="005A494A" w:rsidRPr="003F7ACE" w:rsidRDefault="005A494A" w:rsidP="004553EF">
            <w:pPr>
              <w:spacing w:before="40" w:afterLines="40" w:after="96"/>
              <w:rPr>
                <w:sz w:val="20"/>
                <w:szCs w:val="20"/>
              </w:rPr>
            </w:pPr>
            <w:r w:rsidRPr="003F7ACE">
              <w:rPr>
                <w:sz w:val="20"/>
                <w:szCs w:val="20"/>
              </w:rPr>
              <w:t>0.</w:t>
            </w:r>
            <w:r>
              <w:rPr>
                <w:sz w:val="20"/>
                <w:szCs w:val="20"/>
              </w:rPr>
              <w:t>10</w:t>
            </w:r>
            <w:r w:rsidRPr="003F7ACE">
              <w:rPr>
                <w:sz w:val="20"/>
                <w:szCs w:val="20"/>
              </w:rPr>
              <w:t xml:space="preserve"> ppm</w:t>
            </w:r>
          </w:p>
          <w:p w14:paraId="2ABD3690" w14:textId="77777777" w:rsidR="005A494A" w:rsidRPr="003F7ACE" w:rsidRDefault="005A494A" w:rsidP="004553EF">
            <w:pPr>
              <w:spacing w:before="40" w:afterLines="40" w:after="96"/>
              <w:rPr>
                <w:sz w:val="20"/>
                <w:szCs w:val="20"/>
              </w:rPr>
            </w:pPr>
            <w:r w:rsidRPr="003F7ACE">
              <w:rPr>
                <w:sz w:val="20"/>
                <w:szCs w:val="20"/>
              </w:rPr>
              <w:t>0.0</w:t>
            </w:r>
            <w:r>
              <w:rPr>
                <w:sz w:val="20"/>
                <w:szCs w:val="20"/>
              </w:rPr>
              <w:t>2</w:t>
            </w:r>
            <w:r w:rsidRPr="003F7ACE">
              <w:rPr>
                <w:sz w:val="20"/>
                <w:szCs w:val="20"/>
              </w:rPr>
              <w:t xml:space="preserve"> ppm</w:t>
            </w:r>
          </w:p>
        </w:tc>
      </w:tr>
      <w:tr w:rsidR="005A494A" w:rsidRPr="00B8790A" w14:paraId="66B03C83" w14:textId="77777777" w:rsidTr="004553EF">
        <w:tc>
          <w:tcPr>
            <w:tcW w:w="1134" w:type="dxa"/>
          </w:tcPr>
          <w:p w14:paraId="1A3F5DE6" w14:textId="77777777" w:rsidR="005A494A" w:rsidRPr="003F7ACE" w:rsidRDefault="005A494A" w:rsidP="004553EF">
            <w:pPr>
              <w:spacing w:beforeLines="40" w:before="96" w:afterLines="40" w:after="96"/>
              <w:jc w:val="center"/>
              <w:rPr>
                <w:sz w:val="20"/>
                <w:szCs w:val="20"/>
              </w:rPr>
            </w:pPr>
            <w:r w:rsidRPr="003F7ACE">
              <w:rPr>
                <w:sz w:val="20"/>
                <w:szCs w:val="20"/>
              </w:rPr>
              <w:t>5</w:t>
            </w:r>
          </w:p>
        </w:tc>
        <w:tc>
          <w:tcPr>
            <w:tcW w:w="2263" w:type="dxa"/>
          </w:tcPr>
          <w:p w14:paraId="0C01F2D6" w14:textId="77777777" w:rsidR="005A494A" w:rsidRPr="003F7ACE" w:rsidRDefault="005A494A" w:rsidP="004553EF">
            <w:pPr>
              <w:spacing w:beforeLines="40" w:before="96" w:afterLines="40" w:after="96"/>
              <w:rPr>
                <w:sz w:val="20"/>
                <w:szCs w:val="20"/>
              </w:rPr>
            </w:pPr>
            <w:r w:rsidRPr="003F7ACE">
              <w:rPr>
                <w:sz w:val="20"/>
                <w:szCs w:val="20"/>
              </w:rPr>
              <w:t>Lead</w:t>
            </w:r>
          </w:p>
        </w:tc>
        <w:tc>
          <w:tcPr>
            <w:tcW w:w="1630" w:type="dxa"/>
          </w:tcPr>
          <w:p w14:paraId="41CDAAA6" w14:textId="77777777" w:rsidR="005A494A" w:rsidRPr="003F7ACE" w:rsidRDefault="005A494A" w:rsidP="004553EF">
            <w:pPr>
              <w:spacing w:beforeLines="40" w:before="96" w:afterLines="40" w:after="96"/>
              <w:rPr>
                <w:sz w:val="20"/>
                <w:szCs w:val="20"/>
              </w:rPr>
            </w:pPr>
            <w:r w:rsidRPr="003F7ACE">
              <w:rPr>
                <w:sz w:val="20"/>
                <w:szCs w:val="20"/>
              </w:rPr>
              <w:t>1 year</w:t>
            </w:r>
          </w:p>
        </w:tc>
        <w:tc>
          <w:tcPr>
            <w:tcW w:w="2339" w:type="dxa"/>
          </w:tcPr>
          <w:p w14:paraId="0A1870E8" w14:textId="77777777" w:rsidR="005A494A" w:rsidRPr="003F7ACE" w:rsidRDefault="005A494A" w:rsidP="004553EF">
            <w:pPr>
              <w:spacing w:beforeLines="40" w:before="96" w:afterLines="40" w:after="96"/>
              <w:rPr>
                <w:sz w:val="20"/>
                <w:szCs w:val="20"/>
              </w:rPr>
            </w:pPr>
            <w:r w:rsidRPr="003F7ACE">
              <w:rPr>
                <w:sz w:val="20"/>
                <w:szCs w:val="20"/>
              </w:rPr>
              <w:t>0.50 µg/m</w:t>
            </w:r>
            <w:r w:rsidRPr="003F7ACE">
              <w:rPr>
                <w:sz w:val="20"/>
                <w:szCs w:val="20"/>
                <w:vertAlign w:val="superscript"/>
              </w:rPr>
              <w:t xml:space="preserve">3 </w:t>
            </w:r>
          </w:p>
        </w:tc>
      </w:tr>
      <w:tr w:rsidR="005A494A" w:rsidRPr="00B8790A" w14:paraId="4D9E6A05" w14:textId="77777777" w:rsidTr="004553EF">
        <w:tc>
          <w:tcPr>
            <w:tcW w:w="1134" w:type="dxa"/>
          </w:tcPr>
          <w:p w14:paraId="120E4B54" w14:textId="77777777" w:rsidR="005A494A" w:rsidRPr="003F7ACE" w:rsidRDefault="005A494A" w:rsidP="004553EF">
            <w:pPr>
              <w:spacing w:before="40" w:afterLines="40" w:after="96"/>
              <w:jc w:val="center"/>
              <w:rPr>
                <w:sz w:val="20"/>
                <w:szCs w:val="20"/>
              </w:rPr>
            </w:pPr>
            <w:r w:rsidRPr="003F7ACE">
              <w:rPr>
                <w:sz w:val="20"/>
                <w:szCs w:val="20"/>
              </w:rPr>
              <w:t>6</w:t>
            </w:r>
          </w:p>
        </w:tc>
        <w:tc>
          <w:tcPr>
            <w:tcW w:w="2263" w:type="dxa"/>
          </w:tcPr>
          <w:p w14:paraId="496C91E8" w14:textId="77777777" w:rsidR="005A494A" w:rsidRPr="003F7ACE" w:rsidRDefault="005A494A" w:rsidP="004553EF">
            <w:pPr>
              <w:spacing w:before="40" w:afterLines="40" w:after="96"/>
              <w:rPr>
                <w:sz w:val="20"/>
                <w:szCs w:val="20"/>
              </w:rPr>
            </w:pPr>
            <w:r w:rsidRPr="003F7ACE">
              <w:rPr>
                <w:sz w:val="20"/>
                <w:szCs w:val="20"/>
              </w:rPr>
              <w:t>Particles as PM</w:t>
            </w:r>
            <w:r w:rsidRPr="003F7ACE">
              <w:rPr>
                <w:sz w:val="20"/>
                <w:szCs w:val="20"/>
                <w:vertAlign w:val="subscript"/>
              </w:rPr>
              <w:t>10</w:t>
            </w:r>
          </w:p>
        </w:tc>
        <w:tc>
          <w:tcPr>
            <w:tcW w:w="1630" w:type="dxa"/>
          </w:tcPr>
          <w:p w14:paraId="65265A8E" w14:textId="77777777" w:rsidR="005A494A" w:rsidRPr="003F7ACE" w:rsidRDefault="005A494A" w:rsidP="004553EF">
            <w:pPr>
              <w:spacing w:before="40" w:afterLines="40" w:after="96"/>
              <w:rPr>
                <w:sz w:val="20"/>
                <w:szCs w:val="20"/>
              </w:rPr>
            </w:pPr>
            <w:r w:rsidRPr="003F7ACE">
              <w:rPr>
                <w:sz w:val="20"/>
                <w:szCs w:val="20"/>
              </w:rPr>
              <w:t>1 day</w:t>
            </w:r>
          </w:p>
          <w:p w14:paraId="0B6CDB4C" w14:textId="77777777" w:rsidR="005A494A" w:rsidRPr="003F7ACE" w:rsidRDefault="005A494A" w:rsidP="004553EF">
            <w:pPr>
              <w:spacing w:before="40" w:afterLines="40" w:after="96"/>
              <w:rPr>
                <w:sz w:val="20"/>
                <w:szCs w:val="20"/>
              </w:rPr>
            </w:pPr>
            <w:r w:rsidRPr="003F7ACE">
              <w:rPr>
                <w:sz w:val="20"/>
                <w:szCs w:val="20"/>
              </w:rPr>
              <w:t>1 year</w:t>
            </w:r>
          </w:p>
        </w:tc>
        <w:tc>
          <w:tcPr>
            <w:tcW w:w="2339" w:type="dxa"/>
          </w:tcPr>
          <w:p w14:paraId="6A25A0B0" w14:textId="77777777" w:rsidR="005A494A" w:rsidRPr="003F7ACE" w:rsidRDefault="005A494A" w:rsidP="004553EF">
            <w:pPr>
              <w:spacing w:before="40" w:afterLines="40" w:after="96"/>
              <w:rPr>
                <w:sz w:val="20"/>
                <w:szCs w:val="20"/>
                <w:vertAlign w:val="superscript"/>
              </w:rPr>
            </w:pPr>
            <w:r w:rsidRPr="003F7ACE">
              <w:rPr>
                <w:sz w:val="20"/>
                <w:szCs w:val="20"/>
              </w:rPr>
              <w:t>50 µg/m</w:t>
            </w:r>
            <w:r w:rsidRPr="003F7ACE">
              <w:rPr>
                <w:sz w:val="20"/>
                <w:szCs w:val="20"/>
                <w:vertAlign w:val="superscript"/>
              </w:rPr>
              <w:t>3</w:t>
            </w:r>
          </w:p>
          <w:p w14:paraId="409274FA" w14:textId="77777777" w:rsidR="005A494A" w:rsidRPr="003F7ACE" w:rsidRDefault="005A494A" w:rsidP="004553EF">
            <w:pPr>
              <w:spacing w:before="40" w:afterLines="40" w:after="96"/>
              <w:rPr>
                <w:b/>
                <w:sz w:val="20"/>
                <w:szCs w:val="20"/>
                <w:vertAlign w:val="superscript"/>
              </w:rPr>
            </w:pPr>
            <w:r w:rsidRPr="003F7ACE">
              <w:rPr>
                <w:sz w:val="20"/>
                <w:szCs w:val="20"/>
              </w:rPr>
              <w:t>25 µg/m</w:t>
            </w:r>
            <w:r w:rsidRPr="003F7ACE">
              <w:rPr>
                <w:sz w:val="20"/>
                <w:szCs w:val="20"/>
                <w:vertAlign w:val="superscript"/>
              </w:rPr>
              <w:t>3</w:t>
            </w:r>
          </w:p>
        </w:tc>
      </w:tr>
      <w:tr w:rsidR="005A494A" w:rsidRPr="00B8790A" w14:paraId="009BF229" w14:textId="77777777" w:rsidTr="004553EF">
        <w:tc>
          <w:tcPr>
            <w:tcW w:w="1134" w:type="dxa"/>
          </w:tcPr>
          <w:p w14:paraId="51561B6E" w14:textId="77777777" w:rsidR="005A494A" w:rsidRPr="003F7ACE" w:rsidRDefault="005A494A" w:rsidP="004553EF">
            <w:pPr>
              <w:spacing w:before="40" w:afterLines="40" w:after="96"/>
              <w:jc w:val="center"/>
              <w:rPr>
                <w:sz w:val="20"/>
                <w:szCs w:val="20"/>
              </w:rPr>
            </w:pPr>
            <w:r w:rsidRPr="003F7ACE">
              <w:rPr>
                <w:sz w:val="20"/>
                <w:szCs w:val="20"/>
              </w:rPr>
              <w:t>7</w:t>
            </w:r>
          </w:p>
        </w:tc>
        <w:tc>
          <w:tcPr>
            <w:tcW w:w="2263" w:type="dxa"/>
          </w:tcPr>
          <w:p w14:paraId="6F672E17" w14:textId="77777777" w:rsidR="005A494A" w:rsidRPr="003F7ACE" w:rsidRDefault="005A494A" w:rsidP="004553EF">
            <w:pPr>
              <w:spacing w:before="40" w:afterLines="40" w:after="96"/>
              <w:rPr>
                <w:sz w:val="20"/>
                <w:szCs w:val="20"/>
                <w:vertAlign w:val="subscript"/>
              </w:rPr>
            </w:pPr>
            <w:r w:rsidRPr="003F7ACE">
              <w:rPr>
                <w:sz w:val="20"/>
                <w:szCs w:val="20"/>
              </w:rPr>
              <w:t>Particles as PM</w:t>
            </w:r>
            <w:r w:rsidRPr="003F7ACE">
              <w:rPr>
                <w:sz w:val="20"/>
                <w:szCs w:val="20"/>
                <w:vertAlign w:val="subscript"/>
              </w:rPr>
              <w:t>2.5</w:t>
            </w:r>
          </w:p>
          <w:p w14:paraId="64600E1B" w14:textId="77777777" w:rsidR="005A494A" w:rsidRPr="003F7ACE" w:rsidRDefault="005A494A" w:rsidP="004553EF">
            <w:pPr>
              <w:spacing w:before="40" w:afterLines="40" w:after="96"/>
              <w:rPr>
                <w:sz w:val="20"/>
                <w:szCs w:val="20"/>
              </w:rPr>
            </w:pPr>
          </w:p>
        </w:tc>
        <w:tc>
          <w:tcPr>
            <w:tcW w:w="1630" w:type="dxa"/>
          </w:tcPr>
          <w:p w14:paraId="540A156C" w14:textId="77777777" w:rsidR="005A494A" w:rsidRPr="003F7ACE" w:rsidRDefault="005A494A" w:rsidP="004553EF">
            <w:pPr>
              <w:spacing w:before="40" w:afterLines="40" w:after="96"/>
              <w:rPr>
                <w:sz w:val="20"/>
                <w:szCs w:val="20"/>
              </w:rPr>
            </w:pPr>
            <w:r w:rsidRPr="003F7ACE">
              <w:rPr>
                <w:sz w:val="20"/>
                <w:szCs w:val="20"/>
              </w:rPr>
              <w:t>1 day</w:t>
            </w:r>
          </w:p>
          <w:p w14:paraId="21E4B47E" w14:textId="77777777" w:rsidR="005A494A" w:rsidRPr="003F7ACE" w:rsidRDefault="005A494A" w:rsidP="004553EF">
            <w:pPr>
              <w:spacing w:before="40" w:afterLines="40" w:after="96"/>
              <w:rPr>
                <w:sz w:val="20"/>
                <w:szCs w:val="20"/>
              </w:rPr>
            </w:pPr>
            <w:r w:rsidRPr="003F7ACE">
              <w:rPr>
                <w:sz w:val="20"/>
                <w:szCs w:val="20"/>
              </w:rPr>
              <w:t>1 year</w:t>
            </w:r>
          </w:p>
        </w:tc>
        <w:tc>
          <w:tcPr>
            <w:tcW w:w="2339" w:type="dxa"/>
          </w:tcPr>
          <w:p w14:paraId="5DECFA99" w14:textId="77777777" w:rsidR="005A494A" w:rsidRPr="003F7ACE" w:rsidRDefault="005A494A" w:rsidP="004553EF">
            <w:pPr>
              <w:spacing w:before="40" w:afterLines="40" w:after="96"/>
              <w:rPr>
                <w:sz w:val="20"/>
                <w:szCs w:val="20"/>
              </w:rPr>
            </w:pPr>
            <w:r w:rsidRPr="003F7ACE">
              <w:rPr>
                <w:sz w:val="20"/>
                <w:szCs w:val="20"/>
              </w:rPr>
              <w:t>25 µg/m</w:t>
            </w:r>
            <w:r w:rsidRPr="003F7ACE">
              <w:rPr>
                <w:sz w:val="20"/>
                <w:szCs w:val="20"/>
                <w:vertAlign w:val="superscript"/>
              </w:rPr>
              <w:t>3</w:t>
            </w:r>
          </w:p>
          <w:p w14:paraId="67569B98" w14:textId="77777777" w:rsidR="005A494A" w:rsidRPr="003F7ACE" w:rsidRDefault="005A494A" w:rsidP="004553EF">
            <w:pPr>
              <w:spacing w:before="40" w:afterLines="40" w:after="96"/>
              <w:rPr>
                <w:rFonts w:ascii="Arial" w:hAnsi="Arial"/>
                <w:sz w:val="20"/>
                <w:szCs w:val="20"/>
              </w:rPr>
            </w:pPr>
            <w:r w:rsidRPr="003F7ACE">
              <w:rPr>
                <w:sz w:val="20"/>
                <w:szCs w:val="20"/>
              </w:rPr>
              <w:t>8 µg/m</w:t>
            </w:r>
            <w:r w:rsidRPr="003F7ACE">
              <w:rPr>
                <w:sz w:val="20"/>
                <w:szCs w:val="20"/>
                <w:vertAlign w:val="superscript"/>
              </w:rPr>
              <w:t>3</w:t>
            </w:r>
          </w:p>
        </w:tc>
      </w:tr>
    </w:tbl>
    <w:p w14:paraId="79A5BD7F" w14:textId="77777777" w:rsidR="005A494A" w:rsidRDefault="005A494A" w:rsidP="005A494A">
      <w:pPr>
        <w:pStyle w:val="Note"/>
      </w:pPr>
      <w:r>
        <w:t>Note</w:t>
      </w:r>
      <w:r>
        <w:tab/>
        <w:t>There are no maximum allowable exceedances.</w:t>
      </w:r>
    </w:p>
    <w:p w14:paraId="6663B097" w14:textId="77777777" w:rsidR="005A494A" w:rsidRDefault="005A494A" w:rsidP="005A494A">
      <w:pPr>
        <w:pStyle w:val="Note"/>
      </w:pPr>
    </w:p>
    <w:p w14:paraId="197A7530" w14:textId="77777777" w:rsidR="005A494A" w:rsidRDefault="005A494A" w:rsidP="00182A66">
      <w:pPr>
        <w:pStyle w:val="Note"/>
      </w:pPr>
      <w:r>
        <w:br w:type="page"/>
      </w:r>
    </w:p>
    <w:p w14:paraId="09EE6E3C" w14:textId="77777777" w:rsidR="005A494A" w:rsidRPr="008B2938" w:rsidRDefault="005A494A" w:rsidP="005A494A">
      <w:pPr>
        <w:pStyle w:val="ScheduleHeading"/>
        <w:spacing w:after="120"/>
        <w:ind w:firstLine="0"/>
      </w:pPr>
      <w:bookmarkStart w:id="31" w:name="_Hlk521075367"/>
      <w:r w:rsidRPr="00AA4AAB">
        <w:lastRenderedPageBreak/>
        <w:t xml:space="preserve">Table </w:t>
      </w:r>
      <w:r>
        <w:t>1A</w:t>
      </w:r>
      <w:r w:rsidRPr="00AA4AAB">
        <w:t xml:space="preserve">: </w:t>
      </w:r>
      <w:r>
        <w:t xml:space="preserve">Standards </w:t>
      </w:r>
      <w:r w:rsidRPr="00AA4AAB">
        <w:t xml:space="preserve">for </w:t>
      </w:r>
      <w:r>
        <w:t>SO</w:t>
      </w:r>
      <w:r w:rsidRPr="008B2938">
        <w:rPr>
          <w:vertAlign w:val="subscript"/>
        </w:rPr>
        <w:t xml:space="preserve">2 </w:t>
      </w:r>
      <w:r>
        <w:t>from</w:t>
      </w:r>
      <w:r w:rsidRPr="008B2938">
        <w:t xml:space="preserve"> 2025</w:t>
      </w:r>
    </w:p>
    <w:tbl>
      <w:tblPr>
        <w:tblW w:w="74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64"/>
        <w:gridCol w:w="3260"/>
      </w:tblGrid>
      <w:tr w:rsidR="005A494A" w:rsidRPr="008B2938" w14:paraId="36BDBA11" w14:textId="77777777" w:rsidTr="004553EF">
        <w:tc>
          <w:tcPr>
            <w:tcW w:w="1843" w:type="dxa"/>
          </w:tcPr>
          <w:p w14:paraId="1B07A554"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Column 1</w:t>
            </w:r>
          </w:p>
          <w:p w14:paraId="0F5E3D78"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Pollutant</w:t>
            </w:r>
          </w:p>
        </w:tc>
        <w:tc>
          <w:tcPr>
            <w:tcW w:w="2364" w:type="dxa"/>
          </w:tcPr>
          <w:p w14:paraId="2D68CFAE"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 xml:space="preserve">Column 2 </w:t>
            </w:r>
          </w:p>
          <w:p w14:paraId="28F40AB2"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Averaging period</w:t>
            </w:r>
          </w:p>
        </w:tc>
        <w:tc>
          <w:tcPr>
            <w:tcW w:w="3260" w:type="dxa"/>
          </w:tcPr>
          <w:p w14:paraId="354B2941"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Column 3</w:t>
            </w:r>
          </w:p>
          <w:p w14:paraId="1F7A6D3F"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Maximum concentration</w:t>
            </w:r>
          </w:p>
        </w:tc>
      </w:tr>
      <w:tr w:rsidR="005A494A" w:rsidRPr="00904D34" w14:paraId="16E74E64" w14:textId="77777777" w:rsidTr="00B0340B">
        <w:trPr>
          <w:trHeight w:val="546"/>
        </w:trPr>
        <w:tc>
          <w:tcPr>
            <w:tcW w:w="1843" w:type="dxa"/>
            <w:shd w:val="clear" w:color="auto" w:fill="auto"/>
          </w:tcPr>
          <w:p w14:paraId="2797F026" w14:textId="77777777" w:rsidR="005A494A" w:rsidRPr="00B0340B" w:rsidRDefault="005A494A" w:rsidP="004553EF">
            <w:pPr>
              <w:spacing w:before="40" w:afterLines="40" w:after="96"/>
              <w:rPr>
                <w:sz w:val="20"/>
                <w:szCs w:val="20"/>
              </w:rPr>
            </w:pPr>
            <w:proofErr w:type="spellStart"/>
            <w:r w:rsidRPr="00B0340B">
              <w:rPr>
                <w:sz w:val="20"/>
                <w:szCs w:val="20"/>
              </w:rPr>
              <w:t>Sulfur</w:t>
            </w:r>
            <w:proofErr w:type="spellEnd"/>
            <w:r w:rsidRPr="00B0340B">
              <w:rPr>
                <w:sz w:val="20"/>
                <w:szCs w:val="20"/>
              </w:rPr>
              <w:t xml:space="preserve"> dioxide</w:t>
            </w:r>
          </w:p>
        </w:tc>
        <w:tc>
          <w:tcPr>
            <w:tcW w:w="2364" w:type="dxa"/>
            <w:shd w:val="clear" w:color="auto" w:fill="auto"/>
          </w:tcPr>
          <w:p w14:paraId="0AE4B0B5" w14:textId="77777777" w:rsidR="005A494A" w:rsidRPr="00B0340B" w:rsidRDefault="005A494A" w:rsidP="004553EF">
            <w:pPr>
              <w:spacing w:before="40" w:afterLines="40" w:after="96"/>
              <w:rPr>
                <w:sz w:val="20"/>
                <w:szCs w:val="20"/>
              </w:rPr>
            </w:pPr>
            <w:r w:rsidRPr="00B0340B">
              <w:rPr>
                <w:sz w:val="20"/>
                <w:szCs w:val="20"/>
              </w:rPr>
              <w:t>1 hour</w:t>
            </w:r>
          </w:p>
        </w:tc>
        <w:tc>
          <w:tcPr>
            <w:tcW w:w="3260" w:type="dxa"/>
            <w:shd w:val="clear" w:color="auto" w:fill="auto"/>
          </w:tcPr>
          <w:p w14:paraId="025BCD80" w14:textId="77777777" w:rsidR="005A494A" w:rsidRPr="00B0340B" w:rsidRDefault="005A494A" w:rsidP="004553EF">
            <w:pPr>
              <w:spacing w:before="40" w:afterLines="40" w:after="96"/>
              <w:rPr>
                <w:sz w:val="20"/>
                <w:szCs w:val="20"/>
              </w:rPr>
            </w:pPr>
            <w:r w:rsidRPr="00B0340B">
              <w:rPr>
                <w:sz w:val="20"/>
                <w:szCs w:val="20"/>
              </w:rPr>
              <w:t>0.075 ppm</w:t>
            </w:r>
          </w:p>
        </w:tc>
      </w:tr>
    </w:tbl>
    <w:p w14:paraId="42B71039" w14:textId="77777777" w:rsidR="005A494A" w:rsidRPr="008B2938" w:rsidRDefault="005A494A" w:rsidP="005A494A">
      <w:pPr>
        <w:pStyle w:val="ScheduleHeading"/>
        <w:spacing w:after="120"/>
        <w:ind w:firstLine="0"/>
      </w:pPr>
      <w:r w:rsidRPr="00AA4AAB">
        <w:t xml:space="preserve">Table 2: </w:t>
      </w:r>
      <w:r>
        <w:t xml:space="preserve">Goal </w:t>
      </w:r>
      <w:r w:rsidRPr="00AA4AAB">
        <w:t xml:space="preserve">for Particles as </w:t>
      </w:r>
      <w:r w:rsidRPr="008B2938">
        <w:t>PM</w:t>
      </w:r>
      <w:r w:rsidRPr="008B2938">
        <w:rPr>
          <w:vertAlign w:val="subscript"/>
        </w:rPr>
        <w:t xml:space="preserve">2.5 </w:t>
      </w:r>
      <w:r>
        <w:t>from</w:t>
      </w:r>
      <w:r w:rsidRPr="008B2938">
        <w:t xml:space="preserve"> 2025</w:t>
      </w:r>
    </w:p>
    <w:tbl>
      <w:tblPr>
        <w:tblW w:w="74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64"/>
        <w:gridCol w:w="3260"/>
      </w:tblGrid>
      <w:tr w:rsidR="005A494A" w:rsidRPr="008B2938" w14:paraId="0E238D0A" w14:textId="77777777" w:rsidTr="004553EF">
        <w:tc>
          <w:tcPr>
            <w:tcW w:w="1843" w:type="dxa"/>
          </w:tcPr>
          <w:p w14:paraId="03F6268A"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Column 1</w:t>
            </w:r>
          </w:p>
          <w:p w14:paraId="153128B8"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Pollutant</w:t>
            </w:r>
          </w:p>
        </w:tc>
        <w:tc>
          <w:tcPr>
            <w:tcW w:w="2364" w:type="dxa"/>
          </w:tcPr>
          <w:p w14:paraId="19F3D13F"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 xml:space="preserve">Column 2 </w:t>
            </w:r>
          </w:p>
          <w:p w14:paraId="39AF0C6B"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Averaging period</w:t>
            </w:r>
          </w:p>
        </w:tc>
        <w:tc>
          <w:tcPr>
            <w:tcW w:w="3260" w:type="dxa"/>
          </w:tcPr>
          <w:p w14:paraId="0B7C36FF"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Column 3</w:t>
            </w:r>
          </w:p>
          <w:p w14:paraId="37568B1C" w14:textId="77777777" w:rsidR="005A494A" w:rsidRPr="003F7ACE" w:rsidRDefault="005A494A" w:rsidP="004553EF">
            <w:pPr>
              <w:spacing w:before="120"/>
              <w:jc w:val="center"/>
              <w:rPr>
                <w:rFonts w:ascii="Arial" w:hAnsi="Arial" w:cs="Arial"/>
                <w:b/>
                <w:bCs/>
                <w:sz w:val="20"/>
                <w:szCs w:val="20"/>
              </w:rPr>
            </w:pPr>
            <w:r w:rsidRPr="003F7ACE">
              <w:rPr>
                <w:rFonts w:ascii="Arial" w:hAnsi="Arial" w:cs="Arial"/>
                <w:b/>
                <w:bCs/>
                <w:sz w:val="20"/>
                <w:szCs w:val="20"/>
              </w:rPr>
              <w:t>Maximum concentration</w:t>
            </w:r>
          </w:p>
        </w:tc>
      </w:tr>
      <w:tr w:rsidR="005A494A" w:rsidRPr="00904D34" w14:paraId="06030F74" w14:textId="77777777" w:rsidTr="004553EF">
        <w:trPr>
          <w:trHeight w:val="546"/>
        </w:trPr>
        <w:tc>
          <w:tcPr>
            <w:tcW w:w="1843" w:type="dxa"/>
          </w:tcPr>
          <w:p w14:paraId="04E66046" w14:textId="77777777" w:rsidR="005A494A" w:rsidRPr="003F7ACE" w:rsidRDefault="005A494A" w:rsidP="004553EF">
            <w:pPr>
              <w:spacing w:before="40" w:afterLines="40" w:after="96"/>
              <w:rPr>
                <w:sz w:val="20"/>
                <w:szCs w:val="20"/>
              </w:rPr>
            </w:pPr>
            <w:r w:rsidRPr="003F7ACE">
              <w:rPr>
                <w:sz w:val="20"/>
                <w:szCs w:val="20"/>
              </w:rPr>
              <w:t>Particles as PM</w:t>
            </w:r>
            <w:r w:rsidRPr="003F7ACE">
              <w:rPr>
                <w:sz w:val="20"/>
                <w:szCs w:val="20"/>
                <w:vertAlign w:val="subscript"/>
              </w:rPr>
              <w:t>2.5</w:t>
            </w:r>
          </w:p>
        </w:tc>
        <w:tc>
          <w:tcPr>
            <w:tcW w:w="2364" w:type="dxa"/>
          </w:tcPr>
          <w:p w14:paraId="15081448" w14:textId="77777777" w:rsidR="005A494A" w:rsidRPr="003F7ACE" w:rsidRDefault="005A494A" w:rsidP="004553EF">
            <w:pPr>
              <w:spacing w:before="40" w:afterLines="40" w:after="96"/>
              <w:rPr>
                <w:sz w:val="20"/>
                <w:szCs w:val="20"/>
              </w:rPr>
            </w:pPr>
            <w:r w:rsidRPr="003F7ACE">
              <w:rPr>
                <w:sz w:val="20"/>
                <w:szCs w:val="20"/>
              </w:rPr>
              <w:t>1 day</w:t>
            </w:r>
          </w:p>
          <w:p w14:paraId="71FEC021" w14:textId="77777777" w:rsidR="005A494A" w:rsidRPr="003F7ACE" w:rsidRDefault="005A494A" w:rsidP="004553EF">
            <w:pPr>
              <w:spacing w:before="40" w:afterLines="40" w:after="96"/>
              <w:rPr>
                <w:sz w:val="20"/>
                <w:szCs w:val="20"/>
              </w:rPr>
            </w:pPr>
            <w:r w:rsidRPr="003F7ACE">
              <w:rPr>
                <w:sz w:val="20"/>
                <w:szCs w:val="20"/>
              </w:rPr>
              <w:t>1 year</w:t>
            </w:r>
          </w:p>
        </w:tc>
        <w:tc>
          <w:tcPr>
            <w:tcW w:w="3260" w:type="dxa"/>
          </w:tcPr>
          <w:p w14:paraId="551DB81C" w14:textId="77777777" w:rsidR="005A494A" w:rsidRPr="003F7ACE" w:rsidRDefault="005A494A" w:rsidP="004553EF">
            <w:pPr>
              <w:spacing w:before="40" w:afterLines="40" w:after="96"/>
              <w:rPr>
                <w:sz w:val="20"/>
                <w:szCs w:val="20"/>
              </w:rPr>
            </w:pPr>
            <w:r w:rsidRPr="003F7ACE">
              <w:rPr>
                <w:sz w:val="20"/>
                <w:szCs w:val="20"/>
              </w:rPr>
              <w:t>20 µg/m</w:t>
            </w:r>
            <w:r w:rsidRPr="003F7ACE">
              <w:rPr>
                <w:sz w:val="20"/>
                <w:szCs w:val="20"/>
                <w:vertAlign w:val="superscript"/>
              </w:rPr>
              <w:t>3</w:t>
            </w:r>
          </w:p>
          <w:p w14:paraId="702CE967" w14:textId="77777777" w:rsidR="005A494A" w:rsidRPr="003F7ACE" w:rsidRDefault="005A494A" w:rsidP="004553EF">
            <w:pPr>
              <w:spacing w:before="40" w:afterLines="40" w:after="96"/>
              <w:rPr>
                <w:sz w:val="20"/>
                <w:szCs w:val="20"/>
              </w:rPr>
            </w:pPr>
            <w:r w:rsidRPr="003F7ACE">
              <w:rPr>
                <w:sz w:val="20"/>
                <w:szCs w:val="20"/>
              </w:rPr>
              <w:t>7 µg/m</w:t>
            </w:r>
            <w:r w:rsidRPr="003F7ACE">
              <w:rPr>
                <w:sz w:val="20"/>
                <w:szCs w:val="20"/>
                <w:vertAlign w:val="superscript"/>
              </w:rPr>
              <w:t>3</w:t>
            </w:r>
          </w:p>
        </w:tc>
      </w:tr>
      <w:bookmarkEnd w:id="31"/>
    </w:tbl>
    <w:p w14:paraId="3E749282" w14:textId="77777777" w:rsidR="005A494A" w:rsidRDefault="005A494A" w:rsidP="005A494A">
      <w:pPr>
        <w:pStyle w:val="R2"/>
      </w:pPr>
    </w:p>
    <w:p w14:paraId="19255601" w14:textId="77777777" w:rsidR="005A494A" w:rsidRDefault="005A494A" w:rsidP="005A494A">
      <w:pPr>
        <w:pStyle w:val="SectionText"/>
        <w:ind w:left="1956"/>
      </w:pPr>
      <w:r w:rsidRPr="00404A2D">
        <w:t>For the purposes of this Measure the following definitions shall apply:</w:t>
      </w:r>
    </w:p>
    <w:p w14:paraId="4861107F" w14:textId="77777777" w:rsidR="005A494A" w:rsidRDefault="005A494A" w:rsidP="005A494A">
      <w:pPr>
        <w:pStyle w:val="Section1"/>
        <w:ind w:left="1349" w:hanging="357"/>
      </w:pPr>
      <w:r w:rsidRPr="00404A2D">
        <w:t>(1)</w:t>
      </w:r>
      <w:r>
        <w:tab/>
      </w:r>
      <w:r w:rsidRPr="00404A2D">
        <w:t>Lead sampling must be carried out for a period of 24 hours at least every sixth day.</w:t>
      </w:r>
    </w:p>
    <w:p w14:paraId="4EC2B173" w14:textId="77777777" w:rsidR="005A494A" w:rsidRDefault="005A494A" w:rsidP="005A494A">
      <w:pPr>
        <w:pStyle w:val="Section1"/>
        <w:ind w:left="1349" w:hanging="357"/>
      </w:pPr>
      <w:r w:rsidRPr="00404A2D">
        <w:t>(2)</w:t>
      </w:r>
      <w:r>
        <w:tab/>
      </w:r>
      <w:r w:rsidRPr="00404A2D">
        <w:t>Measurement of lead must be carried out on Total Suspended Particles (TSP) or its equivalent.</w:t>
      </w:r>
    </w:p>
    <w:p w14:paraId="1E1E7666" w14:textId="77777777" w:rsidR="005A494A" w:rsidRPr="002D5AEF" w:rsidRDefault="005A494A" w:rsidP="005A494A">
      <w:pPr>
        <w:pStyle w:val="Section1"/>
        <w:ind w:left="1349" w:hanging="357"/>
      </w:pPr>
      <w:r w:rsidRPr="00404A2D">
        <w:t>(3)</w:t>
      </w:r>
      <w:r>
        <w:tab/>
      </w:r>
      <w:r w:rsidRPr="002D5AEF">
        <w:t>In Column 3 of table 1 and Column 2 of table</w:t>
      </w:r>
      <w:r>
        <w:t>s</w:t>
      </w:r>
      <w:r w:rsidRPr="002D5AEF">
        <w:t xml:space="preserve"> </w:t>
      </w:r>
      <w:r>
        <w:t xml:space="preserve">1A and </w:t>
      </w:r>
      <w:r w:rsidRPr="002D5AEF">
        <w:t>2 of Schedule 2, the averaging periods are defined as follows:</w:t>
      </w:r>
    </w:p>
    <w:p w14:paraId="11B0F6EE" w14:textId="77777777" w:rsidR="005A494A" w:rsidRDefault="005A494A" w:rsidP="005A494A">
      <w:pPr>
        <w:pStyle w:val="sectiona"/>
        <w:numPr>
          <w:ilvl w:val="0"/>
          <w:numId w:val="14"/>
        </w:numPr>
        <w:ind w:left="1706" w:hanging="357"/>
      </w:pPr>
      <w:r w:rsidRPr="002D5AEF">
        <w:t>1 hour</w:t>
      </w:r>
      <w:r w:rsidRPr="002D5AEF">
        <w:tab/>
        <w:t>clock hour average</w:t>
      </w:r>
    </w:p>
    <w:p w14:paraId="4CFDD410" w14:textId="77777777" w:rsidR="005A494A" w:rsidRPr="002D5AEF" w:rsidRDefault="005A494A" w:rsidP="005A494A">
      <w:pPr>
        <w:pStyle w:val="sectiona"/>
        <w:numPr>
          <w:ilvl w:val="0"/>
          <w:numId w:val="14"/>
        </w:numPr>
        <w:ind w:left="1706" w:hanging="357"/>
      </w:pPr>
      <w:r w:rsidRPr="002D5AEF">
        <w:t>8 hour</w:t>
      </w:r>
      <w:r w:rsidRPr="002D5AEF">
        <w:tab/>
        <w:t>rolling 8 hour average based on 1 hour averages</w:t>
      </w:r>
    </w:p>
    <w:p w14:paraId="40BD4E37" w14:textId="77777777" w:rsidR="005A494A" w:rsidRPr="002D5AEF" w:rsidRDefault="005A494A" w:rsidP="005A494A">
      <w:pPr>
        <w:pStyle w:val="sectiona"/>
        <w:numPr>
          <w:ilvl w:val="0"/>
          <w:numId w:val="14"/>
        </w:numPr>
        <w:ind w:left="1706" w:hanging="357"/>
      </w:pPr>
      <w:r w:rsidRPr="002D5AEF">
        <w:t xml:space="preserve">1 day </w:t>
      </w:r>
      <w:r w:rsidRPr="002D5AEF">
        <w:tab/>
        <w:t>calendar day average</w:t>
      </w:r>
    </w:p>
    <w:p w14:paraId="396E7D1B" w14:textId="77777777" w:rsidR="005A494A" w:rsidRPr="002D5AEF" w:rsidRDefault="005A494A" w:rsidP="005A494A">
      <w:pPr>
        <w:pStyle w:val="sectiona"/>
        <w:numPr>
          <w:ilvl w:val="0"/>
          <w:numId w:val="14"/>
        </w:numPr>
        <w:ind w:left="1706" w:hanging="357"/>
      </w:pPr>
      <w:r w:rsidRPr="002D5AEF">
        <w:t>1 year</w:t>
      </w:r>
      <w:r w:rsidRPr="002D5AEF">
        <w:tab/>
        <w:t>calendar year average</w:t>
      </w:r>
    </w:p>
    <w:p w14:paraId="5EC24894" w14:textId="5BA69658" w:rsidR="005A494A" w:rsidRDefault="005A494A" w:rsidP="005A494A">
      <w:pPr>
        <w:pStyle w:val="Section1"/>
        <w:ind w:left="1349" w:hanging="357"/>
      </w:pPr>
      <w:r w:rsidRPr="002D5AEF" w:rsidDel="008F6521">
        <w:t xml:space="preserve"> </w:t>
      </w:r>
      <w:r w:rsidRPr="00404A2D">
        <w:t>(</w:t>
      </w:r>
      <w:r>
        <w:t>4</w:t>
      </w:r>
      <w:r w:rsidRPr="00404A2D">
        <w:t>)</w:t>
      </w:r>
      <w:r>
        <w:tab/>
      </w:r>
      <w:r w:rsidR="004113DD">
        <w:t xml:space="preserve"> </w:t>
      </w:r>
      <w:r w:rsidRPr="00404A2D">
        <w:t>All averaging periods of 8 hours or less must be referenced by the end time of the averaging period. This determines the calendar day to which the averaging periods are assigned.</w:t>
      </w:r>
    </w:p>
    <w:p w14:paraId="5E673273" w14:textId="77777777" w:rsidR="005A494A" w:rsidRDefault="005A494A" w:rsidP="005A494A">
      <w:pPr>
        <w:pStyle w:val="Section1"/>
        <w:ind w:left="1349" w:hanging="357"/>
      </w:pPr>
      <w:r w:rsidRPr="00404A2D">
        <w:t>(</w:t>
      </w:r>
      <w:r>
        <w:t>5</w:t>
      </w:r>
      <w:r w:rsidRPr="00404A2D">
        <w:t>)</w:t>
      </w:r>
      <w:r>
        <w:tab/>
      </w:r>
      <w:r w:rsidRPr="00404A2D">
        <w:t>For the purposes of calculating and reporting 8 hour averages, the first rolling average in a calendar day ends at 1</w:t>
      </w:r>
      <w:r>
        <w:t>:</w:t>
      </w:r>
      <w:r w:rsidRPr="00404A2D">
        <w:t>00 am, and includes hours from the previous calendar day.</w:t>
      </w:r>
    </w:p>
    <w:p w14:paraId="38075A11" w14:textId="77777777" w:rsidR="005A494A" w:rsidRDefault="005A494A" w:rsidP="005A494A">
      <w:pPr>
        <w:pStyle w:val="Section1"/>
        <w:ind w:left="1349" w:hanging="357"/>
      </w:pPr>
      <w:r w:rsidRPr="00404A2D">
        <w:t>(</w:t>
      </w:r>
      <w:r>
        <w:t>6</w:t>
      </w:r>
      <w:r w:rsidRPr="00404A2D">
        <w:t>)</w:t>
      </w:r>
      <w:r>
        <w:tab/>
      </w:r>
      <w:r w:rsidRPr="00404A2D">
        <w:t xml:space="preserve">The concentrations </w:t>
      </w:r>
      <w:r w:rsidRPr="002D5AEF">
        <w:t>in Column 4 of table 1 and Column 3 of table 2 of Schedule 2 are the arithmetic mean conce</w:t>
      </w:r>
      <w:r w:rsidRPr="00404A2D">
        <w:t>ntrations.</w:t>
      </w:r>
    </w:p>
    <w:p w14:paraId="0D17146C" w14:textId="77777777" w:rsidR="005A494A" w:rsidRDefault="005A494A" w:rsidP="005A494A">
      <w:pPr>
        <w:pStyle w:val="Scheduletitle"/>
        <w:pageBreakBefore/>
      </w:pPr>
      <w:bookmarkStart w:id="32" w:name="_Toc2935969"/>
      <w:bookmarkStart w:id="33" w:name="_Hlk27388519"/>
      <w:r>
        <w:rPr>
          <w:rStyle w:val="CharAmSchNo"/>
        </w:rPr>
        <w:lastRenderedPageBreak/>
        <w:t>Schedule 3</w:t>
      </w:r>
      <w:r>
        <w:tab/>
      </w:r>
      <w:r>
        <w:rPr>
          <w:rStyle w:val="CharAmSchText"/>
        </w:rPr>
        <w:t>Australian Standards Methods for Pollutant Monitoring</w:t>
      </w:r>
      <w:bookmarkEnd w:id="32"/>
    </w:p>
    <w:tbl>
      <w:tblPr>
        <w:tblW w:w="78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110"/>
        <w:gridCol w:w="2055"/>
      </w:tblGrid>
      <w:tr w:rsidR="005A494A" w:rsidRPr="00BF3B2E" w14:paraId="3F302441" w14:textId="77777777" w:rsidTr="004553EF">
        <w:tc>
          <w:tcPr>
            <w:tcW w:w="1701" w:type="dxa"/>
          </w:tcPr>
          <w:p w14:paraId="49772955" w14:textId="77777777" w:rsidR="005A494A" w:rsidRPr="00BF3B2E" w:rsidRDefault="005A494A" w:rsidP="004553EF">
            <w:pPr>
              <w:spacing w:before="60"/>
              <w:rPr>
                <w:rFonts w:ascii="Arial" w:hAnsi="Arial" w:cs="Arial"/>
                <w:b/>
                <w:bCs/>
                <w:sz w:val="18"/>
                <w:szCs w:val="18"/>
              </w:rPr>
            </w:pPr>
            <w:r w:rsidRPr="00BF3B2E">
              <w:rPr>
                <w:rFonts w:ascii="Arial" w:hAnsi="Arial" w:cs="Arial"/>
                <w:b/>
                <w:bCs/>
                <w:sz w:val="18"/>
                <w:szCs w:val="18"/>
              </w:rPr>
              <w:t>Pollutant</w:t>
            </w:r>
          </w:p>
        </w:tc>
        <w:tc>
          <w:tcPr>
            <w:tcW w:w="4110" w:type="dxa"/>
          </w:tcPr>
          <w:p w14:paraId="7B798142" w14:textId="77777777" w:rsidR="005A494A" w:rsidRPr="00BF3B2E" w:rsidRDefault="005A494A" w:rsidP="004553EF">
            <w:pPr>
              <w:spacing w:before="60"/>
              <w:rPr>
                <w:rFonts w:ascii="Arial" w:hAnsi="Arial" w:cs="Arial"/>
                <w:b/>
                <w:bCs/>
                <w:sz w:val="18"/>
                <w:szCs w:val="18"/>
              </w:rPr>
            </w:pPr>
            <w:r w:rsidRPr="00BF3B2E">
              <w:rPr>
                <w:rFonts w:ascii="Arial" w:hAnsi="Arial" w:cs="Arial"/>
                <w:b/>
                <w:bCs/>
                <w:sz w:val="18"/>
                <w:szCs w:val="18"/>
              </w:rPr>
              <w:t>Method title</w:t>
            </w:r>
          </w:p>
        </w:tc>
        <w:tc>
          <w:tcPr>
            <w:tcW w:w="2055" w:type="dxa"/>
          </w:tcPr>
          <w:p w14:paraId="7F60C9F1" w14:textId="77777777" w:rsidR="005A494A" w:rsidRPr="00BF3B2E" w:rsidRDefault="005A494A" w:rsidP="004553EF">
            <w:pPr>
              <w:spacing w:before="60"/>
              <w:rPr>
                <w:rFonts w:ascii="Arial" w:hAnsi="Arial" w:cs="Arial"/>
                <w:b/>
                <w:bCs/>
                <w:sz w:val="18"/>
                <w:szCs w:val="18"/>
              </w:rPr>
            </w:pPr>
            <w:r w:rsidRPr="00BF3B2E">
              <w:rPr>
                <w:rFonts w:ascii="Arial" w:hAnsi="Arial" w:cs="Arial"/>
                <w:b/>
                <w:bCs/>
                <w:sz w:val="18"/>
                <w:szCs w:val="18"/>
              </w:rPr>
              <w:t>Method number</w:t>
            </w:r>
          </w:p>
        </w:tc>
      </w:tr>
      <w:tr w:rsidR="005A494A" w:rsidRPr="00BF3B2E" w14:paraId="6D1978D8" w14:textId="77777777" w:rsidTr="004553EF">
        <w:tc>
          <w:tcPr>
            <w:tcW w:w="1701" w:type="dxa"/>
          </w:tcPr>
          <w:p w14:paraId="34EB9546" w14:textId="77777777" w:rsidR="005A494A" w:rsidRPr="00BF3B2E" w:rsidRDefault="005A494A" w:rsidP="004553EF">
            <w:pPr>
              <w:spacing w:before="60"/>
              <w:rPr>
                <w:sz w:val="20"/>
                <w:szCs w:val="20"/>
              </w:rPr>
            </w:pPr>
            <w:r w:rsidRPr="00BF3B2E">
              <w:rPr>
                <w:sz w:val="20"/>
                <w:szCs w:val="20"/>
              </w:rPr>
              <w:t>Carbon monoxide</w:t>
            </w:r>
          </w:p>
        </w:tc>
        <w:tc>
          <w:tcPr>
            <w:tcW w:w="4110" w:type="dxa"/>
          </w:tcPr>
          <w:p w14:paraId="4CCA7918" w14:textId="77777777" w:rsidR="005A494A" w:rsidRPr="00BF3B2E" w:rsidRDefault="005A494A" w:rsidP="004553EF">
            <w:pPr>
              <w:spacing w:before="60"/>
              <w:rPr>
                <w:sz w:val="20"/>
                <w:szCs w:val="20"/>
              </w:rPr>
            </w:pPr>
            <w:r w:rsidRPr="00BF3B2E">
              <w:rPr>
                <w:sz w:val="20"/>
                <w:szCs w:val="20"/>
              </w:rPr>
              <w:t>Determination of Carbon Monoxide-Direct Reading Instrumental Method</w:t>
            </w:r>
          </w:p>
        </w:tc>
        <w:tc>
          <w:tcPr>
            <w:tcW w:w="2055" w:type="dxa"/>
          </w:tcPr>
          <w:p w14:paraId="0E945F52" w14:textId="77777777" w:rsidR="005A494A" w:rsidRPr="00BF3B2E" w:rsidRDefault="005A494A" w:rsidP="004553EF">
            <w:pPr>
              <w:spacing w:before="60"/>
              <w:rPr>
                <w:sz w:val="20"/>
                <w:szCs w:val="20"/>
              </w:rPr>
            </w:pPr>
            <w:r w:rsidRPr="00BF3B2E">
              <w:rPr>
                <w:sz w:val="20"/>
                <w:szCs w:val="20"/>
              </w:rPr>
              <w:t>AS 3580.7.1-2011/</w:t>
            </w:r>
            <w:proofErr w:type="spellStart"/>
            <w:r w:rsidRPr="00BF3B2E">
              <w:rPr>
                <w:sz w:val="20"/>
                <w:szCs w:val="20"/>
              </w:rPr>
              <w:t>Amdt</w:t>
            </w:r>
            <w:proofErr w:type="spellEnd"/>
            <w:r w:rsidRPr="00BF3B2E">
              <w:rPr>
                <w:sz w:val="20"/>
                <w:szCs w:val="20"/>
              </w:rPr>
              <w:t xml:space="preserve"> 1-2012</w:t>
            </w:r>
          </w:p>
        </w:tc>
      </w:tr>
      <w:tr w:rsidR="005A494A" w:rsidRPr="00BF3B2E" w14:paraId="5D548292" w14:textId="77777777" w:rsidTr="004553EF">
        <w:tc>
          <w:tcPr>
            <w:tcW w:w="1701" w:type="dxa"/>
          </w:tcPr>
          <w:p w14:paraId="053DEF2F" w14:textId="77777777" w:rsidR="005A494A" w:rsidRPr="00BF3B2E" w:rsidRDefault="005A494A" w:rsidP="004553EF">
            <w:pPr>
              <w:spacing w:before="60"/>
              <w:rPr>
                <w:sz w:val="20"/>
                <w:szCs w:val="20"/>
              </w:rPr>
            </w:pPr>
            <w:r w:rsidRPr="00BF3B2E">
              <w:rPr>
                <w:sz w:val="20"/>
                <w:szCs w:val="20"/>
              </w:rPr>
              <w:t>Nitrogen dioxide</w:t>
            </w:r>
          </w:p>
        </w:tc>
        <w:tc>
          <w:tcPr>
            <w:tcW w:w="4110" w:type="dxa"/>
          </w:tcPr>
          <w:p w14:paraId="340D832A" w14:textId="77777777" w:rsidR="005A494A" w:rsidRPr="00BF3B2E" w:rsidRDefault="005A494A" w:rsidP="004553EF">
            <w:pPr>
              <w:spacing w:before="60"/>
              <w:rPr>
                <w:sz w:val="20"/>
                <w:szCs w:val="20"/>
              </w:rPr>
            </w:pPr>
            <w:r w:rsidRPr="00BF3B2E">
              <w:rPr>
                <w:sz w:val="20"/>
                <w:szCs w:val="20"/>
              </w:rPr>
              <w:t>Determination of Oxides of Nitrogen-Chemiluminescence Method</w:t>
            </w:r>
          </w:p>
        </w:tc>
        <w:tc>
          <w:tcPr>
            <w:tcW w:w="2055" w:type="dxa"/>
          </w:tcPr>
          <w:p w14:paraId="056DB8BB" w14:textId="77777777" w:rsidR="005A494A" w:rsidRPr="00BF3B2E" w:rsidRDefault="005A494A" w:rsidP="004553EF">
            <w:pPr>
              <w:spacing w:before="60"/>
              <w:rPr>
                <w:sz w:val="20"/>
                <w:szCs w:val="20"/>
              </w:rPr>
            </w:pPr>
            <w:r w:rsidRPr="00BF3B2E">
              <w:rPr>
                <w:sz w:val="20"/>
                <w:szCs w:val="20"/>
              </w:rPr>
              <w:t>AS 3580.5.1-2011</w:t>
            </w:r>
          </w:p>
        </w:tc>
      </w:tr>
      <w:tr w:rsidR="005A494A" w:rsidRPr="00BF3B2E" w14:paraId="7219B15B" w14:textId="77777777" w:rsidTr="004553EF">
        <w:tc>
          <w:tcPr>
            <w:tcW w:w="1701" w:type="dxa"/>
          </w:tcPr>
          <w:p w14:paraId="0E22146D" w14:textId="77777777" w:rsidR="005A494A" w:rsidRPr="00BF3B2E" w:rsidRDefault="005A494A" w:rsidP="004553EF">
            <w:pPr>
              <w:spacing w:before="60"/>
              <w:rPr>
                <w:sz w:val="20"/>
                <w:szCs w:val="20"/>
              </w:rPr>
            </w:pPr>
            <w:r w:rsidRPr="00BF3B2E">
              <w:rPr>
                <w:sz w:val="20"/>
                <w:szCs w:val="20"/>
              </w:rPr>
              <w:t>Photochemical oxidants (as ozone)</w:t>
            </w:r>
          </w:p>
        </w:tc>
        <w:tc>
          <w:tcPr>
            <w:tcW w:w="4110" w:type="dxa"/>
          </w:tcPr>
          <w:p w14:paraId="4C7656F7" w14:textId="77777777" w:rsidR="005A494A" w:rsidRPr="00BF3B2E" w:rsidRDefault="005A494A" w:rsidP="004553EF">
            <w:pPr>
              <w:spacing w:before="60"/>
              <w:rPr>
                <w:sz w:val="20"/>
                <w:szCs w:val="20"/>
              </w:rPr>
            </w:pPr>
            <w:r w:rsidRPr="00BF3B2E">
              <w:rPr>
                <w:sz w:val="20"/>
                <w:szCs w:val="20"/>
              </w:rPr>
              <w:t>Determination of Ozone-Direct Reading Instrumental Method</w:t>
            </w:r>
          </w:p>
        </w:tc>
        <w:tc>
          <w:tcPr>
            <w:tcW w:w="2055" w:type="dxa"/>
          </w:tcPr>
          <w:p w14:paraId="72F31280" w14:textId="77777777" w:rsidR="005A494A" w:rsidRPr="00BF3B2E" w:rsidRDefault="005A494A" w:rsidP="004553EF">
            <w:pPr>
              <w:spacing w:before="60"/>
              <w:rPr>
                <w:sz w:val="20"/>
                <w:szCs w:val="20"/>
              </w:rPr>
            </w:pPr>
            <w:r w:rsidRPr="00BF3B2E">
              <w:rPr>
                <w:sz w:val="20"/>
                <w:szCs w:val="20"/>
              </w:rPr>
              <w:t>AS 3580.6.1-201</w:t>
            </w:r>
            <w:r>
              <w:rPr>
                <w:sz w:val="20"/>
                <w:szCs w:val="20"/>
              </w:rPr>
              <w:t>6</w:t>
            </w:r>
          </w:p>
        </w:tc>
      </w:tr>
      <w:tr w:rsidR="005A494A" w:rsidRPr="00BF3B2E" w14:paraId="5924CD95" w14:textId="77777777" w:rsidTr="004553EF">
        <w:tc>
          <w:tcPr>
            <w:tcW w:w="1701" w:type="dxa"/>
          </w:tcPr>
          <w:p w14:paraId="5EB5EFCF" w14:textId="77777777" w:rsidR="005A494A" w:rsidRPr="00BF3B2E" w:rsidRDefault="005A494A" w:rsidP="004553EF">
            <w:pPr>
              <w:spacing w:before="60"/>
              <w:rPr>
                <w:sz w:val="20"/>
                <w:szCs w:val="20"/>
              </w:rPr>
            </w:pPr>
            <w:proofErr w:type="spellStart"/>
            <w:r w:rsidRPr="00BF3B2E">
              <w:rPr>
                <w:sz w:val="20"/>
                <w:szCs w:val="20"/>
              </w:rPr>
              <w:t>Sulfur</w:t>
            </w:r>
            <w:proofErr w:type="spellEnd"/>
            <w:r w:rsidRPr="00BF3B2E">
              <w:rPr>
                <w:sz w:val="20"/>
                <w:szCs w:val="20"/>
              </w:rPr>
              <w:t xml:space="preserve"> dioxide</w:t>
            </w:r>
          </w:p>
        </w:tc>
        <w:tc>
          <w:tcPr>
            <w:tcW w:w="4110" w:type="dxa"/>
            <w:tcBorders>
              <w:bottom w:val="single" w:sz="6" w:space="0" w:color="auto"/>
            </w:tcBorders>
          </w:tcPr>
          <w:p w14:paraId="04BDCCDE" w14:textId="77777777" w:rsidR="005A494A" w:rsidRPr="00BF3B2E" w:rsidRDefault="005A494A" w:rsidP="004553EF">
            <w:pPr>
              <w:spacing w:before="60"/>
              <w:rPr>
                <w:sz w:val="20"/>
                <w:szCs w:val="20"/>
              </w:rPr>
            </w:pPr>
            <w:r w:rsidRPr="00BF3B2E">
              <w:rPr>
                <w:sz w:val="20"/>
                <w:szCs w:val="20"/>
              </w:rPr>
              <w:t xml:space="preserve">Determination of </w:t>
            </w:r>
            <w:proofErr w:type="spellStart"/>
            <w:r w:rsidRPr="00BF3B2E">
              <w:rPr>
                <w:sz w:val="20"/>
                <w:szCs w:val="20"/>
              </w:rPr>
              <w:t>Sulfur</w:t>
            </w:r>
            <w:proofErr w:type="spellEnd"/>
            <w:r w:rsidRPr="00BF3B2E">
              <w:rPr>
                <w:sz w:val="20"/>
                <w:szCs w:val="20"/>
              </w:rPr>
              <w:t xml:space="preserve"> Dioxide-Direct Reading Instrumental Method</w:t>
            </w:r>
          </w:p>
        </w:tc>
        <w:tc>
          <w:tcPr>
            <w:tcW w:w="2055" w:type="dxa"/>
            <w:tcBorders>
              <w:bottom w:val="single" w:sz="6" w:space="0" w:color="auto"/>
            </w:tcBorders>
          </w:tcPr>
          <w:p w14:paraId="00690D03" w14:textId="77777777" w:rsidR="005A494A" w:rsidRPr="00BF3B2E" w:rsidRDefault="005A494A" w:rsidP="004553EF">
            <w:pPr>
              <w:spacing w:before="60"/>
              <w:rPr>
                <w:sz w:val="20"/>
                <w:szCs w:val="20"/>
              </w:rPr>
            </w:pPr>
            <w:r w:rsidRPr="00BF3B2E">
              <w:rPr>
                <w:sz w:val="20"/>
                <w:szCs w:val="20"/>
              </w:rPr>
              <w:t>AS 3580.4.1-2008</w:t>
            </w:r>
            <w:r>
              <w:rPr>
                <w:sz w:val="20"/>
                <w:szCs w:val="20"/>
              </w:rPr>
              <w:t xml:space="preserve"> REC:2018</w:t>
            </w:r>
          </w:p>
        </w:tc>
      </w:tr>
      <w:tr w:rsidR="005A494A" w:rsidRPr="00BF3B2E" w14:paraId="0E0A8D66" w14:textId="77777777" w:rsidTr="004553EF">
        <w:tc>
          <w:tcPr>
            <w:tcW w:w="1701" w:type="dxa"/>
            <w:vMerge w:val="restart"/>
          </w:tcPr>
          <w:p w14:paraId="73EFAE62" w14:textId="77777777" w:rsidR="005A494A" w:rsidRPr="00BF3B2E" w:rsidRDefault="005A494A" w:rsidP="004553EF">
            <w:pPr>
              <w:spacing w:before="60"/>
              <w:rPr>
                <w:sz w:val="20"/>
                <w:szCs w:val="20"/>
              </w:rPr>
            </w:pPr>
            <w:r w:rsidRPr="00BF3B2E">
              <w:rPr>
                <w:sz w:val="20"/>
                <w:szCs w:val="20"/>
              </w:rPr>
              <w:t>Lead</w:t>
            </w:r>
          </w:p>
        </w:tc>
        <w:tc>
          <w:tcPr>
            <w:tcW w:w="4110" w:type="dxa"/>
            <w:tcBorders>
              <w:bottom w:val="nil"/>
            </w:tcBorders>
          </w:tcPr>
          <w:p w14:paraId="4D01EB59" w14:textId="77777777" w:rsidR="005A494A" w:rsidRPr="00BF3B2E" w:rsidRDefault="005A494A" w:rsidP="004553EF">
            <w:pPr>
              <w:spacing w:before="60"/>
              <w:rPr>
                <w:sz w:val="20"/>
                <w:szCs w:val="20"/>
              </w:rPr>
            </w:pPr>
            <w:r w:rsidRPr="00B726E8">
              <w:rPr>
                <w:sz w:val="20"/>
                <w:szCs w:val="20"/>
              </w:rPr>
              <w:t>Determination of Suspended Particulate Matter – Particulate metals high or low volume sampler gravimetric collection – Inductively coupled plasma (ICP) spectrometric method</w:t>
            </w:r>
          </w:p>
        </w:tc>
        <w:tc>
          <w:tcPr>
            <w:tcW w:w="2055" w:type="dxa"/>
            <w:tcBorders>
              <w:bottom w:val="nil"/>
            </w:tcBorders>
          </w:tcPr>
          <w:p w14:paraId="5DAE9803" w14:textId="77777777" w:rsidR="005A494A" w:rsidRPr="00BF3B2E" w:rsidRDefault="005A494A" w:rsidP="004553EF">
            <w:pPr>
              <w:spacing w:before="60"/>
              <w:rPr>
                <w:sz w:val="20"/>
                <w:szCs w:val="20"/>
              </w:rPr>
            </w:pPr>
            <w:r w:rsidRPr="00B726E8">
              <w:rPr>
                <w:sz w:val="20"/>
                <w:szCs w:val="20"/>
              </w:rPr>
              <w:t>AS/NZS 3580.9.15:2014</w:t>
            </w:r>
          </w:p>
        </w:tc>
      </w:tr>
      <w:tr w:rsidR="005A494A" w:rsidRPr="00BF3B2E" w14:paraId="2425A7B3" w14:textId="77777777" w:rsidTr="004553EF">
        <w:tc>
          <w:tcPr>
            <w:tcW w:w="1701" w:type="dxa"/>
            <w:vMerge/>
            <w:tcBorders>
              <w:bottom w:val="single" w:sz="6" w:space="0" w:color="auto"/>
            </w:tcBorders>
          </w:tcPr>
          <w:p w14:paraId="45DF4185" w14:textId="77777777" w:rsidR="005A494A" w:rsidRPr="00BF3B2E" w:rsidRDefault="005A494A" w:rsidP="004553EF">
            <w:pPr>
              <w:spacing w:before="60"/>
              <w:rPr>
                <w:sz w:val="20"/>
                <w:szCs w:val="20"/>
              </w:rPr>
            </w:pPr>
          </w:p>
        </w:tc>
        <w:tc>
          <w:tcPr>
            <w:tcW w:w="4110" w:type="dxa"/>
            <w:tcBorders>
              <w:top w:val="nil"/>
              <w:bottom w:val="single" w:sz="6" w:space="0" w:color="auto"/>
            </w:tcBorders>
          </w:tcPr>
          <w:p w14:paraId="20E15F63" w14:textId="77777777" w:rsidR="005A494A" w:rsidRPr="00BF3B2E" w:rsidRDefault="005A494A" w:rsidP="004553EF">
            <w:pPr>
              <w:spacing w:before="60"/>
              <w:rPr>
                <w:sz w:val="20"/>
                <w:szCs w:val="20"/>
              </w:rPr>
            </w:pPr>
            <w:r w:rsidRPr="00B726E8">
              <w:rPr>
                <w:sz w:val="20"/>
                <w:szCs w:val="20"/>
              </w:rPr>
              <w:t>Determination of Suspended Particulate Matter – Total suspended particulate matter (TSP) - High volume sampler gravimetric method</w:t>
            </w:r>
          </w:p>
        </w:tc>
        <w:tc>
          <w:tcPr>
            <w:tcW w:w="2055" w:type="dxa"/>
            <w:tcBorders>
              <w:top w:val="nil"/>
              <w:bottom w:val="single" w:sz="6" w:space="0" w:color="auto"/>
            </w:tcBorders>
          </w:tcPr>
          <w:p w14:paraId="01152B2A" w14:textId="77777777" w:rsidR="005A494A" w:rsidRPr="00BF3B2E" w:rsidRDefault="005A494A" w:rsidP="004553EF">
            <w:pPr>
              <w:spacing w:before="60"/>
              <w:rPr>
                <w:sz w:val="20"/>
                <w:szCs w:val="20"/>
              </w:rPr>
            </w:pPr>
            <w:r w:rsidRPr="00B726E8">
              <w:rPr>
                <w:sz w:val="20"/>
                <w:szCs w:val="20"/>
              </w:rPr>
              <w:t>AS/NZS 3580.9.3:2015</w:t>
            </w:r>
          </w:p>
        </w:tc>
      </w:tr>
      <w:tr w:rsidR="005A494A" w:rsidRPr="00BF3B2E" w14:paraId="0BC7AB8B" w14:textId="77777777" w:rsidTr="004553EF">
        <w:tc>
          <w:tcPr>
            <w:tcW w:w="1701" w:type="dxa"/>
            <w:vMerge w:val="restart"/>
          </w:tcPr>
          <w:p w14:paraId="539F55C5" w14:textId="77777777" w:rsidR="005A494A" w:rsidRPr="00BF3B2E" w:rsidRDefault="005A494A" w:rsidP="004553EF">
            <w:pPr>
              <w:spacing w:before="60"/>
              <w:rPr>
                <w:sz w:val="20"/>
                <w:szCs w:val="20"/>
              </w:rPr>
            </w:pPr>
            <w:r>
              <w:rPr>
                <w:sz w:val="20"/>
                <w:szCs w:val="20"/>
              </w:rPr>
              <w:t>Particles as PM</w:t>
            </w:r>
            <w:r>
              <w:rPr>
                <w:sz w:val="20"/>
                <w:szCs w:val="20"/>
                <w:vertAlign w:val="subscript"/>
              </w:rPr>
              <w:t>10</w:t>
            </w:r>
          </w:p>
        </w:tc>
        <w:tc>
          <w:tcPr>
            <w:tcW w:w="4110" w:type="dxa"/>
            <w:tcBorders>
              <w:bottom w:val="nil"/>
            </w:tcBorders>
          </w:tcPr>
          <w:p w14:paraId="22AA4072" w14:textId="77777777" w:rsidR="005A494A" w:rsidRPr="00BF3B2E" w:rsidRDefault="005A494A" w:rsidP="004553EF">
            <w:pPr>
              <w:spacing w:before="60"/>
              <w:rPr>
                <w:sz w:val="20"/>
                <w:szCs w:val="20"/>
              </w:rPr>
            </w:pPr>
            <w:r>
              <w:rPr>
                <w:sz w:val="20"/>
                <w:szCs w:val="20"/>
              </w:rPr>
              <w:t>Determination of Suspended Particulate Matter-PM</w:t>
            </w:r>
            <w:r>
              <w:rPr>
                <w:sz w:val="20"/>
                <w:szCs w:val="20"/>
                <w:vertAlign w:val="subscript"/>
              </w:rPr>
              <w:t>10</w:t>
            </w:r>
            <w:r>
              <w:rPr>
                <w:sz w:val="20"/>
                <w:szCs w:val="20"/>
              </w:rPr>
              <w:t xml:space="preserve"> High Volume Sampler with Size Selective Inlet-Gravimetric Method</w:t>
            </w:r>
          </w:p>
        </w:tc>
        <w:tc>
          <w:tcPr>
            <w:tcW w:w="2055" w:type="dxa"/>
            <w:tcBorders>
              <w:bottom w:val="nil"/>
            </w:tcBorders>
          </w:tcPr>
          <w:p w14:paraId="78771759" w14:textId="77777777" w:rsidR="005A494A" w:rsidRPr="00BF3B2E" w:rsidRDefault="005A494A" w:rsidP="004553EF">
            <w:pPr>
              <w:spacing w:before="60"/>
              <w:rPr>
                <w:sz w:val="20"/>
                <w:szCs w:val="20"/>
              </w:rPr>
            </w:pPr>
            <w:r>
              <w:rPr>
                <w:sz w:val="20"/>
                <w:szCs w:val="20"/>
              </w:rPr>
              <w:t>AS/NZS 3580.9.6:2015</w:t>
            </w:r>
          </w:p>
        </w:tc>
      </w:tr>
      <w:tr w:rsidR="005A494A" w:rsidRPr="00BF3B2E" w14:paraId="5573613A" w14:textId="77777777" w:rsidTr="004553EF">
        <w:tc>
          <w:tcPr>
            <w:tcW w:w="1701" w:type="dxa"/>
            <w:vMerge/>
          </w:tcPr>
          <w:p w14:paraId="060CB0DE" w14:textId="77777777" w:rsidR="005A494A" w:rsidRPr="00BF3B2E" w:rsidRDefault="005A494A" w:rsidP="004553EF">
            <w:pPr>
              <w:spacing w:before="60"/>
              <w:rPr>
                <w:sz w:val="20"/>
                <w:szCs w:val="20"/>
              </w:rPr>
            </w:pPr>
          </w:p>
        </w:tc>
        <w:tc>
          <w:tcPr>
            <w:tcW w:w="4110" w:type="dxa"/>
            <w:tcBorders>
              <w:top w:val="nil"/>
              <w:bottom w:val="nil"/>
            </w:tcBorders>
          </w:tcPr>
          <w:p w14:paraId="2FE9DF0F" w14:textId="77777777" w:rsidR="005A494A" w:rsidRPr="00BF3B2E" w:rsidRDefault="005A494A" w:rsidP="004553EF">
            <w:pPr>
              <w:spacing w:before="60"/>
              <w:rPr>
                <w:sz w:val="20"/>
                <w:szCs w:val="20"/>
              </w:rPr>
            </w:pPr>
            <w:r>
              <w:rPr>
                <w:sz w:val="20"/>
                <w:szCs w:val="20"/>
              </w:rPr>
              <w:t>Determination of Suspended Particulate Matter- Dichotomous sampler (PM</w:t>
            </w:r>
            <w:r>
              <w:rPr>
                <w:sz w:val="20"/>
                <w:szCs w:val="20"/>
                <w:vertAlign w:val="subscript"/>
              </w:rPr>
              <w:t xml:space="preserve">10, </w:t>
            </w:r>
            <w:r>
              <w:rPr>
                <w:sz w:val="20"/>
                <w:szCs w:val="20"/>
              </w:rPr>
              <w:t>coarse PM and PM</w:t>
            </w:r>
            <w:r>
              <w:rPr>
                <w:sz w:val="20"/>
                <w:szCs w:val="20"/>
                <w:vertAlign w:val="subscript"/>
              </w:rPr>
              <w:t xml:space="preserve">2.5) </w:t>
            </w:r>
            <w:r>
              <w:rPr>
                <w:sz w:val="20"/>
                <w:szCs w:val="20"/>
              </w:rPr>
              <w:t>– Gravimetric method</w:t>
            </w:r>
          </w:p>
        </w:tc>
        <w:tc>
          <w:tcPr>
            <w:tcW w:w="2055" w:type="dxa"/>
            <w:tcBorders>
              <w:top w:val="nil"/>
              <w:bottom w:val="nil"/>
            </w:tcBorders>
          </w:tcPr>
          <w:p w14:paraId="3A1F14F2" w14:textId="77777777" w:rsidR="005A494A" w:rsidRPr="00BF3B2E" w:rsidRDefault="005A494A" w:rsidP="004553EF">
            <w:pPr>
              <w:spacing w:before="60"/>
              <w:rPr>
                <w:sz w:val="20"/>
                <w:szCs w:val="20"/>
              </w:rPr>
            </w:pPr>
            <w:r>
              <w:rPr>
                <w:sz w:val="20"/>
                <w:szCs w:val="20"/>
              </w:rPr>
              <w:t>AS/NZS 3580.9.7:2009</w:t>
            </w:r>
          </w:p>
        </w:tc>
      </w:tr>
      <w:tr w:rsidR="005A494A" w:rsidRPr="00BF3B2E" w14:paraId="5215E0AE" w14:textId="77777777" w:rsidTr="004553EF">
        <w:tc>
          <w:tcPr>
            <w:tcW w:w="1701" w:type="dxa"/>
            <w:vMerge/>
          </w:tcPr>
          <w:p w14:paraId="4665DBB1" w14:textId="77777777" w:rsidR="005A494A" w:rsidRPr="00BF3B2E" w:rsidRDefault="005A494A" w:rsidP="004553EF">
            <w:pPr>
              <w:spacing w:before="60"/>
              <w:rPr>
                <w:sz w:val="20"/>
                <w:szCs w:val="20"/>
              </w:rPr>
            </w:pPr>
          </w:p>
        </w:tc>
        <w:tc>
          <w:tcPr>
            <w:tcW w:w="4110" w:type="dxa"/>
            <w:tcBorders>
              <w:top w:val="nil"/>
              <w:bottom w:val="nil"/>
            </w:tcBorders>
          </w:tcPr>
          <w:p w14:paraId="4CA9E52D" w14:textId="77777777" w:rsidR="005A494A" w:rsidRPr="00BF3B2E" w:rsidRDefault="005A494A" w:rsidP="004553EF">
            <w:pPr>
              <w:spacing w:before="60"/>
              <w:rPr>
                <w:sz w:val="20"/>
                <w:szCs w:val="20"/>
              </w:rPr>
            </w:pPr>
            <w:r>
              <w:rPr>
                <w:sz w:val="20"/>
                <w:szCs w:val="20"/>
              </w:rPr>
              <w:t>Determination of Suspended Particulate Matter-PM</w:t>
            </w:r>
            <w:r>
              <w:rPr>
                <w:sz w:val="20"/>
                <w:szCs w:val="20"/>
                <w:vertAlign w:val="subscript"/>
              </w:rPr>
              <w:t>10</w:t>
            </w:r>
            <w:r>
              <w:rPr>
                <w:sz w:val="20"/>
                <w:szCs w:val="20"/>
              </w:rPr>
              <w:t xml:space="preserve"> continuous direct mass method using tapered element oscillating microbalance analyser.</w:t>
            </w:r>
          </w:p>
        </w:tc>
        <w:tc>
          <w:tcPr>
            <w:tcW w:w="2055" w:type="dxa"/>
            <w:tcBorders>
              <w:top w:val="nil"/>
              <w:bottom w:val="nil"/>
            </w:tcBorders>
          </w:tcPr>
          <w:p w14:paraId="2CC9BAF4" w14:textId="77777777" w:rsidR="005A494A" w:rsidRPr="00BF3B2E" w:rsidRDefault="005A494A" w:rsidP="004553EF">
            <w:pPr>
              <w:spacing w:before="60"/>
              <w:rPr>
                <w:sz w:val="20"/>
                <w:szCs w:val="20"/>
              </w:rPr>
            </w:pPr>
            <w:r>
              <w:rPr>
                <w:sz w:val="20"/>
                <w:szCs w:val="20"/>
              </w:rPr>
              <w:t>AS 3580.9.8-2008 REC:2018</w:t>
            </w:r>
          </w:p>
        </w:tc>
      </w:tr>
      <w:tr w:rsidR="005A494A" w:rsidRPr="00BF3B2E" w14:paraId="36A4CE4B" w14:textId="77777777" w:rsidTr="004553EF">
        <w:tc>
          <w:tcPr>
            <w:tcW w:w="1701" w:type="dxa"/>
            <w:vMerge/>
          </w:tcPr>
          <w:p w14:paraId="2C595C56" w14:textId="77777777" w:rsidR="005A494A" w:rsidRPr="00BF3B2E" w:rsidRDefault="005A494A" w:rsidP="004553EF">
            <w:pPr>
              <w:spacing w:before="60"/>
              <w:rPr>
                <w:sz w:val="20"/>
                <w:szCs w:val="20"/>
              </w:rPr>
            </w:pPr>
          </w:p>
        </w:tc>
        <w:tc>
          <w:tcPr>
            <w:tcW w:w="4110" w:type="dxa"/>
            <w:tcBorders>
              <w:top w:val="nil"/>
              <w:bottom w:val="nil"/>
            </w:tcBorders>
          </w:tcPr>
          <w:p w14:paraId="7B382302" w14:textId="77777777" w:rsidR="005A494A" w:rsidRPr="00BF3B2E" w:rsidRDefault="005A494A" w:rsidP="004553EF">
            <w:pPr>
              <w:spacing w:before="60"/>
              <w:rPr>
                <w:sz w:val="20"/>
                <w:szCs w:val="20"/>
              </w:rPr>
            </w:pPr>
            <w:r>
              <w:rPr>
                <w:sz w:val="20"/>
                <w:szCs w:val="20"/>
              </w:rPr>
              <w:t>Determination of Suspended Particulate Matter-PM</w:t>
            </w:r>
            <w:r>
              <w:rPr>
                <w:sz w:val="20"/>
                <w:szCs w:val="20"/>
                <w:vertAlign w:val="subscript"/>
              </w:rPr>
              <w:t>10</w:t>
            </w:r>
            <w:r>
              <w:rPr>
                <w:sz w:val="20"/>
                <w:szCs w:val="20"/>
              </w:rPr>
              <w:t xml:space="preserve"> Low Volume Sampler-Gravimetric Method</w:t>
            </w:r>
          </w:p>
        </w:tc>
        <w:tc>
          <w:tcPr>
            <w:tcW w:w="2055" w:type="dxa"/>
            <w:tcBorders>
              <w:top w:val="nil"/>
              <w:bottom w:val="nil"/>
            </w:tcBorders>
          </w:tcPr>
          <w:p w14:paraId="33A406C7" w14:textId="77777777" w:rsidR="005A494A" w:rsidRPr="00BF3B2E" w:rsidRDefault="005A494A" w:rsidP="004553EF">
            <w:pPr>
              <w:spacing w:before="60"/>
              <w:rPr>
                <w:sz w:val="20"/>
                <w:szCs w:val="20"/>
              </w:rPr>
            </w:pPr>
            <w:r>
              <w:rPr>
                <w:sz w:val="20"/>
                <w:szCs w:val="20"/>
              </w:rPr>
              <w:t>AS 3580.9.9:2017</w:t>
            </w:r>
          </w:p>
        </w:tc>
      </w:tr>
      <w:tr w:rsidR="005A494A" w:rsidRPr="00BF3B2E" w14:paraId="6B4FAD70" w14:textId="77777777" w:rsidTr="004553EF">
        <w:tc>
          <w:tcPr>
            <w:tcW w:w="1701" w:type="dxa"/>
            <w:vMerge/>
          </w:tcPr>
          <w:p w14:paraId="6B8AF074" w14:textId="77777777" w:rsidR="005A494A" w:rsidRPr="00BF3B2E" w:rsidRDefault="005A494A" w:rsidP="004553EF">
            <w:pPr>
              <w:spacing w:before="60"/>
              <w:rPr>
                <w:sz w:val="20"/>
                <w:szCs w:val="20"/>
              </w:rPr>
            </w:pPr>
          </w:p>
        </w:tc>
        <w:tc>
          <w:tcPr>
            <w:tcW w:w="4110" w:type="dxa"/>
            <w:tcBorders>
              <w:top w:val="nil"/>
              <w:bottom w:val="single" w:sz="6" w:space="0" w:color="auto"/>
            </w:tcBorders>
          </w:tcPr>
          <w:p w14:paraId="4C3790D8" w14:textId="77777777" w:rsidR="005A494A" w:rsidRDefault="005A494A" w:rsidP="004553EF">
            <w:pPr>
              <w:spacing w:before="60"/>
              <w:rPr>
                <w:sz w:val="20"/>
                <w:szCs w:val="20"/>
              </w:rPr>
            </w:pPr>
            <w:r>
              <w:rPr>
                <w:sz w:val="20"/>
                <w:szCs w:val="20"/>
              </w:rPr>
              <w:t>Determination of Suspended Particulate Matter-PM</w:t>
            </w:r>
            <w:r>
              <w:rPr>
                <w:sz w:val="20"/>
                <w:szCs w:val="20"/>
                <w:vertAlign w:val="subscript"/>
              </w:rPr>
              <w:t xml:space="preserve">10 </w:t>
            </w:r>
            <w:r>
              <w:rPr>
                <w:sz w:val="20"/>
                <w:szCs w:val="20"/>
              </w:rPr>
              <w:t>beta attenuation monitors</w:t>
            </w:r>
          </w:p>
          <w:p w14:paraId="0ABC8E4E" w14:textId="77777777" w:rsidR="005A494A" w:rsidRPr="00BF3B2E" w:rsidRDefault="002B00B4" w:rsidP="009A2FD8">
            <w:pPr>
              <w:spacing w:before="60"/>
              <w:rPr>
                <w:sz w:val="20"/>
                <w:szCs w:val="20"/>
              </w:rPr>
            </w:pPr>
            <w:r w:rsidRPr="002B00B4">
              <w:rPr>
                <w:sz w:val="20"/>
                <w:szCs w:val="20"/>
              </w:rPr>
              <w:t>Determination of suspended particulate matter – PM</w:t>
            </w:r>
            <w:r w:rsidRPr="009A2FD8">
              <w:rPr>
                <w:sz w:val="20"/>
                <w:szCs w:val="20"/>
                <w:vertAlign w:val="subscript"/>
              </w:rPr>
              <w:t>10</w:t>
            </w:r>
            <w:r w:rsidRPr="002B00B4">
              <w:rPr>
                <w:sz w:val="20"/>
                <w:szCs w:val="20"/>
              </w:rPr>
              <w:t xml:space="preserve"> continuous direct mass method using a tapered element oscillating microbalance monitor incorporating a filter dynamic measurement system (FDMS) unit</w:t>
            </w:r>
          </w:p>
        </w:tc>
        <w:tc>
          <w:tcPr>
            <w:tcW w:w="2055" w:type="dxa"/>
            <w:tcBorders>
              <w:top w:val="nil"/>
              <w:bottom w:val="single" w:sz="6" w:space="0" w:color="auto"/>
            </w:tcBorders>
          </w:tcPr>
          <w:p w14:paraId="7EAC0606" w14:textId="77777777" w:rsidR="005A494A" w:rsidRDefault="005A494A" w:rsidP="004553EF">
            <w:pPr>
              <w:spacing w:before="60"/>
              <w:rPr>
                <w:sz w:val="20"/>
                <w:szCs w:val="20"/>
              </w:rPr>
            </w:pPr>
            <w:r>
              <w:rPr>
                <w:sz w:val="20"/>
                <w:szCs w:val="20"/>
              </w:rPr>
              <w:t>AS/NZS 3580.9.11: 2016</w:t>
            </w:r>
          </w:p>
          <w:p w14:paraId="286FFD28" w14:textId="77777777" w:rsidR="002B00B4" w:rsidRPr="002B00B4" w:rsidRDefault="002B00B4" w:rsidP="004553EF">
            <w:pPr>
              <w:spacing w:before="60"/>
              <w:rPr>
                <w:sz w:val="20"/>
                <w:szCs w:val="20"/>
              </w:rPr>
            </w:pPr>
            <w:r w:rsidRPr="009408A9">
              <w:rPr>
                <w:sz w:val="20"/>
                <w:szCs w:val="20"/>
              </w:rPr>
              <w:t>AS/NZS 3580.9.16:2016</w:t>
            </w:r>
          </w:p>
        </w:tc>
      </w:tr>
      <w:tr w:rsidR="005A494A" w:rsidRPr="00BF3B2E" w14:paraId="337E9E1B" w14:textId="77777777" w:rsidTr="004553EF">
        <w:tc>
          <w:tcPr>
            <w:tcW w:w="1701" w:type="dxa"/>
            <w:vMerge w:val="restart"/>
          </w:tcPr>
          <w:p w14:paraId="6ABD8D95" w14:textId="77777777" w:rsidR="005A494A" w:rsidRPr="00BF3B2E" w:rsidRDefault="005A494A" w:rsidP="004553EF">
            <w:pPr>
              <w:spacing w:before="60"/>
              <w:rPr>
                <w:sz w:val="20"/>
                <w:szCs w:val="20"/>
              </w:rPr>
            </w:pPr>
            <w:r>
              <w:rPr>
                <w:sz w:val="20"/>
                <w:szCs w:val="20"/>
              </w:rPr>
              <w:t>Particles as PM</w:t>
            </w:r>
            <w:r>
              <w:rPr>
                <w:sz w:val="20"/>
                <w:szCs w:val="20"/>
                <w:vertAlign w:val="subscript"/>
              </w:rPr>
              <w:t>2.5</w:t>
            </w:r>
          </w:p>
        </w:tc>
        <w:tc>
          <w:tcPr>
            <w:tcW w:w="4110" w:type="dxa"/>
            <w:tcBorders>
              <w:bottom w:val="nil"/>
            </w:tcBorders>
          </w:tcPr>
          <w:p w14:paraId="04ED7C8D" w14:textId="77777777" w:rsidR="005A494A" w:rsidRPr="00BF3B2E" w:rsidRDefault="005A494A" w:rsidP="004553EF">
            <w:pPr>
              <w:spacing w:before="60"/>
              <w:rPr>
                <w:sz w:val="20"/>
                <w:szCs w:val="20"/>
              </w:rPr>
            </w:pPr>
            <w:r>
              <w:rPr>
                <w:sz w:val="20"/>
                <w:szCs w:val="20"/>
              </w:rPr>
              <w:t>Determination of Suspended Particulate Matter-PM</w:t>
            </w:r>
            <w:r>
              <w:rPr>
                <w:sz w:val="20"/>
                <w:szCs w:val="20"/>
                <w:vertAlign w:val="subscript"/>
              </w:rPr>
              <w:t xml:space="preserve">2.5 </w:t>
            </w:r>
            <w:r>
              <w:rPr>
                <w:sz w:val="20"/>
                <w:szCs w:val="20"/>
              </w:rPr>
              <w:t>low volume sampler-Gravimetric Method</w:t>
            </w:r>
          </w:p>
        </w:tc>
        <w:tc>
          <w:tcPr>
            <w:tcW w:w="2055" w:type="dxa"/>
            <w:tcBorders>
              <w:bottom w:val="nil"/>
            </w:tcBorders>
          </w:tcPr>
          <w:p w14:paraId="25CFE486" w14:textId="77777777" w:rsidR="005A494A" w:rsidRPr="00BF3B2E" w:rsidRDefault="005A494A" w:rsidP="004553EF">
            <w:pPr>
              <w:spacing w:before="60"/>
              <w:rPr>
                <w:sz w:val="20"/>
                <w:szCs w:val="20"/>
              </w:rPr>
            </w:pPr>
            <w:r>
              <w:rPr>
                <w:sz w:val="20"/>
                <w:szCs w:val="20"/>
              </w:rPr>
              <w:t>AS 3580.9.10:2017</w:t>
            </w:r>
          </w:p>
        </w:tc>
      </w:tr>
      <w:tr w:rsidR="005A494A" w:rsidRPr="00BF3B2E" w14:paraId="20DBC2F3" w14:textId="77777777" w:rsidTr="004553EF">
        <w:tc>
          <w:tcPr>
            <w:tcW w:w="1701" w:type="dxa"/>
            <w:vMerge/>
          </w:tcPr>
          <w:p w14:paraId="1B8438D8" w14:textId="77777777" w:rsidR="005A494A" w:rsidRPr="00BF3B2E" w:rsidRDefault="005A494A" w:rsidP="004553EF">
            <w:pPr>
              <w:spacing w:before="60"/>
              <w:rPr>
                <w:sz w:val="20"/>
                <w:szCs w:val="20"/>
              </w:rPr>
            </w:pPr>
          </w:p>
        </w:tc>
        <w:tc>
          <w:tcPr>
            <w:tcW w:w="4110" w:type="dxa"/>
            <w:tcBorders>
              <w:top w:val="nil"/>
              <w:bottom w:val="nil"/>
            </w:tcBorders>
          </w:tcPr>
          <w:p w14:paraId="3A857170" w14:textId="77777777" w:rsidR="005A494A" w:rsidRPr="00BF3B2E" w:rsidRDefault="005A494A" w:rsidP="004553EF">
            <w:pPr>
              <w:spacing w:before="60"/>
              <w:rPr>
                <w:sz w:val="20"/>
                <w:szCs w:val="20"/>
              </w:rPr>
            </w:pPr>
            <w:r>
              <w:rPr>
                <w:sz w:val="20"/>
                <w:szCs w:val="20"/>
              </w:rPr>
              <w:t>Determination of Suspended Particulate Matter-PM</w:t>
            </w:r>
            <w:r>
              <w:rPr>
                <w:sz w:val="20"/>
                <w:szCs w:val="20"/>
                <w:vertAlign w:val="subscript"/>
              </w:rPr>
              <w:t xml:space="preserve">2.5 </w:t>
            </w:r>
            <w:r>
              <w:rPr>
                <w:sz w:val="20"/>
                <w:szCs w:val="20"/>
              </w:rPr>
              <w:t>beta attenuation monitors</w:t>
            </w:r>
          </w:p>
        </w:tc>
        <w:tc>
          <w:tcPr>
            <w:tcW w:w="2055" w:type="dxa"/>
            <w:tcBorders>
              <w:top w:val="nil"/>
              <w:bottom w:val="nil"/>
            </w:tcBorders>
          </w:tcPr>
          <w:p w14:paraId="2C5DADA8" w14:textId="77777777" w:rsidR="005A494A" w:rsidRPr="00BF3B2E" w:rsidRDefault="005A494A" w:rsidP="004553EF">
            <w:pPr>
              <w:spacing w:before="60"/>
              <w:rPr>
                <w:sz w:val="20"/>
                <w:szCs w:val="20"/>
              </w:rPr>
            </w:pPr>
            <w:r>
              <w:rPr>
                <w:sz w:val="20"/>
                <w:szCs w:val="20"/>
              </w:rPr>
              <w:t>AS/NZS 3580.9.12:2013</w:t>
            </w:r>
          </w:p>
        </w:tc>
      </w:tr>
      <w:tr w:rsidR="005A494A" w:rsidRPr="00BF3B2E" w14:paraId="3FC41053" w14:textId="77777777" w:rsidTr="004553EF">
        <w:tc>
          <w:tcPr>
            <w:tcW w:w="1701" w:type="dxa"/>
            <w:vMerge/>
          </w:tcPr>
          <w:p w14:paraId="29D2B19B" w14:textId="77777777" w:rsidR="005A494A" w:rsidRPr="00BF3B2E" w:rsidRDefault="005A494A" w:rsidP="004553EF">
            <w:pPr>
              <w:spacing w:before="60"/>
              <w:rPr>
                <w:sz w:val="20"/>
                <w:szCs w:val="20"/>
              </w:rPr>
            </w:pPr>
          </w:p>
        </w:tc>
        <w:tc>
          <w:tcPr>
            <w:tcW w:w="4110" w:type="dxa"/>
            <w:tcBorders>
              <w:top w:val="nil"/>
              <w:bottom w:val="nil"/>
            </w:tcBorders>
          </w:tcPr>
          <w:p w14:paraId="12F44C2C" w14:textId="77777777" w:rsidR="005A494A" w:rsidRPr="00BF3B2E" w:rsidRDefault="005A494A" w:rsidP="004553EF">
            <w:pPr>
              <w:spacing w:before="60"/>
              <w:rPr>
                <w:sz w:val="20"/>
                <w:szCs w:val="20"/>
              </w:rPr>
            </w:pPr>
            <w:r>
              <w:rPr>
                <w:sz w:val="20"/>
                <w:szCs w:val="20"/>
              </w:rPr>
              <w:t>Determination of Suspended Particulate Matter-PM</w:t>
            </w:r>
            <w:r>
              <w:rPr>
                <w:sz w:val="20"/>
                <w:szCs w:val="20"/>
                <w:vertAlign w:val="subscript"/>
              </w:rPr>
              <w:t xml:space="preserve">2.5 </w:t>
            </w:r>
            <w:r>
              <w:rPr>
                <w:sz w:val="20"/>
                <w:szCs w:val="20"/>
              </w:rPr>
              <w:t>continuous direct mass method using a tapered element oscillating microbalance monitor</w:t>
            </w:r>
          </w:p>
        </w:tc>
        <w:tc>
          <w:tcPr>
            <w:tcW w:w="2055" w:type="dxa"/>
            <w:tcBorders>
              <w:top w:val="nil"/>
              <w:bottom w:val="nil"/>
            </w:tcBorders>
          </w:tcPr>
          <w:p w14:paraId="411AE4B0" w14:textId="77777777" w:rsidR="005A494A" w:rsidRPr="00BF3B2E" w:rsidRDefault="005A494A" w:rsidP="004553EF">
            <w:pPr>
              <w:spacing w:before="60"/>
              <w:rPr>
                <w:sz w:val="20"/>
                <w:szCs w:val="20"/>
              </w:rPr>
            </w:pPr>
            <w:r>
              <w:rPr>
                <w:sz w:val="20"/>
                <w:szCs w:val="20"/>
              </w:rPr>
              <w:t>AS/NZS 3580.9.13:2013</w:t>
            </w:r>
          </w:p>
        </w:tc>
      </w:tr>
      <w:tr w:rsidR="005A494A" w:rsidRPr="00BF3B2E" w14:paraId="36AB39DC" w14:textId="77777777" w:rsidTr="004553EF">
        <w:tc>
          <w:tcPr>
            <w:tcW w:w="1701" w:type="dxa"/>
            <w:vMerge/>
          </w:tcPr>
          <w:p w14:paraId="5FB31891" w14:textId="77777777" w:rsidR="005A494A" w:rsidRPr="00BF3B2E" w:rsidRDefault="005A494A" w:rsidP="004553EF">
            <w:pPr>
              <w:spacing w:before="60"/>
              <w:rPr>
                <w:sz w:val="20"/>
                <w:szCs w:val="20"/>
              </w:rPr>
            </w:pPr>
          </w:p>
        </w:tc>
        <w:tc>
          <w:tcPr>
            <w:tcW w:w="4110" w:type="dxa"/>
            <w:tcBorders>
              <w:top w:val="nil"/>
            </w:tcBorders>
          </w:tcPr>
          <w:p w14:paraId="74C25966" w14:textId="77777777" w:rsidR="005A494A" w:rsidRPr="00BF3B2E" w:rsidRDefault="005A494A" w:rsidP="004553EF">
            <w:pPr>
              <w:spacing w:before="60"/>
              <w:rPr>
                <w:sz w:val="20"/>
                <w:szCs w:val="20"/>
              </w:rPr>
            </w:pPr>
            <w:r>
              <w:rPr>
                <w:sz w:val="20"/>
                <w:szCs w:val="20"/>
              </w:rPr>
              <w:t>Determination of Suspended Particulate Matter-PM</w:t>
            </w:r>
            <w:r>
              <w:rPr>
                <w:sz w:val="20"/>
                <w:szCs w:val="20"/>
                <w:vertAlign w:val="subscript"/>
              </w:rPr>
              <w:t>2.5</w:t>
            </w:r>
            <w:r>
              <w:rPr>
                <w:sz w:val="20"/>
                <w:szCs w:val="20"/>
              </w:rPr>
              <w:t xml:space="preserve"> high volume sampler with size selective inlet – Gravimetric Method</w:t>
            </w:r>
          </w:p>
        </w:tc>
        <w:tc>
          <w:tcPr>
            <w:tcW w:w="2055" w:type="dxa"/>
            <w:tcBorders>
              <w:top w:val="nil"/>
            </w:tcBorders>
          </w:tcPr>
          <w:p w14:paraId="5EEC9F61" w14:textId="77777777" w:rsidR="005A494A" w:rsidRPr="00BF3B2E" w:rsidRDefault="005A494A" w:rsidP="004553EF">
            <w:pPr>
              <w:spacing w:before="60"/>
              <w:rPr>
                <w:sz w:val="20"/>
                <w:szCs w:val="20"/>
              </w:rPr>
            </w:pPr>
            <w:r>
              <w:rPr>
                <w:sz w:val="20"/>
                <w:szCs w:val="20"/>
              </w:rPr>
              <w:t>AS/NZS 3580.9.14:2013</w:t>
            </w:r>
          </w:p>
        </w:tc>
      </w:tr>
    </w:tbl>
    <w:bookmarkEnd w:id="33"/>
    <w:p w14:paraId="22DB69B7" w14:textId="06C9DE54" w:rsidR="005A494A" w:rsidRPr="005A494A" w:rsidRDefault="006756C6" w:rsidP="005538A5">
      <w:pPr>
        <w:pStyle w:val="Note"/>
      </w:pPr>
      <w:r>
        <w:t>Note</w:t>
      </w:r>
      <w:r>
        <w:tab/>
        <w:t xml:space="preserve">The standards in this table can be obtained from Standards Australia Ltd (see </w:t>
      </w:r>
      <w:r w:rsidR="004553EF" w:rsidRPr="004553EF">
        <w:t>https://www.standards.org.au/</w:t>
      </w:r>
      <w:r w:rsidR="004553EF">
        <w:t>.)</w:t>
      </w:r>
    </w:p>
    <w:sectPr w:rsidR="005A494A" w:rsidRPr="005A494A" w:rsidSect="003C6F77">
      <w:footerReference w:type="even" r:id="rId12"/>
      <w:footerReference w:type="default" r:id="rId13"/>
      <w:pgSz w:w="11907" w:h="16839" w:code="9"/>
      <w:pgMar w:top="1440" w:right="1440" w:bottom="1440" w:left="1440" w:header="709" w:footer="536"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F222F" w14:textId="77777777" w:rsidR="00145DCD" w:rsidRDefault="00145DCD">
      <w:r>
        <w:separator/>
      </w:r>
    </w:p>
  </w:endnote>
  <w:endnote w:type="continuationSeparator" w:id="0">
    <w:p w14:paraId="1A56040B" w14:textId="77777777" w:rsidR="00145DCD" w:rsidRDefault="00145DCD">
      <w:r>
        <w:continuationSeparator/>
      </w:r>
    </w:p>
  </w:endnote>
  <w:endnote w:type="continuationNotice" w:id="1">
    <w:p w14:paraId="3CBA791A" w14:textId="77777777" w:rsidR="00145DCD" w:rsidRDefault="00145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B858" w14:textId="77777777" w:rsidR="00811B64" w:rsidRDefault="00811B64" w:rsidP="00377AF0">
    <w:pPr>
      <w:pStyle w:val="Footer"/>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811B64" w14:paraId="3467BEBA" w14:textId="77777777" w:rsidTr="00B122A7">
      <w:tc>
        <w:tcPr>
          <w:tcW w:w="1134" w:type="dxa"/>
        </w:tcPr>
        <w:p w14:paraId="32B6F451" w14:textId="54B33E93" w:rsidR="00811B64" w:rsidRDefault="00811B64" w:rsidP="00B122A7">
          <w:pPr>
            <w:spacing w:line="240" w:lineRule="exact"/>
          </w:pPr>
        </w:p>
      </w:tc>
      <w:tc>
        <w:tcPr>
          <w:tcW w:w="6095" w:type="dxa"/>
        </w:tcPr>
        <w:p w14:paraId="2FC793EE" w14:textId="40AA3ADB" w:rsidR="00811B64" w:rsidRPr="00D74170" w:rsidRDefault="00811B64" w:rsidP="00B122A7">
          <w:pPr>
            <w:pStyle w:val="FooterCitation"/>
          </w:pPr>
          <w:r w:rsidRPr="005A494A">
            <w:t>National Environment Protection (Ambient Air Quality) Measure Variation Instrument 20</w:t>
          </w:r>
          <w:r w:rsidR="00B70DBF">
            <w:t>2</w:t>
          </w:r>
          <w:r w:rsidR="00C34EA1">
            <w:t>1</w:t>
          </w:r>
        </w:p>
      </w:tc>
      <w:tc>
        <w:tcPr>
          <w:tcW w:w="1134" w:type="dxa"/>
        </w:tcPr>
        <w:p w14:paraId="1682D666" w14:textId="77777777" w:rsidR="00811B64" w:rsidRPr="003D7214" w:rsidRDefault="00811B64" w:rsidP="00B122A7">
          <w:pPr>
            <w:spacing w:line="240" w:lineRule="exact"/>
            <w:jc w:val="right"/>
            <w:rPr>
              <w:rStyle w:val="PageNumber"/>
              <w:rFonts w:cs="Arial"/>
              <w:szCs w:val="22"/>
            </w:rPr>
          </w:pPr>
        </w:p>
      </w:tc>
    </w:tr>
  </w:tbl>
  <w:p w14:paraId="0B0CBDD7" w14:textId="77777777" w:rsidR="00811B64" w:rsidRDefault="00811B64">
    <w:pPr>
      <w:pStyle w:val="Footer"/>
    </w:pPr>
  </w:p>
  <w:p w14:paraId="02DB9389" w14:textId="77777777" w:rsidR="00811B64" w:rsidRDefault="0081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E9CD2" w14:textId="0FCB1ED6" w:rsidR="00C93BBA" w:rsidRPr="00C93BBA" w:rsidRDefault="00C93BBA" w:rsidP="00C93BBA">
    <w:pPr>
      <w:pStyle w:val="Footer"/>
      <w:jc w:val="left"/>
      <w:rPr>
        <w:i w:val="0"/>
        <w:iCs/>
      </w:rPr>
    </w:pPr>
  </w:p>
  <w:p w14:paraId="5EFE9CD7" w14:textId="77777777" w:rsidR="00811B64" w:rsidRDefault="0081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71456" w14:textId="77777777" w:rsidR="00145DCD" w:rsidRDefault="00145DCD">
      <w:r>
        <w:separator/>
      </w:r>
    </w:p>
  </w:footnote>
  <w:footnote w:type="continuationSeparator" w:id="0">
    <w:p w14:paraId="6FABFF59" w14:textId="77777777" w:rsidR="00145DCD" w:rsidRDefault="00145DCD">
      <w:r>
        <w:continuationSeparator/>
      </w:r>
    </w:p>
  </w:footnote>
  <w:footnote w:type="continuationNotice" w:id="1">
    <w:p w14:paraId="446369EF" w14:textId="77777777" w:rsidR="00145DCD" w:rsidRDefault="00145D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84940"/>
    <w:multiLevelType w:val="hybridMultilevel"/>
    <w:tmpl w:val="CF5A3090"/>
    <w:lvl w:ilvl="0" w:tplc="01268DB4">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 w15:restartNumberingAfterBreak="0">
    <w:nsid w:val="03B56685"/>
    <w:multiLevelType w:val="hybridMultilevel"/>
    <w:tmpl w:val="6F684B5E"/>
    <w:lvl w:ilvl="0" w:tplc="C0340A50">
      <w:start w:val="1"/>
      <w:numFmt w:val="bullet"/>
      <w:lvlText w:val=""/>
      <w:lvlJc w:val="left"/>
      <w:pPr>
        <w:tabs>
          <w:tab w:val="num" w:pos="1380"/>
        </w:tabs>
        <w:ind w:left="1380" w:hanging="360"/>
      </w:pPr>
      <w:rPr>
        <w:rFonts w:ascii="Symbol" w:hAnsi="Symbol" w:hint="default"/>
        <w:sz w:val="16"/>
        <w:szCs w:val="16"/>
      </w:rPr>
    </w:lvl>
    <w:lvl w:ilvl="1" w:tplc="0C090003" w:tentative="1">
      <w:start w:val="1"/>
      <w:numFmt w:val="bullet"/>
      <w:lvlText w:val="o"/>
      <w:lvlJc w:val="left"/>
      <w:pPr>
        <w:tabs>
          <w:tab w:val="num" w:pos="2400"/>
        </w:tabs>
        <w:ind w:left="2400" w:hanging="360"/>
      </w:pPr>
      <w:rPr>
        <w:rFonts w:ascii="Courier New" w:hAnsi="Courier New" w:cs="Courier New" w:hint="default"/>
      </w:rPr>
    </w:lvl>
    <w:lvl w:ilvl="2" w:tplc="0C090005" w:tentative="1">
      <w:start w:val="1"/>
      <w:numFmt w:val="bullet"/>
      <w:lvlText w:val=""/>
      <w:lvlJc w:val="left"/>
      <w:pPr>
        <w:tabs>
          <w:tab w:val="num" w:pos="3120"/>
        </w:tabs>
        <w:ind w:left="3120" w:hanging="360"/>
      </w:pPr>
      <w:rPr>
        <w:rFonts w:ascii="Wingdings" w:hAnsi="Wingdings" w:hint="default"/>
      </w:rPr>
    </w:lvl>
    <w:lvl w:ilvl="3" w:tplc="0C090001" w:tentative="1">
      <w:start w:val="1"/>
      <w:numFmt w:val="bullet"/>
      <w:lvlText w:val=""/>
      <w:lvlJc w:val="left"/>
      <w:pPr>
        <w:tabs>
          <w:tab w:val="num" w:pos="3840"/>
        </w:tabs>
        <w:ind w:left="3840" w:hanging="360"/>
      </w:pPr>
      <w:rPr>
        <w:rFonts w:ascii="Symbol" w:hAnsi="Symbol" w:hint="default"/>
      </w:rPr>
    </w:lvl>
    <w:lvl w:ilvl="4" w:tplc="0C090003" w:tentative="1">
      <w:start w:val="1"/>
      <w:numFmt w:val="bullet"/>
      <w:lvlText w:val="o"/>
      <w:lvlJc w:val="left"/>
      <w:pPr>
        <w:tabs>
          <w:tab w:val="num" w:pos="4560"/>
        </w:tabs>
        <w:ind w:left="4560" w:hanging="360"/>
      </w:pPr>
      <w:rPr>
        <w:rFonts w:ascii="Courier New" w:hAnsi="Courier New" w:cs="Courier New" w:hint="default"/>
      </w:rPr>
    </w:lvl>
    <w:lvl w:ilvl="5" w:tplc="0C090005" w:tentative="1">
      <w:start w:val="1"/>
      <w:numFmt w:val="bullet"/>
      <w:lvlText w:val=""/>
      <w:lvlJc w:val="left"/>
      <w:pPr>
        <w:tabs>
          <w:tab w:val="num" w:pos="5280"/>
        </w:tabs>
        <w:ind w:left="5280" w:hanging="360"/>
      </w:pPr>
      <w:rPr>
        <w:rFonts w:ascii="Wingdings" w:hAnsi="Wingdings" w:hint="default"/>
      </w:rPr>
    </w:lvl>
    <w:lvl w:ilvl="6" w:tplc="0C090001" w:tentative="1">
      <w:start w:val="1"/>
      <w:numFmt w:val="bullet"/>
      <w:lvlText w:val=""/>
      <w:lvlJc w:val="left"/>
      <w:pPr>
        <w:tabs>
          <w:tab w:val="num" w:pos="6000"/>
        </w:tabs>
        <w:ind w:left="6000" w:hanging="360"/>
      </w:pPr>
      <w:rPr>
        <w:rFonts w:ascii="Symbol" w:hAnsi="Symbol" w:hint="default"/>
      </w:rPr>
    </w:lvl>
    <w:lvl w:ilvl="7" w:tplc="0C090003" w:tentative="1">
      <w:start w:val="1"/>
      <w:numFmt w:val="bullet"/>
      <w:lvlText w:val="o"/>
      <w:lvlJc w:val="left"/>
      <w:pPr>
        <w:tabs>
          <w:tab w:val="num" w:pos="6720"/>
        </w:tabs>
        <w:ind w:left="6720" w:hanging="360"/>
      </w:pPr>
      <w:rPr>
        <w:rFonts w:ascii="Courier New" w:hAnsi="Courier New" w:cs="Courier New" w:hint="default"/>
      </w:rPr>
    </w:lvl>
    <w:lvl w:ilvl="8" w:tplc="0C090005" w:tentative="1">
      <w:start w:val="1"/>
      <w:numFmt w:val="bullet"/>
      <w:lvlText w:val=""/>
      <w:lvlJc w:val="left"/>
      <w:pPr>
        <w:tabs>
          <w:tab w:val="num" w:pos="7440"/>
        </w:tabs>
        <w:ind w:left="7440" w:hanging="360"/>
      </w:pPr>
      <w:rPr>
        <w:rFonts w:ascii="Wingdings" w:hAnsi="Wingdings" w:hint="default"/>
      </w:rPr>
    </w:lvl>
  </w:abstractNum>
  <w:abstractNum w:abstractNumId="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7F41D5B"/>
    <w:multiLevelType w:val="multilevel"/>
    <w:tmpl w:val="808634F6"/>
    <w:numStyleLink w:val="Style1"/>
  </w:abstractNum>
  <w:abstractNum w:abstractNumId="4" w15:restartNumberingAfterBreak="0">
    <w:nsid w:val="1A6E19C0"/>
    <w:multiLevelType w:val="hybridMultilevel"/>
    <w:tmpl w:val="300CBA0C"/>
    <w:lvl w:ilvl="0" w:tplc="5D3C3756">
      <w:start w:val="5"/>
      <w:numFmt w:val="decimal"/>
      <w:lvlText w:val="(%1)"/>
      <w:lvlJc w:val="left"/>
      <w:pPr>
        <w:ind w:left="135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5"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EA26E32"/>
    <w:multiLevelType w:val="hybridMultilevel"/>
    <w:tmpl w:val="A532D9AE"/>
    <w:lvl w:ilvl="0" w:tplc="1C5C6156">
      <w:start w:val="2"/>
      <w:numFmt w:val="lowerLetter"/>
      <w:lvlText w:val="(%1)"/>
      <w:lvlJc w:val="left"/>
      <w:pPr>
        <w:tabs>
          <w:tab w:val="num" w:pos="1272"/>
        </w:tabs>
        <w:ind w:left="1272" w:hanging="360"/>
      </w:pPr>
      <w:rPr>
        <w:rFonts w:hint="default"/>
      </w:rPr>
    </w:lvl>
    <w:lvl w:ilvl="1" w:tplc="0C090019" w:tentative="1">
      <w:start w:val="1"/>
      <w:numFmt w:val="lowerLetter"/>
      <w:lvlText w:val="%2."/>
      <w:lvlJc w:val="left"/>
      <w:pPr>
        <w:tabs>
          <w:tab w:val="num" w:pos="1992"/>
        </w:tabs>
        <w:ind w:left="1992" w:hanging="360"/>
      </w:pPr>
    </w:lvl>
    <w:lvl w:ilvl="2" w:tplc="0C09001B" w:tentative="1">
      <w:start w:val="1"/>
      <w:numFmt w:val="lowerRoman"/>
      <w:lvlText w:val="%3."/>
      <w:lvlJc w:val="right"/>
      <w:pPr>
        <w:tabs>
          <w:tab w:val="num" w:pos="2712"/>
        </w:tabs>
        <w:ind w:left="2712" w:hanging="180"/>
      </w:pPr>
    </w:lvl>
    <w:lvl w:ilvl="3" w:tplc="0C09000F" w:tentative="1">
      <w:start w:val="1"/>
      <w:numFmt w:val="decimal"/>
      <w:lvlText w:val="%4."/>
      <w:lvlJc w:val="left"/>
      <w:pPr>
        <w:tabs>
          <w:tab w:val="num" w:pos="3432"/>
        </w:tabs>
        <w:ind w:left="3432" w:hanging="360"/>
      </w:pPr>
    </w:lvl>
    <w:lvl w:ilvl="4" w:tplc="0C090019" w:tentative="1">
      <w:start w:val="1"/>
      <w:numFmt w:val="lowerLetter"/>
      <w:lvlText w:val="%5."/>
      <w:lvlJc w:val="left"/>
      <w:pPr>
        <w:tabs>
          <w:tab w:val="num" w:pos="4152"/>
        </w:tabs>
        <w:ind w:left="4152" w:hanging="360"/>
      </w:pPr>
    </w:lvl>
    <w:lvl w:ilvl="5" w:tplc="0C09001B" w:tentative="1">
      <w:start w:val="1"/>
      <w:numFmt w:val="lowerRoman"/>
      <w:lvlText w:val="%6."/>
      <w:lvlJc w:val="right"/>
      <w:pPr>
        <w:tabs>
          <w:tab w:val="num" w:pos="4872"/>
        </w:tabs>
        <w:ind w:left="4872" w:hanging="180"/>
      </w:pPr>
    </w:lvl>
    <w:lvl w:ilvl="6" w:tplc="0C09000F" w:tentative="1">
      <w:start w:val="1"/>
      <w:numFmt w:val="decimal"/>
      <w:lvlText w:val="%7."/>
      <w:lvlJc w:val="left"/>
      <w:pPr>
        <w:tabs>
          <w:tab w:val="num" w:pos="5592"/>
        </w:tabs>
        <w:ind w:left="5592" w:hanging="360"/>
      </w:pPr>
    </w:lvl>
    <w:lvl w:ilvl="7" w:tplc="0C090019" w:tentative="1">
      <w:start w:val="1"/>
      <w:numFmt w:val="lowerLetter"/>
      <w:lvlText w:val="%8."/>
      <w:lvlJc w:val="left"/>
      <w:pPr>
        <w:tabs>
          <w:tab w:val="num" w:pos="6312"/>
        </w:tabs>
        <w:ind w:left="6312" w:hanging="360"/>
      </w:pPr>
    </w:lvl>
    <w:lvl w:ilvl="8" w:tplc="0C09001B" w:tentative="1">
      <w:start w:val="1"/>
      <w:numFmt w:val="lowerRoman"/>
      <w:lvlText w:val="%9."/>
      <w:lvlJc w:val="right"/>
      <w:pPr>
        <w:tabs>
          <w:tab w:val="num" w:pos="7032"/>
        </w:tabs>
        <w:ind w:left="7032" w:hanging="180"/>
      </w:pPr>
    </w:lvl>
  </w:abstractNum>
  <w:abstractNum w:abstractNumId="7" w15:restartNumberingAfterBreak="0">
    <w:nsid w:val="26FD000B"/>
    <w:multiLevelType w:val="hybridMultilevel"/>
    <w:tmpl w:val="8ED86CDA"/>
    <w:lvl w:ilvl="0" w:tplc="1D86F3D2">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CD27ACC"/>
    <w:multiLevelType w:val="hybridMultilevel"/>
    <w:tmpl w:val="EE561FDC"/>
    <w:lvl w:ilvl="0" w:tplc="5CEA0D9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8E07218"/>
    <w:multiLevelType w:val="hybridMultilevel"/>
    <w:tmpl w:val="62306B48"/>
    <w:lvl w:ilvl="0" w:tplc="0C09001B">
      <w:start w:val="1"/>
      <w:numFmt w:val="lowerRoman"/>
      <w:lvlText w:val="%1."/>
      <w:lvlJc w:val="right"/>
      <w:pPr>
        <w:ind w:left="1770" w:hanging="360"/>
      </w:pPr>
    </w:lvl>
    <w:lvl w:ilvl="1" w:tplc="0C090019" w:tentative="1">
      <w:start w:val="1"/>
      <w:numFmt w:val="lowerLetter"/>
      <w:lvlText w:val="%2."/>
      <w:lvlJc w:val="left"/>
      <w:pPr>
        <w:ind w:left="2490" w:hanging="360"/>
      </w:pPr>
    </w:lvl>
    <w:lvl w:ilvl="2" w:tplc="0C09001B" w:tentative="1">
      <w:start w:val="1"/>
      <w:numFmt w:val="lowerRoman"/>
      <w:lvlText w:val="%3."/>
      <w:lvlJc w:val="right"/>
      <w:pPr>
        <w:ind w:left="3210" w:hanging="180"/>
      </w:pPr>
    </w:lvl>
    <w:lvl w:ilvl="3" w:tplc="0C09000F" w:tentative="1">
      <w:start w:val="1"/>
      <w:numFmt w:val="decimal"/>
      <w:lvlText w:val="%4."/>
      <w:lvlJc w:val="left"/>
      <w:pPr>
        <w:ind w:left="3930" w:hanging="360"/>
      </w:pPr>
    </w:lvl>
    <w:lvl w:ilvl="4" w:tplc="0C090019"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11" w15:restartNumberingAfterBreak="0">
    <w:nsid w:val="50230980"/>
    <w:multiLevelType w:val="hybridMultilevel"/>
    <w:tmpl w:val="2B64F2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171C34"/>
    <w:multiLevelType w:val="hybridMultilevel"/>
    <w:tmpl w:val="A03CB0F8"/>
    <w:lvl w:ilvl="0" w:tplc="422CDE38">
      <w:start w:val="1"/>
      <w:numFmt w:val="lowerLetter"/>
      <w:lvlText w:val="(%1)"/>
      <w:lvlJc w:val="left"/>
      <w:pPr>
        <w:tabs>
          <w:tab w:val="num" w:pos="1436"/>
        </w:tabs>
        <w:ind w:left="1436" w:hanging="444"/>
      </w:pPr>
      <w:rPr>
        <w:rFonts w:cs="Times New Roman" w:hint="default"/>
      </w:rPr>
    </w:lvl>
    <w:lvl w:ilvl="1" w:tplc="0C090019" w:tentative="1">
      <w:start w:val="1"/>
      <w:numFmt w:val="lowerLetter"/>
      <w:lvlText w:val="%2."/>
      <w:lvlJc w:val="left"/>
      <w:pPr>
        <w:tabs>
          <w:tab w:val="num" w:pos="2072"/>
        </w:tabs>
        <w:ind w:left="2072" w:hanging="360"/>
      </w:pPr>
      <w:rPr>
        <w:rFonts w:cs="Times New Roman"/>
      </w:rPr>
    </w:lvl>
    <w:lvl w:ilvl="2" w:tplc="0C09001B" w:tentative="1">
      <w:start w:val="1"/>
      <w:numFmt w:val="lowerRoman"/>
      <w:lvlText w:val="%3."/>
      <w:lvlJc w:val="right"/>
      <w:pPr>
        <w:tabs>
          <w:tab w:val="num" w:pos="2792"/>
        </w:tabs>
        <w:ind w:left="2792" w:hanging="180"/>
      </w:pPr>
      <w:rPr>
        <w:rFonts w:cs="Times New Roman"/>
      </w:rPr>
    </w:lvl>
    <w:lvl w:ilvl="3" w:tplc="0C09000F" w:tentative="1">
      <w:start w:val="1"/>
      <w:numFmt w:val="decimal"/>
      <w:lvlText w:val="%4."/>
      <w:lvlJc w:val="left"/>
      <w:pPr>
        <w:tabs>
          <w:tab w:val="num" w:pos="3512"/>
        </w:tabs>
        <w:ind w:left="3512" w:hanging="360"/>
      </w:pPr>
      <w:rPr>
        <w:rFonts w:cs="Times New Roman"/>
      </w:rPr>
    </w:lvl>
    <w:lvl w:ilvl="4" w:tplc="0C090019" w:tentative="1">
      <w:start w:val="1"/>
      <w:numFmt w:val="lowerLetter"/>
      <w:lvlText w:val="%5."/>
      <w:lvlJc w:val="left"/>
      <w:pPr>
        <w:tabs>
          <w:tab w:val="num" w:pos="4232"/>
        </w:tabs>
        <w:ind w:left="4232" w:hanging="360"/>
      </w:pPr>
      <w:rPr>
        <w:rFonts w:cs="Times New Roman"/>
      </w:rPr>
    </w:lvl>
    <w:lvl w:ilvl="5" w:tplc="0C09001B" w:tentative="1">
      <w:start w:val="1"/>
      <w:numFmt w:val="lowerRoman"/>
      <w:lvlText w:val="%6."/>
      <w:lvlJc w:val="right"/>
      <w:pPr>
        <w:tabs>
          <w:tab w:val="num" w:pos="4952"/>
        </w:tabs>
        <w:ind w:left="4952" w:hanging="180"/>
      </w:pPr>
      <w:rPr>
        <w:rFonts w:cs="Times New Roman"/>
      </w:rPr>
    </w:lvl>
    <w:lvl w:ilvl="6" w:tplc="0C09000F" w:tentative="1">
      <w:start w:val="1"/>
      <w:numFmt w:val="decimal"/>
      <w:lvlText w:val="%7."/>
      <w:lvlJc w:val="left"/>
      <w:pPr>
        <w:tabs>
          <w:tab w:val="num" w:pos="5672"/>
        </w:tabs>
        <w:ind w:left="5672" w:hanging="360"/>
      </w:pPr>
      <w:rPr>
        <w:rFonts w:cs="Times New Roman"/>
      </w:rPr>
    </w:lvl>
    <w:lvl w:ilvl="7" w:tplc="0C090019" w:tentative="1">
      <w:start w:val="1"/>
      <w:numFmt w:val="lowerLetter"/>
      <w:lvlText w:val="%8."/>
      <w:lvlJc w:val="left"/>
      <w:pPr>
        <w:tabs>
          <w:tab w:val="num" w:pos="6392"/>
        </w:tabs>
        <w:ind w:left="6392" w:hanging="360"/>
      </w:pPr>
      <w:rPr>
        <w:rFonts w:cs="Times New Roman"/>
      </w:rPr>
    </w:lvl>
    <w:lvl w:ilvl="8" w:tplc="0C09001B" w:tentative="1">
      <w:start w:val="1"/>
      <w:numFmt w:val="lowerRoman"/>
      <w:lvlText w:val="%9."/>
      <w:lvlJc w:val="right"/>
      <w:pPr>
        <w:tabs>
          <w:tab w:val="num" w:pos="7112"/>
        </w:tabs>
        <w:ind w:left="7112" w:hanging="180"/>
      </w:pPr>
      <w:rPr>
        <w:rFonts w:cs="Times New Roman"/>
      </w:rPr>
    </w:lvl>
  </w:abstractNum>
  <w:abstractNum w:abstractNumId="13" w15:restartNumberingAfterBreak="0">
    <w:nsid w:val="5B7B4283"/>
    <w:multiLevelType w:val="hybridMultilevel"/>
    <w:tmpl w:val="56E4B9FE"/>
    <w:lvl w:ilvl="0" w:tplc="78C22F78">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4" w15:restartNumberingAfterBreak="0">
    <w:nsid w:val="5C961F65"/>
    <w:multiLevelType w:val="hybridMultilevel"/>
    <w:tmpl w:val="5C268E70"/>
    <w:lvl w:ilvl="0" w:tplc="C520099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600269B4"/>
    <w:multiLevelType w:val="multilevel"/>
    <w:tmpl w:val="808634F6"/>
    <w:styleLink w:val="Style1"/>
    <w:lvl w:ilvl="0">
      <w:start w:val="1"/>
      <w:numFmt w:val="none"/>
      <w:lvlText w:val="(3A)"/>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8C80E53"/>
    <w:multiLevelType w:val="hybridMultilevel"/>
    <w:tmpl w:val="2A16D536"/>
    <w:lvl w:ilvl="0" w:tplc="5734F9E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791A277C"/>
    <w:multiLevelType w:val="hybridMultilevel"/>
    <w:tmpl w:val="D8E2E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E93DEB"/>
    <w:multiLevelType w:val="hybridMultilevel"/>
    <w:tmpl w:val="2D78C226"/>
    <w:lvl w:ilvl="0" w:tplc="CA605CA2">
      <w:start w:val="1"/>
      <w:numFmt w:val="bullet"/>
      <w:pStyle w:val="List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5"/>
  </w:num>
  <w:num w:numId="4">
    <w:abstractNumId w:val="8"/>
  </w:num>
  <w:num w:numId="5">
    <w:abstractNumId w:val="6"/>
  </w:num>
  <w:num w:numId="6">
    <w:abstractNumId w:val="12"/>
  </w:num>
  <w:num w:numId="7">
    <w:abstractNumId w:val="1"/>
  </w:num>
  <w:num w:numId="8">
    <w:abstractNumId w:val="7"/>
  </w:num>
  <w:num w:numId="9">
    <w:abstractNumId w:val="16"/>
  </w:num>
  <w:num w:numId="10">
    <w:abstractNumId w:val="4"/>
  </w:num>
  <w:num w:numId="11">
    <w:abstractNumId w:val="15"/>
  </w:num>
  <w:num w:numId="12">
    <w:abstractNumId w:val="3"/>
  </w:num>
  <w:num w:numId="13">
    <w:abstractNumId w:val="18"/>
  </w:num>
  <w:num w:numId="14">
    <w:abstractNumId w:val="17"/>
  </w:num>
  <w:num w:numId="15">
    <w:abstractNumId w:val="9"/>
  </w:num>
  <w:num w:numId="16">
    <w:abstractNumId w:val="0"/>
  </w:num>
  <w:num w:numId="17">
    <w:abstractNumId w:val="13"/>
  </w:num>
  <w:num w:numId="18">
    <w:abstractNumId w:val="1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stylePaneSortMethod w:val="000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F1"/>
    <w:rsid w:val="000038A0"/>
    <w:rsid w:val="00006850"/>
    <w:rsid w:val="00012F8A"/>
    <w:rsid w:val="00014027"/>
    <w:rsid w:val="00014D0D"/>
    <w:rsid w:val="0001662A"/>
    <w:rsid w:val="00020108"/>
    <w:rsid w:val="00032922"/>
    <w:rsid w:val="00032F2C"/>
    <w:rsid w:val="0003436E"/>
    <w:rsid w:val="00035789"/>
    <w:rsid w:val="000367F9"/>
    <w:rsid w:val="00040090"/>
    <w:rsid w:val="000403D5"/>
    <w:rsid w:val="000427E4"/>
    <w:rsid w:val="00045F1B"/>
    <w:rsid w:val="000502BD"/>
    <w:rsid w:val="000521B7"/>
    <w:rsid w:val="0005339D"/>
    <w:rsid w:val="00053FD0"/>
    <w:rsid w:val="00055C75"/>
    <w:rsid w:val="00060076"/>
    <w:rsid w:val="0006169B"/>
    <w:rsid w:val="00061F89"/>
    <w:rsid w:val="000646EC"/>
    <w:rsid w:val="00065118"/>
    <w:rsid w:val="000715D1"/>
    <w:rsid w:val="000807CC"/>
    <w:rsid w:val="00082916"/>
    <w:rsid w:val="00083189"/>
    <w:rsid w:val="0008560A"/>
    <w:rsid w:val="00086F12"/>
    <w:rsid w:val="00087D2E"/>
    <w:rsid w:val="000900C0"/>
    <w:rsid w:val="00091146"/>
    <w:rsid w:val="00095849"/>
    <w:rsid w:val="0009736D"/>
    <w:rsid w:val="00097C4D"/>
    <w:rsid w:val="000A0788"/>
    <w:rsid w:val="000A0CCA"/>
    <w:rsid w:val="000A1742"/>
    <w:rsid w:val="000A3C59"/>
    <w:rsid w:val="000A620C"/>
    <w:rsid w:val="000A7869"/>
    <w:rsid w:val="000A79EA"/>
    <w:rsid w:val="000B4121"/>
    <w:rsid w:val="000B4E77"/>
    <w:rsid w:val="000B51B3"/>
    <w:rsid w:val="000C6A9A"/>
    <w:rsid w:val="000D06EE"/>
    <w:rsid w:val="000D1916"/>
    <w:rsid w:val="000D3294"/>
    <w:rsid w:val="000E27E3"/>
    <w:rsid w:val="000E48BD"/>
    <w:rsid w:val="000E7494"/>
    <w:rsid w:val="000F781A"/>
    <w:rsid w:val="000F7CDD"/>
    <w:rsid w:val="001005A6"/>
    <w:rsid w:val="001042B1"/>
    <w:rsid w:val="00105BB8"/>
    <w:rsid w:val="00110C3B"/>
    <w:rsid w:val="00111D90"/>
    <w:rsid w:val="00112FD6"/>
    <w:rsid w:val="0011321C"/>
    <w:rsid w:val="00113C25"/>
    <w:rsid w:val="00116989"/>
    <w:rsid w:val="001179E8"/>
    <w:rsid w:val="00122009"/>
    <w:rsid w:val="00125430"/>
    <w:rsid w:val="00127B53"/>
    <w:rsid w:val="001312D8"/>
    <w:rsid w:val="001328CE"/>
    <w:rsid w:val="00134DDC"/>
    <w:rsid w:val="00134FA1"/>
    <w:rsid w:val="00140090"/>
    <w:rsid w:val="001405AE"/>
    <w:rsid w:val="001409F1"/>
    <w:rsid w:val="00141776"/>
    <w:rsid w:val="0014186A"/>
    <w:rsid w:val="00141CBA"/>
    <w:rsid w:val="00141EF5"/>
    <w:rsid w:val="00144DE3"/>
    <w:rsid w:val="00145DCD"/>
    <w:rsid w:val="001469CB"/>
    <w:rsid w:val="00151FF4"/>
    <w:rsid w:val="00153195"/>
    <w:rsid w:val="001544D0"/>
    <w:rsid w:val="00155D80"/>
    <w:rsid w:val="00160AF7"/>
    <w:rsid w:val="00162609"/>
    <w:rsid w:val="001633D1"/>
    <w:rsid w:val="00164935"/>
    <w:rsid w:val="00165D61"/>
    <w:rsid w:val="001734F0"/>
    <w:rsid w:val="00174C98"/>
    <w:rsid w:val="0017685B"/>
    <w:rsid w:val="001800FB"/>
    <w:rsid w:val="00180CBA"/>
    <w:rsid w:val="00182A66"/>
    <w:rsid w:val="00185F83"/>
    <w:rsid w:val="00186360"/>
    <w:rsid w:val="00187D63"/>
    <w:rsid w:val="0019113A"/>
    <w:rsid w:val="00191FA5"/>
    <w:rsid w:val="00192C10"/>
    <w:rsid w:val="001A1729"/>
    <w:rsid w:val="001A2CF3"/>
    <w:rsid w:val="001A3898"/>
    <w:rsid w:val="001A4D92"/>
    <w:rsid w:val="001A4DD7"/>
    <w:rsid w:val="001A4FF0"/>
    <w:rsid w:val="001A6C59"/>
    <w:rsid w:val="001B17F8"/>
    <w:rsid w:val="001B285F"/>
    <w:rsid w:val="001B3E0A"/>
    <w:rsid w:val="001B5A5A"/>
    <w:rsid w:val="001B7E5A"/>
    <w:rsid w:val="001C22F5"/>
    <w:rsid w:val="001C25FE"/>
    <w:rsid w:val="001C643A"/>
    <w:rsid w:val="001C7ECB"/>
    <w:rsid w:val="001D4ED0"/>
    <w:rsid w:val="001D6D71"/>
    <w:rsid w:val="001E035F"/>
    <w:rsid w:val="001E092D"/>
    <w:rsid w:val="001E1AB5"/>
    <w:rsid w:val="001E6774"/>
    <w:rsid w:val="001F056D"/>
    <w:rsid w:val="001F108C"/>
    <w:rsid w:val="001F11EF"/>
    <w:rsid w:val="001F12D0"/>
    <w:rsid w:val="001F1BDE"/>
    <w:rsid w:val="001F240C"/>
    <w:rsid w:val="001F41C5"/>
    <w:rsid w:val="001F6C4A"/>
    <w:rsid w:val="001F797B"/>
    <w:rsid w:val="002015B2"/>
    <w:rsid w:val="00203232"/>
    <w:rsid w:val="0020359F"/>
    <w:rsid w:val="00210652"/>
    <w:rsid w:val="00214C3B"/>
    <w:rsid w:val="00220134"/>
    <w:rsid w:val="00221E18"/>
    <w:rsid w:val="002252C7"/>
    <w:rsid w:val="002257BE"/>
    <w:rsid w:val="0022734F"/>
    <w:rsid w:val="002300A3"/>
    <w:rsid w:val="002313BB"/>
    <w:rsid w:val="002339C5"/>
    <w:rsid w:val="00233C57"/>
    <w:rsid w:val="0023703D"/>
    <w:rsid w:val="00240912"/>
    <w:rsid w:val="0024222C"/>
    <w:rsid w:val="00243601"/>
    <w:rsid w:val="00244C01"/>
    <w:rsid w:val="00246042"/>
    <w:rsid w:val="00252379"/>
    <w:rsid w:val="00252F17"/>
    <w:rsid w:val="00253DDD"/>
    <w:rsid w:val="00257AD7"/>
    <w:rsid w:val="00261C50"/>
    <w:rsid w:val="00266265"/>
    <w:rsid w:val="002710A1"/>
    <w:rsid w:val="002748A2"/>
    <w:rsid w:val="00275245"/>
    <w:rsid w:val="00281E63"/>
    <w:rsid w:val="0028609E"/>
    <w:rsid w:val="00286CEA"/>
    <w:rsid w:val="00287F35"/>
    <w:rsid w:val="00291B1A"/>
    <w:rsid w:val="00293896"/>
    <w:rsid w:val="002939E5"/>
    <w:rsid w:val="00293BC3"/>
    <w:rsid w:val="002964CF"/>
    <w:rsid w:val="002974C6"/>
    <w:rsid w:val="002A0984"/>
    <w:rsid w:val="002A19B0"/>
    <w:rsid w:val="002B00B4"/>
    <w:rsid w:val="002B1EBA"/>
    <w:rsid w:val="002B265A"/>
    <w:rsid w:val="002B3196"/>
    <w:rsid w:val="002B32C5"/>
    <w:rsid w:val="002B4DC0"/>
    <w:rsid w:val="002B519A"/>
    <w:rsid w:val="002B7DCF"/>
    <w:rsid w:val="002C2986"/>
    <w:rsid w:val="002C4009"/>
    <w:rsid w:val="002C553D"/>
    <w:rsid w:val="002D4558"/>
    <w:rsid w:val="002D5AEF"/>
    <w:rsid w:val="002D660B"/>
    <w:rsid w:val="002D71AC"/>
    <w:rsid w:val="002D7932"/>
    <w:rsid w:val="002E0A10"/>
    <w:rsid w:val="002E0BD6"/>
    <w:rsid w:val="002E1B69"/>
    <w:rsid w:val="002E5749"/>
    <w:rsid w:val="002E5C14"/>
    <w:rsid w:val="002F78D5"/>
    <w:rsid w:val="002F7AC3"/>
    <w:rsid w:val="00300DB7"/>
    <w:rsid w:val="00306194"/>
    <w:rsid w:val="003065D5"/>
    <w:rsid w:val="00306A07"/>
    <w:rsid w:val="0031714B"/>
    <w:rsid w:val="00317915"/>
    <w:rsid w:val="003231FF"/>
    <w:rsid w:val="00326D7B"/>
    <w:rsid w:val="00326FB9"/>
    <w:rsid w:val="00334AD0"/>
    <w:rsid w:val="0033573E"/>
    <w:rsid w:val="00335FA1"/>
    <w:rsid w:val="00336724"/>
    <w:rsid w:val="0033683B"/>
    <w:rsid w:val="00340AA5"/>
    <w:rsid w:val="0034268E"/>
    <w:rsid w:val="00343B11"/>
    <w:rsid w:val="00343B24"/>
    <w:rsid w:val="003469E3"/>
    <w:rsid w:val="0035001E"/>
    <w:rsid w:val="0035132D"/>
    <w:rsid w:val="00353988"/>
    <w:rsid w:val="00353F3B"/>
    <w:rsid w:val="00354DE2"/>
    <w:rsid w:val="00357657"/>
    <w:rsid w:val="00362328"/>
    <w:rsid w:val="00367E3F"/>
    <w:rsid w:val="00370DD7"/>
    <w:rsid w:val="0037255F"/>
    <w:rsid w:val="00375171"/>
    <w:rsid w:val="00377AF0"/>
    <w:rsid w:val="0038199B"/>
    <w:rsid w:val="00382178"/>
    <w:rsid w:val="003832E7"/>
    <w:rsid w:val="00387F34"/>
    <w:rsid w:val="00392557"/>
    <w:rsid w:val="00392979"/>
    <w:rsid w:val="0039378C"/>
    <w:rsid w:val="0039396B"/>
    <w:rsid w:val="00393A9F"/>
    <w:rsid w:val="00397856"/>
    <w:rsid w:val="003A0303"/>
    <w:rsid w:val="003A5AF1"/>
    <w:rsid w:val="003A6AC8"/>
    <w:rsid w:val="003A77F7"/>
    <w:rsid w:val="003B0D29"/>
    <w:rsid w:val="003B4720"/>
    <w:rsid w:val="003B7E2B"/>
    <w:rsid w:val="003C0ADA"/>
    <w:rsid w:val="003C1D25"/>
    <w:rsid w:val="003C2C66"/>
    <w:rsid w:val="003C483C"/>
    <w:rsid w:val="003C6F77"/>
    <w:rsid w:val="003D1079"/>
    <w:rsid w:val="003D1FD3"/>
    <w:rsid w:val="003D2EA6"/>
    <w:rsid w:val="003D4A6B"/>
    <w:rsid w:val="003D5FC8"/>
    <w:rsid w:val="003D659C"/>
    <w:rsid w:val="003D6F03"/>
    <w:rsid w:val="003E15F8"/>
    <w:rsid w:val="003E1FA2"/>
    <w:rsid w:val="003E295B"/>
    <w:rsid w:val="003E6D06"/>
    <w:rsid w:val="003E7394"/>
    <w:rsid w:val="003E775E"/>
    <w:rsid w:val="003F4014"/>
    <w:rsid w:val="003F6833"/>
    <w:rsid w:val="004005D4"/>
    <w:rsid w:val="00400EA9"/>
    <w:rsid w:val="00401C06"/>
    <w:rsid w:val="004022E9"/>
    <w:rsid w:val="00403F78"/>
    <w:rsid w:val="00404A2D"/>
    <w:rsid w:val="00404EB7"/>
    <w:rsid w:val="00406BB9"/>
    <w:rsid w:val="004113DD"/>
    <w:rsid w:val="00412AB0"/>
    <w:rsid w:val="00421964"/>
    <w:rsid w:val="004255DD"/>
    <w:rsid w:val="00433B06"/>
    <w:rsid w:val="004351EC"/>
    <w:rsid w:val="004361A5"/>
    <w:rsid w:val="00440876"/>
    <w:rsid w:val="00440B24"/>
    <w:rsid w:val="00442AA3"/>
    <w:rsid w:val="00443890"/>
    <w:rsid w:val="0044430D"/>
    <w:rsid w:val="00444F77"/>
    <w:rsid w:val="004459DE"/>
    <w:rsid w:val="00450DE1"/>
    <w:rsid w:val="00451575"/>
    <w:rsid w:val="004533FC"/>
    <w:rsid w:val="004553EF"/>
    <w:rsid w:val="00464092"/>
    <w:rsid w:val="004640EA"/>
    <w:rsid w:val="00464DAE"/>
    <w:rsid w:val="00465425"/>
    <w:rsid w:val="00466588"/>
    <w:rsid w:val="00466D19"/>
    <w:rsid w:val="00466DBA"/>
    <w:rsid w:val="0046764E"/>
    <w:rsid w:val="00470146"/>
    <w:rsid w:val="004758FD"/>
    <w:rsid w:val="004808FF"/>
    <w:rsid w:val="00484A4E"/>
    <w:rsid w:val="004879CB"/>
    <w:rsid w:val="0049172E"/>
    <w:rsid w:val="0049212C"/>
    <w:rsid w:val="00492814"/>
    <w:rsid w:val="00494EB3"/>
    <w:rsid w:val="004A1D50"/>
    <w:rsid w:val="004A1EEC"/>
    <w:rsid w:val="004A20E2"/>
    <w:rsid w:val="004A2ED5"/>
    <w:rsid w:val="004A5C0D"/>
    <w:rsid w:val="004A7AA7"/>
    <w:rsid w:val="004B1AC1"/>
    <w:rsid w:val="004B21A1"/>
    <w:rsid w:val="004B32FB"/>
    <w:rsid w:val="004B6C4F"/>
    <w:rsid w:val="004C1F8F"/>
    <w:rsid w:val="004C42C0"/>
    <w:rsid w:val="004D2B7E"/>
    <w:rsid w:val="004D32C2"/>
    <w:rsid w:val="004D3DA5"/>
    <w:rsid w:val="004D44B1"/>
    <w:rsid w:val="004D5EAB"/>
    <w:rsid w:val="004E1C75"/>
    <w:rsid w:val="004E2FEB"/>
    <w:rsid w:val="004E7590"/>
    <w:rsid w:val="004F4616"/>
    <w:rsid w:val="004F5D6D"/>
    <w:rsid w:val="004F6057"/>
    <w:rsid w:val="004F742F"/>
    <w:rsid w:val="004F7F3A"/>
    <w:rsid w:val="00501E0C"/>
    <w:rsid w:val="00503FF4"/>
    <w:rsid w:val="005056C8"/>
    <w:rsid w:val="0050700B"/>
    <w:rsid w:val="0051137B"/>
    <w:rsid w:val="00511776"/>
    <w:rsid w:val="00511924"/>
    <w:rsid w:val="00512974"/>
    <w:rsid w:val="0051511D"/>
    <w:rsid w:val="00516B69"/>
    <w:rsid w:val="0051721E"/>
    <w:rsid w:val="00521428"/>
    <w:rsid w:val="0052220C"/>
    <w:rsid w:val="00522424"/>
    <w:rsid w:val="005234C7"/>
    <w:rsid w:val="005238E0"/>
    <w:rsid w:val="0052655B"/>
    <w:rsid w:val="00526D53"/>
    <w:rsid w:val="005277E8"/>
    <w:rsid w:val="00535074"/>
    <w:rsid w:val="00540DF1"/>
    <w:rsid w:val="0054421C"/>
    <w:rsid w:val="00551486"/>
    <w:rsid w:val="005516CA"/>
    <w:rsid w:val="00552B0A"/>
    <w:rsid w:val="005538A5"/>
    <w:rsid w:val="00560721"/>
    <w:rsid w:val="00562891"/>
    <w:rsid w:val="005672DE"/>
    <w:rsid w:val="00572E57"/>
    <w:rsid w:val="005749F6"/>
    <w:rsid w:val="00576569"/>
    <w:rsid w:val="005859FB"/>
    <w:rsid w:val="00587BD3"/>
    <w:rsid w:val="00590F5E"/>
    <w:rsid w:val="005910AB"/>
    <w:rsid w:val="005924C4"/>
    <w:rsid w:val="0059467B"/>
    <w:rsid w:val="00596A4C"/>
    <w:rsid w:val="00596E95"/>
    <w:rsid w:val="00597F83"/>
    <w:rsid w:val="005A2D65"/>
    <w:rsid w:val="005A4031"/>
    <w:rsid w:val="005A494A"/>
    <w:rsid w:val="005B04A8"/>
    <w:rsid w:val="005B5C11"/>
    <w:rsid w:val="005B66BF"/>
    <w:rsid w:val="005B7B02"/>
    <w:rsid w:val="005C224A"/>
    <w:rsid w:val="005C438D"/>
    <w:rsid w:val="005C4A85"/>
    <w:rsid w:val="005C55A7"/>
    <w:rsid w:val="005D027A"/>
    <w:rsid w:val="005D0D39"/>
    <w:rsid w:val="005D12A7"/>
    <w:rsid w:val="005D19E2"/>
    <w:rsid w:val="005D1D43"/>
    <w:rsid w:val="005D2975"/>
    <w:rsid w:val="005D2F97"/>
    <w:rsid w:val="005D3F3C"/>
    <w:rsid w:val="005D692B"/>
    <w:rsid w:val="005E1A48"/>
    <w:rsid w:val="005E25F7"/>
    <w:rsid w:val="005E43E5"/>
    <w:rsid w:val="005E528A"/>
    <w:rsid w:val="005E563D"/>
    <w:rsid w:val="005E59A0"/>
    <w:rsid w:val="005F2D9C"/>
    <w:rsid w:val="005F47D8"/>
    <w:rsid w:val="005F52A1"/>
    <w:rsid w:val="005F56C9"/>
    <w:rsid w:val="005F64CD"/>
    <w:rsid w:val="005F6921"/>
    <w:rsid w:val="005F6D83"/>
    <w:rsid w:val="005F7802"/>
    <w:rsid w:val="00602748"/>
    <w:rsid w:val="0060367D"/>
    <w:rsid w:val="0060394B"/>
    <w:rsid w:val="006039F1"/>
    <w:rsid w:val="006047C5"/>
    <w:rsid w:val="00614DAB"/>
    <w:rsid w:val="00617E88"/>
    <w:rsid w:val="00621915"/>
    <w:rsid w:val="00624074"/>
    <w:rsid w:val="00625628"/>
    <w:rsid w:val="0062769F"/>
    <w:rsid w:val="006325A3"/>
    <w:rsid w:val="00632803"/>
    <w:rsid w:val="00633B66"/>
    <w:rsid w:val="00634710"/>
    <w:rsid w:val="00641664"/>
    <w:rsid w:val="00647F35"/>
    <w:rsid w:val="0065001E"/>
    <w:rsid w:val="00651971"/>
    <w:rsid w:val="006533B7"/>
    <w:rsid w:val="006637A2"/>
    <w:rsid w:val="006655C9"/>
    <w:rsid w:val="00674096"/>
    <w:rsid w:val="00675668"/>
    <w:rsid w:val="006756C6"/>
    <w:rsid w:val="00687B0E"/>
    <w:rsid w:val="00687E54"/>
    <w:rsid w:val="00693828"/>
    <w:rsid w:val="00693BF1"/>
    <w:rsid w:val="0069512F"/>
    <w:rsid w:val="006A034C"/>
    <w:rsid w:val="006A4E90"/>
    <w:rsid w:val="006A6394"/>
    <w:rsid w:val="006A66C9"/>
    <w:rsid w:val="006B0E86"/>
    <w:rsid w:val="006B7793"/>
    <w:rsid w:val="006C1E6D"/>
    <w:rsid w:val="006C2616"/>
    <w:rsid w:val="006C5742"/>
    <w:rsid w:val="006D018E"/>
    <w:rsid w:val="006D3078"/>
    <w:rsid w:val="006D325E"/>
    <w:rsid w:val="006D4034"/>
    <w:rsid w:val="006D554C"/>
    <w:rsid w:val="006E0398"/>
    <w:rsid w:val="006E2530"/>
    <w:rsid w:val="006E73CB"/>
    <w:rsid w:val="006F0BD8"/>
    <w:rsid w:val="006F5DF2"/>
    <w:rsid w:val="006F73F0"/>
    <w:rsid w:val="00702998"/>
    <w:rsid w:val="0071055A"/>
    <w:rsid w:val="0071100D"/>
    <w:rsid w:val="007136D9"/>
    <w:rsid w:val="00713756"/>
    <w:rsid w:val="0071514F"/>
    <w:rsid w:val="00716F1E"/>
    <w:rsid w:val="00721556"/>
    <w:rsid w:val="0072227A"/>
    <w:rsid w:val="0072762C"/>
    <w:rsid w:val="00727685"/>
    <w:rsid w:val="00730217"/>
    <w:rsid w:val="007307A1"/>
    <w:rsid w:val="00730AF8"/>
    <w:rsid w:val="00730EF2"/>
    <w:rsid w:val="007341E8"/>
    <w:rsid w:val="00734697"/>
    <w:rsid w:val="00735D7F"/>
    <w:rsid w:val="007375F7"/>
    <w:rsid w:val="00737EBA"/>
    <w:rsid w:val="00740322"/>
    <w:rsid w:val="00740916"/>
    <w:rsid w:val="007431FF"/>
    <w:rsid w:val="00743AD6"/>
    <w:rsid w:val="00744152"/>
    <w:rsid w:val="00745082"/>
    <w:rsid w:val="00750D48"/>
    <w:rsid w:val="00753A86"/>
    <w:rsid w:val="00756F9E"/>
    <w:rsid w:val="0076647C"/>
    <w:rsid w:val="007707DB"/>
    <w:rsid w:val="00771BC9"/>
    <w:rsid w:val="007738EB"/>
    <w:rsid w:val="00775E0D"/>
    <w:rsid w:val="00777841"/>
    <w:rsid w:val="0078300B"/>
    <w:rsid w:val="007851E9"/>
    <w:rsid w:val="00785FE8"/>
    <w:rsid w:val="007907EF"/>
    <w:rsid w:val="007910D2"/>
    <w:rsid w:val="00792F1B"/>
    <w:rsid w:val="00794754"/>
    <w:rsid w:val="007A22F7"/>
    <w:rsid w:val="007A2C41"/>
    <w:rsid w:val="007A3064"/>
    <w:rsid w:val="007A5966"/>
    <w:rsid w:val="007B07BF"/>
    <w:rsid w:val="007B2E83"/>
    <w:rsid w:val="007C7959"/>
    <w:rsid w:val="007D1A1E"/>
    <w:rsid w:val="007D6E09"/>
    <w:rsid w:val="007E231D"/>
    <w:rsid w:val="007E3AA5"/>
    <w:rsid w:val="007E4147"/>
    <w:rsid w:val="007E4247"/>
    <w:rsid w:val="007E4E78"/>
    <w:rsid w:val="007E56A6"/>
    <w:rsid w:val="007F430D"/>
    <w:rsid w:val="007F46CB"/>
    <w:rsid w:val="007F75DF"/>
    <w:rsid w:val="008006D5"/>
    <w:rsid w:val="00801E1B"/>
    <w:rsid w:val="00811B64"/>
    <w:rsid w:val="0081476F"/>
    <w:rsid w:val="008149B7"/>
    <w:rsid w:val="0081531B"/>
    <w:rsid w:val="008164EF"/>
    <w:rsid w:val="008170CE"/>
    <w:rsid w:val="00820270"/>
    <w:rsid w:val="00825017"/>
    <w:rsid w:val="00825250"/>
    <w:rsid w:val="00826F32"/>
    <w:rsid w:val="00830167"/>
    <w:rsid w:val="00830727"/>
    <w:rsid w:val="008323C6"/>
    <w:rsid w:val="00834E72"/>
    <w:rsid w:val="00836024"/>
    <w:rsid w:val="00836392"/>
    <w:rsid w:val="008416EA"/>
    <w:rsid w:val="00844132"/>
    <w:rsid w:val="00845356"/>
    <w:rsid w:val="00847755"/>
    <w:rsid w:val="00847850"/>
    <w:rsid w:val="00852A77"/>
    <w:rsid w:val="008546A9"/>
    <w:rsid w:val="00854857"/>
    <w:rsid w:val="00856EB5"/>
    <w:rsid w:val="00863597"/>
    <w:rsid w:val="00863CFD"/>
    <w:rsid w:val="00865F65"/>
    <w:rsid w:val="0086648B"/>
    <w:rsid w:val="008673F2"/>
    <w:rsid w:val="0087254D"/>
    <w:rsid w:val="008731F9"/>
    <w:rsid w:val="00873699"/>
    <w:rsid w:val="00873E3C"/>
    <w:rsid w:val="008750E2"/>
    <w:rsid w:val="008754CC"/>
    <w:rsid w:val="00876486"/>
    <w:rsid w:val="00876D3C"/>
    <w:rsid w:val="008776C7"/>
    <w:rsid w:val="00886003"/>
    <w:rsid w:val="00886359"/>
    <w:rsid w:val="008866E8"/>
    <w:rsid w:val="0088671C"/>
    <w:rsid w:val="00886C7C"/>
    <w:rsid w:val="008924BD"/>
    <w:rsid w:val="00894A75"/>
    <w:rsid w:val="008951DE"/>
    <w:rsid w:val="008961FF"/>
    <w:rsid w:val="008A03B4"/>
    <w:rsid w:val="008A4808"/>
    <w:rsid w:val="008A5BD5"/>
    <w:rsid w:val="008A6DFE"/>
    <w:rsid w:val="008B0EFE"/>
    <w:rsid w:val="008B183C"/>
    <w:rsid w:val="008B1E93"/>
    <w:rsid w:val="008B2938"/>
    <w:rsid w:val="008B5981"/>
    <w:rsid w:val="008B6C52"/>
    <w:rsid w:val="008C3068"/>
    <w:rsid w:val="008C43C2"/>
    <w:rsid w:val="008C48D9"/>
    <w:rsid w:val="008C6723"/>
    <w:rsid w:val="008D02F2"/>
    <w:rsid w:val="008D0B72"/>
    <w:rsid w:val="008D0BA1"/>
    <w:rsid w:val="008D117A"/>
    <w:rsid w:val="008D3DD4"/>
    <w:rsid w:val="008D54F0"/>
    <w:rsid w:val="008D5B3D"/>
    <w:rsid w:val="008D7133"/>
    <w:rsid w:val="008E0F10"/>
    <w:rsid w:val="008E2235"/>
    <w:rsid w:val="008E3423"/>
    <w:rsid w:val="008E5BD9"/>
    <w:rsid w:val="008E5D9D"/>
    <w:rsid w:val="008E63C4"/>
    <w:rsid w:val="008E7882"/>
    <w:rsid w:val="008F1D94"/>
    <w:rsid w:val="008F1DAB"/>
    <w:rsid w:val="008F2103"/>
    <w:rsid w:val="008F2309"/>
    <w:rsid w:val="008F3C01"/>
    <w:rsid w:val="00904D34"/>
    <w:rsid w:val="00905B65"/>
    <w:rsid w:val="009078CC"/>
    <w:rsid w:val="00907DB3"/>
    <w:rsid w:val="00911F7B"/>
    <w:rsid w:val="00913281"/>
    <w:rsid w:val="00913EA5"/>
    <w:rsid w:val="009146C1"/>
    <w:rsid w:val="00914A97"/>
    <w:rsid w:val="00915660"/>
    <w:rsid w:val="00915D96"/>
    <w:rsid w:val="0091648B"/>
    <w:rsid w:val="00920B47"/>
    <w:rsid w:val="00921DCE"/>
    <w:rsid w:val="00921E39"/>
    <w:rsid w:val="00927849"/>
    <w:rsid w:val="00930919"/>
    <w:rsid w:val="00930A7C"/>
    <w:rsid w:val="00930FA6"/>
    <w:rsid w:val="00937872"/>
    <w:rsid w:val="009408A9"/>
    <w:rsid w:val="00940AC5"/>
    <w:rsid w:val="00943CEA"/>
    <w:rsid w:val="00945A5E"/>
    <w:rsid w:val="009475BD"/>
    <w:rsid w:val="00952FF9"/>
    <w:rsid w:val="009546B9"/>
    <w:rsid w:val="0096103A"/>
    <w:rsid w:val="009612A7"/>
    <w:rsid w:val="00963ADB"/>
    <w:rsid w:val="00965375"/>
    <w:rsid w:val="00967444"/>
    <w:rsid w:val="009731FD"/>
    <w:rsid w:val="00975FCF"/>
    <w:rsid w:val="009760D1"/>
    <w:rsid w:val="00976374"/>
    <w:rsid w:val="0098107F"/>
    <w:rsid w:val="00983A1F"/>
    <w:rsid w:val="00987485"/>
    <w:rsid w:val="0098766C"/>
    <w:rsid w:val="0099167B"/>
    <w:rsid w:val="009918D1"/>
    <w:rsid w:val="00996040"/>
    <w:rsid w:val="009A0CC8"/>
    <w:rsid w:val="009A2FD8"/>
    <w:rsid w:val="009A576E"/>
    <w:rsid w:val="009A5A0D"/>
    <w:rsid w:val="009A679E"/>
    <w:rsid w:val="009A69B9"/>
    <w:rsid w:val="009A6D1B"/>
    <w:rsid w:val="009B2AE8"/>
    <w:rsid w:val="009B303B"/>
    <w:rsid w:val="009B3BDA"/>
    <w:rsid w:val="009B6D4B"/>
    <w:rsid w:val="009B76D8"/>
    <w:rsid w:val="009B785F"/>
    <w:rsid w:val="009C0398"/>
    <w:rsid w:val="009C14DB"/>
    <w:rsid w:val="009C24AD"/>
    <w:rsid w:val="009C56F3"/>
    <w:rsid w:val="009C749C"/>
    <w:rsid w:val="009D0ADF"/>
    <w:rsid w:val="009D6B2A"/>
    <w:rsid w:val="009D7BDF"/>
    <w:rsid w:val="009E0ED4"/>
    <w:rsid w:val="009E1C06"/>
    <w:rsid w:val="009E1DED"/>
    <w:rsid w:val="009E1E40"/>
    <w:rsid w:val="009E1FAF"/>
    <w:rsid w:val="009E28DB"/>
    <w:rsid w:val="009E2D2F"/>
    <w:rsid w:val="009E6889"/>
    <w:rsid w:val="009F2BA6"/>
    <w:rsid w:val="009F3F7B"/>
    <w:rsid w:val="009F5458"/>
    <w:rsid w:val="009F5F14"/>
    <w:rsid w:val="009F635E"/>
    <w:rsid w:val="00A00C88"/>
    <w:rsid w:val="00A0328F"/>
    <w:rsid w:val="00A03E84"/>
    <w:rsid w:val="00A046F7"/>
    <w:rsid w:val="00A04C0F"/>
    <w:rsid w:val="00A13F63"/>
    <w:rsid w:val="00A146CD"/>
    <w:rsid w:val="00A23117"/>
    <w:rsid w:val="00A24F06"/>
    <w:rsid w:val="00A25831"/>
    <w:rsid w:val="00A266F5"/>
    <w:rsid w:val="00A30ABA"/>
    <w:rsid w:val="00A3100E"/>
    <w:rsid w:val="00A314B9"/>
    <w:rsid w:val="00A3320A"/>
    <w:rsid w:val="00A34584"/>
    <w:rsid w:val="00A40091"/>
    <w:rsid w:val="00A41885"/>
    <w:rsid w:val="00A41B45"/>
    <w:rsid w:val="00A425ED"/>
    <w:rsid w:val="00A439EA"/>
    <w:rsid w:val="00A45707"/>
    <w:rsid w:val="00A45A06"/>
    <w:rsid w:val="00A502A7"/>
    <w:rsid w:val="00A51DEB"/>
    <w:rsid w:val="00A52098"/>
    <w:rsid w:val="00A52515"/>
    <w:rsid w:val="00A52AA5"/>
    <w:rsid w:val="00A54B37"/>
    <w:rsid w:val="00A56041"/>
    <w:rsid w:val="00A569D3"/>
    <w:rsid w:val="00A609DD"/>
    <w:rsid w:val="00A62D5A"/>
    <w:rsid w:val="00A640FE"/>
    <w:rsid w:val="00A644DE"/>
    <w:rsid w:val="00A65D65"/>
    <w:rsid w:val="00A6692E"/>
    <w:rsid w:val="00A6740F"/>
    <w:rsid w:val="00A70178"/>
    <w:rsid w:val="00A70AF6"/>
    <w:rsid w:val="00A72ADF"/>
    <w:rsid w:val="00A7619C"/>
    <w:rsid w:val="00A76839"/>
    <w:rsid w:val="00A77D7C"/>
    <w:rsid w:val="00A806BA"/>
    <w:rsid w:val="00A81D63"/>
    <w:rsid w:val="00A8447A"/>
    <w:rsid w:val="00A8541C"/>
    <w:rsid w:val="00A93985"/>
    <w:rsid w:val="00A95A88"/>
    <w:rsid w:val="00A95DB6"/>
    <w:rsid w:val="00AA181D"/>
    <w:rsid w:val="00AA420D"/>
    <w:rsid w:val="00AA48AA"/>
    <w:rsid w:val="00AA4AAB"/>
    <w:rsid w:val="00AA59C5"/>
    <w:rsid w:val="00AB144F"/>
    <w:rsid w:val="00AB2C8C"/>
    <w:rsid w:val="00AB444A"/>
    <w:rsid w:val="00AB4889"/>
    <w:rsid w:val="00AB5E2A"/>
    <w:rsid w:val="00AC043E"/>
    <w:rsid w:val="00AC1826"/>
    <w:rsid w:val="00AC405E"/>
    <w:rsid w:val="00AC5B3C"/>
    <w:rsid w:val="00AD301E"/>
    <w:rsid w:val="00AE0D22"/>
    <w:rsid w:val="00AE311E"/>
    <w:rsid w:val="00AE3EE7"/>
    <w:rsid w:val="00AE732F"/>
    <w:rsid w:val="00AF074C"/>
    <w:rsid w:val="00AF3E2B"/>
    <w:rsid w:val="00B0340B"/>
    <w:rsid w:val="00B03AF0"/>
    <w:rsid w:val="00B05373"/>
    <w:rsid w:val="00B067E6"/>
    <w:rsid w:val="00B107E4"/>
    <w:rsid w:val="00B11A88"/>
    <w:rsid w:val="00B12260"/>
    <w:rsid w:val="00B122A7"/>
    <w:rsid w:val="00B137BC"/>
    <w:rsid w:val="00B13F00"/>
    <w:rsid w:val="00B145DC"/>
    <w:rsid w:val="00B14E3B"/>
    <w:rsid w:val="00B156E1"/>
    <w:rsid w:val="00B203A0"/>
    <w:rsid w:val="00B21E8A"/>
    <w:rsid w:val="00B2292C"/>
    <w:rsid w:val="00B25433"/>
    <w:rsid w:val="00B2626C"/>
    <w:rsid w:val="00B33440"/>
    <w:rsid w:val="00B33969"/>
    <w:rsid w:val="00B34438"/>
    <w:rsid w:val="00B36EA7"/>
    <w:rsid w:val="00B3728B"/>
    <w:rsid w:val="00B408B6"/>
    <w:rsid w:val="00B43CBB"/>
    <w:rsid w:val="00B47A80"/>
    <w:rsid w:val="00B51A25"/>
    <w:rsid w:val="00B51C33"/>
    <w:rsid w:val="00B51EAB"/>
    <w:rsid w:val="00B531ED"/>
    <w:rsid w:val="00B53574"/>
    <w:rsid w:val="00B53A64"/>
    <w:rsid w:val="00B53A97"/>
    <w:rsid w:val="00B60027"/>
    <w:rsid w:val="00B62D25"/>
    <w:rsid w:val="00B63AE9"/>
    <w:rsid w:val="00B63C5B"/>
    <w:rsid w:val="00B65510"/>
    <w:rsid w:val="00B66AC7"/>
    <w:rsid w:val="00B670FF"/>
    <w:rsid w:val="00B70DBF"/>
    <w:rsid w:val="00B7128C"/>
    <w:rsid w:val="00B718C7"/>
    <w:rsid w:val="00B72034"/>
    <w:rsid w:val="00B726E8"/>
    <w:rsid w:val="00B76BE0"/>
    <w:rsid w:val="00B77A6D"/>
    <w:rsid w:val="00B80356"/>
    <w:rsid w:val="00B80913"/>
    <w:rsid w:val="00B834D1"/>
    <w:rsid w:val="00B84AD1"/>
    <w:rsid w:val="00B91A8D"/>
    <w:rsid w:val="00B91E81"/>
    <w:rsid w:val="00B932EE"/>
    <w:rsid w:val="00B947EB"/>
    <w:rsid w:val="00B9734B"/>
    <w:rsid w:val="00BA296D"/>
    <w:rsid w:val="00BA34AD"/>
    <w:rsid w:val="00BA4B2A"/>
    <w:rsid w:val="00BB38A0"/>
    <w:rsid w:val="00BB69FF"/>
    <w:rsid w:val="00BB6F10"/>
    <w:rsid w:val="00BC7C8C"/>
    <w:rsid w:val="00BD3A45"/>
    <w:rsid w:val="00BD5402"/>
    <w:rsid w:val="00BD545A"/>
    <w:rsid w:val="00BD78A2"/>
    <w:rsid w:val="00BE236D"/>
    <w:rsid w:val="00BE52C2"/>
    <w:rsid w:val="00BF00E6"/>
    <w:rsid w:val="00BF098D"/>
    <w:rsid w:val="00BF1C2D"/>
    <w:rsid w:val="00BF2735"/>
    <w:rsid w:val="00BF3B2E"/>
    <w:rsid w:val="00BF738E"/>
    <w:rsid w:val="00C0402F"/>
    <w:rsid w:val="00C10A6C"/>
    <w:rsid w:val="00C1267C"/>
    <w:rsid w:val="00C12FA0"/>
    <w:rsid w:val="00C14CE5"/>
    <w:rsid w:val="00C22C10"/>
    <w:rsid w:val="00C23C46"/>
    <w:rsid w:val="00C24D41"/>
    <w:rsid w:val="00C31536"/>
    <w:rsid w:val="00C34EA1"/>
    <w:rsid w:val="00C35270"/>
    <w:rsid w:val="00C35EC8"/>
    <w:rsid w:val="00C4065A"/>
    <w:rsid w:val="00C42FF3"/>
    <w:rsid w:val="00C432D5"/>
    <w:rsid w:val="00C447FD"/>
    <w:rsid w:val="00C44BA2"/>
    <w:rsid w:val="00C464FB"/>
    <w:rsid w:val="00C479EC"/>
    <w:rsid w:val="00C5024F"/>
    <w:rsid w:val="00C51630"/>
    <w:rsid w:val="00C526F3"/>
    <w:rsid w:val="00C52F4B"/>
    <w:rsid w:val="00C531F1"/>
    <w:rsid w:val="00C53754"/>
    <w:rsid w:val="00C565CE"/>
    <w:rsid w:val="00C6035E"/>
    <w:rsid w:val="00C61476"/>
    <w:rsid w:val="00C639B5"/>
    <w:rsid w:val="00C6521A"/>
    <w:rsid w:val="00C66DA6"/>
    <w:rsid w:val="00C71EA8"/>
    <w:rsid w:val="00C72C99"/>
    <w:rsid w:val="00C735A0"/>
    <w:rsid w:val="00C73BD4"/>
    <w:rsid w:val="00C822EB"/>
    <w:rsid w:val="00C822F8"/>
    <w:rsid w:val="00C8251B"/>
    <w:rsid w:val="00C83482"/>
    <w:rsid w:val="00C83A6F"/>
    <w:rsid w:val="00C866BC"/>
    <w:rsid w:val="00C879B2"/>
    <w:rsid w:val="00C9259F"/>
    <w:rsid w:val="00C92D6F"/>
    <w:rsid w:val="00C93BBA"/>
    <w:rsid w:val="00C93DEA"/>
    <w:rsid w:val="00C96F9B"/>
    <w:rsid w:val="00C97351"/>
    <w:rsid w:val="00C97C09"/>
    <w:rsid w:val="00C97D8E"/>
    <w:rsid w:val="00C97FBF"/>
    <w:rsid w:val="00CA03E5"/>
    <w:rsid w:val="00CA0C8D"/>
    <w:rsid w:val="00CA2A23"/>
    <w:rsid w:val="00CA2BCB"/>
    <w:rsid w:val="00CA752C"/>
    <w:rsid w:val="00CB009F"/>
    <w:rsid w:val="00CB221F"/>
    <w:rsid w:val="00CB377D"/>
    <w:rsid w:val="00CB726E"/>
    <w:rsid w:val="00CC06FC"/>
    <w:rsid w:val="00CC21D0"/>
    <w:rsid w:val="00CC31E5"/>
    <w:rsid w:val="00CC3524"/>
    <w:rsid w:val="00CC51E8"/>
    <w:rsid w:val="00CD3C3C"/>
    <w:rsid w:val="00CD6452"/>
    <w:rsid w:val="00CD6F6E"/>
    <w:rsid w:val="00CE0B8E"/>
    <w:rsid w:val="00CE2174"/>
    <w:rsid w:val="00CE609E"/>
    <w:rsid w:val="00CE662A"/>
    <w:rsid w:val="00CE7E09"/>
    <w:rsid w:val="00CF2BFB"/>
    <w:rsid w:val="00CF5BFB"/>
    <w:rsid w:val="00CF73A6"/>
    <w:rsid w:val="00D03081"/>
    <w:rsid w:val="00D0521E"/>
    <w:rsid w:val="00D05575"/>
    <w:rsid w:val="00D118BD"/>
    <w:rsid w:val="00D11F67"/>
    <w:rsid w:val="00D13C76"/>
    <w:rsid w:val="00D15738"/>
    <w:rsid w:val="00D2157E"/>
    <w:rsid w:val="00D22AE7"/>
    <w:rsid w:val="00D2550B"/>
    <w:rsid w:val="00D271FF"/>
    <w:rsid w:val="00D30A44"/>
    <w:rsid w:val="00D3367E"/>
    <w:rsid w:val="00D33956"/>
    <w:rsid w:val="00D34F1B"/>
    <w:rsid w:val="00D37671"/>
    <w:rsid w:val="00D41229"/>
    <w:rsid w:val="00D41C44"/>
    <w:rsid w:val="00D4367A"/>
    <w:rsid w:val="00D43D40"/>
    <w:rsid w:val="00D462C2"/>
    <w:rsid w:val="00D46CF9"/>
    <w:rsid w:val="00D50320"/>
    <w:rsid w:val="00D51B19"/>
    <w:rsid w:val="00D51CAB"/>
    <w:rsid w:val="00D6243F"/>
    <w:rsid w:val="00D6403A"/>
    <w:rsid w:val="00D654BD"/>
    <w:rsid w:val="00D6579B"/>
    <w:rsid w:val="00D74170"/>
    <w:rsid w:val="00D74B4F"/>
    <w:rsid w:val="00D774C6"/>
    <w:rsid w:val="00D80163"/>
    <w:rsid w:val="00D84C88"/>
    <w:rsid w:val="00D84CCB"/>
    <w:rsid w:val="00D84E18"/>
    <w:rsid w:val="00D913B0"/>
    <w:rsid w:val="00D92350"/>
    <w:rsid w:val="00D95125"/>
    <w:rsid w:val="00DA3EC8"/>
    <w:rsid w:val="00DA6559"/>
    <w:rsid w:val="00DA7DF3"/>
    <w:rsid w:val="00DB2470"/>
    <w:rsid w:val="00DB4F67"/>
    <w:rsid w:val="00DC0F07"/>
    <w:rsid w:val="00DC110C"/>
    <w:rsid w:val="00DC4E90"/>
    <w:rsid w:val="00DC7FB4"/>
    <w:rsid w:val="00DD0809"/>
    <w:rsid w:val="00DD0B44"/>
    <w:rsid w:val="00DE5043"/>
    <w:rsid w:val="00DF2000"/>
    <w:rsid w:val="00DF2968"/>
    <w:rsid w:val="00DF2AAF"/>
    <w:rsid w:val="00DF44BE"/>
    <w:rsid w:val="00DF64FD"/>
    <w:rsid w:val="00DF6E6E"/>
    <w:rsid w:val="00DF73FB"/>
    <w:rsid w:val="00DF75A5"/>
    <w:rsid w:val="00E00C9A"/>
    <w:rsid w:val="00E016E5"/>
    <w:rsid w:val="00E037C4"/>
    <w:rsid w:val="00E03A01"/>
    <w:rsid w:val="00E04198"/>
    <w:rsid w:val="00E048BD"/>
    <w:rsid w:val="00E05AF6"/>
    <w:rsid w:val="00E070DF"/>
    <w:rsid w:val="00E10958"/>
    <w:rsid w:val="00E127AC"/>
    <w:rsid w:val="00E15122"/>
    <w:rsid w:val="00E169B0"/>
    <w:rsid w:val="00E20FE3"/>
    <w:rsid w:val="00E23F8B"/>
    <w:rsid w:val="00E24663"/>
    <w:rsid w:val="00E24EF9"/>
    <w:rsid w:val="00E24FB9"/>
    <w:rsid w:val="00E26CD1"/>
    <w:rsid w:val="00E26F82"/>
    <w:rsid w:val="00E40A6E"/>
    <w:rsid w:val="00E44149"/>
    <w:rsid w:val="00E44D80"/>
    <w:rsid w:val="00E44ECA"/>
    <w:rsid w:val="00E45872"/>
    <w:rsid w:val="00E459C3"/>
    <w:rsid w:val="00E47B81"/>
    <w:rsid w:val="00E511C8"/>
    <w:rsid w:val="00E53A61"/>
    <w:rsid w:val="00E53CCB"/>
    <w:rsid w:val="00E5425A"/>
    <w:rsid w:val="00E5499E"/>
    <w:rsid w:val="00E55AAF"/>
    <w:rsid w:val="00E57384"/>
    <w:rsid w:val="00E5755C"/>
    <w:rsid w:val="00E6578A"/>
    <w:rsid w:val="00E7293B"/>
    <w:rsid w:val="00E73DAB"/>
    <w:rsid w:val="00E74109"/>
    <w:rsid w:val="00E814E3"/>
    <w:rsid w:val="00E81ED0"/>
    <w:rsid w:val="00E81FCB"/>
    <w:rsid w:val="00E83542"/>
    <w:rsid w:val="00E84A31"/>
    <w:rsid w:val="00E96672"/>
    <w:rsid w:val="00E96EE2"/>
    <w:rsid w:val="00E971D3"/>
    <w:rsid w:val="00EA0DE3"/>
    <w:rsid w:val="00EA0E4D"/>
    <w:rsid w:val="00EA341D"/>
    <w:rsid w:val="00EB057B"/>
    <w:rsid w:val="00EB1E0E"/>
    <w:rsid w:val="00EB4AF9"/>
    <w:rsid w:val="00EB7CEA"/>
    <w:rsid w:val="00EC100A"/>
    <w:rsid w:val="00ED0328"/>
    <w:rsid w:val="00ED1C66"/>
    <w:rsid w:val="00EE24D8"/>
    <w:rsid w:val="00EE3D85"/>
    <w:rsid w:val="00EE4093"/>
    <w:rsid w:val="00EE4311"/>
    <w:rsid w:val="00EE4BF8"/>
    <w:rsid w:val="00EE61E6"/>
    <w:rsid w:val="00EE739D"/>
    <w:rsid w:val="00EF15F7"/>
    <w:rsid w:val="00EF2CAA"/>
    <w:rsid w:val="00EF3BD7"/>
    <w:rsid w:val="00EF52F1"/>
    <w:rsid w:val="00EF63BE"/>
    <w:rsid w:val="00EF69B2"/>
    <w:rsid w:val="00F006C2"/>
    <w:rsid w:val="00F0089C"/>
    <w:rsid w:val="00F02711"/>
    <w:rsid w:val="00F02800"/>
    <w:rsid w:val="00F02993"/>
    <w:rsid w:val="00F03E3E"/>
    <w:rsid w:val="00F06DE9"/>
    <w:rsid w:val="00F07F8A"/>
    <w:rsid w:val="00F10F95"/>
    <w:rsid w:val="00F11A57"/>
    <w:rsid w:val="00F1392C"/>
    <w:rsid w:val="00F172D2"/>
    <w:rsid w:val="00F242C4"/>
    <w:rsid w:val="00F24939"/>
    <w:rsid w:val="00F265B6"/>
    <w:rsid w:val="00F270D7"/>
    <w:rsid w:val="00F27E81"/>
    <w:rsid w:val="00F32E99"/>
    <w:rsid w:val="00F336D9"/>
    <w:rsid w:val="00F35EFF"/>
    <w:rsid w:val="00F37A73"/>
    <w:rsid w:val="00F41F12"/>
    <w:rsid w:val="00F446E7"/>
    <w:rsid w:val="00F511C0"/>
    <w:rsid w:val="00F54B78"/>
    <w:rsid w:val="00F573EE"/>
    <w:rsid w:val="00F719EC"/>
    <w:rsid w:val="00F7224B"/>
    <w:rsid w:val="00F734DC"/>
    <w:rsid w:val="00F73D5B"/>
    <w:rsid w:val="00F7591B"/>
    <w:rsid w:val="00F75E26"/>
    <w:rsid w:val="00F76ECD"/>
    <w:rsid w:val="00F80CA0"/>
    <w:rsid w:val="00F86BD5"/>
    <w:rsid w:val="00F92D2D"/>
    <w:rsid w:val="00F9313D"/>
    <w:rsid w:val="00F9606B"/>
    <w:rsid w:val="00F96711"/>
    <w:rsid w:val="00F97476"/>
    <w:rsid w:val="00FA661E"/>
    <w:rsid w:val="00FB1906"/>
    <w:rsid w:val="00FB3189"/>
    <w:rsid w:val="00FB4635"/>
    <w:rsid w:val="00FD119D"/>
    <w:rsid w:val="00FD6632"/>
    <w:rsid w:val="00FE0300"/>
    <w:rsid w:val="00FE2367"/>
    <w:rsid w:val="00FE262A"/>
    <w:rsid w:val="00FE36CF"/>
    <w:rsid w:val="00FE3A0D"/>
    <w:rsid w:val="00FE7C81"/>
    <w:rsid w:val="00FF17E3"/>
    <w:rsid w:val="00FF3AA5"/>
    <w:rsid w:val="00FF433D"/>
    <w:rsid w:val="00FF4830"/>
    <w:rsid w:val="00FF5B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181C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E40"/>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3"/>
      </w:numPr>
    </w:pPr>
  </w:style>
  <w:style w:type="numbering" w:styleId="1ai">
    <w:name w:val="Outline List 1"/>
    <w:basedOn w:val="NoList"/>
    <w:rsid w:val="00E814E3"/>
    <w:pPr>
      <w:numPr>
        <w:numId w:val="4"/>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link w:val="HeaderChar"/>
    <w:uiPriority w:val="99"/>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048BD"/>
    <w:pPr>
      <w:numPr>
        <w:numId w:val="13"/>
      </w:numPr>
      <w:ind w:left="1746" w:hanging="357"/>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E814E3"/>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E814E3"/>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E814E3"/>
    <w:pPr>
      <w:keepNext/>
      <w:spacing w:before="480"/>
      <w:ind w:left="2410" w:hanging="2410"/>
    </w:pPr>
    <w:rPr>
      <w:rFonts w:ascii="Arial" w:hAnsi="Arial"/>
      <w:b/>
      <w:sz w:val="32"/>
    </w:rPr>
  </w:style>
  <w:style w:type="paragraph" w:customStyle="1" w:styleId="ASP">
    <w:name w:val="ASP"/>
    <w:aliases w:val="Schedule Part Amendment"/>
    <w:basedOn w:val="Normal"/>
    <w:next w:val="A1S"/>
    <w:rsid w:val="00E814E3"/>
    <w:pPr>
      <w:keepNext/>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uiPriority w:val="99"/>
    <w:rsid w:val="00E814E3"/>
  </w:style>
  <w:style w:type="character" w:customStyle="1" w:styleId="CharAmSchText">
    <w:name w:val="CharAmSchText"/>
    <w:basedOn w:val="DefaultParagraphFont"/>
    <w:uiPriority w:val="99"/>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uiPriority w:val="99"/>
    <w:rsid w:val="00E814E3"/>
  </w:style>
  <w:style w:type="character" w:customStyle="1" w:styleId="CharPartText">
    <w:name w:val="CharPartText"/>
    <w:basedOn w:val="DefaultParagraphFont"/>
    <w:uiPriority w:val="99"/>
    <w:rsid w:val="00E814E3"/>
  </w:style>
  <w:style w:type="character" w:customStyle="1" w:styleId="CharSchPTNo">
    <w:name w:val="CharSchPTNo"/>
    <w:basedOn w:val="DefaultParagraphFont"/>
    <w:uiPriority w:val="99"/>
    <w:rsid w:val="00E814E3"/>
  </w:style>
  <w:style w:type="character" w:customStyle="1" w:styleId="CharSchPTText">
    <w:name w:val="CharSchPTText"/>
    <w:basedOn w:val="DefaultParagraphFont"/>
    <w:uiPriority w:val="99"/>
    <w:rsid w:val="00E814E3"/>
  </w:style>
  <w:style w:type="character" w:customStyle="1" w:styleId="CharSectno">
    <w:name w:val="CharSectno"/>
    <w:basedOn w:val="DefaultParagraphFont"/>
    <w:qFormat/>
    <w:rsid w:val="00E814E3"/>
  </w:style>
  <w:style w:type="character" w:styleId="CommentReference">
    <w:name w:val="annotation reference"/>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E814E3"/>
    <w:pPr>
      <w:keepNext/>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link w:val="definitionChar1"/>
    <w:uiPriority w:val="99"/>
    <w:rsid w:val="00E814E3"/>
    <w:pPr>
      <w:spacing w:before="80" w:line="260" w:lineRule="exact"/>
      <w:ind w:left="964"/>
      <w:jc w:val="both"/>
    </w:pPr>
  </w:style>
  <w:style w:type="paragraph" w:customStyle="1" w:styleId="DictionaryHeading">
    <w:name w:val="Dictionary Heading"/>
    <w:basedOn w:val="Normal"/>
    <w:next w:val="DD"/>
    <w:rsid w:val="00E814E3"/>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E814E3"/>
    <w:pPr>
      <w:spacing w:before="60" w:line="220" w:lineRule="exact"/>
      <w:ind w:left="964"/>
      <w:jc w:val="both"/>
    </w:pPr>
    <w:rPr>
      <w:sz w:val="20"/>
    </w:rPr>
  </w:style>
  <w:style w:type="paragraph" w:customStyle="1" w:styleId="ExampleList">
    <w:name w:val="Example List"/>
    <w:basedOn w:val="Normal"/>
    <w:rsid w:val="00E814E3"/>
    <w:pPr>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6C2616"/>
    <w:pPr>
      <w:keepNext/>
      <w:pageBreakBefore/>
      <w:spacing w:before="480"/>
      <w:ind w:left="2410" w:hanging="2410"/>
    </w:pPr>
    <w:rPr>
      <w:rFonts w:ascii="Arial" w:hAnsi="Arial"/>
      <w:b/>
      <w:sz w:val="40"/>
    </w:rPr>
  </w:style>
  <w:style w:type="paragraph" w:customStyle="1" w:styleId="HD">
    <w:name w:val="HD"/>
    <w:aliases w:val="Division Heading"/>
    <w:basedOn w:val="Normal"/>
    <w:next w:val="HR"/>
    <w:rsid w:val="00E814E3"/>
    <w:pPr>
      <w:keepNext/>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uiPriority w:val="99"/>
    <w:rsid w:val="00E814E3"/>
    <w:pPr>
      <w:keepNext/>
      <w:spacing w:before="360"/>
      <w:ind w:left="2410" w:hanging="2410"/>
    </w:pPr>
    <w:rPr>
      <w:rFonts w:ascii="Arial" w:hAnsi="Arial"/>
      <w:b/>
      <w:sz w:val="32"/>
    </w:rPr>
  </w:style>
  <w:style w:type="paragraph" w:customStyle="1" w:styleId="HR">
    <w:name w:val="HR"/>
    <w:aliases w:val="Regulation Heading"/>
    <w:basedOn w:val="Normal"/>
    <w:next w:val="R1"/>
    <w:uiPriority w:val="99"/>
    <w:rsid w:val="00E814E3"/>
    <w:pPr>
      <w:keepNext/>
      <w:spacing w:before="360"/>
      <w:ind w:left="964" w:hanging="964"/>
    </w:pPr>
    <w:rPr>
      <w:rFonts w:ascii="Arial" w:hAnsi="Arial"/>
      <w:b/>
    </w:rPr>
  </w:style>
  <w:style w:type="paragraph" w:customStyle="1" w:styleId="HS">
    <w:name w:val="HS"/>
    <w:aliases w:val="Subdiv Heading"/>
    <w:basedOn w:val="Normal"/>
    <w:next w:val="HR"/>
    <w:rsid w:val="00E814E3"/>
    <w:pPr>
      <w:keepNext/>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uiPriority w:val="99"/>
    <w:rsid w:val="00E814E3"/>
    <w:pPr>
      <w:spacing w:before="120" w:line="220" w:lineRule="exact"/>
      <w:ind w:left="964"/>
      <w:jc w:val="both"/>
    </w:pPr>
    <w:rPr>
      <w:sz w:val="20"/>
    </w:rPr>
  </w:style>
  <w:style w:type="paragraph" w:customStyle="1" w:styleId="NoteEnd">
    <w:name w:val="Note End"/>
    <w:basedOn w:val="Normal"/>
    <w:rsid w:val="00E814E3"/>
    <w:pPr>
      <w:spacing w:before="120" w:line="240" w:lineRule="exact"/>
      <w:ind w:left="567" w:hanging="567"/>
      <w:jc w:val="both"/>
    </w:pPr>
    <w:rPr>
      <w:sz w:val="22"/>
    </w:rPr>
  </w:style>
  <w:style w:type="paragraph" w:customStyle="1" w:styleId="Notepara">
    <w:name w:val="Note para"/>
    <w:basedOn w:val="Normal"/>
    <w:rsid w:val="00E814E3"/>
    <w:pPr>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uiPriority w:val="99"/>
    <w:rsid w:val="00E814E3"/>
    <w:pPr>
      <w:tabs>
        <w:tab w:val="right" w:pos="1191"/>
      </w:tabs>
      <w:spacing w:before="60" w:line="260" w:lineRule="exact"/>
      <w:ind w:left="1418" w:hanging="1418"/>
      <w:jc w:val="both"/>
    </w:pPr>
  </w:style>
  <w:style w:type="paragraph" w:customStyle="1" w:styleId="P2">
    <w:name w:val="P2"/>
    <w:aliases w:val="(i)"/>
    <w:basedOn w:val="Normal"/>
    <w:uiPriority w:val="99"/>
    <w:rsid w:val="00E814E3"/>
    <w:pPr>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uiPriority w:val="99"/>
    <w:rsid w:val="00D84E18"/>
    <w:pPr>
      <w:keepLines/>
      <w:tabs>
        <w:tab w:val="right" w:pos="794"/>
      </w:tabs>
      <w:spacing w:before="120" w:line="260" w:lineRule="exact"/>
      <w:ind w:left="964" w:hanging="964"/>
      <w:jc w:val="both"/>
    </w:pPr>
  </w:style>
  <w:style w:type="paragraph" w:customStyle="1" w:styleId="R2">
    <w:name w:val="R2"/>
    <w:aliases w:val="(2)"/>
    <w:basedOn w:val="Normal"/>
    <w:uiPriority w:val="99"/>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E814E3"/>
    <w:pPr>
      <w:keepNext/>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uiPriority w:val="99"/>
    <w:rsid w:val="00E814E3"/>
  </w:style>
  <w:style w:type="paragraph" w:customStyle="1" w:styleId="ScheduleHeading">
    <w:name w:val="Schedule Heading"/>
    <w:basedOn w:val="Normal"/>
    <w:next w:val="Normal"/>
    <w:uiPriority w:val="99"/>
    <w:rsid w:val="00E814E3"/>
    <w:pPr>
      <w:keepNext/>
      <w:keepLines/>
      <w:spacing w:before="360"/>
      <w:ind w:left="964" w:hanging="964"/>
    </w:pPr>
    <w:rPr>
      <w:rFonts w:ascii="Arial" w:hAnsi="Arial"/>
      <w:b/>
    </w:rPr>
  </w:style>
  <w:style w:type="paragraph" w:customStyle="1" w:styleId="Schedulelist">
    <w:name w:val="Schedule list"/>
    <w:basedOn w:val="Normal"/>
    <w:uiPriority w:val="99"/>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uiPriority w:val="99"/>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paragraph" w:customStyle="1" w:styleId="CoverAct">
    <w:name w:val="CoverAct"/>
    <w:basedOn w:val="Normal"/>
    <w:next w:val="Normal"/>
    <w:uiPriority w:val="99"/>
    <w:rsid w:val="00CE609E"/>
    <w:pPr>
      <w:pBdr>
        <w:bottom w:val="single" w:sz="4" w:space="3" w:color="auto"/>
      </w:pBdr>
      <w:autoSpaceDE w:val="0"/>
      <w:autoSpaceDN w:val="0"/>
    </w:pPr>
    <w:rPr>
      <w:rFonts w:ascii="Arial" w:hAnsi="Arial" w:cs="Arial"/>
      <w:i/>
      <w:iCs/>
      <w:noProof/>
      <w:sz w:val="28"/>
      <w:szCs w:val="28"/>
      <w:lang w:val="en-US" w:eastAsia="en-US"/>
    </w:rPr>
  </w:style>
  <w:style w:type="paragraph" w:customStyle="1" w:styleId="Headingtitle">
    <w:name w:val="Heading title"/>
    <w:basedOn w:val="Heading1"/>
    <w:rsid w:val="00EE4093"/>
    <w:pPr>
      <w:autoSpaceDE w:val="0"/>
      <w:autoSpaceDN w:val="0"/>
      <w:spacing w:after="0"/>
      <w:jc w:val="center"/>
      <w:outlineLvl w:val="9"/>
    </w:pPr>
    <w:rPr>
      <w:noProof/>
      <w:lang w:val="en-US" w:eastAsia="en-US"/>
    </w:rPr>
  </w:style>
  <w:style w:type="paragraph" w:customStyle="1" w:styleId="Citation">
    <w:name w:val="Citation"/>
    <w:basedOn w:val="Footer"/>
    <w:rsid w:val="00EE4093"/>
    <w:pPr>
      <w:tabs>
        <w:tab w:val="clear" w:pos="3600"/>
        <w:tab w:val="clear" w:pos="7201"/>
      </w:tabs>
      <w:autoSpaceDE w:val="0"/>
      <w:autoSpaceDN w:val="0"/>
      <w:jc w:val="left"/>
    </w:pPr>
    <w:rPr>
      <w:rFonts w:cs="Arial"/>
      <w:i w:val="0"/>
      <w:noProof/>
      <w:lang w:val="en-US" w:eastAsia="en-US"/>
    </w:rPr>
  </w:style>
  <w:style w:type="paragraph" w:customStyle="1" w:styleId="citation0">
    <w:name w:val="citation"/>
    <w:basedOn w:val="Footer"/>
    <w:rsid w:val="00EE4093"/>
    <w:pPr>
      <w:tabs>
        <w:tab w:val="clear" w:pos="3600"/>
        <w:tab w:val="clear" w:pos="7201"/>
      </w:tabs>
      <w:autoSpaceDE w:val="0"/>
      <w:autoSpaceDN w:val="0"/>
      <w:jc w:val="left"/>
    </w:pPr>
    <w:rPr>
      <w:rFonts w:cs="Arial"/>
      <w:i w:val="0"/>
      <w:noProof/>
      <w:lang w:val="en-US" w:eastAsia="en-US"/>
    </w:rPr>
  </w:style>
  <w:style w:type="paragraph" w:customStyle="1" w:styleId="ContentsStatRule">
    <w:name w:val="ContentsStatRule"/>
    <w:basedOn w:val="Normal"/>
    <w:rsid w:val="00EE4093"/>
    <w:pPr>
      <w:autoSpaceDE w:val="0"/>
      <w:autoSpaceDN w:val="0"/>
      <w:spacing w:before="480"/>
    </w:pPr>
    <w:rPr>
      <w:rFonts w:ascii="Arial" w:hAnsi="Arial" w:cs="Arial"/>
      <w:b/>
      <w:bCs/>
      <w:noProof/>
      <w:lang w:val="en-US" w:eastAsia="en-US"/>
    </w:rPr>
  </w:style>
  <w:style w:type="paragraph" w:customStyle="1" w:styleId="TableENotesHeading">
    <w:name w:val="TableENotesHeading"/>
    <w:basedOn w:val="Normal"/>
    <w:rsid w:val="00EE4093"/>
    <w:pPr>
      <w:autoSpaceDE w:val="0"/>
      <w:autoSpaceDN w:val="0"/>
      <w:spacing w:before="240" w:after="240" w:line="300" w:lineRule="exact"/>
      <w:ind w:left="2410" w:hanging="2410"/>
    </w:pPr>
    <w:rPr>
      <w:rFonts w:ascii="Arial" w:hAnsi="Arial" w:cs="Arial"/>
      <w:b/>
      <w:bCs/>
      <w:noProof/>
      <w:sz w:val="28"/>
      <w:szCs w:val="28"/>
      <w:lang w:val="en-US" w:eastAsia="en-US"/>
    </w:rPr>
  </w:style>
  <w:style w:type="paragraph" w:customStyle="1" w:styleId="CoverStatRule">
    <w:name w:val="CoverStatRule"/>
    <w:basedOn w:val="Normal"/>
    <w:next w:val="Normal"/>
    <w:rsid w:val="00EE4093"/>
    <w:pPr>
      <w:autoSpaceDE w:val="0"/>
      <w:autoSpaceDN w:val="0"/>
      <w:spacing w:before="240"/>
    </w:pPr>
    <w:rPr>
      <w:rFonts w:ascii="Arial" w:hAnsi="Arial" w:cs="Arial"/>
      <w:b/>
      <w:bCs/>
      <w:noProof/>
      <w:lang w:val="en-US" w:eastAsia="en-US"/>
    </w:rPr>
  </w:style>
  <w:style w:type="paragraph" w:customStyle="1" w:styleId="CoverUpdate">
    <w:name w:val="CoverUpdate"/>
    <w:basedOn w:val="Normal"/>
    <w:rsid w:val="00EE4093"/>
    <w:pPr>
      <w:autoSpaceDE w:val="0"/>
      <w:autoSpaceDN w:val="0"/>
      <w:spacing w:before="240"/>
    </w:pPr>
    <w:rPr>
      <w:noProof/>
      <w:lang w:val="en-US" w:eastAsia="en-US"/>
    </w:rPr>
  </w:style>
  <w:style w:type="paragraph" w:customStyle="1" w:styleId="EndNotes">
    <w:name w:val="EndNotes"/>
    <w:basedOn w:val="Normal"/>
    <w:rsid w:val="00EE4093"/>
    <w:pPr>
      <w:autoSpaceDE w:val="0"/>
      <w:autoSpaceDN w:val="0"/>
      <w:spacing w:before="120" w:line="260" w:lineRule="exact"/>
      <w:jc w:val="both"/>
    </w:pPr>
    <w:rPr>
      <w:noProof/>
      <w:lang w:val="en-US" w:eastAsia="en-US"/>
    </w:rPr>
  </w:style>
  <w:style w:type="paragraph" w:customStyle="1" w:styleId="FooterText">
    <w:name w:val="Footer Text"/>
    <w:basedOn w:val="Normal"/>
    <w:rsid w:val="00EE4093"/>
    <w:pPr>
      <w:autoSpaceDE w:val="0"/>
      <w:autoSpaceDN w:val="0"/>
    </w:pPr>
    <w:rPr>
      <w:noProof/>
      <w:sz w:val="20"/>
      <w:szCs w:val="20"/>
      <w:lang w:val="en-US" w:eastAsia="en-US"/>
    </w:rPr>
  </w:style>
  <w:style w:type="paragraph" w:customStyle="1" w:styleId="TextWOutChapSectionBreak">
    <w:name w:val="TextW/OutChapSectionBreak"/>
    <w:basedOn w:val="Normal"/>
    <w:next w:val="Normal"/>
    <w:rsid w:val="00EE4093"/>
    <w:pPr>
      <w:autoSpaceDE w:val="0"/>
      <w:autoSpaceDN w:val="0"/>
    </w:pPr>
    <w:rPr>
      <w:noProof/>
      <w:lang w:val="en-US" w:eastAsia="en-US"/>
    </w:rPr>
  </w:style>
  <w:style w:type="paragraph" w:customStyle="1" w:styleId="Schedulereferenceleft">
    <w:name w:val="Schedule reference left"/>
    <w:basedOn w:val="Schedulereference"/>
    <w:rsid w:val="00EE4093"/>
    <w:pPr>
      <w:autoSpaceDE w:val="0"/>
      <w:autoSpaceDN w:val="0"/>
      <w:ind w:left="0"/>
      <w:jc w:val="both"/>
    </w:pPr>
    <w:rPr>
      <w:rFonts w:cs="Arial"/>
      <w:noProof/>
      <w:szCs w:val="18"/>
      <w:lang w:val="en-US" w:eastAsia="en-US"/>
    </w:rPr>
  </w:style>
  <w:style w:type="paragraph" w:customStyle="1" w:styleId="TableASR">
    <w:name w:val="TableASR"/>
    <w:basedOn w:val="Normal"/>
    <w:rsid w:val="00EE4093"/>
    <w:pPr>
      <w:autoSpaceDE w:val="0"/>
      <w:autoSpaceDN w:val="0"/>
      <w:spacing w:before="360" w:after="120" w:line="280" w:lineRule="exact"/>
      <w:ind w:left="2410" w:hanging="2410"/>
    </w:pPr>
    <w:rPr>
      <w:rFonts w:ascii="Arial" w:hAnsi="Arial" w:cs="Arial"/>
      <w:b/>
      <w:bCs/>
      <w:noProof/>
      <w:sz w:val="26"/>
      <w:szCs w:val="26"/>
      <w:lang w:val="en-US" w:eastAsia="en-US"/>
    </w:rPr>
  </w:style>
  <w:style w:type="paragraph" w:customStyle="1" w:styleId="TableOfAmend">
    <w:name w:val="TableOfAmend"/>
    <w:basedOn w:val="Normal"/>
    <w:rsid w:val="00EE4093"/>
    <w:pPr>
      <w:tabs>
        <w:tab w:val="right" w:leader="dot" w:pos="2268"/>
      </w:tabs>
      <w:autoSpaceDE w:val="0"/>
      <w:autoSpaceDN w:val="0"/>
      <w:spacing w:before="60" w:line="200" w:lineRule="exact"/>
      <w:ind w:left="170" w:right="-11" w:hanging="170"/>
    </w:pPr>
    <w:rPr>
      <w:rFonts w:ascii="Arial" w:hAnsi="Arial" w:cs="Arial"/>
      <w:noProof/>
      <w:sz w:val="18"/>
      <w:szCs w:val="18"/>
      <w:lang w:val="en-US" w:eastAsia="en-US"/>
    </w:rPr>
  </w:style>
  <w:style w:type="paragraph" w:customStyle="1" w:styleId="TableOfAmend0pt">
    <w:name w:val="TableOfAmend0pt"/>
    <w:basedOn w:val="TableOfAmend"/>
    <w:rsid w:val="00EE4093"/>
    <w:pPr>
      <w:spacing w:before="0"/>
    </w:pPr>
  </w:style>
  <w:style w:type="paragraph" w:customStyle="1" w:styleId="TableOfAmendHead">
    <w:name w:val="TableOfAmendHead"/>
    <w:basedOn w:val="TableOfAmend"/>
    <w:next w:val="Normal"/>
    <w:rsid w:val="00EE4093"/>
    <w:pPr>
      <w:spacing w:after="60"/>
    </w:pPr>
    <w:rPr>
      <w:sz w:val="16"/>
      <w:szCs w:val="16"/>
    </w:rPr>
  </w:style>
  <w:style w:type="paragraph" w:customStyle="1" w:styleId="TableOfStatRules">
    <w:name w:val="TableOfStatRules"/>
    <w:basedOn w:val="Normal"/>
    <w:rsid w:val="00EE4093"/>
    <w:pPr>
      <w:autoSpaceDE w:val="0"/>
      <w:autoSpaceDN w:val="0"/>
      <w:spacing w:before="60" w:line="200" w:lineRule="exact"/>
    </w:pPr>
    <w:rPr>
      <w:rFonts w:ascii="Arial" w:hAnsi="Arial" w:cs="Arial"/>
      <w:noProof/>
      <w:sz w:val="18"/>
      <w:szCs w:val="18"/>
      <w:lang w:val="en-US" w:eastAsia="en-US"/>
    </w:rPr>
  </w:style>
  <w:style w:type="paragraph" w:customStyle="1" w:styleId="ContentsPage">
    <w:name w:val="ContentsPage"/>
    <w:basedOn w:val="Normal"/>
    <w:next w:val="TOC"/>
    <w:rsid w:val="00EE4093"/>
    <w:pPr>
      <w:tabs>
        <w:tab w:val="right" w:pos="7229"/>
      </w:tabs>
      <w:autoSpaceDE w:val="0"/>
      <w:autoSpaceDN w:val="0"/>
      <w:spacing w:after="120"/>
      <w:jc w:val="right"/>
    </w:pPr>
    <w:rPr>
      <w:rFonts w:ascii="Arial" w:hAnsi="Arial" w:cs="Arial"/>
      <w:noProof/>
      <w:sz w:val="20"/>
      <w:szCs w:val="20"/>
      <w:lang w:val="en-US" w:eastAsia="en-US"/>
    </w:rPr>
  </w:style>
  <w:style w:type="paragraph" w:customStyle="1" w:styleId="CoverMade">
    <w:name w:val="CoverMade"/>
    <w:basedOn w:val="Normal"/>
    <w:rsid w:val="00EE4093"/>
    <w:pPr>
      <w:autoSpaceDE w:val="0"/>
      <w:autoSpaceDN w:val="0"/>
      <w:spacing w:before="240" w:after="240"/>
    </w:pPr>
    <w:rPr>
      <w:rFonts w:ascii="Arial" w:hAnsi="Arial" w:cs="Arial"/>
      <w:noProof/>
      <w:lang w:val="en-US" w:eastAsia="en-US"/>
    </w:rPr>
  </w:style>
  <w:style w:type="paragraph" w:customStyle="1" w:styleId="TableENotesHeadingAmdt">
    <w:name w:val="TableENotesHeadingAmdt"/>
    <w:basedOn w:val="Normal"/>
    <w:next w:val="Normal"/>
    <w:rsid w:val="00EE4093"/>
    <w:pPr>
      <w:pageBreakBefore/>
      <w:autoSpaceDE w:val="0"/>
      <w:autoSpaceDN w:val="0"/>
      <w:spacing w:before="240" w:after="240" w:line="300" w:lineRule="exact"/>
      <w:ind w:left="2410" w:hanging="2410"/>
    </w:pPr>
    <w:rPr>
      <w:rFonts w:ascii="Arial" w:hAnsi="Arial" w:cs="Arial"/>
      <w:b/>
      <w:bCs/>
      <w:noProof/>
      <w:sz w:val="28"/>
      <w:szCs w:val="28"/>
      <w:lang w:val="en-US" w:eastAsia="en-US"/>
    </w:rPr>
  </w:style>
  <w:style w:type="paragraph" w:customStyle="1" w:styleId="Subsection">
    <w:name w:val="Subsection"/>
    <w:aliases w:val="ss"/>
    <w:basedOn w:val="Normal"/>
    <w:rsid w:val="00C23C46"/>
    <w:pPr>
      <w:tabs>
        <w:tab w:val="right" w:pos="1021"/>
      </w:tabs>
      <w:spacing w:before="180" w:line="260" w:lineRule="atLeast"/>
      <w:ind w:left="1134" w:hanging="1134"/>
    </w:pPr>
    <w:rPr>
      <w:rFonts w:ascii="Times" w:hAnsi="Times"/>
      <w:sz w:val="22"/>
      <w:szCs w:val="20"/>
      <w:lang w:eastAsia="en-US"/>
    </w:rPr>
  </w:style>
  <w:style w:type="paragraph" w:customStyle="1" w:styleId="indenta">
    <w:name w:val="indent(a)"/>
    <w:aliases w:val="a"/>
    <w:basedOn w:val="Normal"/>
    <w:rsid w:val="00C23C46"/>
    <w:pPr>
      <w:tabs>
        <w:tab w:val="right" w:pos="1531"/>
      </w:tabs>
      <w:spacing w:before="40" w:line="260" w:lineRule="atLeast"/>
      <w:ind w:left="1644" w:hanging="1644"/>
    </w:pPr>
    <w:rPr>
      <w:rFonts w:ascii="Times" w:hAnsi="Times"/>
      <w:sz w:val="22"/>
      <w:szCs w:val="20"/>
      <w:lang w:eastAsia="en-US"/>
    </w:rPr>
  </w:style>
  <w:style w:type="paragraph" w:customStyle="1" w:styleId="PartHeading1">
    <w:name w:val="Part Heading 1"/>
    <w:basedOn w:val="Normal"/>
    <w:rsid w:val="00EE4093"/>
    <w:pPr>
      <w:keepNext/>
      <w:autoSpaceDE w:val="0"/>
      <w:autoSpaceDN w:val="0"/>
      <w:spacing w:before="360"/>
      <w:ind w:left="2410" w:hanging="2410"/>
    </w:pPr>
    <w:rPr>
      <w:rFonts w:ascii="Arial" w:hAnsi="Arial" w:cs="Arial"/>
      <w:b/>
      <w:bCs/>
      <w:noProof/>
      <w:sz w:val="32"/>
      <w:szCs w:val="32"/>
      <w:lang w:val="en-US" w:eastAsia="en-US"/>
    </w:rPr>
  </w:style>
  <w:style w:type="paragraph" w:customStyle="1" w:styleId="SectionHeading1">
    <w:name w:val="Section Heading 1"/>
    <w:basedOn w:val="Normal"/>
    <w:rsid w:val="00EE4093"/>
    <w:pPr>
      <w:keepNext/>
      <w:autoSpaceDE w:val="0"/>
      <w:autoSpaceDN w:val="0"/>
      <w:spacing w:before="360"/>
      <w:ind w:left="993" w:hanging="993"/>
    </w:pPr>
    <w:rPr>
      <w:rFonts w:ascii="Arial" w:hAnsi="Arial" w:cs="Arial"/>
      <w:b/>
      <w:bCs/>
      <w:noProof/>
      <w:lang w:val="en-US" w:eastAsia="en-US"/>
    </w:rPr>
  </w:style>
  <w:style w:type="paragraph" w:customStyle="1" w:styleId="SectionText">
    <w:name w:val="Section Text"/>
    <w:basedOn w:val="Normal"/>
    <w:rsid w:val="00EE4093"/>
    <w:pPr>
      <w:autoSpaceDE w:val="0"/>
      <w:autoSpaceDN w:val="0"/>
      <w:spacing w:before="120"/>
      <w:ind w:left="992" w:hanging="992"/>
    </w:pPr>
    <w:rPr>
      <w:noProof/>
      <w:lang w:val="en-US" w:eastAsia="en-US"/>
    </w:rPr>
  </w:style>
  <w:style w:type="paragraph" w:customStyle="1" w:styleId="definitiona">
    <w:name w:val="definition (a)"/>
    <w:basedOn w:val="Normal"/>
    <w:rsid w:val="00EE4093"/>
    <w:pPr>
      <w:tabs>
        <w:tab w:val="left" w:pos="993"/>
      </w:tabs>
      <w:autoSpaceDE w:val="0"/>
      <w:autoSpaceDN w:val="0"/>
      <w:spacing w:before="60" w:line="260" w:lineRule="exact"/>
      <w:ind w:left="1418" w:hanging="1418"/>
    </w:pPr>
    <w:rPr>
      <w:noProof/>
      <w:lang w:eastAsia="en-US"/>
    </w:rPr>
  </w:style>
  <w:style w:type="paragraph" w:customStyle="1" w:styleId="sectiona">
    <w:name w:val="section (a)"/>
    <w:basedOn w:val="definitiona"/>
    <w:rsid w:val="00EE4093"/>
  </w:style>
  <w:style w:type="paragraph" w:customStyle="1" w:styleId="Section1">
    <w:name w:val="Section (1)"/>
    <w:basedOn w:val="Normal"/>
    <w:rsid w:val="00EE4093"/>
    <w:pPr>
      <w:tabs>
        <w:tab w:val="left" w:pos="567"/>
      </w:tabs>
      <w:autoSpaceDE w:val="0"/>
      <w:autoSpaceDN w:val="0"/>
      <w:spacing w:before="120" w:line="260" w:lineRule="exact"/>
      <w:ind w:left="993" w:hanging="993"/>
    </w:pPr>
    <w:rPr>
      <w:noProof/>
      <w:lang w:val="en-US" w:eastAsia="en-US"/>
    </w:rPr>
  </w:style>
  <w:style w:type="paragraph" w:customStyle="1" w:styleId="Section1bullet">
    <w:name w:val="Section (1) bullet"/>
    <w:basedOn w:val="Normal"/>
    <w:rsid w:val="00EE4093"/>
    <w:pPr>
      <w:tabs>
        <w:tab w:val="num" w:pos="1209"/>
        <w:tab w:val="num" w:pos="1418"/>
      </w:tabs>
      <w:autoSpaceDE w:val="0"/>
      <w:autoSpaceDN w:val="0"/>
      <w:spacing w:before="120" w:line="260" w:lineRule="exact"/>
      <w:ind w:left="1418" w:hanging="454"/>
      <w:jc w:val="both"/>
    </w:pPr>
    <w:rPr>
      <w:noProof/>
      <w:lang w:val="en-US" w:eastAsia="en-US"/>
    </w:rPr>
  </w:style>
  <w:style w:type="paragraph" w:customStyle="1" w:styleId="Sectionbullet">
    <w:name w:val="Section bullet"/>
    <w:basedOn w:val="Section1bullet"/>
    <w:rsid w:val="00EE4093"/>
    <w:pPr>
      <w:ind w:hanging="425"/>
      <w:jc w:val="left"/>
    </w:pPr>
  </w:style>
  <w:style w:type="paragraph" w:customStyle="1" w:styleId="section1a">
    <w:name w:val="section (1) (a)"/>
    <w:basedOn w:val="sectiona"/>
    <w:rsid w:val="00EE4093"/>
  </w:style>
  <w:style w:type="paragraph" w:customStyle="1" w:styleId="Section1ai">
    <w:name w:val="Section (1) (a) (i)"/>
    <w:basedOn w:val="Normal"/>
    <w:rsid w:val="00EE4093"/>
    <w:pPr>
      <w:tabs>
        <w:tab w:val="left" w:pos="993"/>
        <w:tab w:val="left" w:pos="1418"/>
        <w:tab w:val="left" w:pos="1843"/>
      </w:tabs>
      <w:autoSpaceDE w:val="0"/>
      <w:autoSpaceDN w:val="0"/>
      <w:spacing w:before="120" w:line="216" w:lineRule="auto"/>
      <w:ind w:left="1843" w:hanging="1843"/>
    </w:pPr>
    <w:rPr>
      <w:noProof/>
      <w:lang w:val="en-US" w:eastAsia="en-US"/>
    </w:rPr>
  </w:style>
  <w:style w:type="paragraph" w:customStyle="1" w:styleId="IntroductoryNoteText">
    <w:name w:val="Introductory Note Text"/>
    <w:basedOn w:val="Normal"/>
    <w:rsid w:val="00EE4093"/>
    <w:pPr>
      <w:pageBreakBefore/>
      <w:autoSpaceDE w:val="0"/>
      <w:autoSpaceDN w:val="0"/>
      <w:jc w:val="both"/>
    </w:pPr>
    <w:rPr>
      <w:noProof/>
      <w:lang w:val="en-US" w:eastAsia="en-US"/>
    </w:rPr>
  </w:style>
  <w:style w:type="paragraph" w:customStyle="1" w:styleId="IntroductoryText">
    <w:name w:val="Introductory Text"/>
    <w:basedOn w:val="Title"/>
    <w:uiPriority w:val="99"/>
    <w:rsid w:val="00EE4093"/>
    <w:pPr>
      <w:autoSpaceDE w:val="0"/>
      <w:autoSpaceDN w:val="0"/>
      <w:spacing w:before="0"/>
      <w:jc w:val="both"/>
    </w:pPr>
    <w:rPr>
      <w:rFonts w:ascii="Times New Roman" w:hAnsi="Times New Roman" w:cs="Times New Roman"/>
      <w:b w:val="0"/>
      <w:bCs w:val="0"/>
      <w:noProof/>
      <w:sz w:val="24"/>
      <w:szCs w:val="24"/>
      <w:lang w:val="en-US" w:eastAsia="en-US"/>
    </w:rPr>
  </w:style>
  <w:style w:type="paragraph" w:customStyle="1" w:styleId="olditem">
    <w:name w:val="olditem"/>
    <w:basedOn w:val="Normal"/>
    <w:rsid w:val="00EE4093"/>
    <w:pPr>
      <w:spacing w:line="360" w:lineRule="auto"/>
      <w:jc w:val="both"/>
    </w:pPr>
    <w:rPr>
      <w:lang w:eastAsia="en-US"/>
    </w:rPr>
  </w:style>
  <w:style w:type="paragraph" w:customStyle="1" w:styleId="indenta0">
    <w:name w:val="indent (a)"/>
    <w:basedOn w:val="Normal"/>
    <w:rsid w:val="00EE4093"/>
    <w:pPr>
      <w:ind w:left="2127" w:hanging="709"/>
      <w:jc w:val="both"/>
    </w:pPr>
    <w:rPr>
      <w:kern w:val="24"/>
      <w:lang w:eastAsia="en-US"/>
    </w:rPr>
  </w:style>
  <w:style w:type="paragraph" w:customStyle="1" w:styleId="indentsubpara">
    <w:name w:val="indent sub para"/>
    <w:basedOn w:val="Normal"/>
    <w:rsid w:val="00EE4093"/>
    <w:pPr>
      <w:tabs>
        <w:tab w:val="left" w:pos="709"/>
      </w:tabs>
      <w:ind w:left="1418" w:hanging="1418"/>
    </w:pPr>
    <w:rPr>
      <w:kern w:val="24"/>
      <w:lang w:eastAsia="en-US"/>
    </w:rPr>
  </w:style>
  <w:style w:type="paragraph" w:customStyle="1" w:styleId="lettered2">
    <w:name w:val="lettered 2"/>
    <w:basedOn w:val="Normal"/>
    <w:rsid w:val="00EE4093"/>
    <w:pPr>
      <w:numPr>
        <w:ilvl w:val="12"/>
      </w:numPr>
      <w:ind w:left="1276" w:hanging="709"/>
      <w:jc w:val="both"/>
    </w:pPr>
    <w:rPr>
      <w:rFonts w:ascii="Book Antiqua" w:hAnsi="Book Antiqua" w:cs="Book Antiqua"/>
      <w:kern w:val="24"/>
      <w:lang w:eastAsia="en-US"/>
    </w:rPr>
  </w:style>
  <w:style w:type="paragraph" w:customStyle="1" w:styleId="lettered3">
    <w:name w:val="lettered 3"/>
    <w:basedOn w:val="Normal"/>
    <w:rsid w:val="00EE4093"/>
    <w:pPr>
      <w:ind w:left="1985" w:hanging="709"/>
      <w:jc w:val="both"/>
    </w:pPr>
    <w:rPr>
      <w:rFonts w:ascii="Book Antiqua" w:hAnsi="Book Antiqua" w:cs="Book Antiqua"/>
      <w:kern w:val="24"/>
      <w:lang w:eastAsia="en-US"/>
    </w:rPr>
  </w:style>
  <w:style w:type="paragraph" w:customStyle="1" w:styleId="indent">
    <w:name w:val="indent"/>
    <w:basedOn w:val="Normal"/>
    <w:rsid w:val="00EE4093"/>
    <w:pPr>
      <w:tabs>
        <w:tab w:val="left" w:pos="709"/>
      </w:tabs>
      <w:ind w:left="1276" w:hanging="709"/>
      <w:jc w:val="both"/>
    </w:pPr>
    <w:rPr>
      <w:rFonts w:ascii="Book Antiqua" w:hAnsi="Book Antiqua" w:cs="Book Antiqua"/>
      <w:kern w:val="24"/>
      <w:lang w:eastAsia="en-US"/>
    </w:rPr>
  </w:style>
  <w:style w:type="paragraph" w:customStyle="1" w:styleId="lettered4">
    <w:name w:val="lettered 4"/>
    <w:basedOn w:val="Normal"/>
    <w:rsid w:val="00EE4093"/>
    <w:pPr>
      <w:ind w:left="2694" w:hanging="709"/>
      <w:jc w:val="both"/>
    </w:pPr>
    <w:rPr>
      <w:rFonts w:ascii="Book Antiqua" w:hAnsi="Book Antiqua" w:cs="Book Antiqua"/>
      <w:kern w:val="24"/>
      <w:lang w:eastAsia="en-US"/>
    </w:rPr>
  </w:style>
  <w:style w:type="paragraph" w:customStyle="1" w:styleId="letteredtext">
    <w:name w:val="lettered text"/>
    <w:basedOn w:val="Normal"/>
    <w:rsid w:val="00EE4093"/>
    <w:pPr>
      <w:numPr>
        <w:ilvl w:val="12"/>
      </w:numPr>
      <w:tabs>
        <w:tab w:val="left" w:pos="1985"/>
      </w:tabs>
      <w:ind w:left="1985" w:hanging="709"/>
      <w:jc w:val="both"/>
    </w:pPr>
    <w:rPr>
      <w:rFonts w:ascii="Book Antiqua" w:hAnsi="Book Antiqua" w:cs="Book Antiqua"/>
      <w:kern w:val="24"/>
      <w:sz w:val="22"/>
      <w:szCs w:val="22"/>
      <w:lang w:eastAsia="en-US"/>
    </w:rPr>
  </w:style>
  <w:style w:type="paragraph" w:customStyle="1" w:styleId="ident">
    <w:name w:val="ident"/>
    <w:basedOn w:val="Normal"/>
    <w:rsid w:val="00EE4093"/>
    <w:pPr>
      <w:ind w:left="426"/>
      <w:jc w:val="both"/>
    </w:pPr>
    <w:rPr>
      <w:rFonts w:ascii="Book Antiqua" w:hAnsi="Book Antiqua" w:cs="Book Antiqua"/>
      <w:kern w:val="24"/>
      <w:sz w:val="22"/>
      <w:szCs w:val="22"/>
      <w:lang w:eastAsia="en-US"/>
    </w:rPr>
  </w:style>
  <w:style w:type="character" w:customStyle="1" w:styleId="definitionChar">
    <w:name w:val="definition Char"/>
    <w:rsid w:val="00B77A6D"/>
    <w:rPr>
      <w:rFonts w:cs="Times New Roman"/>
      <w:b/>
      <w:bCs/>
      <w:i/>
      <w:iCs/>
      <w:noProof/>
      <w:sz w:val="24"/>
      <w:szCs w:val="24"/>
    </w:rPr>
  </w:style>
  <w:style w:type="character" w:customStyle="1" w:styleId="definitionChar1">
    <w:name w:val="definition Char1"/>
    <w:link w:val="definition"/>
    <w:uiPriority w:val="99"/>
    <w:locked/>
    <w:rsid w:val="00B77A6D"/>
    <w:rPr>
      <w:sz w:val="24"/>
      <w:szCs w:val="24"/>
      <w:lang w:val="en-AU" w:eastAsia="en-AU" w:bidi="ar-SA"/>
    </w:rPr>
  </w:style>
  <w:style w:type="paragraph" w:customStyle="1" w:styleId="Default">
    <w:name w:val="Default"/>
    <w:rsid w:val="00160AF7"/>
    <w:pPr>
      <w:widowControl w:val="0"/>
      <w:autoSpaceDE w:val="0"/>
      <w:autoSpaceDN w:val="0"/>
      <w:adjustRightInd w:val="0"/>
    </w:pPr>
    <w:rPr>
      <w:rFonts w:ascii="Arial" w:hAnsi="Arial" w:cs="Arial"/>
      <w:color w:val="000000"/>
      <w:sz w:val="24"/>
      <w:szCs w:val="24"/>
    </w:rPr>
  </w:style>
  <w:style w:type="numbering" w:customStyle="1" w:styleId="Style1">
    <w:name w:val="Style1"/>
    <w:rsid w:val="00D46CF9"/>
    <w:pPr>
      <w:numPr>
        <w:numId w:val="11"/>
      </w:numPr>
    </w:pPr>
  </w:style>
  <w:style w:type="character" w:customStyle="1" w:styleId="FooterChar">
    <w:name w:val="Footer Char"/>
    <w:link w:val="Footer"/>
    <w:uiPriority w:val="99"/>
    <w:rsid w:val="000807CC"/>
    <w:rPr>
      <w:rFonts w:ascii="Arial" w:hAnsi="Arial"/>
      <w:i/>
      <w:sz w:val="18"/>
      <w:szCs w:val="18"/>
    </w:rPr>
  </w:style>
  <w:style w:type="character" w:customStyle="1" w:styleId="HeaderChar">
    <w:name w:val="Header Char"/>
    <w:link w:val="Header"/>
    <w:uiPriority w:val="99"/>
    <w:rsid w:val="0003436E"/>
    <w:rPr>
      <w:rFonts w:ascii="Arial" w:hAnsi="Arial"/>
      <w:sz w:val="16"/>
      <w:szCs w:val="24"/>
    </w:rPr>
  </w:style>
  <w:style w:type="paragraph" w:styleId="Revision">
    <w:name w:val="Revision"/>
    <w:hidden/>
    <w:uiPriority w:val="99"/>
    <w:semiHidden/>
    <w:rsid w:val="00B53A97"/>
    <w:rPr>
      <w:sz w:val="24"/>
      <w:szCs w:val="24"/>
    </w:rPr>
  </w:style>
  <w:style w:type="paragraph" w:customStyle="1" w:styleId="r10">
    <w:name w:val="r1"/>
    <w:basedOn w:val="Normal"/>
    <w:rsid w:val="00287F35"/>
    <w:pPr>
      <w:spacing w:before="100" w:beforeAutospacing="1" w:after="100" w:afterAutospacing="1"/>
    </w:pPr>
  </w:style>
  <w:style w:type="paragraph" w:customStyle="1" w:styleId="r20">
    <w:name w:val="r2"/>
    <w:basedOn w:val="Normal"/>
    <w:rsid w:val="00287F35"/>
    <w:pPr>
      <w:spacing w:before="100" w:beforeAutospacing="1" w:after="100" w:afterAutospacing="1"/>
    </w:pPr>
  </w:style>
  <w:style w:type="paragraph" w:customStyle="1" w:styleId="ENoteNo">
    <w:name w:val="ENoteNo"/>
    <w:basedOn w:val="EndNotes"/>
    <w:uiPriority w:val="99"/>
    <w:rsid w:val="005A494A"/>
    <w:pPr>
      <w:ind w:left="357" w:hanging="357"/>
    </w:pPr>
    <w:rPr>
      <w:rFonts w:ascii="Arial" w:hAnsi="Arial" w:cs="Arial"/>
      <w:b/>
      <w:bCs/>
      <w:lang w:eastAsia="en-AU"/>
    </w:rPr>
  </w:style>
  <w:style w:type="character" w:customStyle="1" w:styleId="CommentTextChar">
    <w:name w:val="Comment Text Char"/>
    <w:basedOn w:val="DefaultParagraphFont"/>
    <w:link w:val="CommentText"/>
    <w:uiPriority w:val="99"/>
    <w:rsid w:val="00DB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971">
      <w:bodyDiv w:val="1"/>
      <w:marLeft w:val="0"/>
      <w:marRight w:val="0"/>
      <w:marTop w:val="0"/>
      <w:marBottom w:val="0"/>
      <w:divBdr>
        <w:top w:val="none" w:sz="0" w:space="0" w:color="auto"/>
        <w:left w:val="none" w:sz="0" w:space="0" w:color="auto"/>
        <w:bottom w:val="none" w:sz="0" w:space="0" w:color="auto"/>
        <w:right w:val="none" w:sz="0" w:space="0" w:color="auto"/>
      </w:divBdr>
      <w:divsChild>
        <w:div w:id="169566235">
          <w:marLeft w:val="0"/>
          <w:marRight w:val="0"/>
          <w:marTop w:val="0"/>
          <w:marBottom w:val="0"/>
          <w:divBdr>
            <w:top w:val="none" w:sz="0" w:space="0" w:color="auto"/>
            <w:left w:val="none" w:sz="0" w:space="0" w:color="auto"/>
            <w:bottom w:val="none" w:sz="0" w:space="0" w:color="auto"/>
            <w:right w:val="none" w:sz="0" w:space="0" w:color="auto"/>
          </w:divBdr>
          <w:divsChild>
            <w:div w:id="1641307366">
              <w:marLeft w:val="0"/>
              <w:marRight w:val="0"/>
              <w:marTop w:val="0"/>
              <w:marBottom w:val="0"/>
              <w:divBdr>
                <w:top w:val="none" w:sz="0" w:space="0" w:color="auto"/>
                <w:left w:val="none" w:sz="0" w:space="0" w:color="auto"/>
                <w:bottom w:val="none" w:sz="0" w:space="0" w:color="auto"/>
                <w:right w:val="none" w:sz="0" w:space="0" w:color="auto"/>
              </w:divBdr>
              <w:divsChild>
                <w:div w:id="41247186">
                  <w:marLeft w:val="0"/>
                  <w:marRight w:val="0"/>
                  <w:marTop w:val="0"/>
                  <w:marBottom w:val="0"/>
                  <w:divBdr>
                    <w:top w:val="none" w:sz="0" w:space="0" w:color="auto"/>
                    <w:left w:val="none" w:sz="0" w:space="0" w:color="auto"/>
                    <w:bottom w:val="none" w:sz="0" w:space="0" w:color="auto"/>
                    <w:right w:val="none" w:sz="0" w:space="0" w:color="auto"/>
                  </w:divBdr>
                  <w:divsChild>
                    <w:div w:id="1981880525">
                      <w:marLeft w:val="0"/>
                      <w:marRight w:val="0"/>
                      <w:marTop w:val="0"/>
                      <w:marBottom w:val="0"/>
                      <w:divBdr>
                        <w:top w:val="none" w:sz="0" w:space="0" w:color="auto"/>
                        <w:left w:val="none" w:sz="0" w:space="0" w:color="auto"/>
                        <w:bottom w:val="none" w:sz="0" w:space="0" w:color="auto"/>
                        <w:right w:val="none" w:sz="0" w:space="0" w:color="auto"/>
                      </w:divBdr>
                      <w:divsChild>
                        <w:div w:id="222181056">
                          <w:marLeft w:val="0"/>
                          <w:marRight w:val="0"/>
                          <w:marTop w:val="0"/>
                          <w:marBottom w:val="0"/>
                          <w:divBdr>
                            <w:top w:val="single" w:sz="6" w:space="0" w:color="828282"/>
                            <w:left w:val="single" w:sz="6" w:space="0" w:color="828282"/>
                            <w:bottom w:val="single" w:sz="6" w:space="0" w:color="828282"/>
                            <w:right w:val="single" w:sz="6" w:space="0" w:color="828282"/>
                          </w:divBdr>
                          <w:divsChild>
                            <w:div w:id="749355236">
                              <w:marLeft w:val="0"/>
                              <w:marRight w:val="0"/>
                              <w:marTop w:val="0"/>
                              <w:marBottom w:val="0"/>
                              <w:divBdr>
                                <w:top w:val="none" w:sz="0" w:space="0" w:color="auto"/>
                                <w:left w:val="none" w:sz="0" w:space="0" w:color="auto"/>
                                <w:bottom w:val="none" w:sz="0" w:space="0" w:color="auto"/>
                                <w:right w:val="none" w:sz="0" w:space="0" w:color="auto"/>
                              </w:divBdr>
                              <w:divsChild>
                                <w:div w:id="1412779118">
                                  <w:marLeft w:val="0"/>
                                  <w:marRight w:val="0"/>
                                  <w:marTop w:val="0"/>
                                  <w:marBottom w:val="0"/>
                                  <w:divBdr>
                                    <w:top w:val="none" w:sz="0" w:space="0" w:color="auto"/>
                                    <w:left w:val="none" w:sz="0" w:space="0" w:color="auto"/>
                                    <w:bottom w:val="none" w:sz="0" w:space="0" w:color="auto"/>
                                    <w:right w:val="none" w:sz="0" w:space="0" w:color="auto"/>
                                  </w:divBdr>
                                  <w:divsChild>
                                    <w:div w:id="1575969874">
                                      <w:marLeft w:val="0"/>
                                      <w:marRight w:val="0"/>
                                      <w:marTop w:val="0"/>
                                      <w:marBottom w:val="0"/>
                                      <w:divBdr>
                                        <w:top w:val="none" w:sz="0" w:space="0" w:color="auto"/>
                                        <w:left w:val="none" w:sz="0" w:space="0" w:color="auto"/>
                                        <w:bottom w:val="none" w:sz="0" w:space="0" w:color="auto"/>
                                        <w:right w:val="none" w:sz="0" w:space="0" w:color="auto"/>
                                      </w:divBdr>
                                      <w:divsChild>
                                        <w:div w:id="1938515214">
                                          <w:marLeft w:val="0"/>
                                          <w:marRight w:val="0"/>
                                          <w:marTop w:val="0"/>
                                          <w:marBottom w:val="0"/>
                                          <w:divBdr>
                                            <w:top w:val="none" w:sz="0" w:space="0" w:color="auto"/>
                                            <w:left w:val="none" w:sz="0" w:space="0" w:color="auto"/>
                                            <w:bottom w:val="none" w:sz="0" w:space="0" w:color="auto"/>
                                            <w:right w:val="none" w:sz="0" w:space="0" w:color="auto"/>
                                          </w:divBdr>
                                          <w:divsChild>
                                            <w:div w:id="787504588">
                                              <w:marLeft w:val="0"/>
                                              <w:marRight w:val="0"/>
                                              <w:marTop w:val="0"/>
                                              <w:marBottom w:val="0"/>
                                              <w:divBdr>
                                                <w:top w:val="none" w:sz="0" w:space="0" w:color="auto"/>
                                                <w:left w:val="none" w:sz="0" w:space="0" w:color="auto"/>
                                                <w:bottom w:val="none" w:sz="0" w:space="0" w:color="auto"/>
                                                <w:right w:val="none" w:sz="0" w:space="0" w:color="auto"/>
                                              </w:divBdr>
                                              <w:divsChild>
                                                <w:div w:id="265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7023174">
      <w:bodyDiv w:val="1"/>
      <w:marLeft w:val="0"/>
      <w:marRight w:val="0"/>
      <w:marTop w:val="0"/>
      <w:marBottom w:val="0"/>
      <w:divBdr>
        <w:top w:val="none" w:sz="0" w:space="0" w:color="auto"/>
        <w:left w:val="none" w:sz="0" w:space="0" w:color="auto"/>
        <w:bottom w:val="none" w:sz="0" w:space="0" w:color="auto"/>
        <w:right w:val="none" w:sz="0" w:space="0" w:color="auto"/>
      </w:divBdr>
      <w:divsChild>
        <w:div w:id="629095015">
          <w:marLeft w:val="0"/>
          <w:marRight w:val="0"/>
          <w:marTop w:val="0"/>
          <w:marBottom w:val="0"/>
          <w:divBdr>
            <w:top w:val="none" w:sz="0" w:space="0" w:color="auto"/>
            <w:left w:val="none" w:sz="0" w:space="0" w:color="auto"/>
            <w:bottom w:val="none" w:sz="0" w:space="0" w:color="auto"/>
            <w:right w:val="none" w:sz="0" w:space="0" w:color="auto"/>
          </w:divBdr>
          <w:divsChild>
            <w:div w:id="2067795436">
              <w:marLeft w:val="0"/>
              <w:marRight w:val="0"/>
              <w:marTop w:val="0"/>
              <w:marBottom w:val="0"/>
              <w:divBdr>
                <w:top w:val="none" w:sz="0" w:space="0" w:color="auto"/>
                <w:left w:val="none" w:sz="0" w:space="0" w:color="auto"/>
                <w:bottom w:val="none" w:sz="0" w:space="0" w:color="auto"/>
                <w:right w:val="none" w:sz="0" w:space="0" w:color="auto"/>
              </w:divBdr>
              <w:divsChild>
                <w:div w:id="114712245">
                  <w:marLeft w:val="0"/>
                  <w:marRight w:val="0"/>
                  <w:marTop w:val="0"/>
                  <w:marBottom w:val="0"/>
                  <w:divBdr>
                    <w:top w:val="none" w:sz="0" w:space="0" w:color="auto"/>
                    <w:left w:val="none" w:sz="0" w:space="0" w:color="auto"/>
                    <w:bottom w:val="none" w:sz="0" w:space="0" w:color="auto"/>
                    <w:right w:val="none" w:sz="0" w:space="0" w:color="auto"/>
                  </w:divBdr>
                  <w:divsChild>
                    <w:div w:id="895161919">
                      <w:marLeft w:val="0"/>
                      <w:marRight w:val="0"/>
                      <w:marTop w:val="0"/>
                      <w:marBottom w:val="0"/>
                      <w:divBdr>
                        <w:top w:val="none" w:sz="0" w:space="0" w:color="auto"/>
                        <w:left w:val="none" w:sz="0" w:space="0" w:color="auto"/>
                        <w:bottom w:val="none" w:sz="0" w:space="0" w:color="auto"/>
                        <w:right w:val="none" w:sz="0" w:space="0" w:color="auto"/>
                      </w:divBdr>
                      <w:divsChild>
                        <w:div w:id="358285623">
                          <w:marLeft w:val="0"/>
                          <w:marRight w:val="0"/>
                          <w:marTop w:val="0"/>
                          <w:marBottom w:val="0"/>
                          <w:divBdr>
                            <w:top w:val="none" w:sz="0" w:space="0" w:color="auto"/>
                            <w:left w:val="none" w:sz="0" w:space="0" w:color="auto"/>
                            <w:bottom w:val="none" w:sz="0" w:space="0" w:color="auto"/>
                            <w:right w:val="none" w:sz="0" w:space="0" w:color="auto"/>
                          </w:divBdr>
                          <w:divsChild>
                            <w:div w:id="431362593">
                              <w:marLeft w:val="0"/>
                              <w:marRight w:val="0"/>
                              <w:marTop w:val="0"/>
                              <w:marBottom w:val="0"/>
                              <w:divBdr>
                                <w:top w:val="none" w:sz="0" w:space="0" w:color="auto"/>
                                <w:left w:val="none" w:sz="0" w:space="0" w:color="auto"/>
                                <w:bottom w:val="none" w:sz="0" w:space="0" w:color="auto"/>
                                <w:right w:val="none" w:sz="0" w:space="0" w:color="auto"/>
                              </w:divBdr>
                              <w:divsChild>
                                <w:div w:id="1574588402">
                                  <w:marLeft w:val="0"/>
                                  <w:marRight w:val="0"/>
                                  <w:marTop w:val="0"/>
                                  <w:marBottom w:val="0"/>
                                  <w:divBdr>
                                    <w:top w:val="none" w:sz="0" w:space="0" w:color="auto"/>
                                    <w:left w:val="none" w:sz="0" w:space="0" w:color="auto"/>
                                    <w:bottom w:val="none" w:sz="0" w:space="0" w:color="auto"/>
                                    <w:right w:val="none" w:sz="0" w:space="0" w:color="auto"/>
                                  </w:divBdr>
                                  <w:divsChild>
                                    <w:div w:id="1012994999">
                                      <w:marLeft w:val="0"/>
                                      <w:marRight w:val="0"/>
                                      <w:marTop w:val="0"/>
                                      <w:marBottom w:val="0"/>
                                      <w:divBdr>
                                        <w:top w:val="none" w:sz="0" w:space="0" w:color="auto"/>
                                        <w:left w:val="none" w:sz="0" w:space="0" w:color="auto"/>
                                        <w:bottom w:val="none" w:sz="0" w:space="0" w:color="auto"/>
                                        <w:right w:val="none" w:sz="0" w:space="0" w:color="auto"/>
                                      </w:divBdr>
                                      <w:divsChild>
                                        <w:div w:id="1845508378">
                                          <w:marLeft w:val="0"/>
                                          <w:marRight w:val="0"/>
                                          <w:marTop w:val="0"/>
                                          <w:marBottom w:val="0"/>
                                          <w:divBdr>
                                            <w:top w:val="none" w:sz="0" w:space="0" w:color="auto"/>
                                            <w:left w:val="none" w:sz="0" w:space="0" w:color="auto"/>
                                            <w:bottom w:val="none" w:sz="0" w:space="0" w:color="auto"/>
                                            <w:right w:val="none" w:sz="0" w:space="0" w:color="auto"/>
                                          </w:divBdr>
                                          <w:divsChild>
                                            <w:div w:id="351810726">
                                              <w:marLeft w:val="0"/>
                                              <w:marRight w:val="0"/>
                                              <w:marTop w:val="0"/>
                                              <w:marBottom w:val="0"/>
                                              <w:divBdr>
                                                <w:top w:val="none" w:sz="0" w:space="0" w:color="auto"/>
                                                <w:left w:val="none" w:sz="0" w:space="0" w:color="auto"/>
                                                <w:bottom w:val="none" w:sz="0" w:space="0" w:color="auto"/>
                                                <w:right w:val="none" w:sz="0" w:space="0" w:color="auto"/>
                                              </w:divBdr>
                                              <w:divsChild>
                                                <w:div w:id="417168270">
                                                  <w:marLeft w:val="0"/>
                                                  <w:marRight w:val="0"/>
                                                  <w:marTop w:val="0"/>
                                                  <w:marBottom w:val="0"/>
                                                  <w:divBdr>
                                                    <w:top w:val="none" w:sz="0" w:space="0" w:color="auto"/>
                                                    <w:left w:val="none" w:sz="0" w:space="0" w:color="auto"/>
                                                    <w:bottom w:val="none" w:sz="0" w:space="0" w:color="auto"/>
                                                    <w:right w:val="none" w:sz="0" w:space="0" w:color="auto"/>
                                                  </w:divBdr>
                                                  <w:divsChild>
                                                    <w:div w:id="1711151503">
                                                      <w:marLeft w:val="0"/>
                                                      <w:marRight w:val="0"/>
                                                      <w:marTop w:val="0"/>
                                                      <w:marBottom w:val="0"/>
                                                      <w:divBdr>
                                                        <w:top w:val="none" w:sz="0" w:space="0" w:color="auto"/>
                                                        <w:left w:val="none" w:sz="0" w:space="0" w:color="auto"/>
                                                        <w:bottom w:val="none" w:sz="0" w:space="0" w:color="auto"/>
                                                        <w:right w:val="none" w:sz="0" w:space="0" w:color="auto"/>
                                                      </w:divBdr>
                                                      <w:divsChild>
                                                        <w:div w:id="20583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3915776">
      <w:bodyDiv w:val="1"/>
      <w:marLeft w:val="0"/>
      <w:marRight w:val="0"/>
      <w:marTop w:val="0"/>
      <w:marBottom w:val="0"/>
      <w:divBdr>
        <w:top w:val="none" w:sz="0" w:space="0" w:color="auto"/>
        <w:left w:val="none" w:sz="0" w:space="0" w:color="auto"/>
        <w:bottom w:val="none" w:sz="0" w:space="0" w:color="auto"/>
        <w:right w:val="none" w:sz="0" w:space="0" w:color="auto"/>
      </w:divBdr>
    </w:div>
    <w:div w:id="1818261136">
      <w:bodyDiv w:val="1"/>
      <w:marLeft w:val="0"/>
      <w:marRight w:val="0"/>
      <w:marTop w:val="0"/>
      <w:marBottom w:val="0"/>
      <w:divBdr>
        <w:top w:val="none" w:sz="0" w:space="0" w:color="auto"/>
        <w:left w:val="none" w:sz="0" w:space="0" w:color="auto"/>
        <w:bottom w:val="none" w:sz="0" w:space="0" w:color="auto"/>
        <w:right w:val="none" w:sz="0" w:space="0" w:color="auto"/>
      </w:divBdr>
    </w:div>
    <w:div w:id="1978030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94280EA83694F8414FA78403FC84A" ma:contentTypeVersion="6" ma:contentTypeDescription="Create a new document." ma:contentTypeScope="" ma:versionID="c6ce0f0f3cd9f45501861aeeec094527">
  <xsd:schema xmlns:xsd="http://www.w3.org/2001/XMLSchema" xmlns:xs="http://www.w3.org/2001/XMLSchema" xmlns:p="http://schemas.microsoft.com/office/2006/metadata/properties" xmlns:ns2="f3d3d94a-c5ac-458a-ae6f-25bdd9ba6b72" xmlns:ns3="574327a4-825a-4a05-b052-1a7a1e30ae80" targetNamespace="http://schemas.microsoft.com/office/2006/metadata/properties" ma:root="true" ma:fieldsID="fe2368a4d8a099320176ac23e854d31f" ns2:_="" ns3:_="">
    <xsd:import namespace="f3d3d94a-c5ac-458a-ae6f-25bdd9ba6b72"/>
    <xsd:import namespace="574327a4-825a-4a05-b052-1a7a1e30ae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3d94a-c5ac-458a-ae6f-25bdd9ba6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4327a4-825a-4a05-b052-1a7a1e30ae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54FEA26-81DC-413E-8686-2FACE5C67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3d94a-c5ac-458a-ae6f-25bdd9ba6b72"/>
    <ds:schemaRef ds:uri="574327a4-825a-4a05-b052-1a7a1e30a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11D55-8B3C-4BFD-8918-3DFE9A890063}">
  <ds:schemaRefs>
    <ds:schemaRef ds:uri="http://schemas.openxmlformats.org/officeDocument/2006/bibliography"/>
  </ds:schemaRefs>
</ds:datastoreItem>
</file>

<file path=customXml/itemProps3.xml><?xml version="1.0" encoding="utf-8"?>
<ds:datastoreItem xmlns:ds="http://schemas.openxmlformats.org/officeDocument/2006/customXml" ds:itemID="{178D23DD-C3CD-46FD-9AC5-E6042F3EB383}">
  <ds:schemaRefs>
    <ds:schemaRef ds:uri="http://schemas.microsoft.com/sharepoint/v3/contenttype/forms"/>
  </ds:schemaRefs>
</ds:datastoreItem>
</file>

<file path=customXml/itemProps4.xml><?xml version="1.0" encoding="utf-8"?>
<ds:datastoreItem xmlns:ds="http://schemas.openxmlformats.org/officeDocument/2006/customXml" ds:itemID="{3DD10B68-3F62-400E-AC23-81708F47C87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3651</Words>
  <Characters>21107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Legislative Instrument docs - Attachment B - Variation instrument - 20160108</vt:lpstr>
    </vt:vector>
  </TitlesOfParts>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Instrument docs - Attachment B - Variation instrument - 20160108</dc:title>
  <dc:subject/>
  <dc:creator/>
  <cp:keywords/>
  <cp:lastModifiedBy/>
  <cp:revision>1</cp:revision>
  <dcterms:created xsi:type="dcterms:W3CDTF">2021-03-31T06:59:00Z</dcterms:created>
  <dcterms:modified xsi:type="dcterms:W3CDTF">2021-03-31T07:14:00Z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0x010100B2E94280EA83694F8414FA78403FC84A</vt:lpwstr>
  </property>
  <property fmtid="{D5CDD505-2E9C-101B-9397-08002B2CF9AE}" pid="3" name="RecordPoint_ActiveItemUniqueId">
    <vt:lpwstr>{e60b129a-fb10-4b67-808f-8dabfc6a8851}</vt:lpwstr>
  </property>
  <property fmtid="{D5CDD505-2E9C-101B-9397-08002B2CF9AE}" pid="4" name="RecordPoint_WorkflowType">
    <vt:lpwstr>ActiveSubmitStub</vt:lpwstr>
  </property>
  <property fmtid="{D5CDD505-2E9C-101B-9397-08002B2CF9AE}" pid="5" name="RecordPoint_ActiveItemSiteId">
    <vt:lpwstr>{aee18315-e880-4bdb-85eb-25ed7b3bab7d}</vt:lpwstr>
  </property>
  <property fmtid="{D5CDD505-2E9C-101B-9397-08002B2CF9AE}" pid="6" name="RecordPoint_ActiveItemListId">
    <vt:lpwstr>{9dc8b16a-b104-49e8-8fd2-17607310cae3}</vt:lpwstr>
  </property>
  <property fmtid="{D5CDD505-2E9C-101B-9397-08002B2CF9AE}" pid="7" name="RecordPoint_ActiveItemWebId">
    <vt:lpwstr>{5d864578-883d-4a9c-b30f-0d09377b49af}</vt:lpwstr>
  </property>
  <property fmtid="{D5CDD505-2E9C-101B-9397-08002B2CF9AE}" pid="8" name="RecordPoint_SubmissionDate">
    <vt:lpwstr/>
  </property>
  <property fmtid="{D5CDD505-2E9C-101B-9397-08002B2CF9AE}" pid="9" name="RecordPoint_RecordNumberSubmitted">
    <vt:lpwstr>000973833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2016-01-13T14:14:38.8393142+11:00</vt:lpwstr>
  </property>
  <property fmtid="{D5CDD505-2E9C-101B-9397-08002B2CF9AE}" pid="13" name="checkforsharepointfields">
    <vt:lpwstr>True</vt:lpwstr>
  </property>
  <property fmtid="{D5CDD505-2E9C-101B-9397-08002B2CF9AE}" pid="14" name="Template Filename">
    <vt:lpwstr/>
  </property>
  <property fmtid="{D5CDD505-2E9C-101B-9397-08002B2CF9AE}" pid="15" name="ObjectiveRef">
    <vt:lpwstr>Removed</vt:lpwstr>
  </property>
  <property fmtid="{D5CDD505-2E9C-101B-9397-08002B2CF9AE}" pid="16" name="LeadingLawyers">
    <vt:lpwstr>Removed</vt:lpwstr>
  </property>
</Properties>
</file>