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9C0DB" w14:textId="77777777" w:rsidR="00715914" w:rsidRPr="005F1388" w:rsidRDefault="00DA186E" w:rsidP="00715914">
      <w:pPr>
        <w:rPr>
          <w:sz w:val="28"/>
        </w:rPr>
      </w:pPr>
      <w:bookmarkStart w:id="0" w:name="_GoBack"/>
      <w:bookmarkEnd w:id="0"/>
      <w:r>
        <w:rPr>
          <w:noProof/>
          <w:lang w:eastAsia="en-AU"/>
        </w:rPr>
        <w:drawing>
          <wp:inline distT="0" distB="0" distL="0" distR="0" wp14:anchorId="16F293B1" wp14:editId="7318B53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4186448" w14:textId="77777777" w:rsidR="00715914" w:rsidRPr="00E500D4" w:rsidRDefault="00715914" w:rsidP="00715914">
      <w:pPr>
        <w:rPr>
          <w:sz w:val="19"/>
        </w:rPr>
      </w:pPr>
    </w:p>
    <w:p w14:paraId="26CBE604" w14:textId="40FAEA1D" w:rsidR="00554826" w:rsidRPr="00E500D4" w:rsidRDefault="00BB13D6" w:rsidP="00554826">
      <w:pPr>
        <w:pStyle w:val="ShortT"/>
      </w:pPr>
      <w:r w:rsidRPr="005A4858">
        <w:t>Therapeutic Goods</w:t>
      </w:r>
      <w:r w:rsidR="00554826" w:rsidRPr="005A4858">
        <w:t xml:space="preserve"> (</w:t>
      </w:r>
      <w:r w:rsidRPr="005A4858">
        <w:t xml:space="preserve">Standard for </w:t>
      </w:r>
      <w:r w:rsidR="005D368F">
        <w:t>Nicotine</w:t>
      </w:r>
      <w:r w:rsidR="005A19D1">
        <w:t xml:space="preserve"> Vaping Products</w:t>
      </w:r>
      <w:r w:rsidR="005A4858" w:rsidRPr="00104E57">
        <w:t>) (</w:t>
      </w:r>
      <w:r w:rsidR="005A4858" w:rsidRPr="005A4858">
        <w:t>TGO 110)</w:t>
      </w:r>
      <w:r w:rsidR="005A4858">
        <w:t xml:space="preserve"> Order 2021</w:t>
      </w:r>
    </w:p>
    <w:p w14:paraId="7743E258" w14:textId="570E7E1B" w:rsidR="00554826" w:rsidRPr="00DA182D" w:rsidRDefault="00554826" w:rsidP="00554826">
      <w:pPr>
        <w:pStyle w:val="SignCoverPageStart"/>
        <w:spacing w:before="240"/>
        <w:ind w:right="91"/>
        <w:rPr>
          <w:szCs w:val="22"/>
        </w:rPr>
      </w:pPr>
      <w:r w:rsidRPr="00DA182D">
        <w:rPr>
          <w:szCs w:val="22"/>
        </w:rPr>
        <w:t>I</w:t>
      </w:r>
      <w:r w:rsidRPr="00414FB2">
        <w:rPr>
          <w:szCs w:val="22"/>
        </w:rPr>
        <w:t xml:space="preserve">, </w:t>
      </w:r>
      <w:r w:rsidR="005A19D1">
        <w:rPr>
          <w:szCs w:val="22"/>
        </w:rPr>
        <w:t>John Skerritt</w:t>
      </w:r>
      <w:r w:rsidRPr="000E2BB2">
        <w:rPr>
          <w:szCs w:val="22"/>
        </w:rPr>
        <w:t xml:space="preserve">, </w:t>
      </w:r>
      <w:r w:rsidR="005A4858" w:rsidRPr="000E2BB2">
        <w:rPr>
          <w:szCs w:val="22"/>
        </w:rPr>
        <w:t>as</w:t>
      </w:r>
      <w:r w:rsidR="005A4858">
        <w:rPr>
          <w:szCs w:val="22"/>
        </w:rPr>
        <w:t xml:space="preserve"> delegate of the Minister for Health</w:t>
      </w:r>
      <w:r w:rsidR="005A19D1">
        <w:rPr>
          <w:szCs w:val="22"/>
        </w:rPr>
        <w:t xml:space="preserve"> and Aged Care</w:t>
      </w:r>
      <w:r w:rsidRPr="00DA182D">
        <w:rPr>
          <w:szCs w:val="22"/>
        </w:rPr>
        <w:t xml:space="preserve">, </w:t>
      </w:r>
      <w:r>
        <w:rPr>
          <w:szCs w:val="22"/>
        </w:rPr>
        <w:t xml:space="preserve">make the following </w:t>
      </w:r>
      <w:r w:rsidR="005A4858">
        <w:rPr>
          <w:szCs w:val="22"/>
        </w:rPr>
        <w:t>Order</w:t>
      </w:r>
      <w:r w:rsidRPr="00DA182D">
        <w:rPr>
          <w:szCs w:val="22"/>
        </w:rPr>
        <w:t>.</w:t>
      </w:r>
    </w:p>
    <w:p w14:paraId="024F4155" w14:textId="576D5FB2" w:rsidR="00554826" w:rsidRPr="00001A63" w:rsidRDefault="00554826" w:rsidP="00554826">
      <w:pPr>
        <w:keepNext/>
        <w:spacing w:before="300" w:line="240" w:lineRule="atLeast"/>
        <w:ind w:right="397"/>
        <w:jc w:val="both"/>
        <w:rPr>
          <w:szCs w:val="22"/>
        </w:rPr>
      </w:pPr>
      <w:r w:rsidRPr="00AF2A7C">
        <w:rPr>
          <w:szCs w:val="22"/>
        </w:rPr>
        <w:t>Dated</w:t>
      </w:r>
      <w:r w:rsidR="006674C3">
        <w:rPr>
          <w:szCs w:val="22"/>
        </w:rPr>
        <w:t xml:space="preserve"> 13 </w:t>
      </w:r>
      <w:r w:rsidR="005A19D1">
        <w:rPr>
          <w:szCs w:val="22"/>
        </w:rPr>
        <w:t>May 2021</w:t>
      </w:r>
    </w:p>
    <w:p w14:paraId="358A1AFE" w14:textId="5E7A195F" w:rsidR="00554826" w:rsidRPr="005A4858" w:rsidRDefault="005A19D1" w:rsidP="00554826">
      <w:pPr>
        <w:keepNext/>
        <w:tabs>
          <w:tab w:val="left" w:pos="3402"/>
        </w:tabs>
        <w:spacing w:before="1440" w:line="300" w:lineRule="atLeast"/>
        <w:ind w:right="397"/>
        <w:rPr>
          <w:b/>
          <w:szCs w:val="22"/>
        </w:rPr>
      </w:pPr>
      <w:r>
        <w:rPr>
          <w:szCs w:val="22"/>
        </w:rPr>
        <w:t>Adjunct Professor John Skerritt</w:t>
      </w:r>
    </w:p>
    <w:p w14:paraId="0E3A5633" w14:textId="77777777" w:rsidR="005A19D1" w:rsidRDefault="005A19D1" w:rsidP="00554826">
      <w:pPr>
        <w:pStyle w:val="SignCoverPageEnd"/>
        <w:ind w:right="91"/>
        <w:rPr>
          <w:sz w:val="22"/>
        </w:rPr>
      </w:pPr>
      <w:r>
        <w:rPr>
          <w:sz w:val="22"/>
        </w:rPr>
        <w:t>Deputy Secretary</w:t>
      </w:r>
    </w:p>
    <w:p w14:paraId="6F09976D" w14:textId="77777777" w:rsidR="005A19D1" w:rsidRDefault="005A19D1" w:rsidP="00554826">
      <w:pPr>
        <w:pStyle w:val="SignCoverPageEnd"/>
        <w:ind w:right="91"/>
        <w:rPr>
          <w:sz w:val="22"/>
        </w:rPr>
      </w:pPr>
      <w:r>
        <w:rPr>
          <w:sz w:val="22"/>
        </w:rPr>
        <w:t>Health Products Regulation Group</w:t>
      </w:r>
    </w:p>
    <w:p w14:paraId="5E031394" w14:textId="77777777" w:rsidR="00554826" w:rsidRPr="008E0027" w:rsidRDefault="005A4858" w:rsidP="00554826">
      <w:pPr>
        <w:pStyle w:val="SignCoverPageEnd"/>
        <w:ind w:right="91"/>
        <w:rPr>
          <w:sz w:val="22"/>
        </w:rPr>
      </w:pPr>
      <w:r w:rsidRPr="005A4858">
        <w:rPr>
          <w:sz w:val="22"/>
        </w:rPr>
        <w:t>Department of Health</w:t>
      </w:r>
    </w:p>
    <w:p w14:paraId="3712ECA8" w14:textId="77777777" w:rsidR="00554826" w:rsidRDefault="00554826" w:rsidP="00554826"/>
    <w:p w14:paraId="6C0DC557" w14:textId="77777777" w:rsidR="00554826" w:rsidRPr="00ED79B6" w:rsidRDefault="00554826" w:rsidP="00554826"/>
    <w:p w14:paraId="6758926A" w14:textId="77777777" w:rsidR="00F6696E" w:rsidRDefault="00F6696E" w:rsidP="00F6696E"/>
    <w:p w14:paraId="4BF5D76E" w14:textId="77777777" w:rsidR="00F6696E" w:rsidRDefault="00F6696E" w:rsidP="00F6696E">
      <w:pPr>
        <w:sectPr w:rsidR="00F6696E" w:rsidSect="00F6696E">
          <w:headerReference w:type="even" r:id="rId9"/>
          <w:headerReference w:type="default" r:id="rId10"/>
          <w:footerReference w:type="even" r:id="rId11"/>
          <w:footerReference w:type="default" r:id="rId12"/>
          <w:footerReference w:type="first" r:id="rId13"/>
          <w:type w:val="continuous"/>
          <w:pgSz w:w="11907" w:h="16839" w:code="9"/>
          <w:pgMar w:top="2234" w:right="1797" w:bottom="1440" w:left="1797" w:header="720" w:footer="989" w:gutter="0"/>
          <w:pgNumType w:start="1"/>
          <w:cols w:space="708"/>
          <w:titlePg/>
          <w:docGrid w:linePitch="360"/>
        </w:sectPr>
      </w:pPr>
    </w:p>
    <w:p w14:paraId="31567885" w14:textId="77777777" w:rsidR="007500C8" w:rsidRDefault="00715914" w:rsidP="00715914">
      <w:pPr>
        <w:outlineLvl w:val="0"/>
        <w:rPr>
          <w:sz w:val="36"/>
        </w:rPr>
      </w:pPr>
      <w:r w:rsidRPr="007A1328">
        <w:rPr>
          <w:sz w:val="36"/>
        </w:rPr>
        <w:lastRenderedPageBreak/>
        <w:t>Contents</w:t>
      </w:r>
    </w:p>
    <w:p w14:paraId="29D8A433" w14:textId="469A3E74" w:rsidR="00591ACE" w:rsidRDefault="00B418CB">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591ACE">
        <w:rPr>
          <w:noProof/>
        </w:rPr>
        <w:t>Part 1</w:t>
      </w:r>
      <w:r w:rsidR="00591ACE" w:rsidRPr="003327DE">
        <w:rPr>
          <w:rStyle w:val="CharPartNo"/>
          <w:noProof/>
        </w:rPr>
        <w:sym w:font="Symbol" w:char="F0BE"/>
      </w:r>
      <w:r w:rsidR="00591ACE">
        <w:rPr>
          <w:noProof/>
        </w:rPr>
        <w:t>Preliminary</w:t>
      </w:r>
      <w:r w:rsidR="00591ACE">
        <w:rPr>
          <w:noProof/>
        </w:rPr>
        <w:tab/>
      </w:r>
      <w:r w:rsidR="00591ACE">
        <w:rPr>
          <w:noProof/>
        </w:rPr>
        <w:fldChar w:fldCharType="begin"/>
      </w:r>
      <w:r w:rsidR="00591ACE">
        <w:rPr>
          <w:noProof/>
        </w:rPr>
        <w:instrText xml:space="preserve"> PAGEREF _Toc71707769 \h </w:instrText>
      </w:r>
      <w:r w:rsidR="00591ACE">
        <w:rPr>
          <w:noProof/>
        </w:rPr>
      </w:r>
      <w:r w:rsidR="00591ACE">
        <w:rPr>
          <w:noProof/>
        </w:rPr>
        <w:fldChar w:fldCharType="separate"/>
      </w:r>
      <w:r w:rsidR="00300A8D">
        <w:rPr>
          <w:noProof/>
        </w:rPr>
        <w:t>1</w:t>
      </w:r>
      <w:r w:rsidR="00591ACE">
        <w:rPr>
          <w:noProof/>
        </w:rPr>
        <w:fldChar w:fldCharType="end"/>
      </w:r>
    </w:p>
    <w:p w14:paraId="771FF7D7" w14:textId="04B37622" w:rsidR="00591ACE" w:rsidRDefault="00591ACE">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_Toc71707770 \h </w:instrText>
      </w:r>
      <w:r>
        <w:rPr>
          <w:noProof/>
        </w:rPr>
      </w:r>
      <w:r>
        <w:rPr>
          <w:noProof/>
        </w:rPr>
        <w:fldChar w:fldCharType="separate"/>
      </w:r>
      <w:r w:rsidR="00300A8D">
        <w:rPr>
          <w:noProof/>
        </w:rPr>
        <w:t>1</w:t>
      </w:r>
      <w:r>
        <w:rPr>
          <w:noProof/>
        </w:rPr>
        <w:fldChar w:fldCharType="end"/>
      </w:r>
    </w:p>
    <w:p w14:paraId="2073DF9B" w14:textId="4D74BF91" w:rsidR="00591ACE" w:rsidRDefault="00591ACE">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_Toc71707771 \h </w:instrText>
      </w:r>
      <w:r>
        <w:rPr>
          <w:noProof/>
        </w:rPr>
      </w:r>
      <w:r>
        <w:rPr>
          <w:noProof/>
        </w:rPr>
        <w:fldChar w:fldCharType="separate"/>
      </w:r>
      <w:r w:rsidR="00300A8D">
        <w:rPr>
          <w:noProof/>
        </w:rPr>
        <w:t>1</w:t>
      </w:r>
      <w:r>
        <w:rPr>
          <w:noProof/>
        </w:rPr>
        <w:fldChar w:fldCharType="end"/>
      </w:r>
    </w:p>
    <w:p w14:paraId="1855F163" w14:textId="1C8BC6A9" w:rsidR="00591ACE" w:rsidRDefault="00591ACE">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_Toc71707772 \h </w:instrText>
      </w:r>
      <w:r>
        <w:rPr>
          <w:noProof/>
        </w:rPr>
      </w:r>
      <w:r>
        <w:rPr>
          <w:noProof/>
        </w:rPr>
        <w:fldChar w:fldCharType="separate"/>
      </w:r>
      <w:r w:rsidR="00300A8D">
        <w:rPr>
          <w:noProof/>
        </w:rPr>
        <w:t>1</w:t>
      </w:r>
      <w:r>
        <w:rPr>
          <w:noProof/>
        </w:rPr>
        <w:fldChar w:fldCharType="end"/>
      </w:r>
    </w:p>
    <w:p w14:paraId="341A1FA8" w14:textId="74080713" w:rsidR="00591ACE" w:rsidRDefault="00591ACE">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_Toc71707773 \h </w:instrText>
      </w:r>
      <w:r>
        <w:rPr>
          <w:noProof/>
        </w:rPr>
      </w:r>
      <w:r>
        <w:rPr>
          <w:noProof/>
        </w:rPr>
        <w:fldChar w:fldCharType="separate"/>
      </w:r>
      <w:r w:rsidR="00300A8D">
        <w:rPr>
          <w:noProof/>
        </w:rPr>
        <w:t>1</w:t>
      </w:r>
      <w:r>
        <w:rPr>
          <w:noProof/>
        </w:rPr>
        <w:fldChar w:fldCharType="end"/>
      </w:r>
    </w:p>
    <w:p w14:paraId="693D4ED0" w14:textId="08E3442F" w:rsidR="00591ACE" w:rsidRDefault="00591ACE">
      <w:pPr>
        <w:pStyle w:val="TOC5"/>
        <w:rPr>
          <w:rFonts w:asciiTheme="minorHAnsi" w:eastAsiaTheme="minorEastAsia" w:hAnsiTheme="minorHAnsi" w:cstheme="minorBidi"/>
          <w:noProof/>
          <w:kern w:val="0"/>
          <w:sz w:val="22"/>
          <w:szCs w:val="22"/>
        </w:rPr>
      </w:pPr>
      <w:r>
        <w:rPr>
          <w:noProof/>
        </w:rPr>
        <w:t>5  Standard</w:t>
      </w:r>
      <w:r>
        <w:rPr>
          <w:noProof/>
        </w:rPr>
        <w:tab/>
      </w:r>
      <w:r>
        <w:rPr>
          <w:noProof/>
        </w:rPr>
        <w:fldChar w:fldCharType="begin"/>
      </w:r>
      <w:r>
        <w:rPr>
          <w:noProof/>
        </w:rPr>
        <w:instrText xml:space="preserve"> PAGEREF _Toc71707774 \h </w:instrText>
      </w:r>
      <w:r>
        <w:rPr>
          <w:noProof/>
        </w:rPr>
      </w:r>
      <w:r>
        <w:rPr>
          <w:noProof/>
        </w:rPr>
        <w:fldChar w:fldCharType="separate"/>
      </w:r>
      <w:r w:rsidR="00300A8D">
        <w:rPr>
          <w:noProof/>
        </w:rPr>
        <w:t>2</w:t>
      </w:r>
      <w:r>
        <w:rPr>
          <w:noProof/>
        </w:rPr>
        <w:fldChar w:fldCharType="end"/>
      </w:r>
    </w:p>
    <w:p w14:paraId="70057925" w14:textId="5D1574B0" w:rsidR="00591ACE" w:rsidRDefault="00591ACE">
      <w:pPr>
        <w:pStyle w:val="TOC5"/>
        <w:rPr>
          <w:rFonts w:asciiTheme="minorHAnsi" w:eastAsiaTheme="minorEastAsia" w:hAnsiTheme="minorHAnsi" w:cstheme="minorBidi"/>
          <w:noProof/>
          <w:kern w:val="0"/>
          <w:sz w:val="22"/>
          <w:szCs w:val="22"/>
        </w:rPr>
      </w:pPr>
      <w:r>
        <w:rPr>
          <w:noProof/>
        </w:rPr>
        <w:t>6  Application</w:t>
      </w:r>
      <w:r>
        <w:rPr>
          <w:noProof/>
        </w:rPr>
        <w:tab/>
      </w:r>
      <w:r>
        <w:rPr>
          <w:noProof/>
        </w:rPr>
        <w:fldChar w:fldCharType="begin"/>
      </w:r>
      <w:r>
        <w:rPr>
          <w:noProof/>
        </w:rPr>
        <w:instrText xml:space="preserve"> PAGEREF _Toc71707775 \h </w:instrText>
      </w:r>
      <w:r>
        <w:rPr>
          <w:noProof/>
        </w:rPr>
      </w:r>
      <w:r>
        <w:rPr>
          <w:noProof/>
        </w:rPr>
        <w:fldChar w:fldCharType="separate"/>
      </w:r>
      <w:r w:rsidR="00300A8D">
        <w:rPr>
          <w:noProof/>
        </w:rPr>
        <w:t>2</w:t>
      </w:r>
      <w:r>
        <w:rPr>
          <w:noProof/>
        </w:rPr>
        <w:fldChar w:fldCharType="end"/>
      </w:r>
    </w:p>
    <w:p w14:paraId="1D057CC0" w14:textId="47B1FB0B" w:rsidR="00591ACE" w:rsidRDefault="00591ACE">
      <w:pPr>
        <w:pStyle w:val="TOC2"/>
        <w:rPr>
          <w:rFonts w:asciiTheme="minorHAnsi" w:eastAsiaTheme="minorEastAsia" w:hAnsiTheme="minorHAnsi" w:cstheme="minorBidi"/>
          <w:b w:val="0"/>
          <w:noProof/>
          <w:kern w:val="0"/>
          <w:sz w:val="22"/>
          <w:szCs w:val="22"/>
        </w:rPr>
      </w:pPr>
      <w:r>
        <w:rPr>
          <w:noProof/>
        </w:rPr>
        <w:t>Part 2</w:t>
      </w:r>
      <w:r w:rsidRPr="00E5022B">
        <w:rPr>
          <w:rStyle w:val="CharPartNo"/>
          <w:noProof/>
        </w:rPr>
        <w:sym w:font="Symbol" w:char="F0BE"/>
      </w:r>
      <w:r>
        <w:rPr>
          <w:noProof/>
        </w:rPr>
        <w:t>Requirements</w:t>
      </w:r>
      <w:r>
        <w:rPr>
          <w:noProof/>
        </w:rPr>
        <w:tab/>
      </w:r>
      <w:r>
        <w:rPr>
          <w:noProof/>
        </w:rPr>
        <w:fldChar w:fldCharType="begin"/>
      </w:r>
      <w:r>
        <w:rPr>
          <w:noProof/>
        </w:rPr>
        <w:instrText xml:space="preserve"> PAGEREF _Toc71707776 \h </w:instrText>
      </w:r>
      <w:r>
        <w:rPr>
          <w:noProof/>
        </w:rPr>
      </w:r>
      <w:r>
        <w:rPr>
          <w:noProof/>
        </w:rPr>
        <w:fldChar w:fldCharType="separate"/>
      </w:r>
      <w:r w:rsidR="00300A8D">
        <w:rPr>
          <w:noProof/>
        </w:rPr>
        <w:t>3</w:t>
      </w:r>
      <w:r>
        <w:rPr>
          <w:noProof/>
        </w:rPr>
        <w:fldChar w:fldCharType="end"/>
      </w:r>
    </w:p>
    <w:p w14:paraId="768F9269" w14:textId="0F5A76C2" w:rsidR="00591ACE" w:rsidRDefault="00591ACE">
      <w:pPr>
        <w:pStyle w:val="TOC5"/>
        <w:rPr>
          <w:rFonts w:asciiTheme="minorHAnsi" w:eastAsiaTheme="minorEastAsia" w:hAnsiTheme="minorHAnsi" w:cstheme="minorBidi"/>
          <w:noProof/>
          <w:kern w:val="0"/>
          <w:sz w:val="22"/>
          <w:szCs w:val="22"/>
        </w:rPr>
      </w:pPr>
      <w:r>
        <w:rPr>
          <w:noProof/>
        </w:rPr>
        <w:t>7  Ingredients</w:t>
      </w:r>
      <w:r>
        <w:rPr>
          <w:noProof/>
        </w:rPr>
        <w:tab/>
      </w:r>
      <w:r>
        <w:rPr>
          <w:noProof/>
        </w:rPr>
        <w:fldChar w:fldCharType="begin"/>
      </w:r>
      <w:r>
        <w:rPr>
          <w:noProof/>
        </w:rPr>
        <w:instrText xml:space="preserve"> PAGEREF _Toc71707777 \h </w:instrText>
      </w:r>
      <w:r>
        <w:rPr>
          <w:noProof/>
        </w:rPr>
      </w:r>
      <w:r>
        <w:rPr>
          <w:noProof/>
        </w:rPr>
        <w:fldChar w:fldCharType="separate"/>
      </w:r>
      <w:r w:rsidR="00300A8D">
        <w:rPr>
          <w:noProof/>
        </w:rPr>
        <w:t>3</w:t>
      </w:r>
      <w:r>
        <w:rPr>
          <w:noProof/>
        </w:rPr>
        <w:fldChar w:fldCharType="end"/>
      </w:r>
    </w:p>
    <w:p w14:paraId="7CF0BCFA" w14:textId="0EE5CC20" w:rsidR="00591ACE" w:rsidRDefault="00591ACE">
      <w:pPr>
        <w:pStyle w:val="TOC5"/>
        <w:rPr>
          <w:rFonts w:asciiTheme="minorHAnsi" w:eastAsiaTheme="minorEastAsia" w:hAnsiTheme="minorHAnsi" w:cstheme="minorBidi"/>
          <w:noProof/>
          <w:kern w:val="0"/>
          <w:sz w:val="22"/>
          <w:szCs w:val="22"/>
        </w:rPr>
      </w:pPr>
      <w:r>
        <w:rPr>
          <w:noProof/>
        </w:rPr>
        <w:t>8  Labels</w:t>
      </w:r>
      <w:r>
        <w:rPr>
          <w:noProof/>
        </w:rPr>
        <w:tab/>
      </w:r>
      <w:r>
        <w:rPr>
          <w:noProof/>
        </w:rPr>
        <w:fldChar w:fldCharType="begin"/>
      </w:r>
      <w:r>
        <w:rPr>
          <w:noProof/>
        </w:rPr>
        <w:instrText xml:space="preserve"> PAGEREF _Toc71707778 \h </w:instrText>
      </w:r>
      <w:r>
        <w:rPr>
          <w:noProof/>
        </w:rPr>
      </w:r>
      <w:r>
        <w:rPr>
          <w:noProof/>
        </w:rPr>
        <w:fldChar w:fldCharType="separate"/>
      </w:r>
      <w:r w:rsidR="00300A8D">
        <w:rPr>
          <w:noProof/>
        </w:rPr>
        <w:t>3</w:t>
      </w:r>
      <w:r>
        <w:rPr>
          <w:noProof/>
        </w:rPr>
        <w:fldChar w:fldCharType="end"/>
      </w:r>
    </w:p>
    <w:p w14:paraId="3A8EC652" w14:textId="177D040D" w:rsidR="00591ACE" w:rsidRDefault="00591ACE">
      <w:pPr>
        <w:pStyle w:val="TOC5"/>
        <w:rPr>
          <w:rFonts w:asciiTheme="minorHAnsi" w:eastAsiaTheme="minorEastAsia" w:hAnsiTheme="minorHAnsi" w:cstheme="minorBidi"/>
          <w:noProof/>
          <w:kern w:val="0"/>
          <w:sz w:val="22"/>
          <w:szCs w:val="22"/>
        </w:rPr>
      </w:pPr>
      <w:r>
        <w:rPr>
          <w:noProof/>
        </w:rPr>
        <w:t>9  Child-resistant packaging</w:t>
      </w:r>
      <w:r>
        <w:rPr>
          <w:noProof/>
        </w:rPr>
        <w:tab/>
      </w:r>
      <w:r>
        <w:rPr>
          <w:noProof/>
        </w:rPr>
        <w:fldChar w:fldCharType="begin"/>
      </w:r>
      <w:r>
        <w:rPr>
          <w:noProof/>
        </w:rPr>
        <w:instrText xml:space="preserve"> PAGEREF _Toc71707779 \h </w:instrText>
      </w:r>
      <w:r>
        <w:rPr>
          <w:noProof/>
        </w:rPr>
      </w:r>
      <w:r>
        <w:rPr>
          <w:noProof/>
        </w:rPr>
        <w:fldChar w:fldCharType="separate"/>
      </w:r>
      <w:r w:rsidR="00300A8D">
        <w:rPr>
          <w:noProof/>
        </w:rPr>
        <w:t>4</w:t>
      </w:r>
      <w:r>
        <w:rPr>
          <w:noProof/>
        </w:rPr>
        <w:fldChar w:fldCharType="end"/>
      </w:r>
    </w:p>
    <w:p w14:paraId="125B093D" w14:textId="56B3965A" w:rsidR="00591ACE" w:rsidRDefault="00591ACE">
      <w:pPr>
        <w:pStyle w:val="TOC5"/>
        <w:rPr>
          <w:rFonts w:asciiTheme="minorHAnsi" w:eastAsiaTheme="minorEastAsia" w:hAnsiTheme="minorHAnsi" w:cstheme="minorBidi"/>
          <w:noProof/>
          <w:kern w:val="0"/>
          <w:sz w:val="22"/>
          <w:szCs w:val="22"/>
        </w:rPr>
      </w:pPr>
      <w:r>
        <w:rPr>
          <w:noProof/>
        </w:rPr>
        <w:t>10  Record-keeping</w:t>
      </w:r>
      <w:r>
        <w:rPr>
          <w:noProof/>
        </w:rPr>
        <w:tab/>
      </w:r>
      <w:r>
        <w:rPr>
          <w:noProof/>
        </w:rPr>
        <w:fldChar w:fldCharType="begin"/>
      </w:r>
      <w:r>
        <w:rPr>
          <w:noProof/>
        </w:rPr>
        <w:instrText xml:space="preserve"> PAGEREF _Toc71707780 \h </w:instrText>
      </w:r>
      <w:r>
        <w:rPr>
          <w:noProof/>
        </w:rPr>
      </w:r>
      <w:r>
        <w:rPr>
          <w:noProof/>
        </w:rPr>
        <w:fldChar w:fldCharType="separate"/>
      </w:r>
      <w:r w:rsidR="00300A8D">
        <w:rPr>
          <w:noProof/>
        </w:rPr>
        <w:t>5</w:t>
      </w:r>
      <w:r>
        <w:rPr>
          <w:noProof/>
        </w:rPr>
        <w:fldChar w:fldCharType="end"/>
      </w:r>
    </w:p>
    <w:p w14:paraId="497E2DA5" w14:textId="7026D293" w:rsidR="00591ACE" w:rsidRDefault="00591ACE">
      <w:pPr>
        <w:pStyle w:val="TOC5"/>
        <w:rPr>
          <w:rFonts w:asciiTheme="minorHAnsi" w:eastAsiaTheme="minorEastAsia" w:hAnsiTheme="minorHAnsi" w:cstheme="minorBidi"/>
          <w:noProof/>
          <w:kern w:val="0"/>
          <w:sz w:val="22"/>
          <w:szCs w:val="22"/>
        </w:rPr>
      </w:pPr>
      <w:r>
        <w:rPr>
          <w:noProof/>
        </w:rPr>
        <w:t>11  Alternative conformity</w:t>
      </w:r>
      <w:r>
        <w:rPr>
          <w:noProof/>
        </w:rPr>
        <w:tab/>
      </w:r>
      <w:r>
        <w:rPr>
          <w:noProof/>
        </w:rPr>
        <w:fldChar w:fldCharType="begin"/>
      </w:r>
      <w:r>
        <w:rPr>
          <w:noProof/>
        </w:rPr>
        <w:instrText xml:space="preserve"> PAGEREF _Toc71707781 \h </w:instrText>
      </w:r>
      <w:r>
        <w:rPr>
          <w:noProof/>
        </w:rPr>
      </w:r>
      <w:r>
        <w:rPr>
          <w:noProof/>
        </w:rPr>
        <w:fldChar w:fldCharType="separate"/>
      </w:r>
      <w:r w:rsidR="00300A8D">
        <w:rPr>
          <w:noProof/>
        </w:rPr>
        <w:t>5</w:t>
      </w:r>
      <w:r>
        <w:rPr>
          <w:noProof/>
        </w:rPr>
        <w:fldChar w:fldCharType="end"/>
      </w:r>
    </w:p>
    <w:p w14:paraId="08A9ED89" w14:textId="0F38BB63" w:rsidR="00591ACE" w:rsidRDefault="00591ACE">
      <w:pPr>
        <w:pStyle w:val="TOC6"/>
        <w:rPr>
          <w:rFonts w:asciiTheme="minorHAnsi" w:eastAsiaTheme="minorEastAsia" w:hAnsiTheme="minorHAnsi" w:cstheme="minorBidi"/>
          <w:b w:val="0"/>
          <w:noProof/>
          <w:kern w:val="0"/>
          <w:sz w:val="22"/>
          <w:szCs w:val="22"/>
        </w:rPr>
      </w:pPr>
      <w:r>
        <w:rPr>
          <w:noProof/>
        </w:rPr>
        <w:t>Schedule 1—Prohibited ingredients</w:t>
      </w:r>
      <w:r>
        <w:rPr>
          <w:noProof/>
        </w:rPr>
        <w:tab/>
      </w:r>
      <w:r>
        <w:rPr>
          <w:noProof/>
        </w:rPr>
        <w:fldChar w:fldCharType="begin"/>
      </w:r>
      <w:r>
        <w:rPr>
          <w:noProof/>
        </w:rPr>
        <w:instrText xml:space="preserve"> PAGEREF _Toc71707782 \h </w:instrText>
      </w:r>
      <w:r>
        <w:rPr>
          <w:noProof/>
        </w:rPr>
      </w:r>
      <w:r>
        <w:rPr>
          <w:noProof/>
        </w:rPr>
        <w:fldChar w:fldCharType="separate"/>
      </w:r>
      <w:r w:rsidR="00300A8D">
        <w:rPr>
          <w:noProof/>
        </w:rPr>
        <w:t>6</w:t>
      </w:r>
      <w:r>
        <w:rPr>
          <w:noProof/>
        </w:rPr>
        <w:fldChar w:fldCharType="end"/>
      </w:r>
    </w:p>
    <w:p w14:paraId="47B30AA7" w14:textId="700CC113" w:rsidR="00F6696E" w:rsidRDefault="00B418CB" w:rsidP="00F6696E">
      <w:pPr>
        <w:outlineLvl w:val="0"/>
      </w:pPr>
      <w:r>
        <w:fldChar w:fldCharType="end"/>
      </w:r>
    </w:p>
    <w:p w14:paraId="3AAC7ACA" w14:textId="77777777" w:rsidR="00F6696E" w:rsidRPr="00A802BC" w:rsidRDefault="00F6696E" w:rsidP="00F6696E">
      <w:pPr>
        <w:outlineLvl w:val="0"/>
        <w:rPr>
          <w:sz w:val="20"/>
        </w:rPr>
      </w:pPr>
    </w:p>
    <w:p w14:paraId="05EF7439" w14:textId="77777777" w:rsidR="00F6696E" w:rsidRDefault="00F6696E" w:rsidP="00F6696E">
      <w:pPr>
        <w:sectPr w:rsidR="00F6696E" w:rsidSect="00EC05DE">
          <w:headerReference w:type="even" r:id="rId14"/>
          <w:headerReference w:type="default" r:id="rId15"/>
          <w:footerReference w:type="even" r:id="rId16"/>
          <w:footerReference w:type="default" r:id="rId17"/>
          <w:headerReference w:type="first" r:id="rId18"/>
          <w:pgSz w:w="11907" w:h="16839"/>
          <w:pgMar w:top="2099" w:right="1797" w:bottom="1440" w:left="1797" w:header="720" w:footer="709" w:gutter="0"/>
          <w:pgNumType w:fmt="lowerRoman" w:start="1"/>
          <w:cols w:space="708"/>
          <w:docGrid w:linePitch="360"/>
        </w:sectPr>
      </w:pPr>
    </w:p>
    <w:p w14:paraId="4E4A6435" w14:textId="77777777" w:rsidR="005D466B" w:rsidRPr="003327DE" w:rsidRDefault="005D466B" w:rsidP="005D466B">
      <w:pPr>
        <w:pStyle w:val="ActHead2"/>
        <w:rPr>
          <w:rStyle w:val="CharPartNo"/>
        </w:rPr>
      </w:pPr>
      <w:bookmarkStart w:id="1" w:name="_Toc47109898"/>
      <w:bookmarkStart w:id="2" w:name="_Toc71707769"/>
      <w:r w:rsidRPr="003327DE">
        <w:rPr>
          <w:rStyle w:val="CharPartNo"/>
        </w:rPr>
        <w:lastRenderedPageBreak/>
        <w:t>Part 1</w:t>
      </w:r>
      <w:r w:rsidRPr="003327DE">
        <w:rPr>
          <w:rStyle w:val="CharPartNo"/>
        </w:rPr>
        <w:sym w:font="Symbol" w:char="F0BE"/>
      </w:r>
      <w:r w:rsidRPr="003327DE">
        <w:rPr>
          <w:rStyle w:val="CharPartNo"/>
        </w:rPr>
        <w:t>Preliminary</w:t>
      </w:r>
      <w:bookmarkEnd w:id="1"/>
      <w:bookmarkEnd w:id="2"/>
    </w:p>
    <w:p w14:paraId="16F31342" w14:textId="77777777" w:rsidR="00554826" w:rsidRPr="00554826" w:rsidRDefault="00554826" w:rsidP="00554826">
      <w:pPr>
        <w:pStyle w:val="ActHead5"/>
      </w:pPr>
      <w:bookmarkStart w:id="3" w:name="_Toc71707770"/>
      <w:r w:rsidRPr="00554826">
        <w:t>1  Name</w:t>
      </w:r>
      <w:bookmarkEnd w:id="3"/>
    </w:p>
    <w:p w14:paraId="063681D4" w14:textId="11DFDB62" w:rsidR="00554826" w:rsidRDefault="00554826" w:rsidP="00554826">
      <w:pPr>
        <w:pStyle w:val="subsection"/>
      </w:pPr>
      <w:r w:rsidRPr="009C2562">
        <w:tab/>
      </w:r>
      <w:r w:rsidR="00184BCB">
        <w:t>(1)</w:t>
      </w:r>
      <w:r w:rsidRPr="009C2562">
        <w:tab/>
        <w:t xml:space="preserve">This </w:t>
      </w:r>
      <w:r>
        <w:t>instrumen</w:t>
      </w:r>
      <w:r w:rsidRPr="00184BCB">
        <w:t xml:space="preserve">t is the </w:t>
      </w:r>
      <w:bookmarkStart w:id="4" w:name="BKCheck15B_3"/>
      <w:bookmarkEnd w:id="4"/>
      <w:r w:rsidR="00184BCB" w:rsidRPr="00184BCB">
        <w:rPr>
          <w:i/>
        </w:rPr>
        <w:t xml:space="preserve">Therapeutic Goods (Standard for </w:t>
      </w:r>
      <w:r w:rsidR="008D3807">
        <w:rPr>
          <w:i/>
        </w:rPr>
        <w:t>Nicotine</w:t>
      </w:r>
      <w:r w:rsidR="005A19D1">
        <w:rPr>
          <w:i/>
        </w:rPr>
        <w:t xml:space="preserve"> Vaping Products</w:t>
      </w:r>
      <w:r w:rsidR="00184BCB" w:rsidRPr="00184BCB">
        <w:rPr>
          <w:i/>
        </w:rPr>
        <w:t>) (TGO 110) Order 2021</w:t>
      </w:r>
      <w:r w:rsidRPr="00184BCB">
        <w:t>.</w:t>
      </w:r>
    </w:p>
    <w:p w14:paraId="741F53FD" w14:textId="77777777" w:rsidR="00184BCB" w:rsidRDefault="00184BCB" w:rsidP="00554826">
      <w:pPr>
        <w:pStyle w:val="subsection"/>
      </w:pPr>
      <w:r>
        <w:tab/>
        <w:t>(2)</w:t>
      </w:r>
      <w:r>
        <w:tab/>
        <w:t>This instrument may also be cited as TGO 110.</w:t>
      </w:r>
    </w:p>
    <w:p w14:paraId="70E61707" w14:textId="77777777" w:rsidR="00554826" w:rsidRPr="00554826" w:rsidRDefault="00554826" w:rsidP="00554826">
      <w:pPr>
        <w:pStyle w:val="ActHead5"/>
      </w:pPr>
      <w:bookmarkStart w:id="5" w:name="_Toc71707771"/>
      <w:r w:rsidRPr="00554826">
        <w:t>2  Commencement</w:t>
      </w:r>
      <w:bookmarkEnd w:id="5"/>
    </w:p>
    <w:p w14:paraId="460E6D24" w14:textId="77777777" w:rsidR="003767E2" w:rsidRPr="003422B4" w:rsidRDefault="003767E2" w:rsidP="003767E2">
      <w:pPr>
        <w:pStyle w:val="subsection"/>
      </w:pPr>
      <w:r w:rsidRPr="003422B4">
        <w:tab/>
        <w:t>(1)</w:t>
      </w:r>
      <w:r w:rsidRPr="003422B4">
        <w:tab/>
        <w:t>Each provision of this instrument specified in column 1 of the table commences, or is taken to have commenced, in accordance with column 2 of the table. Any other statement in column 2 has effect according to its terms.</w:t>
      </w:r>
    </w:p>
    <w:p w14:paraId="327DD2D3" w14:textId="77777777" w:rsidR="003767E2" w:rsidRPr="003422B4" w:rsidRDefault="003767E2" w:rsidP="003767E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3767E2" w:rsidRPr="003422B4" w14:paraId="47AC72D2" w14:textId="77777777" w:rsidTr="00EC05DE">
        <w:trPr>
          <w:tblHeader/>
        </w:trPr>
        <w:tc>
          <w:tcPr>
            <w:tcW w:w="8364" w:type="dxa"/>
            <w:gridSpan w:val="3"/>
            <w:tcBorders>
              <w:top w:val="single" w:sz="12" w:space="0" w:color="auto"/>
              <w:bottom w:val="single" w:sz="6" w:space="0" w:color="auto"/>
            </w:tcBorders>
            <w:shd w:val="clear" w:color="auto" w:fill="auto"/>
            <w:hideMark/>
          </w:tcPr>
          <w:p w14:paraId="200DACD7" w14:textId="77777777" w:rsidR="003767E2" w:rsidRPr="003422B4" w:rsidRDefault="003767E2" w:rsidP="00EC05DE">
            <w:pPr>
              <w:pStyle w:val="TableHeading"/>
            </w:pPr>
            <w:r w:rsidRPr="003422B4">
              <w:t>Commencement information</w:t>
            </w:r>
          </w:p>
        </w:tc>
      </w:tr>
      <w:tr w:rsidR="003767E2" w:rsidRPr="003422B4" w14:paraId="192003B2" w14:textId="77777777" w:rsidTr="00EC05DE">
        <w:trPr>
          <w:tblHeader/>
        </w:trPr>
        <w:tc>
          <w:tcPr>
            <w:tcW w:w="2127" w:type="dxa"/>
            <w:tcBorders>
              <w:top w:val="single" w:sz="6" w:space="0" w:color="auto"/>
              <w:bottom w:val="single" w:sz="6" w:space="0" w:color="auto"/>
            </w:tcBorders>
            <w:shd w:val="clear" w:color="auto" w:fill="auto"/>
            <w:hideMark/>
          </w:tcPr>
          <w:p w14:paraId="3DBDBD67" w14:textId="77777777" w:rsidR="003767E2" w:rsidRPr="003422B4" w:rsidRDefault="003767E2" w:rsidP="00EC05DE">
            <w:pPr>
              <w:pStyle w:val="TableHeading"/>
            </w:pPr>
            <w:r w:rsidRPr="003422B4">
              <w:t>Column 1</w:t>
            </w:r>
          </w:p>
        </w:tc>
        <w:tc>
          <w:tcPr>
            <w:tcW w:w="4394" w:type="dxa"/>
            <w:tcBorders>
              <w:top w:val="single" w:sz="6" w:space="0" w:color="auto"/>
              <w:bottom w:val="single" w:sz="6" w:space="0" w:color="auto"/>
            </w:tcBorders>
            <w:shd w:val="clear" w:color="auto" w:fill="auto"/>
            <w:hideMark/>
          </w:tcPr>
          <w:p w14:paraId="3317ED76" w14:textId="77777777" w:rsidR="003767E2" w:rsidRPr="003422B4" w:rsidRDefault="003767E2" w:rsidP="00EC05DE">
            <w:pPr>
              <w:pStyle w:val="TableHeading"/>
            </w:pPr>
            <w:r w:rsidRPr="003422B4">
              <w:t>Column 2</w:t>
            </w:r>
          </w:p>
        </w:tc>
        <w:tc>
          <w:tcPr>
            <w:tcW w:w="1843" w:type="dxa"/>
            <w:tcBorders>
              <w:top w:val="single" w:sz="6" w:space="0" w:color="auto"/>
              <w:bottom w:val="single" w:sz="6" w:space="0" w:color="auto"/>
            </w:tcBorders>
            <w:shd w:val="clear" w:color="auto" w:fill="auto"/>
            <w:hideMark/>
          </w:tcPr>
          <w:p w14:paraId="37FDA7ED" w14:textId="77777777" w:rsidR="003767E2" w:rsidRPr="003422B4" w:rsidRDefault="003767E2" w:rsidP="00EC05DE">
            <w:pPr>
              <w:pStyle w:val="TableHeading"/>
            </w:pPr>
            <w:r w:rsidRPr="003422B4">
              <w:t>Column 3</w:t>
            </w:r>
          </w:p>
        </w:tc>
      </w:tr>
      <w:tr w:rsidR="003767E2" w:rsidRPr="003422B4" w14:paraId="4D1C26AD" w14:textId="77777777" w:rsidTr="00EC05DE">
        <w:trPr>
          <w:tblHeader/>
        </w:trPr>
        <w:tc>
          <w:tcPr>
            <w:tcW w:w="2127" w:type="dxa"/>
            <w:tcBorders>
              <w:top w:val="single" w:sz="6" w:space="0" w:color="auto"/>
              <w:bottom w:val="single" w:sz="12" w:space="0" w:color="auto"/>
            </w:tcBorders>
            <w:shd w:val="clear" w:color="auto" w:fill="auto"/>
            <w:hideMark/>
          </w:tcPr>
          <w:p w14:paraId="7C3A79E9" w14:textId="77777777" w:rsidR="003767E2" w:rsidRPr="003422B4" w:rsidRDefault="003767E2" w:rsidP="00EC05DE">
            <w:pPr>
              <w:pStyle w:val="TableHeading"/>
            </w:pPr>
            <w:r w:rsidRPr="003422B4">
              <w:t>Provisions</w:t>
            </w:r>
          </w:p>
        </w:tc>
        <w:tc>
          <w:tcPr>
            <w:tcW w:w="4394" w:type="dxa"/>
            <w:tcBorders>
              <w:top w:val="single" w:sz="6" w:space="0" w:color="auto"/>
              <w:bottom w:val="single" w:sz="12" w:space="0" w:color="auto"/>
            </w:tcBorders>
            <w:shd w:val="clear" w:color="auto" w:fill="auto"/>
            <w:hideMark/>
          </w:tcPr>
          <w:p w14:paraId="6A63CCF6" w14:textId="77777777" w:rsidR="003767E2" w:rsidRPr="003422B4" w:rsidRDefault="003767E2" w:rsidP="00EC05DE">
            <w:pPr>
              <w:pStyle w:val="TableHeading"/>
            </w:pPr>
            <w:r w:rsidRPr="003422B4">
              <w:t>Commencement</w:t>
            </w:r>
          </w:p>
        </w:tc>
        <w:tc>
          <w:tcPr>
            <w:tcW w:w="1843" w:type="dxa"/>
            <w:tcBorders>
              <w:top w:val="single" w:sz="6" w:space="0" w:color="auto"/>
              <w:bottom w:val="single" w:sz="12" w:space="0" w:color="auto"/>
            </w:tcBorders>
            <w:shd w:val="clear" w:color="auto" w:fill="auto"/>
            <w:hideMark/>
          </w:tcPr>
          <w:p w14:paraId="11BAFA2C" w14:textId="77777777" w:rsidR="003767E2" w:rsidRPr="003422B4" w:rsidRDefault="003767E2" w:rsidP="00EC05DE">
            <w:pPr>
              <w:pStyle w:val="TableHeading"/>
            </w:pPr>
            <w:r w:rsidRPr="003422B4">
              <w:t>Date/Details</w:t>
            </w:r>
          </w:p>
        </w:tc>
      </w:tr>
      <w:tr w:rsidR="003767E2" w:rsidRPr="003422B4" w14:paraId="0D2A506C" w14:textId="77777777" w:rsidTr="00EC05DE">
        <w:tc>
          <w:tcPr>
            <w:tcW w:w="2127" w:type="dxa"/>
            <w:tcBorders>
              <w:top w:val="single" w:sz="12" w:space="0" w:color="auto"/>
              <w:bottom w:val="single" w:sz="12" w:space="0" w:color="auto"/>
            </w:tcBorders>
            <w:shd w:val="clear" w:color="auto" w:fill="auto"/>
            <w:hideMark/>
          </w:tcPr>
          <w:p w14:paraId="4C0499A2" w14:textId="77777777" w:rsidR="003767E2" w:rsidRPr="003A6229" w:rsidRDefault="003767E2" w:rsidP="00184BCB">
            <w:pPr>
              <w:pStyle w:val="Tabletext"/>
              <w:rPr>
                <w:i/>
              </w:rPr>
            </w:pPr>
            <w:r w:rsidRPr="003422B4">
              <w:t xml:space="preserve">1.  </w:t>
            </w:r>
            <w:r w:rsidR="00184BCB">
              <w:t>The whole of this instrument</w:t>
            </w:r>
          </w:p>
        </w:tc>
        <w:tc>
          <w:tcPr>
            <w:tcW w:w="4394" w:type="dxa"/>
            <w:tcBorders>
              <w:top w:val="single" w:sz="12" w:space="0" w:color="auto"/>
              <w:bottom w:val="single" w:sz="12" w:space="0" w:color="auto"/>
            </w:tcBorders>
            <w:shd w:val="clear" w:color="auto" w:fill="auto"/>
            <w:hideMark/>
          </w:tcPr>
          <w:p w14:paraId="6786AD12" w14:textId="77777777" w:rsidR="003767E2" w:rsidRPr="00184BCB" w:rsidRDefault="00184BCB" w:rsidP="00184BCB">
            <w:pPr>
              <w:pStyle w:val="Tabletext"/>
            </w:pPr>
            <w:r w:rsidRPr="00184BCB">
              <w:t>1 October 2021.</w:t>
            </w:r>
          </w:p>
        </w:tc>
        <w:tc>
          <w:tcPr>
            <w:tcW w:w="1843" w:type="dxa"/>
            <w:tcBorders>
              <w:top w:val="single" w:sz="12" w:space="0" w:color="auto"/>
              <w:bottom w:val="single" w:sz="12" w:space="0" w:color="auto"/>
            </w:tcBorders>
            <w:shd w:val="clear" w:color="auto" w:fill="auto"/>
          </w:tcPr>
          <w:p w14:paraId="34AA87D9" w14:textId="77777777" w:rsidR="003767E2" w:rsidRPr="00184BCB" w:rsidRDefault="00184BCB" w:rsidP="00184BCB">
            <w:pPr>
              <w:pStyle w:val="Tabletext"/>
            </w:pPr>
            <w:r w:rsidRPr="00184BCB">
              <w:t>1 October 2021</w:t>
            </w:r>
          </w:p>
        </w:tc>
      </w:tr>
    </w:tbl>
    <w:p w14:paraId="2B5C08BE" w14:textId="77777777" w:rsidR="003767E2" w:rsidRPr="003422B4" w:rsidRDefault="003767E2" w:rsidP="003767E2">
      <w:pPr>
        <w:pStyle w:val="notetext"/>
      </w:pPr>
      <w:r w:rsidRPr="003422B4">
        <w:rPr>
          <w:snapToGrid w:val="0"/>
          <w:lang w:eastAsia="en-US"/>
        </w:rPr>
        <w:t>Note:</w:t>
      </w:r>
      <w:r w:rsidRPr="003422B4">
        <w:rPr>
          <w:snapToGrid w:val="0"/>
          <w:lang w:eastAsia="en-US"/>
        </w:rPr>
        <w:tab/>
        <w:t>This table relates only to the provisions of this instrument</w:t>
      </w:r>
      <w:r w:rsidRPr="003422B4">
        <w:t xml:space="preserve"> </w:t>
      </w:r>
      <w:r w:rsidRPr="003422B4">
        <w:rPr>
          <w:snapToGrid w:val="0"/>
          <w:lang w:eastAsia="en-US"/>
        </w:rPr>
        <w:t>as originally made. It will not be amended to deal with any later amendments of this instrument.</w:t>
      </w:r>
    </w:p>
    <w:p w14:paraId="04C81BC5" w14:textId="77777777" w:rsidR="003767E2" w:rsidRPr="003422B4" w:rsidRDefault="003767E2" w:rsidP="003767E2">
      <w:pPr>
        <w:pStyle w:val="subsection"/>
      </w:pPr>
      <w:r w:rsidRPr="003422B4">
        <w:tab/>
        <w:t>(2)</w:t>
      </w:r>
      <w:r w:rsidRPr="003422B4">
        <w:tab/>
        <w:t>Any information in column 3 of the table is not part of this instrument. Information may be inserted in this column, or information in it may be edited, in any published version of this instrument.</w:t>
      </w:r>
    </w:p>
    <w:p w14:paraId="0BDE17A1" w14:textId="77777777" w:rsidR="00554826" w:rsidRPr="00554826" w:rsidRDefault="00554826" w:rsidP="00554826">
      <w:pPr>
        <w:pStyle w:val="ActHead5"/>
      </w:pPr>
      <w:bookmarkStart w:id="6" w:name="_Toc71707772"/>
      <w:r w:rsidRPr="00554826">
        <w:t>3  Authority</w:t>
      </w:r>
      <w:bookmarkEnd w:id="6"/>
    </w:p>
    <w:p w14:paraId="623D44C4" w14:textId="77777777" w:rsidR="00554826" w:rsidRPr="009C2562" w:rsidRDefault="00554826" w:rsidP="00554826">
      <w:pPr>
        <w:pStyle w:val="subsection"/>
      </w:pPr>
      <w:r w:rsidRPr="009C2562">
        <w:tab/>
      </w:r>
      <w:r w:rsidRPr="009C2562">
        <w:tab/>
        <w:t>This instrument is made under</w:t>
      </w:r>
      <w:r w:rsidR="0081267B">
        <w:t xml:space="preserve"> section</w:t>
      </w:r>
      <w:r w:rsidR="00184BCB">
        <w:t xml:space="preserve"> 10 of the </w:t>
      </w:r>
      <w:r w:rsidR="00690F17">
        <w:rPr>
          <w:i/>
        </w:rPr>
        <w:t>Therapeutic Goods Act </w:t>
      </w:r>
      <w:r w:rsidR="00184BCB" w:rsidRPr="00184BCB">
        <w:rPr>
          <w:i/>
        </w:rPr>
        <w:t>1989</w:t>
      </w:r>
      <w:r w:rsidR="00184BCB">
        <w:t>.</w:t>
      </w:r>
    </w:p>
    <w:p w14:paraId="638405C4" w14:textId="77777777" w:rsidR="00554826" w:rsidRPr="00554826" w:rsidRDefault="00554826" w:rsidP="00554826">
      <w:pPr>
        <w:pStyle w:val="ActHead5"/>
      </w:pPr>
      <w:bookmarkStart w:id="7" w:name="_Toc71707773"/>
      <w:r w:rsidRPr="00554826">
        <w:t>4  Definitions</w:t>
      </w:r>
      <w:bookmarkEnd w:id="7"/>
    </w:p>
    <w:p w14:paraId="5ADE25FD" w14:textId="77777777" w:rsidR="00554826" w:rsidRPr="009C2562" w:rsidRDefault="00554826" w:rsidP="00554826">
      <w:pPr>
        <w:pStyle w:val="notetext"/>
      </w:pPr>
      <w:r w:rsidRPr="009C2562">
        <w:t>Note:</w:t>
      </w:r>
      <w:r w:rsidRPr="009C2562">
        <w:tab/>
        <w:t xml:space="preserve">A number of expressions used in this instrument are defined in </w:t>
      </w:r>
      <w:r w:rsidR="00184BCB">
        <w:t xml:space="preserve">subsection 3(1) of the Act, </w:t>
      </w:r>
      <w:r w:rsidRPr="009C2562">
        <w:t>including the following:</w:t>
      </w:r>
    </w:p>
    <w:p w14:paraId="56A2A701" w14:textId="13C0E8A8" w:rsidR="00440AB9" w:rsidRDefault="00554826" w:rsidP="004E4F93">
      <w:pPr>
        <w:pStyle w:val="notepara"/>
      </w:pPr>
      <w:r w:rsidRPr="009C2562">
        <w:t>(a)</w:t>
      </w:r>
      <w:r w:rsidRPr="009C2562">
        <w:tab/>
      </w:r>
      <w:r w:rsidR="00440AB9">
        <w:t>container;</w:t>
      </w:r>
    </w:p>
    <w:p w14:paraId="1764496F" w14:textId="40616E66" w:rsidR="00690F17" w:rsidRDefault="00440AB9" w:rsidP="004E4F93">
      <w:pPr>
        <w:pStyle w:val="notepara"/>
      </w:pPr>
      <w:r>
        <w:t>(b)</w:t>
      </w:r>
      <w:r>
        <w:tab/>
      </w:r>
      <w:r w:rsidR="00690F17">
        <w:t>export only medicine;</w:t>
      </w:r>
    </w:p>
    <w:p w14:paraId="7D61D7B9" w14:textId="423BE2D6" w:rsidR="00021045" w:rsidRDefault="004E4F93" w:rsidP="00554826">
      <w:pPr>
        <w:pStyle w:val="notepara"/>
      </w:pPr>
      <w:r>
        <w:t>(</w:t>
      </w:r>
      <w:r w:rsidR="00440AB9">
        <w:t>c</w:t>
      </w:r>
      <w:r w:rsidR="00021045">
        <w:t>)</w:t>
      </w:r>
      <w:r w:rsidR="00021045">
        <w:tab/>
        <w:t>label;</w:t>
      </w:r>
    </w:p>
    <w:p w14:paraId="2D9DE173" w14:textId="4EF95EBA" w:rsidR="00411C86" w:rsidRDefault="004E4F93" w:rsidP="00554826">
      <w:pPr>
        <w:pStyle w:val="notepara"/>
      </w:pPr>
      <w:r>
        <w:t>(</w:t>
      </w:r>
      <w:r w:rsidR="00440AB9">
        <w:t>d</w:t>
      </w:r>
      <w:r w:rsidR="00690F17">
        <w:t>)</w:t>
      </w:r>
      <w:r w:rsidR="00690F17">
        <w:tab/>
      </w:r>
      <w:r w:rsidR="00411C86">
        <w:t>manufacture;</w:t>
      </w:r>
    </w:p>
    <w:p w14:paraId="1CDEBB64" w14:textId="203E7F89" w:rsidR="00554826" w:rsidRDefault="004E4F93" w:rsidP="00554826">
      <w:pPr>
        <w:pStyle w:val="notepara"/>
      </w:pPr>
      <w:r>
        <w:t>(</w:t>
      </w:r>
      <w:r w:rsidR="00440AB9">
        <w:t>e</w:t>
      </w:r>
      <w:r w:rsidR="00411C86">
        <w:t>)</w:t>
      </w:r>
      <w:r w:rsidR="00411C86">
        <w:tab/>
      </w:r>
      <w:r w:rsidR="00F71C4C">
        <w:t>medicine</w:t>
      </w:r>
      <w:r w:rsidR="00554826" w:rsidRPr="009C2562">
        <w:t>;</w:t>
      </w:r>
    </w:p>
    <w:p w14:paraId="15A54D74" w14:textId="54E0BE78" w:rsidR="00440AB9" w:rsidRDefault="00440AB9" w:rsidP="00554826">
      <w:pPr>
        <w:pStyle w:val="notepara"/>
      </w:pPr>
      <w:r>
        <w:t>(f)</w:t>
      </w:r>
      <w:r>
        <w:tab/>
        <w:t>primary pack;</w:t>
      </w:r>
    </w:p>
    <w:p w14:paraId="27C7B12A" w14:textId="250F9A65" w:rsidR="001E69F2" w:rsidRPr="009C2562" w:rsidRDefault="00021045" w:rsidP="00554826">
      <w:pPr>
        <w:pStyle w:val="notepara"/>
      </w:pPr>
      <w:r>
        <w:t>(</w:t>
      </w:r>
      <w:r w:rsidR="00440AB9">
        <w:t>g</w:t>
      </w:r>
      <w:r w:rsidR="001E69F2">
        <w:t>)</w:t>
      </w:r>
      <w:r w:rsidR="001E69F2">
        <w:tab/>
        <w:t>Register;</w:t>
      </w:r>
    </w:p>
    <w:p w14:paraId="0061E2BC" w14:textId="77777777" w:rsidR="00CB2458" w:rsidRDefault="00021045" w:rsidP="00087503">
      <w:pPr>
        <w:pStyle w:val="notepara"/>
      </w:pPr>
      <w:r>
        <w:t>(</w:t>
      </w:r>
      <w:r w:rsidR="00440AB9">
        <w:t>h)</w:t>
      </w:r>
      <w:r w:rsidR="00554826" w:rsidRPr="009C2562">
        <w:tab/>
      </w:r>
      <w:r w:rsidR="00F71C4C">
        <w:t>registered goods</w:t>
      </w:r>
      <w:r w:rsidR="00CB2458">
        <w:t>;</w:t>
      </w:r>
    </w:p>
    <w:p w14:paraId="32E456D3" w14:textId="1EB162AF" w:rsidR="00554826" w:rsidRPr="009C2562" w:rsidRDefault="00CB2458" w:rsidP="00087503">
      <w:pPr>
        <w:pStyle w:val="notepara"/>
      </w:pPr>
      <w:r>
        <w:t>(i)</w:t>
      </w:r>
      <w:r>
        <w:tab/>
        <w:t>sponsor</w:t>
      </w:r>
      <w:r w:rsidR="00554826">
        <w:t>.</w:t>
      </w:r>
    </w:p>
    <w:p w14:paraId="7CE3A9D3" w14:textId="77777777" w:rsidR="00554826" w:rsidRPr="009C2562" w:rsidRDefault="00554826" w:rsidP="00554826">
      <w:pPr>
        <w:pStyle w:val="subsection"/>
      </w:pPr>
      <w:r w:rsidRPr="009C2562">
        <w:tab/>
      </w:r>
      <w:r w:rsidRPr="009C2562">
        <w:tab/>
        <w:t>In this instrument:</w:t>
      </w:r>
    </w:p>
    <w:p w14:paraId="44F7074D" w14:textId="77777777" w:rsidR="00554826" w:rsidRPr="009C2562" w:rsidRDefault="00554826" w:rsidP="00554826">
      <w:pPr>
        <w:pStyle w:val="Definition"/>
      </w:pPr>
      <w:r w:rsidRPr="009C2562">
        <w:rPr>
          <w:b/>
          <w:i/>
        </w:rPr>
        <w:t>Act</w:t>
      </w:r>
      <w:r w:rsidRPr="009C2562">
        <w:t xml:space="preserve"> </w:t>
      </w:r>
      <w:r w:rsidRPr="00184BCB">
        <w:t xml:space="preserve">means the </w:t>
      </w:r>
      <w:r w:rsidR="00184BCB" w:rsidRPr="00184BCB">
        <w:rPr>
          <w:i/>
        </w:rPr>
        <w:t>Therapeutic Goods Act 1989</w:t>
      </w:r>
      <w:r w:rsidRPr="00184BCB">
        <w:t>.</w:t>
      </w:r>
    </w:p>
    <w:p w14:paraId="53DFF45B" w14:textId="77777777" w:rsidR="00FC125E" w:rsidRPr="00FC125E" w:rsidRDefault="00FC125E" w:rsidP="00C379CD">
      <w:pPr>
        <w:pStyle w:val="Definition"/>
      </w:pPr>
      <w:r>
        <w:rPr>
          <w:b/>
          <w:i/>
        </w:rPr>
        <w:t>active ingredient</w:t>
      </w:r>
      <w:r>
        <w:t xml:space="preserve"> has the same meaning as in the Regulations.</w:t>
      </w:r>
    </w:p>
    <w:p w14:paraId="51AE29AA" w14:textId="77777777" w:rsidR="00D26B11" w:rsidRPr="00D26B11" w:rsidRDefault="00D26B11" w:rsidP="00C379CD">
      <w:pPr>
        <w:pStyle w:val="Definition"/>
      </w:pPr>
      <w:r>
        <w:rPr>
          <w:b/>
          <w:i/>
        </w:rPr>
        <w:t>finished product</w:t>
      </w:r>
      <w:r>
        <w:t xml:space="preserve"> means a product</w:t>
      </w:r>
      <w:r w:rsidR="006C4EEA">
        <w:t xml:space="preserve"> in relation to which all steps of manufacture have been carried out</w:t>
      </w:r>
      <w:r w:rsidR="00C1172C">
        <w:t>, prior to supply to an</w:t>
      </w:r>
      <w:r w:rsidR="004E4F93">
        <w:t xml:space="preserve"> ultimate consumer.</w:t>
      </w:r>
    </w:p>
    <w:p w14:paraId="21813A19" w14:textId="77777777" w:rsidR="00C1172C" w:rsidRDefault="00D26B11" w:rsidP="00BD5B31">
      <w:pPr>
        <w:pStyle w:val="notetext"/>
      </w:pPr>
      <w:r w:rsidRPr="00BD5B31">
        <w:t>Note</w:t>
      </w:r>
      <w:r w:rsidR="00C1172C">
        <w:t xml:space="preserve"> 1</w:t>
      </w:r>
      <w:r w:rsidRPr="00BD5B31">
        <w:t>:</w:t>
      </w:r>
      <w:r w:rsidR="00C1172C">
        <w:tab/>
        <w:t xml:space="preserve">A step of manufacture does not include </w:t>
      </w:r>
      <w:r w:rsidR="005F3E2B">
        <w:t>any process undertaken by an ultimate consumer in accordance with directions for use in relation to a product.</w:t>
      </w:r>
    </w:p>
    <w:p w14:paraId="759E94AA" w14:textId="671C046D" w:rsidR="00D26B11" w:rsidRPr="00BD5B31" w:rsidRDefault="00C1172C" w:rsidP="00BD5B31">
      <w:pPr>
        <w:pStyle w:val="notetext"/>
      </w:pPr>
      <w:r>
        <w:t>Note 2:</w:t>
      </w:r>
      <w:r>
        <w:tab/>
      </w:r>
      <w:r w:rsidR="006C4EEA">
        <w:t xml:space="preserve">A finished product does not include a </w:t>
      </w:r>
      <w:r w:rsidR="00D26B11" w:rsidRPr="00BD5B31">
        <w:t xml:space="preserve">nicotine </w:t>
      </w:r>
      <w:r w:rsidR="005A19D1">
        <w:t xml:space="preserve">vaping </w:t>
      </w:r>
      <w:r w:rsidR="00D26B11" w:rsidRPr="00BD5B31">
        <w:t xml:space="preserve">product imported in bulk for </w:t>
      </w:r>
      <w:r w:rsidR="00D26B11">
        <w:t xml:space="preserve">compounding </w:t>
      </w:r>
      <w:r w:rsidR="00D26B11" w:rsidRPr="00BD5B31">
        <w:t>by a pharmacist</w:t>
      </w:r>
      <w:r w:rsidR="005F3E2B">
        <w:t>,</w:t>
      </w:r>
      <w:r w:rsidR="00D26B11" w:rsidRPr="00BD5B31">
        <w:t xml:space="preserve"> </w:t>
      </w:r>
      <w:r>
        <w:t xml:space="preserve">prior to </w:t>
      </w:r>
      <w:r w:rsidR="00D26B11" w:rsidRPr="00BD5B31">
        <w:t>being supplied to a</w:t>
      </w:r>
      <w:r w:rsidR="008E7E05">
        <w:t>n ultimate consumer</w:t>
      </w:r>
      <w:r w:rsidR="00D26B11" w:rsidRPr="00BD5B31">
        <w:t>.</w:t>
      </w:r>
    </w:p>
    <w:p w14:paraId="5FBA37D0" w14:textId="0852A10A" w:rsidR="00D009BE" w:rsidRPr="00D009BE" w:rsidRDefault="00D009BE" w:rsidP="00C379CD">
      <w:pPr>
        <w:pStyle w:val="Definition"/>
      </w:pPr>
      <w:r>
        <w:rPr>
          <w:b/>
          <w:i/>
        </w:rPr>
        <w:t>flavour</w:t>
      </w:r>
      <w:r w:rsidR="00023EB6">
        <w:t xml:space="preserve"> </w:t>
      </w:r>
      <w:r>
        <w:t xml:space="preserve">means </w:t>
      </w:r>
      <w:r w:rsidR="00050C47">
        <w:t>an ingredient</w:t>
      </w:r>
      <w:r w:rsidR="00023EB6">
        <w:t>,</w:t>
      </w:r>
      <w:r w:rsidR="00050C47">
        <w:t xml:space="preserve"> or mixture of ingredients</w:t>
      </w:r>
      <w:r w:rsidR="00023EB6">
        <w:t>,</w:t>
      </w:r>
      <w:r w:rsidR="00050C47">
        <w:t xml:space="preserve"> </w:t>
      </w:r>
      <w:r w:rsidR="004F09A8">
        <w:t xml:space="preserve">added to a nicotine vaping product </w:t>
      </w:r>
      <w:r w:rsidR="009351DA">
        <w:t xml:space="preserve">for </w:t>
      </w:r>
      <w:r w:rsidRPr="00D009BE">
        <w:t>the purpose of providing flavour</w:t>
      </w:r>
      <w:r w:rsidR="00E36087">
        <w:t xml:space="preserve"> to </w:t>
      </w:r>
      <w:r w:rsidR="004F09A8">
        <w:t>the</w:t>
      </w:r>
      <w:r w:rsidR="005A19D1">
        <w:t xml:space="preserve"> </w:t>
      </w:r>
      <w:r w:rsidR="007E7CC5">
        <w:t>product</w:t>
      </w:r>
      <w:r w:rsidR="00050C47">
        <w:t>.</w:t>
      </w:r>
    </w:p>
    <w:p w14:paraId="05FC22B9" w14:textId="77777777" w:rsidR="00967320" w:rsidRPr="00BD5B31" w:rsidRDefault="00967320" w:rsidP="00C379CD">
      <w:pPr>
        <w:pStyle w:val="Definition"/>
      </w:pPr>
      <w:r>
        <w:rPr>
          <w:b/>
          <w:i/>
        </w:rPr>
        <w:t>nicotine</w:t>
      </w:r>
      <w:r>
        <w:t xml:space="preserve"> means nicotine in salt or base form.</w:t>
      </w:r>
    </w:p>
    <w:p w14:paraId="0CA169B9" w14:textId="185A5562" w:rsidR="001236A8" w:rsidRDefault="001236A8" w:rsidP="001236A8">
      <w:pPr>
        <w:pStyle w:val="Definition"/>
      </w:pPr>
      <w:r w:rsidRPr="00472C54">
        <w:rPr>
          <w:b/>
          <w:i/>
        </w:rPr>
        <w:t>nicotine</w:t>
      </w:r>
      <w:r>
        <w:rPr>
          <w:b/>
          <w:i/>
        </w:rPr>
        <w:t xml:space="preserve"> vaping product</w:t>
      </w:r>
      <w:r>
        <w:t xml:space="preserve"> means a medicine that contains nicotine</w:t>
      </w:r>
      <w:r w:rsidR="0019564F">
        <w:t xml:space="preserve"> in solution</w:t>
      </w:r>
      <w:r>
        <w:t xml:space="preserve"> and that is:</w:t>
      </w:r>
    </w:p>
    <w:p w14:paraId="2761A5EA" w14:textId="77777777" w:rsidR="001236A8" w:rsidRDefault="001236A8" w:rsidP="001236A8">
      <w:pPr>
        <w:pStyle w:val="paragraph"/>
      </w:pPr>
      <w:r>
        <w:tab/>
        <w:t>(a)</w:t>
      </w:r>
      <w:r>
        <w:tab/>
        <w:t>a finished product; and</w:t>
      </w:r>
    </w:p>
    <w:p w14:paraId="34D2D0C2" w14:textId="230C4D66" w:rsidR="001236A8" w:rsidRPr="00586892" w:rsidRDefault="001236A8" w:rsidP="00E378F0">
      <w:pPr>
        <w:pStyle w:val="paragraph"/>
      </w:pPr>
      <w:r>
        <w:tab/>
        <w:t>(b)</w:t>
      </w:r>
      <w:r>
        <w:tab/>
        <w:t>intended to be vaporised and administered by inhalation using a vaping device</w:t>
      </w:r>
      <w:r w:rsidRPr="00586892">
        <w:t>.</w:t>
      </w:r>
    </w:p>
    <w:p w14:paraId="169F62C5" w14:textId="77777777" w:rsidR="001236A8" w:rsidRDefault="001236A8" w:rsidP="001236A8">
      <w:pPr>
        <w:pStyle w:val="notetext"/>
      </w:pPr>
      <w:r w:rsidRPr="0081267B">
        <w:t>Note</w:t>
      </w:r>
      <w:r>
        <w:t xml:space="preserve"> 1</w:t>
      </w:r>
      <w:r w:rsidRPr="0081267B">
        <w:t>:</w:t>
      </w:r>
      <w:r w:rsidRPr="0081267B">
        <w:tab/>
      </w:r>
      <w:r>
        <w:t>N</w:t>
      </w:r>
      <w:r w:rsidRPr="0081267B">
        <w:t xml:space="preserve">icotine </w:t>
      </w:r>
      <w:r>
        <w:t xml:space="preserve">vaping products </w:t>
      </w:r>
      <w:r w:rsidRPr="0081267B">
        <w:t>may also be described as nicotine vape liquid</w:t>
      </w:r>
      <w:r>
        <w:t>s, or nicotine e</w:t>
      </w:r>
      <w:r>
        <w:noBreakHyphen/>
      </w:r>
      <w:r w:rsidRPr="0081267B">
        <w:t>liquid</w:t>
      </w:r>
      <w:r>
        <w:t>s</w:t>
      </w:r>
      <w:r w:rsidRPr="0081267B">
        <w:t>.</w:t>
      </w:r>
    </w:p>
    <w:p w14:paraId="7B9CCD32" w14:textId="77777777" w:rsidR="001236A8" w:rsidRDefault="001236A8" w:rsidP="001236A8">
      <w:pPr>
        <w:pStyle w:val="notetext"/>
      </w:pPr>
      <w:r>
        <w:t>Note 2:</w:t>
      </w:r>
      <w:r>
        <w:tab/>
        <w:t>Examples of vaping devices include e-cigarettes, e-cigars, e-hookah pens, e-pens, e</w:t>
      </w:r>
      <w:r>
        <w:noBreakHyphen/>
        <w:t>pipes and vape pens.</w:t>
      </w:r>
    </w:p>
    <w:p w14:paraId="34CCC5DC" w14:textId="4A14BC3F" w:rsidR="00D009BE" w:rsidRDefault="00D009BE" w:rsidP="00C379CD">
      <w:pPr>
        <w:pStyle w:val="Definition"/>
      </w:pPr>
      <w:r>
        <w:rPr>
          <w:b/>
          <w:i/>
        </w:rPr>
        <w:t>other ingredient</w:t>
      </w:r>
      <w:r w:rsidR="00023EB6">
        <w:t xml:space="preserve"> </w:t>
      </w:r>
      <w:r>
        <w:t xml:space="preserve">means an ingredient </w:t>
      </w:r>
      <w:r w:rsidR="009351DA">
        <w:t xml:space="preserve">contained </w:t>
      </w:r>
      <w:r>
        <w:t xml:space="preserve">in </w:t>
      </w:r>
      <w:r w:rsidR="00023EB6">
        <w:t xml:space="preserve">a </w:t>
      </w:r>
      <w:r>
        <w:t>nicotine</w:t>
      </w:r>
      <w:r w:rsidR="005A19D1">
        <w:t xml:space="preserve"> vaping</w:t>
      </w:r>
      <w:r>
        <w:t xml:space="preserve"> </w:t>
      </w:r>
      <w:r w:rsidR="007E7CC5">
        <w:t xml:space="preserve">product </w:t>
      </w:r>
      <w:r>
        <w:t>other than:</w:t>
      </w:r>
    </w:p>
    <w:p w14:paraId="2ECF5AAC" w14:textId="77777777" w:rsidR="00D009BE" w:rsidRDefault="00D009BE" w:rsidP="00D009BE">
      <w:pPr>
        <w:pStyle w:val="paragraph"/>
      </w:pPr>
      <w:r>
        <w:tab/>
        <w:t>(a)</w:t>
      </w:r>
      <w:r>
        <w:tab/>
      </w:r>
      <w:r w:rsidR="00BD5B31">
        <w:t>nicotine</w:t>
      </w:r>
      <w:r>
        <w:t>; or</w:t>
      </w:r>
    </w:p>
    <w:p w14:paraId="63D6327A" w14:textId="77777777" w:rsidR="00D009BE" w:rsidRPr="00D009BE" w:rsidRDefault="00D009BE" w:rsidP="00D009BE">
      <w:pPr>
        <w:pStyle w:val="paragraph"/>
      </w:pPr>
      <w:r>
        <w:tab/>
        <w:t>(b)</w:t>
      </w:r>
      <w:r>
        <w:tab/>
        <w:t>a flavour.</w:t>
      </w:r>
    </w:p>
    <w:p w14:paraId="2B5B62CA" w14:textId="77777777" w:rsidR="009F6BDB" w:rsidRDefault="009E3AD6" w:rsidP="00C379CD">
      <w:pPr>
        <w:pStyle w:val="Definition"/>
      </w:pPr>
      <w:r>
        <w:rPr>
          <w:b/>
          <w:i/>
        </w:rPr>
        <w:t>Regulations</w:t>
      </w:r>
      <w:r>
        <w:t xml:space="preserve"> means the </w:t>
      </w:r>
      <w:r w:rsidRPr="009E3AD6">
        <w:rPr>
          <w:i/>
        </w:rPr>
        <w:t>Therapeutic Goods Regulations 1990</w:t>
      </w:r>
      <w:r>
        <w:t>.</w:t>
      </w:r>
    </w:p>
    <w:p w14:paraId="176E579F" w14:textId="012CE184" w:rsidR="004A2FC8" w:rsidRPr="00087503" w:rsidRDefault="004A2FC8" w:rsidP="00C379CD">
      <w:pPr>
        <w:pStyle w:val="Definition"/>
      </w:pPr>
      <w:r>
        <w:rPr>
          <w:b/>
          <w:i/>
        </w:rPr>
        <w:t>stated content</w:t>
      </w:r>
      <w:r>
        <w:t xml:space="preserve"> means </w:t>
      </w:r>
      <w:r w:rsidR="004E0ABB">
        <w:t xml:space="preserve">any </w:t>
      </w:r>
      <w:r>
        <w:t>amount or concentration of nicotine that is stated to be present in a nicotine vaping product on the label of that product</w:t>
      </w:r>
      <w:r w:rsidR="004E0ABB">
        <w:t xml:space="preserve">, including where the </w:t>
      </w:r>
      <w:r w:rsidR="00B33571">
        <w:t xml:space="preserve">amount or </w:t>
      </w:r>
      <w:r w:rsidR="004E0ABB">
        <w:t xml:space="preserve">concentration is stated as the equivalent base form </w:t>
      </w:r>
      <w:r w:rsidR="00B33571">
        <w:t xml:space="preserve">amount or </w:t>
      </w:r>
      <w:r w:rsidR="004E0ABB">
        <w:t>concentration of nicotine</w:t>
      </w:r>
      <w:r>
        <w:t>.</w:t>
      </w:r>
    </w:p>
    <w:p w14:paraId="6BE9AB82" w14:textId="029B35DF" w:rsidR="000C0A3F" w:rsidRDefault="000C0A3F" w:rsidP="00C379CD">
      <w:pPr>
        <w:pStyle w:val="Definition"/>
      </w:pPr>
      <w:r>
        <w:rPr>
          <w:b/>
          <w:i/>
        </w:rPr>
        <w:t>TGO 95</w:t>
      </w:r>
      <w:r>
        <w:t xml:space="preserve"> means the </w:t>
      </w:r>
      <w:r w:rsidRPr="000C0A3F">
        <w:rPr>
          <w:i/>
        </w:rPr>
        <w:t>Therapeutic Goods Order No. 95</w:t>
      </w:r>
      <w:r w:rsidRPr="000C0A3F">
        <w:t xml:space="preserve"> - </w:t>
      </w:r>
      <w:r w:rsidRPr="000C0A3F">
        <w:rPr>
          <w:i/>
        </w:rPr>
        <w:t>Child-resistant packaging requirements for medicines 2017</w:t>
      </w:r>
      <w:r w:rsidRPr="000C0A3F">
        <w:t xml:space="preserve"> (TGO 95)</w:t>
      </w:r>
      <w:r>
        <w:t>.</w:t>
      </w:r>
    </w:p>
    <w:p w14:paraId="7E65890B" w14:textId="77777777" w:rsidR="000C0A3F" w:rsidRDefault="000C0A3F" w:rsidP="000C0A3F">
      <w:pPr>
        <w:pStyle w:val="notetext"/>
      </w:pPr>
      <w:r w:rsidRPr="0081267B">
        <w:t>Note:</w:t>
      </w:r>
      <w:r w:rsidRPr="0081267B">
        <w:tab/>
      </w:r>
      <w:r>
        <w:t xml:space="preserve">TGO 95 is a legislative instrument published on the Federal Register of Legislation at </w:t>
      </w:r>
      <w:r w:rsidR="00472C54" w:rsidRPr="00DC1D0A">
        <w:t>www.legislation.gov.au</w:t>
      </w:r>
      <w:r w:rsidR="009F6895">
        <w:t>.</w:t>
      </w:r>
    </w:p>
    <w:p w14:paraId="3897736E" w14:textId="77777777" w:rsidR="00554826" w:rsidRPr="00554826" w:rsidRDefault="00554826" w:rsidP="00554826">
      <w:pPr>
        <w:pStyle w:val="ActHead5"/>
      </w:pPr>
      <w:bookmarkStart w:id="8" w:name="_Toc454781205"/>
      <w:bookmarkStart w:id="9" w:name="_Toc71707774"/>
      <w:r w:rsidRPr="00554826">
        <w:t xml:space="preserve">5  </w:t>
      </w:r>
      <w:bookmarkEnd w:id="8"/>
      <w:r w:rsidR="00140872">
        <w:t>Standard</w:t>
      </w:r>
      <w:bookmarkEnd w:id="9"/>
    </w:p>
    <w:p w14:paraId="25341755" w14:textId="55535874" w:rsidR="00554826" w:rsidRDefault="00554826" w:rsidP="00554826">
      <w:pPr>
        <w:pStyle w:val="subsection"/>
      </w:pPr>
      <w:r w:rsidRPr="006065DA">
        <w:tab/>
      </w:r>
      <w:r w:rsidRPr="006065DA">
        <w:tab/>
      </w:r>
      <w:r w:rsidR="00140872">
        <w:t>The matters specified in this instrument constitute a standard for</w:t>
      </w:r>
      <w:r w:rsidR="00F71C4C">
        <w:t xml:space="preserve"> nicotine</w:t>
      </w:r>
      <w:r w:rsidR="00AD77A2">
        <w:t xml:space="preserve"> </w:t>
      </w:r>
      <w:r w:rsidR="005A19D1">
        <w:t xml:space="preserve">vaping </w:t>
      </w:r>
      <w:r w:rsidR="00AD77A2">
        <w:t>products</w:t>
      </w:r>
      <w:r w:rsidR="00F71C4C">
        <w:t>.</w:t>
      </w:r>
    </w:p>
    <w:p w14:paraId="5A6FDF96" w14:textId="77777777" w:rsidR="00554826" w:rsidRPr="004D2CD4" w:rsidRDefault="00554826" w:rsidP="00554826">
      <w:pPr>
        <w:pStyle w:val="ActHead5"/>
      </w:pPr>
      <w:bookmarkStart w:id="10" w:name="_Toc71707775"/>
      <w:r w:rsidRPr="004D2CD4">
        <w:t xml:space="preserve">6  </w:t>
      </w:r>
      <w:r w:rsidR="004D2CD4" w:rsidRPr="004D2CD4">
        <w:t>Application</w:t>
      </w:r>
      <w:bookmarkEnd w:id="10"/>
    </w:p>
    <w:p w14:paraId="10E150D1" w14:textId="0A785350" w:rsidR="002034DC" w:rsidRDefault="002034DC" w:rsidP="002034DC">
      <w:pPr>
        <w:pStyle w:val="subsection"/>
      </w:pPr>
      <w:r>
        <w:tab/>
      </w:r>
      <w:r w:rsidR="00A864D2">
        <w:tab/>
      </w:r>
      <w:r w:rsidR="008B6705">
        <w:t>T</w:t>
      </w:r>
      <w:r>
        <w:t xml:space="preserve">his instrument applies to </w:t>
      </w:r>
      <w:r w:rsidR="008B6705">
        <w:t>nicotine</w:t>
      </w:r>
      <w:r w:rsidR="00AD77A2">
        <w:t xml:space="preserve"> </w:t>
      </w:r>
      <w:r w:rsidR="005A19D1">
        <w:t xml:space="preserve">vaping </w:t>
      </w:r>
      <w:r w:rsidR="00AD77A2">
        <w:t>products</w:t>
      </w:r>
      <w:r w:rsidR="008B6705">
        <w:t xml:space="preserve"> other than:</w:t>
      </w:r>
    </w:p>
    <w:p w14:paraId="4BB8E320" w14:textId="1195DE19" w:rsidR="00A864D2" w:rsidRPr="00D26B11" w:rsidRDefault="00B77768" w:rsidP="00C1030D">
      <w:pPr>
        <w:pStyle w:val="paragraph"/>
      </w:pPr>
      <w:r>
        <w:tab/>
        <w:t>(a)</w:t>
      </w:r>
      <w:r>
        <w:tab/>
      </w:r>
      <w:r w:rsidR="008B6705">
        <w:t>registered good</w:t>
      </w:r>
      <w:r w:rsidR="00AD77A2">
        <w:t>s</w:t>
      </w:r>
      <w:r w:rsidR="008B6705">
        <w:t>; or</w:t>
      </w:r>
    </w:p>
    <w:p w14:paraId="0EEE169F" w14:textId="4E2E2405" w:rsidR="00690F17" w:rsidRDefault="00565D78" w:rsidP="00340F7D">
      <w:pPr>
        <w:pStyle w:val="paragraph"/>
      </w:pPr>
      <w:r w:rsidRPr="00D26B11">
        <w:tab/>
      </w:r>
      <w:r w:rsidR="006B10FE">
        <w:t>(</w:t>
      </w:r>
      <w:r w:rsidR="00C1030D">
        <w:t>b</w:t>
      </w:r>
      <w:r w:rsidR="006B10FE">
        <w:t>)</w:t>
      </w:r>
      <w:r w:rsidR="006B10FE">
        <w:tab/>
      </w:r>
      <w:r w:rsidR="00E67E50">
        <w:t xml:space="preserve">therapeutic goods </w:t>
      </w:r>
      <w:r w:rsidR="00285FE4">
        <w:t xml:space="preserve">mentioned in item 1 of Schedule 5 to the Regulations </w:t>
      </w:r>
      <w:r w:rsidR="00E67E50">
        <w:t xml:space="preserve">where those goods are </w:t>
      </w:r>
      <w:r w:rsidR="00285FE4">
        <w:t>carried by the importer as a passenger on a ship or aeroplane</w:t>
      </w:r>
      <w:r w:rsidR="00690F17" w:rsidRPr="000C57C2">
        <w:t>; or</w:t>
      </w:r>
    </w:p>
    <w:p w14:paraId="5EE69CFD" w14:textId="7C98C144" w:rsidR="008B6705" w:rsidRDefault="008B6705" w:rsidP="001E69F2">
      <w:pPr>
        <w:pStyle w:val="notetext"/>
      </w:pPr>
      <w:r>
        <w:t>Note</w:t>
      </w:r>
      <w:r w:rsidR="00E67E50">
        <w:t xml:space="preserve"> 1</w:t>
      </w:r>
      <w:r>
        <w:t>:</w:t>
      </w:r>
      <w:r>
        <w:tab/>
      </w:r>
      <w:r w:rsidR="001E69F2">
        <w:t>Item 1 of Schedule 5</w:t>
      </w:r>
      <w:r w:rsidRPr="008B6705">
        <w:t xml:space="preserve"> to the </w:t>
      </w:r>
      <w:r w:rsidR="00775DD0">
        <w:t xml:space="preserve">Regulations applies </w:t>
      </w:r>
      <w:r w:rsidRPr="008B6705">
        <w:t>to therapeutic goods that are imported for use in the treatment of the importer or the importer's immediate family</w:t>
      </w:r>
      <w:r w:rsidR="00285FE4" w:rsidRPr="00285FE4">
        <w:t xml:space="preserve"> </w:t>
      </w:r>
      <w:r w:rsidR="00285FE4">
        <w:t>in certain circumstances</w:t>
      </w:r>
      <w:r w:rsidRPr="008B6705">
        <w:t>.</w:t>
      </w:r>
    </w:p>
    <w:p w14:paraId="0B3B358F" w14:textId="568271BC" w:rsidR="00E67E50" w:rsidRDefault="00E67E50" w:rsidP="001E69F2">
      <w:pPr>
        <w:pStyle w:val="notetext"/>
      </w:pPr>
      <w:r>
        <w:t>Note 2:</w:t>
      </w:r>
      <w:r>
        <w:tab/>
        <w:t>This instrument applies to nicotine vaping products that are therapeutic goods mentioned in item 1 of Schedule 5 to the Regulations where those goods are imported into Australia other than by a passenger on a ship or aeroplane for the treatment of the importer or the importer’s immediate family.</w:t>
      </w:r>
    </w:p>
    <w:p w14:paraId="50217DD6" w14:textId="15ECF226" w:rsidR="007F0BE3" w:rsidRDefault="00565D78" w:rsidP="00505110">
      <w:pPr>
        <w:pStyle w:val="paragraph"/>
        <w:keepNext/>
      </w:pPr>
      <w:r>
        <w:tab/>
        <w:t>(</w:t>
      </w:r>
      <w:r w:rsidR="00C1030D">
        <w:t>c</w:t>
      </w:r>
      <w:r w:rsidR="007F0BE3">
        <w:t>)</w:t>
      </w:r>
      <w:r w:rsidR="007F0BE3">
        <w:tab/>
        <w:t>mentioned in item 9 of Schedule 5 to the Regulations; or</w:t>
      </w:r>
    </w:p>
    <w:p w14:paraId="2FE5521C" w14:textId="26481028" w:rsidR="007F0BE3" w:rsidRDefault="007F0BE3" w:rsidP="007F0BE3">
      <w:pPr>
        <w:pStyle w:val="notetext"/>
      </w:pPr>
      <w:r>
        <w:t>Note:</w:t>
      </w:r>
      <w:r>
        <w:tab/>
        <w:t>Item 9</w:t>
      </w:r>
      <w:r w:rsidRPr="008B6705">
        <w:t xml:space="preserve"> of Schedule 5 to the Regulations applies to </w:t>
      </w:r>
      <w:r>
        <w:t xml:space="preserve">starting materials </w:t>
      </w:r>
      <w:r w:rsidR="00E67E50">
        <w:t xml:space="preserve">for use </w:t>
      </w:r>
      <w:r>
        <w:t>in the manufacture of therapeutic goods, except when prepackaged for supply for other therapeutic purposes or formulated as a dosage form.</w:t>
      </w:r>
    </w:p>
    <w:p w14:paraId="0B8BCE12" w14:textId="255DBA9C" w:rsidR="00B35B2A" w:rsidRDefault="00690F17" w:rsidP="008B6705">
      <w:pPr>
        <w:pStyle w:val="paragraph"/>
      </w:pPr>
      <w:r>
        <w:tab/>
      </w:r>
      <w:r w:rsidR="00565D78">
        <w:t>(</w:t>
      </w:r>
      <w:r w:rsidR="00C1030D">
        <w:t>d</w:t>
      </w:r>
      <w:r w:rsidR="00B35B2A">
        <w:t>)</w:t>
      </w:r>
      <w:r w:rsidR="00B35B2A">
        <w:tab/>
        <w:t>mentioned in item</w:t>
      </w:r>
      <w:r w:rsidR="00285FE4">
        <w:t>s</w:t>
      </w:r>
      <w:r w:rsidR="00B35B2A">
        <w:t xml:space="preserve"> 4</w:t>
      </w:r>
      <w:r w:rsidR="003F5691">
        <w:t>, 8, 10, 11, or 12</w:t>
      </w:r>
      <w:r w:rsidR="00B35B2A">
        <w:t xml:space="preserve"> of Schedule 5A to the Regulations, subject to compliance with conditions specified in </w:t>
      </w:r>
      <w:r w:rsidR="003F5691">
        <w:t>those</w:t>
      </w:r>
      <w:r w:rsidR="00B35B2A">
        <w:t xml:space="preserve"> item</w:t>
      </w:r>
      <w:r w:rsidR="003F5691">
        <w:t>s</w:t>
      </w:r>
      <w:r w:rsidR="00DA17B4">
        <w:t>.</w:t>
      </w:r>
    </w:p>
    <w:p w14:paraId="0D6D5079" w14:textId="77777777" w:rsidR="00397121" w:rsidRDefault="007B3AC6" w:rsidP="00397121">
      <w:pPr>
        <w:pStyle w:val="notetext"/>
      </w:pPr>
      <w:r>
        <w:t>Note:</w:t>
      </w:r>
      <w:r>
        <w:tab/>
      </w:r>
      <w:r w:rsidR="006B10FE">
        <w:t xml:space="preserve">Items 4, 8, 10, 11 and 12 of </w:t>
      </w:r>
      <w:r w:rsidR="003F5691">
        <w:t>Schedule 5A to the Regulations apply in relation to therapeutic goods that are imported by particular persons or are part of the medical supplies of a visiting ship or aircraft.</w:t>
      </w:r>
    </w:p>
    <w:p w14:paraId="35B4F3D2" w14:textId="77777777" w:rsidR="005D466B" w:rsidRPr="003222AC" w:rsidRDefault="005D466B" w:rsidP="005D466B">
      <w:pPr>
        <w:pStyle w:val="ActHead2"/>
        <w:rPr>
          <w:rStyle w:val="CharPartNo"/>
        </w:rPr>
      </w:pPr>
      <w:bookmarkStart w:id="11" w:name="_Toc47109905"/>
      <w:bookmarkStart w:id="12" w:name="_Toc71707776"/>
      <w:r w:rsidRPr="00E5022B">
        <w:rPr>
          <w:rStyle w:val="CharPartNo"/>
        </w:rPr>
        <w:t>Part 2</w:t>
      </w:r>
      <w:r w:rsidRPr="00E5022B">
        <w:rPr>
          <w:rStyle w:val="CharPartNo"/>
        </w:rPr>
        <w:sym w:font="Symbol" w:char="F0BE"/>
      </w:r>
      <w:r>
        <w:rPr>
          <w:rStyle w:val="CharPartNo"/>
        </w:rPr>
        <w:t>Requirements</w:t>
      </w:r>
      <w:bookmarkEnd w:id="11"/>
      <w:bookmarkEnd w:id="12"/>
    </w:p>
    <w:p w14:paraId="79FA8C2A" w14:textId="77777777" w:rsidR="00D05379" w:rsidRDefault="00D05379" w:rsidP="00D05379">
      <w:pPr>
        <w:pStyle w:val="ActHead5"/>
      </w:pPr>
      <w:bookmarkStart w:id="13" w:name="_Toc71707777"/>
      <w:r>
        <w:t>7</w:t>
      </w:r>
      <w:r w:rsidRPr="004D2CD4">
        <w:t xml:space="preserve">  </w:t>
      </w:r>
      <w:r w:rsidR="00967320">
        <w:t>I</w:t>
      </w:r>
      <w:r>
        <w:t>ngredient</w:t>
      </w:r>
      <w:r w:rsidR="00967320">
        <w:t>s</w:t>
      </w:r>
      <w:bookmarkEnd w:id="13"/>
    </w:p>
    <w:p w14:paraId="1BE00F09" w14:textId="77777777" w:rsidR="00967320" w:rsidRDefault="00967320" w:rsidP="00967320">
      <w:pPr>
        <w:pStyle w:val="SubsectionHead"/>
      </w:pPr>
      <w:r>
        <w:t>Active ingredients</w:t>
      </w:r>
    </w:p>
    <w:p w14:paraId="275F656E" w14:textId="23A31106" w:rsidR="0078176C" w:rsidRDefault="00D05379" w:rsidP="00340F7D">
      <w:pPr>
        <w:pStyle w:val="subsection"/>
      </w:pPr>
      <w:r>
        <w:tab/>
        <w:t>(1)</w:t>
      </w:r>
      <w:r>
        <w:tab/>
      </w:r>
      <w:r w:rsidR="001D09C7">
        <w:t xml:space="preserve">A </w:t>
      </w:r>
      <w:r>
        <w:t>nicotine</w:t>
      </w:r>
      <w:r w:rsidR="001D09C7">
        <w:t xml:space="preserve"> </w:t>
      </w:r>
      <w:r w:rsidR="005A19D1">
        <w:t xml:space="preserve">vaping </w:t>
      </w:r>
      <w:r w:rsidR="001D09C7">
        <w:t>product</w:t>
      </w:r>
      <w:r>
        <w:t xml:space="preserve"> must contain nicotine as the only active ingredient</w:t>
      </w:r>
      <w:r w:rsidR="0078176C">
        <w:t xml:space="preserve"> and:</w:t>
      </w:r>
    </w:p>
    <w:p w14:paraId="509E9DFA" w14:textId="2905C33A" w:rsidR="0078176C" w:rsidRDefault="0078176C" w:rsidP="00087503">
      <w:pPr>
        <w:pStyle w:val="paragraph"/>
      </w:pPr>
      <w:r>
        <w:tab/>
        <w:t>(a)</w:t>
      </w:r>
      <w:r>
        <w:tab/>
      </w:r>
      <w:r w:rsidR="00D74AFD">
        <w:t>where</w:t>
      </w:r>
      <w:r>
        <w:t xml:space="preserve"> the nicotine is in base form—the base form concentration of nicotine must </w:t>
      </w:r>
      <w:r w:rsidR="00F26C93">
        <w:t xml:space="preserve">be </w:t>
      </w:r>
      <w:r>
        <w:t>not more than 100</w:t>
      </w:r>
      <w:r w:rsidR="00BA4838">
        <w:t xml:space="preserve"> </w:t>
      </w:r>
      <w:r>
        <w:t>mg/mL; or</w:t>
      </w:r>
    </w:p>
    <w:p w14:paraId="1E367D15" w14:textId="16B87F8B" w:rsidR="0078176C" w:rsidRDefault="0078176C" w:rsidP="00087503">
      <w:pPr>
        <w:pStyle w:val="paragraph"/>
      </w:pPr>
      <w:r>
        <w:tab/>
        <w:t>(b)</w:t>
      </w:r>
      <w:r>
        <w:tab/>
      </w:r>
      <w:r w:rsidR="00D74AFD">
        <w:t>where</w:t>
      </w:r>
      <w:r>
        <w:t xml:space="preserve"> the nicotine is in salt form—the equivalent base form concentration of nicotine must </w:t>
      </w:r>
      <w:r w:rsidR="00F26C93">
        <w:t xml:space="preserve">be </w:t>
      </w:r>
      <w:r>
        <w:t>not more than 100 mg/mL.</w:t>
      </w:r>
    </w:p>
    <w:p w14:paraId="27E6902E" w14:textId="244D92E9" w:rsidR="004A2FC8" w:rsidRDefault="004A2FC8" w:rsidP="00340F7D">
      <w:pPr>
        <w:pStyle w:val="subsection"/>
      </w:pPr>
      <w:r>
        <w:tab/>
        <w:t>(2)</w:t>
      </w:r>
      <w:r>
        <w:tab/>
        <w:t>The amount or concentration of nicotine in a nicotine vaping product must be not less than 90.0 per cent and not more than 110.0 per cent of the stated content.</w:t>
      </w:r>
    </w:p>
    <w:p w14:paraId="0757AE0A" w14:textId="77777777" w:rsidR="00967320" w:rsidRDefault="00967320" w:rsidP="00967320">
      <w:pPr>
        <w:pStyle w:val="SubsectionHead"/>
      </w:pPr>
      <w:r>
        <w:t>Prohibited ingredients</w:t>
      </w:r>
    </w:p>
    <w:p w14:paraId="49BC78B2" w14:textId="555C87D1" w:rsidR="00967320" w:rsidRDefault="00967320" w:rsidP="00D05379">
      <w:pPr>
        <w:pStyle w:val="subsection"/>
      </w:pPr>
      <w:r>
        <w:tab/>
        <w:t>(</w:t>
      </w:r>
      <w:r w:rsidR="00FD0501">
        <w:t>3</w:t>
      </w:r>
      <w:r>
        <w:t>)</w:t>
      </w:r>
      <w:r>
        <w:tab/>
      </w:r>
      <w:r w:rsidR="00C53A61">
        <w:t>A substance specified in Schedule 1 must not be added as an ingredient to a</w:t>
      </w:r>
      <w:r>
        <w:t xml:space="preserve"> nicotine </w:t>
      </w:r>
      <w:r w:rsidR="005A19D1">
        <w:t xml:space="preserve">vaping </w:t>
      </w:r>
      <w:r>
        <w:t>product</w:t>
      </w:r>
      <w:r w:rsidR="00C53A61">
        <w:t>.</w:t>
      </w:r>
    </w:p>
    <w:p w14:paraId="5E6F0DF1" w14:textId="77777777" w:rsidR="00A06D4B" w:rsidRDefault="00D05379" w:rsidP="00644B54">
      <w:pPr>
        <w:pStyle w:val="ActHead5"/>
      </w:pPr>
      <w:bookmarkStart w:id="14" w:name="_Toc71707778"/>
      <w:r>
        <w:t>8</w:t>
      </w:r>
      <w:r w:rsidR="00054F86" w:rsidRPr="004D2CD4">
        <w:t xml:space="preserve">  </w:t>
      </w:r>
      <w:r w:rsidR="00BF4847">
        <w:t>Labels</w:t>
      </w:r>
      <w:bookmarkEnd w:id="14"/>
    </w:p>
    <w:p w14:paraId="6576C91D" w14:textId="26F679C6" w:rsidR="00A06D4B" w:rsidRDefault="00A06D4B" w:rsidP="00644B54">
      <w:pPr>
        <w:pStyle w:val="subsection"/>
      </w:pPr>
      <w:r>
        <w:tab/>
        <w:t>(1)</w:t>
      </w:r>
      <w:r>
        <w:tab/>
      </w:r>
      <w:r w:rsidR="00967320">
        <w:t xml:space="preserve">A </w:t>
      </w:r>
      <w:r>
        <w:t xml:space="preserve">nicotine </w:t>
      </w:r>
      <w:r w:rsidR="005A19D1">
        <w:t xml:space="preserve">vaping </w:t>
      </w:r>
      <w:r w:rsidR="00A94549">
        <w:t>product must be labelled</w:t>
      </w:r>
      <w:r w:rsidR="0022752B">
        <w:t xml:space="preserve"> in accordance with this section</w:t>
      </w:r>
      <w:r w:rsidR="00A94549">
        <w:t>.</w:t>
      </w:r>
    </w:p>
    <w:p w14:paraId="5B396F83" w14:textId="77777777" w:rsidR="00A1248B" w:rsidRPr="00A1248B" w:rsidRDefault="00A1248B" w:rsidP="00A1248B">
      <w:pPr>
        <w:tabs>
          <w:tab w:val="right" w:pos="1021"/>
        </w:tabs>
        <w:spacing w:before="180" w:line="240" w:lineRule="auto"/>
        <w:ind w:left="1134" w:hanging="1134"/>
        <w:rPr>
          <w:rFonts w:eastAsia="Times New Roman" w:cs="Times New Roman"/>
          <w:lang w:eastAsia="en-AU"/>
        </w:rPr>
      </w:pPr>
      <w:r w:rsidRPr="00A1248B">
        <w:rPr>
          <w:rFonts w:eastAsia="Times New Roman" w:cs="Times New Roman"/>
          <w:lang w:eastAsia="en-AU"/>
        </w:rPr>
        <w:tab/>
        <w:t>(2)</w:t>
      </w:r>
      <w:r w:rsidRPr="00A1248B">
        <w:rPr>
          <w:rFonts w:eastAsia="Times New Roman" w:cs="Times New Roman"/>
          <w:lang w:eastAsia="en-AU"/>
        </w:rPr>
        <w:tab/>
        <w:t>The information specified in an item of the table in Schedule 2 must be:</w:t>
      </w:r>
    </w:p>
    <w:p w14:paraId="4577E2BC" w14:textId="77777777" w:rsidR="00A1248B" w:rsidRPr="00A1248B" w:rsidRDefault="00A1248B" w:rsidP="00A1248B">
      <w:pPr>
        <w:tabs>
          <w:tab w:val="right" w:pos="1531"/>
        </w:tabs>
        <w:spacing w:before="40" w:line="240" w:lineRule="auto"/>
        <w:ind w:left="1644" w:hanging="1644"/>
        <w:rPr>
          <w:rFonts w:eastAsia="Times New Roman" w:cs="Times New Roman"/>
          <w:lang w:eastAsia="en-AU"/>
        </w:rPr>
      </w:pPr>
      <w:r w:rsidRPr="00A1248B">
        <w:rPr>
          <w:rFonts w:eastAsia="Times New Roman" w:cs="Times New Roman"/>
          <w:lang w:eastAsia="en-AU"/>
        </w:rPr>
        <w:tab/>
        <w:t>(a)</w:t>
      </w:r>
      <w:r w:rsidRPr="00A1248B">
        <w:rPr>
          <w:rFonts w:eastAsia="Times New Roman" w:cs="Times New Roman"/>
          <w:lang w:eastAsia="en-AU"/>
        </w:rPr>
        <w:tab/>
        <w:t>on or attached to the container or the primary pack of a nicotine vaping product; or</w:t>
      </w:r>
    </w:p>
    <w:p w14:paraId="23422096" w14:textId="77777777" w:rsidR="00A1248B" w:rsidRPr="00A1248B" w:rsidRDefault="00A1248B" w:rsidP="00A1248B">
      <w:pPr>
        <w:tabs>
          <w:tab w:val="right" w:pos="1531"/>
        </w:tabs>
        <w:spacing w:before="40" w:line="240" w:lineRule="auto"/>
        <w:ind w:left="1644" w:hanging="1644"/>
        <w:rPr>
          <w:rFonts w:eastAsia="Times New Roman" w:cs="Times New Roman"/>
          <w:lang w:eastAsia="en-AU"/>
        </w:rPr>
      </w:pPr>
      <w:r w:rsidRPr="00A1248B">
        <w:rPr>
          <w:rFonts w:eastAsia="Times New Roman" w:cs="Times New Roman"/>
          <w:lang w:eastAsia="en-AU"/>
        </w:rPr>
        <w:tab/>
        <w:t>(b)</w:t>
      </w:r>
      <w:r w:rsidRPr="00A1248B">
        <w:rPr>
          <w:rFonts w:eastAsia="Times New Roman" w:cs="Times New Roman"/>
          <w:lang w:eastAsia="en-AU"/>
        </w:rPr>
        <w:tab/>
        <w:t>supplied with the container or the primary pack of a nicotine vaping product.</w:t>
      </w:r>
    </w:p>
    <w:p w14:paraId="3AE8EF9D" w14:textId="2079FB9C" w:rsidR="00A1248B" w:rsidRPr="00A1248B" w:rsidRDefault="00A1248B" w:rsidP="00A1248B">
      <w:pPr>
        <w:spacing w:before="122" w:line="198" w:lineRule="exact"/>
        <w:ind w:left="1985" w:hanging="851"/>
        <w:rPr>
          <w:rFonts w:eastAsia="Times New Roman" w:cs="Times New Roman"/>
          <w:sz w:val="18"/>
          <w:lang w:eastAsia="en-AU"/>
        </w:rPr>
      </w:pPr>
      <w:r w:rsidRPr="00A1248B">
        <w:rPr>
          <w:rFonts w:eastAsia="Times New Roman" w:cs="Times New Roman"/>
          <w:sz w:val="18"/>
          <w:lang w:eastAsia="en-AU"/>
        </w:rPr>
        <w:t>Note 1:</w:t>
      </w:r>
      <w:r w:rsidRPr="00A1248B">
        <w:rPr>
          <w:rFonts w:eastAsia="Times New Roman" w:cs="Times New Roman"/>
          <w:sz w:val="18"/>
          <w:lang w:eastAsia="en-AU"/>
        </w:rPr>
        <w:tab/>
        <w:t>A label, in relation to therapeutic goods, is the display of printed information on or attached to the goods, on or attached to the container or primary pack in which the goods are supplied, or supplied with such a container or pack</w:t>
      </w:r>
      <w:r w:rsidR="0022280B">
        <w:rPr>
          <w:rFonts w:eastAsia="Times New Roman" w:cs="Times New Roman"/>
          <w:sz w:val="18"/>
          <w:lang w:eastAsia="en-AU"/>
        </w:rPr>
        <w:t>: s</w:t>
      </w:r>
      <w:r w:rsidRPr="00A1248B">
        <w:rPr>
          <w:rFonts w:eastAsia="Times New Roman" w:cs="Times New Roman"/>
          <w:sz w:val="18"/>
          <w:lang w:eastAsia="en-AU"/>
        </w:rPr>
        <w:t>ee subsection 3(1) of the Act.</w:t>
      </w:r>
    </w:p>
    <w:p w14:paraId="153D1AB4" w14:textId="77777777" w:rsidR="00A1248B" w:rsidRPr="00A1248B" w:rsidRDefault="00A1248B" w:rsidP="00A1248B">
      <w:pPr>
        <w:spacing w:before="122" w:line="198" w:lineRule="exact"/>
        <w:ind w:left="1985" w:hanging="851"/>
        <w:rPr>
          <w:rFonts w:eastAsia="Times New Roman" w:cs="Times New Roman"/>
          <w:sz w:val="18"/>
          <w:lang w:eastAsia="en-AU"/>
        </w:rPr>
      </w:pPr>
      <w:r w:rsidRPr="00A1248B">
        <w:rPr>
          <w:rFonts w:eastAsia="Times New Roman" w:cs="Times New Roman"/>
          <w:sz w:val="18"/>
          <w:lang w:eastAsia="en-AU"/>
        </w:rPr>
        <w:t>Note 2:</w:t>
      </w:r>
      <w:r w:rsidRPr="00A1248B">
        <w:rPr>
          <w:rFonts w:eastAsia="Times New Roman" w:cs="Times New Roman"/>
          <w:sz w:val="18"/>
          <w:lang w:eastAsia="en-AU"/>
        </w:rPr>
        <w:tab/>
        <w:t>Labels include displays of printed information on stickers placed over the container or primary pack of therapeutic goods, and information sheets supplied with the container or primary pack of therapeutic goods.</w:t>
      </w:r>
    </w:p>
    <w:p w14:paraId="64361580" w14:textId="77777777" w:rsidR="00A1248B" w:rsidRPr="00A1248B" w:rsidRDefault="00A1248B" w:rsidP="00A1248B">
      <w:pPr>
        <w:spacing w:before="122" w:line="198" w:lineRule="exact"/>
        <w:ind w:left="1985" w:hanging="851"/>
        <w:rPr>
          <w:rFonts w:eastAsia="Times New Roman" w:cs="Times New Roman"/>
          <w:sz w:val="18"/>
          <w:lang w:eastAsia="en-AU"/>
        </w:rPr>
      </w:pPr>
      <w:r w:rsidRPr="00A1248B">
        <w:rPr>
          <w:rFonts w:eastAsia="Times New Roman" w:cs="Times New Roman"/>
          <w:sz w:val="18"/>
          <w:lang w:eastAsia="en-AU"/>
        </w:rPr>
        <w:t>Example:</w:t>
      </w:r>
      <w:r w:rsidRPr="00A1248B">
        <w:rPr>
          <w:rFonts w:eastAsia="Times New Roman" w:cs="Times New Roman"/>
          <w:sz w:val="18"/>
          <w:lang w:eastAsia="en-AU"/>
        </w:rPr>
        <w:tab/>
        <w:t>A nicotine vaping product complies with this subsection if the information specified in items 1 and 2 of Schedule 2 is printed on a sticker placed over the container of the product, and the information specified in item 3 of Schedule 2 is printed on an information sheet supplied with that container.</w:t>
      </w:r>
    </w:p>
    <w:p w14:paraId="09E3AC7D" w14:textId="77777777" w:rsidR="00A1248B" w:rsidRPr="00A1248B" w:rsidRDefault="00A1248B" w:rsidP="00A1248B">
      <w:pPr>
        <w:tabs>
          <w:tab w:val="right" w:pos="1021"/>
        </w:tabs>
        <w:spacing w:before="180" w:line="240" w:lineRule="auto"/>
        <w:ind w:left="1134" w:hanging="1134"/>
        <w:rPr>
          <w:rFonts w:eastAsia="Times New Roman" w:cs="Times New Roman"/>
          <w:lang w:eastAsia="en-AU"/>
        </w:rPr>
      </w:pPr>
      <w:r w:rsidRPr="00A1248B">
        <w:rPr>
          <w:rFonts w:eastAsia="Times New Roman" w:cs="Times New Roman"/>
          <w:lang w:eastAsia="en-AU"/>
        </w:rPr>
        <w:tab/>
        <w:t>(3)</w:t>
      </w:r>
      <w:r w:rsidRPr="00A1248B">
        <w:rPr>
          <w:rFonts w:eastAsia="Times New Roman" w:cs="Times New Roman"/>
          <w:lang w:eastAsia="en-AU"/>
        </w:rPr>
        <w:tab/>
        <w:t>All of the information that is displayed on the label of a nicotine vaping product must be:</w:t>
      </w:r>
    </w:p>
    <w:p w14:paraId="7E5CFAD8" w14:textId="77777777" w:rsidR="00A1248B" w:rsidRPr="00A1248B" w:rsidRDefault="00A1248B" w:rsidP="00A1248B">
      <w:pPr>
        <w:tabs>
          <w:tab w:val="right" w:pos="1531"/>
        </w:tabs>
        <w:spacing w:before="40" w:line="240" w:lineRule="auto"/>
        <w:ind w:left="1644" w:hanging="1644"/>
        <w:rPr>
          <w:rFonts w:eastAsia="Times New Roman" w:cs="Times New Roman"/>
          <w:lang w:eastAsia="en-AU"/>
        </w:rPr>
      </w:pPr>
      <w:r w:rsidRPr="00A1248B">
        <w:rPr>
          <w:rFonts w:eastAsia="Times New Roman" w:cs="Times New Roman"/>
          <w:lang w:eastAsia="en-AU"/>
        </w:rPr>
        <w:tab/>
        <w:t>(a)</w:t>
      </w:r>
      <w:r w:rsidRPr="00A1248B">
        <w:rPr>
          <w:rFonts w:eastAsia="Times New Roman" w:cs="Times New Roman"/>
          <w:lang w:eastAsia="en-AU"/>
        </w:rPr>
        <w:tab/>
        <w:t>in English; and</w:t>
      </w:r>
    </w:p>
    <w:p w14:paraId="50101C97" w14:textId="77777777" w:rsidR="00A1248B" w:rsidRPr="00A1248B" w:rsidRDefault="00A1248B" w:rsidP="00A1248B">
      <w:pPr>
        <w:tabs>
          <w:tab w:val="right" w:pos="1531"/>
        </w:tabs>
        <w:spacing w:before="40" w:line="240" w:lineRule="auto"/>
        <w:ind w:left="1644" w:hanging="1644"/>
        <w:rPr>
          <w:rFonts w:eastAsia="Times New Roman" w:cs="Times New Roman"/>
          <w:lang w:eastAsia="en-AU"/>
        </w:rPr>
      </w:pPr>
      <w:r w:rsidRPr="00A1248B">
        <w:rPr>
          <w:rFonts w:eastAsia="Times New Roman" w:cs="Times New Roman"/>
          <w:lang w:eastAsia="en-AU"/>
        </w:rPr>
        <w:tab/>
        <w:t>(b)</w:t>
      </w:r>
      <w:r w:rsidRPr="00A1248B">
        <w:rPr>
          <w:rFonts w:eastAsia="Times New Roman" w:cs="Times New Roman"/>
          <w:lang w:eastAsia="en-AU"/>
        </w:rPr>
        <w:tab/>
        <w:t>legible; and</w:t>
      </w:r>
    </w:p>
    <w:p w14:paraId="1525AAE5" w14:textId="77777777" w:rsidR="00A1248B" w:rsidRPr="00A1248B" w:rsidRDefault="00A1248B" w:rsidP="00A1248B">
      <w:pPr>
        <w:tabs>
          <w:tab w:val="right" w:pos="1531"/>
        </w:tabs>
        <w:spacing w:before="40" w:line="240" w:lineRule="auto"/>
        <w:ind w:left="1644" w:hanging="1644"/>
        <w:rPr>
          <w:rFonts w:eastAsia="Times New Roman" w:cs="Times New Roman"/>
          <w:lang w:eastAsia="en-AU"/>
        </w:rPr>
      </w:pPr>
      <w:r w:rsidRPr="00A1248B">
        <w:rPr>
          <w:rFonts w:eastAsia="Times New Roman" w:cs="Times New Roman"/>
          <w:lang w:eastAsia="en-AU"/>
        </w:rPr>
        <w:tab/>
        <w:t>(c)</w:t>
      </w:r>
      <w:r w:rsidRPr="00A1248B">
        <w:rPr>
          <w:rFonts w:eastAsia="Times New Roman" w:cs="Times New Roman"/>
          <w:lang w:eastAsia="en-AU"/>
        </w:rPr>
        <w:tab/>
        <w:t>visible and not obscured; and</w:t>
      </w:r>
    </w:p>
    <w:p w14:paraId="6119C518" w14:textId="77777777" w:rsidR="00A1248B" w:rsidRPr="00A1248B" w:rsidRDefault="00A1248B" w:rsidP="00A1248B">
      <w:pPr>
        <w:tabs>
          <w:tab w:val="right" w:pos="1531"/>
        </w:tabs>
        <w:spacing w:before="40" w:line="240" w:lineRule="auto"/>
        <w:ind w:left="1644" w:hanging="1644"/>
        <w:rPr>
          <w:rFonts w:eastAsia="Times New Roman" w:cs="Times New Roman"/>
          <w:lang w:eastAsia="en-AU"/>
        </w:rPr>
      </w:pPr>
      <w:r w:rsidRPr="00A1248B">
        <w:rPr>
          <w:rFonts w:eastAsia="Times New Roman" w:cs="Times New Roman"/>
          <w:lang w:eastAsia="en-AU"/>
        </w:rPr>
        <w:tab/>
        <w:t>(d)</w:t>
      </w:r>
      <w:r w:rsidRPr="00A1248B">
        <w:rPr>
          <w:rFonts w:eastAsia="Times New Roman" w:cs="Times New Roman"/>
          <w:lang w:eastAsia="en-AU"/>
        </w:rPr>
        <w:tab/>
        <w:t>durable.</w:t>
      </w:r>
    </w:p>
    <w:p w14:paraId="0BD1D45A" w14:textId="77777777" w:rsidR="00054F86" w:rsidRDefault="00054F86" w:rsidP="008918EF">
      <w:pPr>
        <w:pStyle w:val="ActHead5"/>
      </w:pPr>
      <w:bookmarkStart w:id="15" w:name="_Toc71707779"/>
      <w:r>
        <w:t>9</w:t>
      </w:r>
      <w:r w:rsidRPr="004D2CD4">
        <w:t xml:space="preserve">  </w:t>
      </w:r>
      <w:r w:rsidR="00456C8E">
        <w:t>Child-</w:t>
      </w:r>
      <w:r w:rsidR="008918EF">
        <w:t xml:space="preserve">resistant </w:t>
      </w:r>
      <w:r w:rsidR="00BE7A9C">
        <w:t>packaging</w:t>
      </w:r>
      <w:bookmarkEnd w:id="15"/>
    </w:p>
    <w:p w14:paraId="0BCC3D9E" w14:textId="386F39D6" w:rsidR="00644B54" w:rsidRDefault="00681A9A" w:rsidP="00DC1D0A">
      <w:pPr>
        <w:pStyle w:val="subsection"/>
      </w:pPr>
      <w:r>
        <w:tab/>
      </w:r>
      <w:r w:rsidR="00414FB2">
        <w:t>(1)</w:t>
      </w:r>
      <w:r>
        <w:tab/>
      </w:r>
      <w:r w:rsidR="00F82A34">
        <w:t>A</w:t>
      </w:r>
      <w:r w:rsidR="00DC1D0A">
        <w:t xml:space="preserve"> </w:t>
      </w:r>
      <w:r>
        <w:t>nicotine</w:t>
      </w:r>
      <w:r w:rsidR="00DC1D0A">
        <w:t xml:space="preserve"> </w:t>
      </w:r>
      <w:r w:rsidR="005A19D1">
        <w:t xml:space="preserve">vaping </w:t>
      </w:r>
      <w:r w:rsidR="00DC1D0A">
        <w:t>product</w:t>
      </w:r>
      <w:r>
        <w:t xml:space="preserve"> must </w:t>
      </w:r>
      <w:r w:rsidR="00DC1D0A">
        <w:t>comply with the requirements</w:t>
      </w:r>
      <w:r w:rsidR="00644B54">
        <w:t xml:space="preserve"> specified in the following sections of TGO 95</w:t>
      </w:r>
      <w:r w:rsidR="00583C15">
        <w:t xml:space="preserve"> (</w:t>
      </w:r>
      <w:r w:rsidR="00583C15">
        <w:rPr>
          <w:b/>
          <w:i/>
        </w:rPr>
        <w:t>child-resistant packaging requirements</w:t>
      </w:r>
      <w:r w:rsidR="00583C15" w:rsidRPr="00340F7D">
        <w:t>)</w:t>
      </w:r>
      <w:r w:rsidR="00644B54">
        <w:t>:</w:t>
      </w:r>
    </w:p>
    <w:p w14:paraId="35647D5D" w14:textId="77777777" w:rsidR="00644B54" w:rsidRDefault="00644B54" w:rsidP="00644B54">
      <w:pPr>
        <w:pStyle w:val="paragraph"/>
      </w:pPr>
      <w:r>
        <w:tab/>
        <w:t>(a)</w:t>
      </w:r>
      <w:r>
        <w:tab/>
        <w:t>section 8 (general requirements);</w:t>
      </w:r>
      <w:r w:rsidR="0094256A">
        <w:t xml:space="preserve"> and</w:t>
      </w:r>
    </w:p>
    <w:p w14:paraId="6B2A1DA4" w14:textId="67BC1C1D" w:rsidR="00644B54" w:rsidRDefault="00644B54" w:rsidP="00644B54">
      <w:pPr>
        <w:pStyle w:val="paragraph"/>
      </w:pPr>
      <w:r>
        <w:tab/>
        <w:t>(b)</w:t>
      </w:r>
      <w:r>
        <w:tab/>
      </w:r>
      <w:r w:rsidR="00AA6856">
        <w:t>where</w:t>
      </w:r>
      <w:r w:rsidR="00572968">
        <w:t xml:space="preserve"> the product is in a reclosable package—</w:t>
      </w:r>
      <w:r>
        <w:t>section 9</w:t>
      </w:r>
      <w:r w:rsidR="00F82A34">
        <w:t xml:space="preserve"> (reclosable packages)</w:t>
      </w:r>
      <w:r>
        <w:t>, other than subsection 9(6);</w:t>
      </w:r>
      <w:r w:rsidR="0094256A">
        <w:t xml:space="preserve"> and</w:t>
      </w:r>
    </w:p>
    <w:p w14:paraId="49C01A02" w14:textId="3B767924" w:rsidR="00A75FE9" w:rsidRDefault="00644B54" w:rsidP="00644B54">
      <w:pPr>
        <w:pStyle w:val="paragraph"/>
      </w:pPr>
      <w:r>
        <w:tab/>
        <w:t>(c)</w:t>
      </w:r>
      <w:r>
        <w:tab/>
      </w:r>
      <w:r w:rsidR="00AA6856">
        <w:t>where</w:t>
      </w:r>
      <w:r w:rsidR="00572968">
        <w:t xml:space="preserve"> the product is in a non-reclosable package—</w:t>
      </w:r>
      <w:r>
        <w:t>section 10 (non-reclosable packages)</w:t>
      </w:r>
      <w:r w:rsidR="00681A9A">
        <w:t>.</w:t>
      </w:r>
    </w:p>
    <w:p w14:paraId="69B29B43" w14:textId="530CDE1B" w:rsidR="00F82A34" w:rsidRDefault="00F34EA6" w:rsidP="00F34EA6">
      <w:pPr>
        <w:pStyle w:val="subsection"/>
      </w:pPr>
      <w:r>
        <w:tab/>
      </w:r>
      <w:r w:rsidRPr="00A51A89">
        <w:t>(2)</w:t>
      </w:r>
      <w:r w:rsidRPr="00A51A89">
        <w:tab/>
      </w:r>
      <w:r w:rsidR="004D5976">
        <w:t>A</w:t>
      </w:r>
      <w:r w:rsidRPr="00A51A89">
        <w:t xml:space="preserve"> nicotine </w:t>
      </w:r>
      <w:r w:rsidR="005A19D1">
        <w:t xml:space="preserve">vaping </w:t>
      </w:r>
      <w:r w:rsidRPr="00A51A89">
        <w:t xml:space="preserve">product </w:t>
      </w:r>
      <w:r w:rsidR="004D5976">
        <w:t xml:space="preserve">is </w:t>
      </w:r>
      <w:r w:rsidR="00D55442">
        <w:t xml:space="preserve">taken to comply with the </w:t>
      </w:r>
      <w:r w:rsidR="00583C15">
        <w:t xml:space="preserve">child-resistant packaging requirements </w:t>
      </w:r>
      <w:r w:rsidR="00F82A34">
        <w:t>if one of the following paragraphs appl</w:t>
      </w:r>
      <w:r w:rsidR="006D4E95">
        <w:t>ies</w:t>
      </w:r>
      <w:r w:rsidR="00F82A34">
        <w:t>:</w:t>
      </w:r>
    </w:p>
    <w:p w14:paraId="03FB3FB2" w14:textId="77777777" w:rsidR="00583C15" w:rsidRDefault="00F82A34" w:rsidP="00340F7D">
      <w:pPr>
        <w:pStyle w:val="paragraph"/>
      </w:pPr>
      <w:r>
        <w:tab/>
        <w:t>(a)</w:t>
      </w:r>
      <w:r>
        <w:tab/>
        <w:t xml:space="preserve">the product </w:t>
      </w:r>
      <w:r w:rsidR="00C20483" w:rsidRPr="00A51A89">
        <w:t>is</w:t>
      </w:r>
      <w:r w:rsidR="00F34EA6" w:rsidRPr="00A51A89">
        <w:t xml:space="preserve"> packaged for supply in Canada </w:t>
      </w:r>
      <w:r w:rsidR="00583C15">
        <w:t xml:space="preserve">and complies </w:t>
      </w:r>
      <w:r w:rsidR="00F34EA6" w:rsidRPr="00A51A89">
        <w:t xml:space="preserve">with the </w:t>
      </w:r>
      <w:r w:rsidR="00F34EA6" w:rsidRPr="00340F7D">
        <w:t xml:space="preserve">requirements </w:t>
      </w:r>
      <w:r w:rsidR="007C1DB6" w:rsidRPr="00340F7D">
        <w:t xml:space="preserve">in relation to </w:t>
      </w:r>
      <w:r w:rsidR="00583C15">
        <w:t xml:space="preserve">child-resistant </w:t>
      </w:r>
      <w:r w:rsidR="007C1DB6" w:rsidRPr="00340F7D">
        <w:t xml:space="preserve">packaging specified </w:t>
      </w:r>
      <w:r w:rsidR="00F34EA6" w:rsidRPr="00340F7D">
        <w:t>in sections 5</w:t>
      </w:r>
      <w:r w:rsidR="00221F3D">
        <w:t>0</w:t>
      </w:r>
      <w:r w:rsidR="00F34EA6" w:rsidRPr="00340F7D">
        <w:t xml:space="preserve"> to 54 of the Vaping Products Labelling and Packaging Regulations </w:t>
      </w:r>
      <w:r w:rsidR="007C1DB6" w:rsidRPr="00340F7D">
        <w:t xml:space="preserve">of </w:t>
      </w:r>
      <w:r w:rsidR="00F34EA6" w:rsidRPr="00340F7D">
        <w:t>Canada</w:t>
      </w:r>
      <w:r w:rsidR="00F34EA6" w:rsidRPr="00A51A89">
        <w:t>,</w:t>
      </w:r>
      <w:r w:rsidR="002E1023">
        <w:t xml:space="preserve"> as in force or existing from time to time</w:t>
      </w:r>
      <w:r w:rsidR="00583C15">
        <w:t>;</w:t>
      </w:r>
    </w:p>
    <w:p w14:paraId="58C747C9" w14:textId="77777777" w:rsidR="00583C15" w:rsidRPr="00583C15" w:rsidRDefault="00583C15" w:rsidP="00340F7D">
      <w:pPr>
        <w:pStyle w:val="paragraph"/>
      </w:pPr>
      <w:r>
        <w:tab/>
        <w:t>(b)</w:t>
      </w:r>
      <w:r>
        <w:tab/>
        <w:t xml:space="preserve">the product </w:t>
      </w:r>
      <w:r w:rsidRPr="00A51A89">
        <w:t xml:space="preserve">is packaged for supply in the European Union </w:t>
      </w:r>
      <w:r>
        <w:t xml:space="preserve">and complies </w:t>
      </w:r>
      <w:r w:rsidRPr="00A51A89">
        <w:t xml:space="preserve">with </w:t>
      </w:r>
      <w:r w:rsidRPr="00340F7D">
        <w:t xml:space="preserve">the requirements in relation to child-resistant packaging specified in Article 20(3)(g) of the </w:t>
      </w:r>
      <w:r w:rsidRPr="00340F7D">
        <w:rPr>
          <w:i/>
        </w:rPr>
        <w:t>Directive 2014/40/EU of the European Parliament and of the Council of 3 April 2014</w:t>
      </w:r>
      <w:r w:rsidRPr="00340F7D">
        <w:t>,</w:t>
      </w:r>
      <w:r w:rsidRPr="00583C15">
        <w:t xml:space="preserve"> as in force or existing from time to time;</w:t>
      </w:r>
    </w:p>
    <w:p w14:paraId="7019C5BB" w14:textId="77777777" w:rsidR="002A3469" w:rsidRDefault="00583C15" w:rsidP="00340F7D">
      <w:pPr>
        <w:pStyle w:val="paragraph"/>
      </w:pPr>
      <w:r w:rsidRPr="00583C15">
        <w:tab/>
        <w:t>(c)</w:t>
      </w:r>
      <w:r w:rsidRPr="00583C15">
        <w:tab/>
      </w:r>
      <w:r w:rsidR="008446BB">
        <w:t xml:space="preserve">the </w:t>
      </w:r>
      <w:r w:rsidR="008446BB" w:rsidRPr="00583C15">
        <w:t>produc</w:t>
      </w:r>
      <w:r w:rsidR="00B77877">
        <w:t xml:space="preserve">t is packaged for supply in </w:t>
      </w:r>
      <w:r w:rsidR="008446BB">
        <w:t>New Zealand</w:t>
      </w:r>
      <w:r w:rsidR="008446BB" w:rsidRPr="00583C15">
        <w:t xml:space="preserve"> and complies with </w:t>
      </w:r>
      <w:r w:rsidR="00B77877">
        <w:t>the </w:t>
      </w:r>
      <w:r w:rsidR="008446BB" w:rsidRPr="00C231A9">
        <w:t>requirements in relation to child-resistant</w:t>
      </w:r>
      <w:r w:rsidR="008A2268">
        <w:t xml:space="preserve"> packaging </w:t>
      </w:r>
      <w:r w:rsidR="008A2268" w:rsidRPr="008A2268">
        <w:t xml:space="preserve">specified in regulations made under the </w:t>
      </w:r>
      <w:r w:rsidR="008A2268" w:rsidRPr="008A2268">
        <w:rPr>
          <w:i/>
          <w:iCs/>
        </w:rPr>
        <w:t xml:space="preserve">Smokefree Environments and Regulated Products Act 1990 </w:t>
      </w:r>
      <w:r w:rsidR="008A2268" w:rsidRPr="008A2268">
        <w:t>(NZ)</w:t>
      </w:r>
      <w:r w:rsidR="008446BB" w:rsidRPr="00C231A9">
        <w:t>,</w:t>
      </w:r>
      <w:r w:rsidR="008446BB" w:rsidRPr="00583C15">
        <w:t xml:space="preserve"> as in force or existing from time to time</w:t>
      </w:r>
      <w:r w:rsidR="00B77877">
        <w:t>;</w:t>
      </w:r>
    </w:p>
    <w:p w14:paraId="27C37D5D" w14:textId="77777777" w:rsidR="00583C15" w:rsidRPr="00D55442" w:rsidRDefault="002A3469" w:rsidP="00340F7D">
      <w:pPr>
        <w:pStyle w:val="paragraph"/>
      </w:pPr>
      <w:r>
        <w:tab/>
        <w:t>(d)</w:t>
      </w:r>
      <w:r>
        <w:tab/>
        <w:t xml:space="preserve">the </w:t>
      </w:r>
      <w:r w:rsidR="00583C15" w:rsidRPr="00583C15">
        <w:t xml:space="preserve">product is packaged for supply in the United Kingdom and complies with </w:t>
      </w:r>
      <w:r w:rsidR="00583C15" w:rsidRPr="00340F7D">
        <w:t xml:space="preserve">the requirements in relation to child-resistant packaging specified in paragraph 36(7) of the </w:t>
      </w:r>
      <w:r w:rsidR="00583C15" w:rsidRPr="00340F7D">
        <w:rPr>
          <w:i/>
        </w:rPr>
        <w:t>Tobacco and Related Products Regulations 2016</w:t>
      </w:r>
      <w:r w:rsidR="00583C15" w:rsidRPr="00340F7D">
        <w:t xml:space="preserve"> of the United Kingdom,</w:t>
      </w:r>
      <w:r w:rsidR="00583C15" w:rsidRPr="00583C15">
        <w:t xml:space="preserve"> as in force or existing from time to time;</w:t>
      </w:r>
    </w:p>
    <w:p w14:paraId="11AD17F4" w14:textId="77777777" w:rsidR="002A3469" w:rsidRDefault="002A3469" w:rsidP="00340F7D">
      <w:pPr>
        <w:pStyle w:val="paragraph"/>
      </w:pPr>
      <w:r>
        <w:tab/>
        <w:t>(e</w:t>
      </w:r>
      <w:r w:rsidR="00583C15" w:rsidRPr="00583C15">
        <w:t>)</w:t>
      </w:r>
      <w:r w:rsidR="00583C15" w:rsidRPr="00583C15">
        <w:tab/>
        <w:t xml:space="preserve">the product is packaged for supply in the United States and complies with </w:t>
      </w:r>
      <w:r w:rsidR="00583C15" w:rsidRPr="00340F7D">
        <w:t xml:space="preserve">the requirements in relation to child-resistant packaging specified in </w:t>
      </w:r>
      <w:r w:rsidR="00583C15" w:rsidRPr="00340F7D">
        <w:rPr>
          <w:rFonts w:cs="Arial"/>
          <w:color w:val="333333"/>
          <w:lang w:val="en"/>
        </w:rPr>
        <w:t xml:space="preserve">16 CFR § 1700.15 </w:t>
      </w:r>
      <w:r w:rsidR="00583C15" w:rsidRPr="00340F7D">
        <w:t>of the Poison prevention packaging standards of the United States</w:t>
      </w:r>
      <w:r w:rsidR="00583C15" w:rsidRPr="00583C15">
        <w:t>, as in force</w:t>
      </w:r>
      <w:r w:rsidR="00583C15" w:rsidRPr="00D55442">
        <w:t xml:space="preserve"> or existing from time to time.</w:t>
      </w:r>
    </w:p>
    <w:p w14:paraId="387CA3D6" w14:textId="77777777" w:rsidR="00B77877" w:rsidRDefault="00B77877" w:rsidP="00340F7D">
      <w:pPr>
        <w:pStyle w:val="notetext"/>
      </w:pPr>
      <w:r>
        <w:t>Note:</w:t>
      </w:r>
      <w:r w:rsidR="002409AE">
        <w:tab/>
        <w:t>To avoid doubt, a paragraph of this subsection only applies where the laws of the relevant jurisdiction specify requirements in relation to child-resistant packaging.</w:t>
      </w:r>
    </w:p>
    <w:p w14:paraId="5B7CDF7B" w14:textId="3F67F02C" w:rsidR="004C07FA" w:rsidRDefault="004C07FA" w:rsidP="004C07FA">
      <w:pPr>
        <w:pStyle w:val="ActHead5"/>
      </w:pPr>
      <w:bookmarkStart w:id="16" w:name="_Toc71707780"/>
      <w:r>
        <w:t>1</w:t>
      </w:r>
      <w:r w:rsidR="00572968">
        <w:t>0</w:t>
      </w:r>
      <w:r w:rsidRPr="004D2CD4">
        <w:t xml:space="preserve">  </w:t>
      </w:r>
      <w:r>
        <w:t>Re</w:t>
      </w:r>
      <w:r w:rsidR="00F16EC2">
        <w:t>cord-keeping</w:t>
      </w:r>
      <w:bookmarkEnd w:id="16"/>
    </w:p>
    <w:p w14:paraId="001E24CD" w14:textId="76648C45" w:rsidR="00F16EC2" w:rsidRDefault="00F16EC2" w:rsidP="00340F7D">
      <w:pPr>
        <w:pStyle w:val="subsection"/>
      </w:pPr>
      <w:r w:rsidRPr="00DE51D4">
        <w:tab/>
        <w:t>(1)</w:t>
      </w:r>
      <w:r w:rsidRPr="00DE51D4">
        <w:tab/>
        <w:t>R</w:t>
      </w:r>
      <w:r w:rsidRPr="005F13F1">
        <w:t xml:space="preserve">ecords in relation to a nicotine vaping product must be maintained </w:t>
      </w:r>
      <w:r w:rsidR="00137579">
        <w:t>by the sponsor of the product</w:t>
      </w:r>
      <w:r w:rsidR="00E5757F">
        <w:t>.</w:t>
      </w:r>
    </w:p>
    <w:p w14:paraId="4328ACB8" w14:textId="6B2A4C97" w:rsidR="00F16EC2" w:rsidRDefault="00F16EC2" w:rsidP="003D6FF6">
      <w:pPr>
        <w:pStyle w:val="subsection"/>
      </w:pPr>
      <w:r>
        <w:tab/>
        <w:t>(2)</w:t>
      </w:r>
      <w:r>
        <w:tab/>
        <w:t>The record</w:t>
      </w:r>
      <w:r w:rsidR="003D6FF6">
        <w:t xml:space="preserve">s must contain </w:t>
      </w:r>
      <w:r w:rsidR="003D6FF6" w:rsidRPr="00DE51D4">
        <w:t>sufficient</w:t>
      </w:r>
      <w:r w:rsidR="003D6FF6">
        <w:t xml:space="preserve"> information to demonstrate that the nicotine vaping product conforms with this standard.</w:t>
      </w:r>
    </w:p>
    <w:p w14:paraId="5AFCE4C1" w14:textId="06D7BF8D" w:rsidR="00F16EC2" w:rsidRDefault="00F16EC2" w:rsidP="00340F7D">
      <w:pPr>
        <w:pStyle w:val="subsection"/>
      </w:pPr>
      <w:r>
        <w:tab/>
        <w:t>(3)</w:t>
      </w:r>
      <w:r>
        <w:tab/>
        <w:t>This section does not apply in relation to a nicotine vaping product that is imported into Australia in accordance with item 1 of Schedule 5 to the Regulations.</w:t>
      </w:r>
    </w:p>
    <w:p w14:paraId="749CCDA3" w14:textId="4409F322" w:rsidR="00572968" w:rsidRDefault="00572968" w:rsidP="00572968">
      <w:pPr>
        <w:pStyle w:val="ActHead5"/>
      </w:pPr>
      <w:bookmarkStart w:id="17" w:name="_Toc71707781"/>
      <w:r>
        <w:t>11</w:t>
      </w:r>
      <w:r w:rsidRPr="004D2CD4">
        <w:t xml:space="preserve">  </w:t>
      </w:r>
      <w:r>
        <w:t>Alternative conformity</w:t>
      </w:r>
      <w:bookmarkEnd w:id="17"/>
    </w:p>
    <w:p w14:paraId="3E89D350" w14:textId="50F7AB72" w:rsidR="00572968" w:rsidRDefault="00572968" w:rsidP="00572968">
      <w:pPr>
        <w:pStyle w:val="subsection"/>
      </w:pPr>
      <w:r>
        <w:tab/>
        <w:t>(1)</w:t>
      </w:r>
      <w:r>
        <w:tab/>
        <w:t>A nicotine vaping product is taken to comply with the requirements specified in sections 7, 9, and 10, if the product:</w:t>
      </w:r>
    </w:p>
    <w:p w14:paraId="487C6985" w14:textId="4F9303A7" w:rsidR="00572968" w:rsidRDefault="00572968" w:rsidP="00572968">
      <w:pPr>
        <w:pStyle w:val="paragraph"/>
      </w:pPr>
      <w:r>
        <w:tab/>
        <w:t>(a)</w:t>
      </w:r>
      <w:r>
        <w:tab/>
      </w:r>
      <w:r w:rsidR="00E740B5">
        <w:t xml:space="preserve">is </w:t>
      </w:r>
      <w:r>
        <w:t>a new tobacco product within the meaning of section 910(a) of the Federal Food, Drug, and Cosmetic Act; and</w:t>
      </w:r>
    </w:p>
    <w:p w14:paraId="1ACCC61C" w14:textId="43E42439" w:rsidR="00F26C93" w:rsidRDefault="00572968" w:rsidP="00572968">
      <w:pPr>
        <w:pStyle w:val="paragraph"/>
      </w:pPr>
      <w:r>
        <w:tab/>
        <w:t>(b)</w:t>
      </w:r>
      <w:r>
        <w:tab/>
      </w:r>
      <w:r w:rsidR="00E740B5">
        <w:t xml:space="preserve">is </w:t>
      </w:r>
      <w:r>
        <w:t>the subject of an order issued under section 910(c)(1)(A)(i) of the Federal Food, Drug, and Cosmetic Act</w:t>
      </w:r>
      <w:r w:rsidR="00F26C93">
        <w:t>; and</w:t>
      </w:r>
    </w:p>
    <w:p w14:paraId="67E8FBC4" w14:textId="24A331C5" w:rsidR="00572968" w:rsidRDefault="00F26C93" w:rsidP="00572968">
      <w:pPr>
        <w:pStyle w:val="paragraph"/>
      </w:pPr>
      <w:r>
        <w:tab/>
        <w:t>(c)</w:t>
      </w:r>
      <w:r>
        <w:tab/>
      </w:r>
      <w:r w:rsidR="00240797">
        <w:t xml:space="preserve">complies with all requirements </w:t>
      </w:r>
      <w:r>
        <w:t xml:space="preserve">specified </w:t>
      </w:r>
      <w:r w:rsidR="00240797">
        <w:t xml:space="preserve">in </w:t>
      </w:r>
      <w:r>
        <w:t xml:space="preserve">the </w:t>
      </w:r>
      <w:r w:rsidR="00240797">
        <w:t>order</w:t>
      </w:r>
      <w:r>
        <w:t xml:space="preserve"> mentioned in paragraph (b)</w:t>
      </w:r>
      <w:r w:rsidR="00240797">
        <w:t>.</w:t>
      </w:r>
    </w:p>
    <w:p w14:paraId="700F6FFB" w14:textId="77777777" w:rsidR="00572968" w:rsidRDefault="00572968" w:rsidP="00572968">
      <w:pPr>
        <w:pStyle w:val="notetext"/>
      </w:pPr>
      <w:r>
        <w:t>Note 1:</w:t>
      </w:r>
      <w:r>
        <w:tab/>
        <w:t xml:space="preserve">An order issued under section </w:t>
      </w:r>
      <w:r w:rsidRPr="00376CE6">
        <w:t>910(c)(1)(A)(i) of the Federal Food, Drug</w:t>
      </w:r>
      <w:r>
        <w:t>,</w:t>
      </w:r>
      <w:r w:rsidRPr="00376CE6">
        <w:t xml:space="preserve"> and Cosmetic Act </w:t>
      </w:r>
      <w:r>
        <w:t>is commonly referred to as a premarket tobacco product marketing order.</w:t>
      </w:r>
    </w:p>
    <w:p w14:paraId="1B47F1F6" w14:textId="77777777" w:rsidR="00572968" w:rsidRDefault="00572968" w:rsidP="00572968">
      <w:pPr>
        <w:pStyle w:val="notetext"/>
      </w:pPr>
      <w:r>
        <w:t>Note 2:</w:t>
      </w:r>
      <w:r>
        <w:tab/>
        <w:t>A premarket tobacco product marketing order may only be issued in relation to a new tobacco product that is the subject of a premarket tobacco product application for which a premarket review has been conducted by the United States Food and Drug Administration, determining that the marketing of the product is appropriate for the protection of public health in accordance with section 910(c)(4) of the Federal Food, Drug, and Cosmetic Act.</w:t>
      </w:r>
    </w:p>
    <w:p w14:paraId="321A34EC" w14:textId="77777777" w:rsidR="00572968" w:rsidRDefault="00572968" w:rsidP="00572968">
      <w:pPr>
        <w:pStyle w:val="notetext"/>
      </w:pPr>
      <w:r>
        <w:t>Note 3:</w:t>
      </w:r>
      <w:r>
        <w:tab/>
        <w:t xml:space="preserve">The United States Food and Drug Administration publishes a list of premarket tobacco product marketing orders on its website at </w:t>
      </w:r>
      <w:r w:rsidRPr="00340F7D">
        <w:t>www.fda.gov</w:t>
      </w:r>
      <w:r>
        <w:t>.</w:t>
      </w:r>
    </w:p>
    <w:p w14:paraId="1DDC4497" w14:textId="092B7658" w:rsidR="00572968" w:rsidRDefault="00572968" w:rsidP="00572968">
      <w:pPr>
        <w:pStyle w:val="subsection"/>
      </w:pPr>
      <w:r>
        <w:tab/>
        <w:t>(2)</w:t>
      </w:r>
      <w:r>
        <w:tab/>
        <w:t xml:space="preserve">For the purposes of this section, a reference to the Federal Food, Drug, and Cosmetic Act is a reference to that Act of the United States, </w:t>
      </w:r>
      <w:r w:rsidRPr="00583C15">
        <w:t>as in force or existing from time to time</w:t>
      </w:r>
      <w:r>
        <w:t>.</w:t>
      </w:r>
    </w:p>
    <w:p w14:paraId="0CF6B38F" w14:textId="1091EF06" w:rsidR="00E45631" w:rsidRDefault="00E45631" w:rsidP="00340F7D">
      <w:pPr>
        <w:pStyle w:val="subsection"/>
      </w:pPr>
      <w:r>
        <w:br w:type="page"/>
      </w:r>
    </w:p>
    <w:p w14:paraId="6F532846" w14:textId="694012E4" w:rsidR="00AF2A7C" w:rsidRPr="009F33D2" w:rsidRDefault="00AF2A7C" w:rsidP="00AF2A7C">
      <w:pPr>
        <w:pStyle w:val="ActHead6"/>
      </w:pPr>
      <w:bookmarkStart w:id="18" w:name="_Toc529866969"/>
      <w:bookmarkStart w:id="19" w:name="_Toc71707782"/>
      <w:r w:rsidRPr="009F33D2">
        <w:t>Schedule 1—</w:t>
      </w:r>
      <w:r>
        <w:t xml:space="preserve">Prohibited </w:t>
      </w:r>
      <w:r w:rsidR="009F77AA">
        <w:t>i</w:t>
      </w:r>
      <w:r>
        <w:t>ngredients</w:t>
      </w:r>
      <w:bookmarkEnd w:id="18"/>
      <w:bookmarkEnd w:id="19"/>
    </w:p>
    <w:p w14:paraId="643CEF87" w14:textId="6D664D62" w:rsidR="00AF2A7C" w:rsidRDefault="00931FBA" w:rsidP="00AF2A7C">
      <w:pPr>
        <w:pStyle w:val="notetext"/>
        <w:spacing w:after="300"/>
        <w:ind w:left="0" w:firstLine="0"/>
        <w:rPr>
          <w:snapToGrid w:val="0"/>
          <w:lang w:eastAsia="en-US"/>
        </w:rPr>
      </w:pPr>
      <w:r>
        <w:rPr>
          <w:snapToGrid w:val="0"/>
          <w:lang w:eastAsia="en-US"/>
        </w:rPr>
        <w:t>Note:</w:t>
      </w:r>
      <w:r>
        <w:rPr>
          <w:snapToGrid w:val="0"/>
          <w:lang w:eastAsia="en-US"/>
        </w:rPr>
        <w:tab/>
      </w:r>
      <w:r w:rsidR="00AF2A7C" w:rsidRPr="000E48C6">
        <w:rPr>
          <w:snapToGrid w:val="0"/>
          <w:lang w:eastAsia="en-US"/>
        </w:rPr>
        <w:t xml:space="preserve">See </w:t>
      </w:r>
      <w:r w:rsidR="00AF2A7C" w:rsidRPr="00931FBA">
        <w:t>subsection</w:t>
      </w:r>
      <w:r w:rsidR="00AF2A7C" w:rsidRPr="000E48C6">
        <w:rPr>
          <w:snapToGrid w:val="0"/>
          <w:lang w:eastAsia="en-US"/>
        </w:rPr>
        <w:t xml:space="preserve"> </w:t>
      </w:r>
      <w:r w:rsidR="00AF2A7C">
        <w:rPr>
          <w:snapToGrid w:val="0"/>
          <w:lang w:eastAsia="en-US"/>
        </w:rPr>
        <w:t>7</w:t>
      </w:r>
      <w:r w:rsidR="00AF2A7C" w:rsidRPr="00931FBA">
        <w:rPr>
          <w:snapToGrid w:val="0"/>
          <w:lang w:eastAsia="en-US"/>
        </w:rPr>
        <w:t>(</w:t>
      </w:r>
      <w:r w:rsidRPr="00931FBA">
        <w:rPr>
          <w:snapToGrid w:val="0"/>
          <w:lang w:eastAsia="en-US"/>
        </w:rPr>
        <w:t>3</w:t>
      </w:r>
      <w:r w:rsidR="00AF2A7C">
        <w:rPr>
          <w:snapToGrid w:val="0"/>
          <w:lang w:eastAsia="en-US"/>
        </w:rPr>
        <w:t>)</w:t>
      </w:r>
      <w:r w:rsidR="00AF2A7C" w:rsidRPr="000E48C6">
        <w:rPr>
          <w:snapToGrid w:val="0"/>
          <w:lang w:eastAsia="en-US"/>
        </w:rPr>
        <w:t>.</w:t>
      </w:r>
    </w:p>
    <w:tbl>
      <w:tblPr>
        <w:tblW w:w="8364"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843"/>
        <w:gridCol w:w="6521"/>
      </w:tblGrid>
      <w:tr w:rsidR="009F77AA" w:rsidRPr="003422B4" w14:paraId="405941A8" w14:textId="77777777" w:rsidTr="009F77AA">
        <w:trPr>
          <w:tblHeader/>
          <w:jc w:val="center"/>
        </w:trPr>
        <w:tc>
          <w:tcPr>
            <w:tcW w:w="8364" w:type="dxa"/>
            <w:gridSpan w:val="2"/>
            <w:tcBorders>
              <w:top w:val="single" w:sz="12" w:space="0" w:color="auto"/>
              <w:bottom w:val="single" w:sz="6" w:space="0" w:color="auto"/>
            </w:tcBorders>
            <w:shd w:val="clear" w:color="auto" w:fill="auto"/>
            <w:hideMark/>
          </w:tcPr>
          <w:p w14:paraId="51EE5C56" w14:textId="33DD9DA8" w:rsidR="009F77AA" w:rsidRPr="003422B4" w:rsidRDefault="009F77AA" w:rsidP="009F77AA">
            <w:pPr>
              <w:pStyle w:val="TableHeading"/>
            </w:pPr>
            <w:r>
              <w:t>Prohibited ingredients</w:t>
            </w:r>
          </w:p>
        </w:tc>
      </w:tr>
      <w:tr w:rsidR="009F77AA" w:rsidRPr="003422B4" w14:paraId="2BDA3CE0" w14:textId="77777777" w:rsidTr="009F77AA">
        <w:trPr>
          <w:tblHeader/>
          <w:jc w:val="center"/>
        </w:trPr>
        <w:tc>
          <w:tcPr>
            <w:tcW w:w="1843" w:type="dxa"/>
            <w:tcBorders>
              <w:top w:val="single" w:sz="6" w:space="0" w:color="auto"/>
              <w:bottom w:val="single" w:sz="6" w:space="0" w:color="auto"/>
            </w:tcBorders>
            <w:shd w:val="clear" w:color="auto" w:fill="auto"/>
            <w:hideMark/>
          </w:tcPr>
          <w:p w14:paraId="3B38B1E2" w14:textId="77777777" w:rsidR="009F77AA" w:rsidRPr="003422B4" w:rsidRDefault="009F77AA" w:rsidP="004E0ABB">
            <w:pPr>
              <w:pStyle w:val="TableHeading"/>
            </w:pPr>
            <w:r w:rsidRPr="003422B4">
              <w:t>Column 1</w:t>
            </w:r>
          </w:p>
        </w:tc>
        <w:tc>
          <w:tcPr>
            <w:tcW w:w="6521" w:type="dxa"/>
            <w:tcBorders>
              <w:top w:val="single" w:sz="6" w:space="0" w:color="auto"/>
              <w:bottom w:val="single" w:sz="6" w:space="0" w:color="auto"/>
            </w:tcBorders>
            <w:shd w:val="clear" w:color="auto" w:fill="auto"/>
            <w:hideMark/>
          </w:tcPr>
          <w:p w14:paraId="52193384" w14:textId="2258F013" w:rsidR="009F77AA" w:rsidRPr="003422B4" w:rsidRDefault="009F77AA" w:rsidP="004E0ABB">
            <w:pPr>
              <w:pStyle w:val="TableHeading"/>
            </w:pPr>
            <w:r w:rsidRPr="003422B4">
              <w:t>Column 2</w:t>
            </w:r>
          </w:p>
        </w:tc>
      </w:tr>
      <w:tr w:rsidR="009F77AA" w:rsidRPr="003422B4" w14:paraId="2B1DA031" w14:textId="77777777" w:rsidTr="009F77AA">
        <w:trPr>
          <w:tblHeader/>
          <w:jc w:val="center"/>
        </w:trPr>
        <w:tc>
          <w:tcPr>
            <w:tcW w:w="1843" w:type="dxa"/>
            <w:tcBorders>
              <w:top w:val="single" w:sz="6" w:space="0" w:color="auto"/>
              <w:bottom w:val="single" w:sz="12" w:space="0" w:color="auto"/>
            </w:tcBorders>
            <w:shd w:val="clear" w:color="auto" w:fill="auto"/>
            <w:hideMark/>
          </w:tcPr>
          <w:p w14:paraId="6E5E22C2" w14:textId="130C336D" w:rsidR="009F77AA" w:rsidRPr="003422B4" w:rsidRDefault="009F77AA" w:rsidP="004E0ABB">
            <w:pPr>
              <w:pStyle w:val="TableHeading"/>
            </w:pPr>
            <w:r>
              <w:t>Item</w:t>
            </w:r>
          </w:p>
        </w:tc>
        <w:tc>
          <w:tcPr>
            <w:tcW w:w="6521" w:type="dxa"/>
            <w:tcBorders>
              <w:top w:val="single" w:sz="6" w:space="0" w:color="auto"/>
              <w:bottom w:val="single" w:sz="12" w:space="0" w:color="auto"/>
            </w:tcBorders>
            <w:shd w:val="clear" w:color="auto" w:fill="auto"/>
            <w:hideMark/>
          </w:tcPr>
          <w:p w14:paraId="388395FB" w14:textId="6E58EF4F" w:rsidR="009F77AA" w:rsidRPr="003422B4" w:rsidRDefault="009F77AA" w:rsidP="004E0ABB">
            <w:pPr>
              <w:pStyle w:val="TableHeading"/>
            </w:pPr>
            <w:r>
              <w:t>Ingredient</w:t>
            </w:r>
          </w:p>
        </w:tc>
      </w:tr>
      <w:tr w:rsidR="009F77AA" w:rsidRPr="003422B4" w14:paraId="21E388D2" w14:textId="77777777" w:rsidTr="009F77AA">
        <w:trPr>
          <w:jc w:val="center"/>
        </w:trPr>
        <w:tc>
          <w:tcPr>
            <w:tcW w:w="1843" w:type="dxa"/>
            <w:tcBorders>
              <w:top w:val="single" w:sz="12" w:space="0" w:color="auto"/>
              <w:bottom w:val="single" w:sz="4" w:space="0" w:color="auto"/>
            </w:tcBorders>
            <w:shd w:val="clear" w:color="auto" w:fill="auto"/>
            <w:hideMark/>
          </w:tcPr>
          <w:p w14:paraId="2A9741C2" w14:textId="083A75E9" w:rsidR="009F77AA" w:rsidRPr="009F77AA" w:rsidRDefault="009F77AA" w:rsidP="009F77AA">
            <w:pPr>
              <w:pStyle w:val="Tabletext"/>
            </w:pPr>
            <w:r>
              <w:t>1</w:t>
            </w:r>
          </w:p>
        </w:tc>
        <w:tc>
          <w:tcPr>
            <w:tcW w:w="6521" w:type="dxa"/>
            <w:tcBorders>
              <w:top w:val="single" w:sz="12" w:space="0" w:color="auto"/>
              <w:bottom w:val="single" w:sz="4" w:space="0" w:color="auto"/>
            </w:tcBorders>
            <w:shd w:val="clear" w:color="auto" w:fill="auto"/>
            <w:hideMark/>
          </w:tcPr>
          <w:p w14:paraId="48F609D2" w14:textId="594C327E" w:rsidR="009F77AA" w:rsidRPr="00184BCB" w:rsidRDefault="009F77AA" w:rsidP="004E0ABB">
            <w:pPr>
              <w:pStyle w:val="Tabletext"/>
            </w:pPr>
            <w:r w:rsidRPr="007C1DB6">
              <w:t>2,3-pentanedione</w:t>
            </w:r>
          </w:p>
        </w:tc>
      </w:tr>
      <w:tr w:rsidR="009F77AA" w:rsidRPr="003422B4" w14:paraId="08E26990" w14:textId="77777777" w:rsidTr="009F77AA">
        <w:trPr>
          <w:jc w:val="center"/>
        </w:trPr>
        <w:tc>
          <w:tcPr>
            <w:tcW w:w="1843" w:type="dxa"/>
            <w:tcBorders>
              <w:top w:val="single" w:sz="4" w:space="0" w:color="auto"/>
              <w:bottom w:val="single" w:sz="4" w:space="0" w:color="auto"/>
            </w:tcBorders>
            <w:shd w:val="clear" w:color="auto" w:fill="auto"/>
          </w:tcPr>
          <w:p w14:paraId="1EB673B6" w14:textId="7F650CD7" w:rsidR="009F77AA" w:rsidRPr="009F77AA" w:rsidRDefault="009F77AA" w:rsidP="009F77AA">
            <w:pPr>
              <w:pStyle w:val="Tabletext"/>
            </w:pPr>
            <w:r>
              <w:t>2</w:t>
            </w:r>
          </w:p>
        </w:tc>
        <w:tc>
          <w:tcPr>
            <w:tcW w:w="6521" w:type="dxa"/>
            <w:tcBorders>
              <w:top w:val="single" w:sz="4" w:space="0" w:color="auto"/>
              <w:bottom w:val="single" w:sz="4" w:space="0" w:color="auto"/>
            </w:tcBorders>
            <w:shd w:val="clear" w:color="auto" w:fill="auto"/>
          </w:tcPr>
          <w:p w14:paraId="5881DC04" w14:textId="6BAD3BA7" w:rsidR="009F77AA" w:rsidRPr="00184BCB" w:rsidRDefault="009F77AA" w:rsidP="004E0ABB">
            <w:pPr>
              <w:pStyle w:val="Tabletext"/>
            </w:pPr>
            <w:r>
              <w:t>acetoin</w:t>
            </w:r>
          </w:p>
        </w:tc>
      </w:tr>
      <w:tr w:rsidR="009F77AA" w:rsidRPr="003422B4" w14:paraId="1B3E6B2D" w14:textId="77777777" w:rsidTr="009F77AA">
        <w:trPr>
          <w:jc w:val="center"/>
        </w:trPr>
        <w:tc>
          <w:tcPr>
            <w:tcW w:w="1843" w:type="dxa"/>
            <w:tcBorders>
              <w:top w:val="single" w:sz="4" w:space="0" w:color="auto"/>
              <w:bottom w:val="single" w:sz="4" w:space="0" w:color="auto"/>
            </w:tcBorders>
            <w:shd w:val="clear" w:color="auto" w:fill="auto"/>
          </w:tcPr>
          <w:p w14:paraId="00AEE723" w14:textId="4B3AB0E3" w:rsidR="009F77AA" w:rsidRPr="009F77AA" w:rsidRDefault="009F77AA" w:rsidP="009F77AA">
            <w:pPr>
              <w:pStyle w:val="Tabletext"/>
            </w:pPr>
            <w:r>
              <w:t>3</w:t>
            </w:r>
          </w:p>
        </w:tc>
        <w:tc>
          <w:tcPr>
            <w:tcW w:w="6521" w:type="dxa"/>
            <w:tcBorders>
              <w:top w:val="single" w:sz="4" w:space="0" w:color="auto"/>
              <w:bottom w:val="single" w:sz="4" w:space="0" w:color="auto"/>
            </w:tcBorders>
            <w:shd w:val="clear" w:color="auto" w:fill="auto"/>
          </w:tcPr>
          <w:p w14:paraId="50E5CEE1" w14:textId="1D4BB49E" w:rsidR="009F77AA" w:rsidRPr="00184BCB" w:rsidRDefault="009F77AA" w:rsidP="004E0ABB">
            <w:pPr>
              <w:pStyle w:val="Tabletext"/>
            </w:pPr>
            <w:r>
              <w:t>benzaldehyde</w:t>
            </w:r>
          </w:p>
        </w:tc>
      </w:tr>
      <w:tr w:rsidR="009F77AA" w:rsidRPr="003422B4" w14:paraId="16615898" w14:textId="77777777" w:rsidTr="009F77AA">
        <w:trPr>
          <w:jc w:val="center"/>
        </w:trPr>
        <w:tc>
          <w:tcPr>
            <w:tcW w:w="1843" w:type="dxa"/>
            <w:tcBorders>
              <w:top w:val="single" w:sz="4" w:space="0" w:color="auto"/>
              <w:bottom w:val="single" w:sz="4" w:space="0" w:color="auto"/>
            </w:tcBorders>
            <w:shd w:val="clear" w:color="auto" w:fill="auto"/>
          </w:tcPr>
          <w:p w14:paraId="24FBE406" w14:textId="01C16B0D" w:rsidR="009F77AA" w:rsidRPr="009F77AA" w:rsidRDefault="009F77AA" w:rsidP="009F77AA">
            <w:pPr>
              <w:pStyle w:val="Tabletext"/>
            </w:pPr>
            <w:r>
              <w:t>4</w:t>
            </w:r>
          </w:p>
        </w:tc>
        <w:tc>
          <w:tcPr>
            <w:tcW w:w="6521" w:type="dxa"/>
            <w:tcBorders>
              <w:top w:val="single" w:sz="4" w:space="0" w:color="auto"/>
              <w:bottom w:val="single" w:sz="4" w:space="0" w:color="auto"/>
            </w:tcBorders>
            <w:shd w:val="clear" w:color="auto" w:fill="auto"/>
          </w:tcPr>
          <w:p w14:paraId="6E679238" w14:textId="6E79D58C" w:rsidR="009F77AA" w:rsidRPr="00184BCB" w:rsidRDefault="009F77AA" w:rsidP="004E0ABB">
            <w:pPr>
              <w:pStyle w:val="Tabletext"/>
            </w:pPr>
            <w:r>
              <w:t>cinnamaldehyde</w:t>
            </w:r>
          </w:p>
        </w:tc>
      </w:tr>
      <w:tr w:rsidR="009F77AA" w:rsidRPr="003422B4" w14:paraId="49BD5FE9" w14:textId="77777777" w:rsidTr="009F77AA">
        <w:trPr>
          <w:jc w:val="center"/>
        </w:trPr>
        <w:tc>
          <w:tcPr>
            <w:tcW w:w="1843" w:type="dxa"/>
            <w:tcBorders>
              <w:top w:val="single" w:sz="4" w:space="0" w:color="auto"/>
              <w:bottom w:val="single" w:sz="4" w:space="0" w:color="auto"/>
            </w:tcBorders>
            <w:shd w:val="clear" w:color="auto" w:fill="auto"/>
          </w:tcPr>
          <w:p w14:paraId="613A52EF" w14:textId="7A3D4929" w:rsidR="009F77AA" w:rsidRPr="009F77AA" w:rsidRDefault="009F77AA" w:rsidP="009F77AA">
            <w:pPr>
              <w:pStyle w:val="Tabletext"/>
            </w:pPr>
            <w:r>
              <w:t>5</w:t>
            </w:r>
          </w:p>
        </w:tc>
        <w:tc>
          <w:tcPr>
            <w:tcW w:w="6521" w:type="dxa"/>
            <w:tcBorders>
              <w:top w:val="single" w:sz="4" w:space="0" w:color="auto"/>
              <w:bottom w:val="single" w:sz="4" w:space="0" w:color="auto"/>
            </w:tcBorders>
            <w:shd w:val="clear" w:color="auto" w:fill="auto"/>
          </w:tcPr>
          <w:p w14:paraId="158C7DA8" w14:textId="4C626110" w:rsidR="009F77AA" w:rsidRPr="00184BCB" w:rsidRDefault="009F77AA" w:rsidP="004E0ABB">
            <w:pPr>
              <w:pStyle w:val="Tabletext"/>
            </w:pPr>
            <w:r w:rsidRPr="007C1DB6">
              <w:t>diacetyl</w:t>
            </w:r>
          </w:p>
        </w:tc>
      </w:tr>
      <w:tr w:rsidR="009F77AA" w:rsidRPr="003422B4" w14:paraId="7C0BDA99" w14:textId="77777777" w:rsidTr="009F77AA">
        <w:trPr>
          <w:jc w:val="center"/>
        </w:trPr>
        <w:tc>
          <w:tcPr>
            <w:tcW w:w="1843" w:type="dxa"/>
            <w:tcBorders>
              <w:top w:val="single" w:sz="4" w:space="0" w:color="auto"/>
              <w:bottom w:val="single" w:sz="4" w:space="0" w:color="auto"/>
            </w:tcBorders>
            <w:shd w:val="clear" w:color="auto" w:fill="auto"/>
          </w:tcPr>
          <w:p w14:paraId="5667EA16" w14:textId="6E57E839" w:rsidR="009F77AA" w:rsidRPr="009F77AA" w:rsidRDefault="009F77AA" w:rsidP="009F77AA">
            <w:pPr>
              <w:pStyle w:val="Tabletext"/>
            </w:pPr>
            <w:r>
              <w:t>6</w:t>
            </w:r>
          </w:p>
        </w:tc>
        <w:tc>
          <w:tcPr>
            <w:tcW w:w="6521" w:type="dxa"/>
            <w:tcBorders>
              <w:top w:val="single" w:sz="4" w:space="0" w:color="auto"/>
              <w:bottom w:val="single" w:sz="4" w:space="0" w:color="auto"/>
            </w:tcBorders>
            <w:shd w:val="clear" w:color="auto" w:fill="auto"/>
          </w:tcPr>
          <w:p w14:paraId="6B8C2F9F" w14:textId="09FD94E7" w:rsidR="009F77AA" w:rsidRPr="00184BCB" w:rsidRDefault="009F77AA" w:rsidP="004E0ABB">
            <w:pPr>
              <w:pStyle w:val="Tabletext"/>
            </w:pPr>
            <w:r w:rsidRPr="00DC0C59">
              <w:rPr>
                <w:bCs/>
              </w:rPr>
              <w:t>diethylene glycol</w:t>
            </w:r>
          </w:p>
        </w:tc>
      </w:tr>
      <w:tr w:rsidR="009F77AA" w:rsidRPr="003422B4" w14:paraId="22C1079F" w14:textId="77777777" w:rsidTr="009F77AA">
        <w:trPr>
          <w:jc w:val="center"/>
        </w:trPr>
        <w:tc>
          <w:tcPr>
            <w:tcW w:w="1843" w:type="dxa"/>
            <w:tcBorders>
              <w:top w:val="single" w:sz="4" w:space="0" w:color="auto"/>
              <w:bottom w:val="single" w:sz="4" w:space="0" w:color="auto"/>
            </w:tcBorders>
            <w:shd w:val="clear" w:color="auto" w:fill="auto"/>
          </w:tcPr>
          <w:p w14:paraId="107083FA" w14:textId="7B958C30" w:rsidR="009F77AA" w:rsidRPr="009F77AA" w:rsidRDefault="009F77AA" w:rsidP="009F77AA">
            <w:pPr>
              <w:pStyle w:val="Tabletext"/>
            </w:pPr>
            <w:r>
              <w:t>7</w:t>
            </w:r>
          </w:p>
        </w:tc>
        <w:tc>
          <w:tcPr>
            <w:tcW w:w="6521" w:type="dxa"/>
            <w:tcBorders>
              <w:top w:val="single" w:sz="4" w:space="0" w:color="auto"/>
              <w:bottom w:val="single" w:sz="4" w:space="0" w:color="auto"/>
            </w:tcBorders>
            <w:shd w:val="clear" w:color="auto" w:fill="auto"/>
          </w:tcPr>
          <w:p w14:paraId="4783B4EF" w14:textId="4F804D4B" w:rsidR="009F77AA" w:rsidRPr="00184BCB" w:rsidRDefault="009F77AA" w:rsidP="004E0ABB">
            <w:pPr>
              <w:pStyle w:val="Tabletext"/>
            </w:pPr>
            <w:r w:rsidRPr="00157C77">
              <w:rPr>
                <w:bCs/>
              </w:rPr>
              <w:t>dl-alpha-tocopheryl acetate</w:t>
            </w:r>
          </w:p>
        </w:tc>
      </w:tr>
      <w:tr w:rsidR="009F77AA" w:rsidRPr="003422B4" w14:paraId="1BFB6982" w14:textId="77777777" w:rsidTr="009F77AA">
        <w:trPr>
          <w:jc w:val="center"/>
        </w:trPr>
        <w:tc>
          <w:tcPr>
            <w:tcW w:w="1843" w:type="dxa"/>
            <w:tcBorders>
              <w:top w:val="single" w:sz="4" w:space="0" w:color="auto"/>
              <w:bottom w:val="single" w:sz="12" w:space="0" w:color="auto"/>
            </w:tcBorders>
            <w:shd w:val="clear" w:color="auto" w:fill="auto"/>
          </w:tcPr>
          <w:p w14:paraId="559C3213" w14:textId="1EC04608" w:rsidR="009F77AA" w:rsidRPr="009F77AA" w:rsidRDefault="009F77AA" w:rsidP="009F77AA">
            <w:pPr>
              <w:pStyle w:val="Tabletext"/>
            </w:pPr>
            <w:r>
              <w:t>8</w:t>
            </w:r>
          </w:p>
        </w:tc>
        <w:tc>
          <w:tcPr>
            <w:tcW w:w="6521" w:type="dxa"/>
            <w:tcBorders>
              <w:top w:val="single" w:sz="4" w:space="0" w:color="auto"/>
              <w:bottom w:val="single" w:sz="12" w:space="0" w:color="auto"/>
            </w:tcBorders>
            <w:shd w:val="clear" w:color="auto" w:fill="auto"/>
          </w:tcPr>
          <w:p w14:paraId="6439E462" w14:textId="4018E922" w:rsidR="009F77AA" w:rsidRPr="00184BCB" w:rsidRDefault="009F77AA" w:rsidP="004E0ABB">
            <w:pPr>
              <w:pStyle w:val="Tabletext"/>
            </w:pPr>
            <w:r w:rsidRPr="00340F7D">
              <w:rPr>
                <w:bCs/>
              </w:rPr>
              <w:t>e</w:t>
            </w:r>
            <w:r>
              <w:rPr>
                <w:bCs/>
              </w:rPr>
              <w:t>t</w:t>
            </w:r>
            <w:r w:rsidRPr="00340F7D">
              <w:rPr>
                <w:bCs/>
              </w:rPr>
              <w:t>hylene glycol</w:t>
            </w:r>
          </w:p>
        </w:tc>
      </w:tr>
    </w:tbl>
    <w:p w14:paraId="0F99B648" w14:textId="07CAA9C4" w:rsidR="00931FBA" w:rsidRDefault="00931FBA" w:rsidP="009F77AA">
      <w:pPr>
        <w:pStyle w:val="paragraph"/>
        <w:ind w:left="0" w:firstLine="0"/>
      </w:pPr>
    </w:p>
    <w:p w14:paraId="04DF829F" w14:textId="77777777" w:rsidR="00931FBA" w:rsidRDefault="00931FBA">
      <w:pPr>
        <w:spacing w:line="240" w:lineRule="auto"/>
        <w:rPr>
          <w:rFonts w:eastAsia="Times New Roman" w:cs="Times New Roman"/>
          <w:lang w:eastAsia="en-AU"/>
        </w:rPr>
      </w:pPr>
      <w:r>
        <w:br w:type="page"/>
      </w:r>
    </w:p>
    <w:p w14:paraId="03C4BF3C" w14:textId="77777777" w:rsidR="00931FBA" w:rsidRPr="00931FBA" w:rsidRDefault="00931FBA" w:rsidP="00931FBA">
      <w:pPr>
        <w:keepNext/>
        <w:keepLines/>
        <w:spacing w:line="240" w:lineRule="auto"/>
        <w:ind w:left="1134" w:hanging="1134"/>
        <w:outlineLvl w:val="5"/>
        <w:rPr>
          <w:rFonts w:ascii="Arial" w:eastAsia="Times New Roman" w:hAnsi="Arial" w:cs="Times New Roman"/>
          <w:b/>
          <w:kern w:val="28"/>
          <w:sz w:val="32"/>
          <w:lang w:eastAsia="en-AU"/>
        </w:rPr>
      </w:pPr>
      <w:r w:rsidRPr="00931FBA">
        <w:rPr>
          <w:rFonts w:ascii="Arial" w:eastAsia="Times New Roman" w:hAnsi="Arial" w:cs="Times New Roman"/>
          <w:b/>
          <w:kern w:val="28"/>
          <w:sz w:val="32"/>
          <w:lang w:eastAsia="en-AU"/>
        </w:rPr>
        <w:t>Schedule 2—Labelling information</w:t>
      </w:r>
    </w:p>
    <w:p w14:paraId="2DE9061D" w14:textId="532DA595" w:rsidR="00931FBA" w:rsidRPr="00931FBA" w:rsidRDefault="00931FBA" w:rsidP="00931FBA">
      <w:pPr>
        <w:pStyle w:val="notetext"/>
        <w:spacing w:after="300"/>
        <w:ind w:left="0" w:firstLine="0"/>
        <w:rPr>
          <w:snapToGrid w:val="0"/>
        </w:rPr>
      </w:pPr>
      <w:r w:rsidRPr="00931FBA">
        <w:rPr>
          <w:snapToGrid w:val="0"/>
        </w:rPr>
        <w:t>Note:</w:t>
      </w:r>
      <w:r>
        <w:rPr>
          <w:snapToGrid w:val="0"/>
        </w:rPr>
        <w:tab/>
      </w:r>
      <w:r w:rsidRPr="00931FBA">
        <w:rPr>
          <w:snapToGrid w:val="0"/>
        </w:rPr>
        <w:t xml:space="preserve">See section </w:t>
      </w:r>
      <w:r w:rsidR="004E0ABB">
        <w:rPr>
          <w:snapToGrid w:val="0"/>
        </w:rPr>
        <w:t>8</w:t>
      </w:r>
      <w:r w:rsidRPr="00931FBA">
        <w:rPr>
          <w:snapToGrid w:val="0"/>
        </w:rPr>
        <w:t>.</w:t>
      </w:r>
    </w:p>
    <w:tbl>
      <w:tblPr>
        <w:tblW w:w="8364" w:type="dxa"/>
        <w:jc w:val="center"/>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6237"/>
      </w:tblGrid>
      <w:tr w:rsidR="00931FBA" w:rsidRPr="00931FBA" w14:paraId="0A0AF881" w14:textId="77777777" w:rsidTr="00931FBA">
        <w:trPr>
          <w:tblHeader/>
          <w:jc w:val="center"/>
        </w:trPr>
        <w:tc>
          <w:tcPr>
            <w:tcW w:w="8364" w:type="dxa"/>
            <w:gridSpan w:val="2"/>
            <w:tcBorders>
              <w:top w:val="single" w:sz="12" w:space="0" w:color="auto"/>
              <w:bottom w:val="single" w:sz="6" w:space="0" w:color="auto"/>
            </w:tcBorders>
            <w:shd w:val="clear" w:color="auto" w:fill="auto"/>
            <w:hideMark/>
          </w:tcPr>
          <w:p w14:paraId="5F9C4B8B" w14:textId="77777777" w:rsidR="00931FBA" w:rsidRPr="00931FBA" w:rsidRDefault="00931FBA" w:rsidP="00931FBA">
            <w:pPr>
              <w:keepNext/>
              <w:spacing w:before="60" w:line="240" w:lineRule="atLeast"/>
              <w:rPr>
                <w:rFonts w:eastAsia="Times New Roman" w:cs="Times New Roman"/>
                <w:b/>
                <w:sz w:val="20"/>
                <w:lang w:eastAsia="en-AU"/>
              </w:rPr>
            </w:pPr>
            <w:r w:rsidRPr="00931FBA">
              <w:rPr>
                <w:rFonts w:eastAsia="Times New Roman" w:cs="Times New Roman"/>
                <w:b/>
                <w:sz w:val="20"/>
                <w:lang w:eastAsia="en-AU"/>
              </w:rPr>
              <w:t>Labelling information</w:t>
            </w:r>
          </w:p>
        </w:tc>
      </w:tr>
      <w:tr w:rsidR="00931FBA" w:rsidRPr="00931FBA" w14:paraId="231BBC7E" w14:textId="77777777" w:rsidTr="00931FBA">
        <w:trPr>
          <w:tblHeader/>
          <w:jc w:val="center"/>
        </w:trPr>
        <w:tc>
          <w:tcPr>
            <w:tcW w:w="2127" w:type="dxa"/>
            <w:tcBorders>
              <w:top w:val="single" w:sz="6" w:space="0" w:color="auto"/>
              <w:bottom w:val="single" w:sz="6" w:space="0" w:color="auto"/>
            </w:tcBorders>
            <w:shd w:val="clear" w:color="auto" w:fill="auto"/>
            <w:hideMark/>
          </w:tcPr>
          <w:p w14:paraId="61EC1AA5" w14:textId="77777777" w:rsidR="00931FBA" w:rsidRPr="00931FBA" w:rsidRDefault="00931FBA" w:rsidP="00931FBA">
            <w:pPr>
              <w:keepNext/>
              <w:spacing w:before="60" w:line="240" w:lineRule="atLeast"/>
              <w:rPr>
                <w:rFonts w:eastAsia="Times New Roman" w:cs="Times New Roman"/>
                <w:b/>
                <w:sz w:val="20"/>
                <w:lang w:eastAsia="en-AU"/>
              </w:rPr>
            </w:pPr>
            <w:r w:rsidRPr="00931FBA">
              <w:rPr>
                <w:rFonts w:eastAsia="Times New Roman" w:cs="Times New Roman"/>
                <w:b/>
                <w:sz w:val="20"/>
                <w:lang w:eastAsia="en-AU"/>
              </w:rPr>
              <w:t>Column 1</w:t>
            </w:r>
          </w:p>
        </w:tc>
        <w:tc>
          <w:tcPr>
            <w:tcW w:w="6237" w:type="dxa"/>
            <w:tcBorders>
              <w:top w:val="single" w:sz="6" w:space="0" w:color="auto"/>
              <w:bottom w:val="single" w:sz="6" w:space="0" w:color="auto"/>
            </w:tcBorders>
            <w:shd w:val="clear" w:color="auto" w:fill="auto"/>
            <w:hideMark/>
          </w:tcPr>
          <w:p w14:paraId="39C7051B" w14:textId="77777777" w:rsidR="00931FBA" w:rsidRPr="00931FBA" w:rsidRDefault="00931FBA" w:rsidP="00931FBA">
            <w:pPr>
              <w:keepNext/>
              <w:spacing w:before="60" w:line="240" w:lineRule="atLeast"/>
              <w:rPr>
                <w:rFonts w:eastAsia="Times New Roman" w:cs="Times New Roman"/>
                <w:b/>
                <w:sz w:val="20"/>
                <w:lang w:eastAsia="en-AU"/>
              </w:rPr>
            </w:pPr>
            <w:r w:rsidRPr="00931FBA">
              <w:rPr>
                <w:rFonts w:eastAsia="Times New Roman" w:cs="Times New Roman"/>
                <w:b/>
                <w:sz w:val="20"/>
                <w:lang w:eastAsia="en-AU"/>
              </w:rPr>
              <w:t>Column 2</w:t>
            </w:r>
          </w:p>
        </w:tc>
      </w:tr>
      <w:tr w:rsidR="00931FBA" w:rsidRPr="00931FBA" w14:paraId="007BECBD" w14:textId="77777777" w:rsidTr="00931FBA">
        <w:trPr>
          <w:tblHeader/>
          <w:jc w:val="center"/>
        </w:trPr>
        <w:tc>
          <w:tcPr>
            <w:tcW w:w="2127" w:type="dxa"/>
            <w:tcBorders>
              <w:top w:val="single" w:sz="6" w:space="0" w:color="auto"/>
              <w:bottom w:val="single" w:sz="12" w:space="0" w:color="auto"/>
            </w:tcBorders>
            <w:shd w:val="clear" w:color="auto" w:fill="auto"/>
            <w:hideMark/>
          </w:tcPr>
          <w:p w14:paraId="7A1B05E3" w14:textId="77777777" w:rsidR="00931FBA" w:rsidRPr="00931FBA" w:rsidRDefault="00931FBA" w:rsidP="00931FBA">
            <w:pPr>
              <w:keepNext/>
              <w:spacing w:before="60" w:line="240" w:lineRule="atLeast"/>
              <w:rPr>
                <w:rFonts w:eastAsia="Times New Roman" w:cs="Times New Roman"/>
                <w:b/>
                <w:sz w:val="20"/>
                <w:lang w:eastAsia="en-AU"/>
              </w:rPr>
            </w:pPr>
            <w:r w:rsidRPr="00931FBA">
              <w:rPr>
                <w:rFonts w:eastAsia="Times New Roman" w:cs="Times New Roman"/>
                <w:b/>
                <w:sz w:val="20"/>
                <w:lang w:eastAsia="en-AU"/>
              </w:rPr>
              <w:t>Item</w:t>
            </w:r>
          </w:p>
        </w:tc>
        <w:tc>
          <w:tcPr>
            <w:tcW w:w="6237" w:type="dxa"/>
            <w:tcBorders>
              <w:top w:val="single" w:sz="6" w:space="0" w:color="auto"/>
              <w:bottom w:val="single" w:sz="12" w:space="0" w:color="auto"/>
            </w:tcBorders>
            <w:shd w:val="clear" w:color="auto" w:fill="auto"/>
            <w:hideMark/>
          </w:tcPr>
          <w:p w14:paraId="79BDC6AE" w14:textId="77777777" w:rsidR="00931FBA" w:rsidRPr="00931FBA" w:rsidRDefault="00931FBA" w:rsidP="00931FBA">
            <w:pPr>
              <w:keepNext/>
              <w:spacing w:before="60" w:line="240" w:lineRule="atLeast"/>
              <w:rPr>
                <w:rFonts w:eastAsia="Times New Roman" w:cs="Times New Roman"/>
                <w:b/>
                <w:sz w:val="20"/>
                <w:lang w:eastAsia="en-AU"/>
              </w:rPr>
            </w:pPr>
            <w:r w:rsidRPr="00931FBA">
              <w:rPr>
                <w:rFonts w:eastAsia="Times New Roman" w:cs="Times New Roman"/>
                <w:b/>
                <w:sz w:val="20"/>
                <w:lang w:eastAsia="en-AU"/>
              </w:rPr>
              <w:t>Information</w:t>
            </w:r>
          </w:p>
        </w:tc>
      </w:tr>
      <w:tr w:rsidR="00931FBA" w:rsidRPr="00931FBA" w14:paraId="7F29B725" w14:textId="77777777" w:rsidTr="00931FBA">
        <w:trPr>
          <w:jc w:val="center"/>
        </w:trPr>
        <w:tc>
          <w:tcPr>
            <w:tcW w:w="2127" w:type="dxa"/>
            <w:tcBorders>
              <w:top w:val="single" w:sz="12" w:space="0" w:color="auto"/>
              <w:bottom w:val="single" w:sz="4" w:space="0" w:color="auto"/>
            </w:tcBorders>
            <w:shd w:val="clear" w:color="auto" w:fill="auto"/>
            <w:hideMark/>
          </w:tcPr>
          <w:p w14:paraId="2D35B4F3" w14:textId="77777777" w:rsidR="00931FBA" w:rsidRPr="00931FBA" w:rsidRDefault="00931FBA" w:rsidP="00931FBA">
            <w:pPr>
              <w:spacing w:before="60" w:line="240" w:lineRule="atLeast"/>
              <w:rPr>
                <w:rFonts w:eastAsia="Times New Roman" w:cs="Times New Roman"/>
                <w:sz w:val="20"/>
                <w:lang w:eastAsia="en-AU"/>
              </w:rPr>
            </w:pPr>
            <w:r w:rsidRPr="00931FBA">
              <w:rPr>
                <w:rFonts w:eastAsia="Times New Roman" w:cs="Times New Roman"/>
                <w:sz w:val="20"/>
                <w:lang w:eastAsia="en-AU"/>
              </w:rPr>
              <w:t>1</w:t>
            </w:r>
          </w:p>
        </w:tc>
        <w:tc>
          <w:tcPr>
            <w:tcW w:w="6237" w:type="dxa"/>
            <w:tcBorders>
              <w:top w:val="single" w:sz="12" w:space="0" w:color="auto"/>
              <w:bottom w:val="single" w:sz="4" w:space="0" w:color="auto"/>
            </w:tcBorders>
            <w:shd w:val="clear" w:color="auto" w:fill="auto"/>
            <w:hideMark/>
          </w:tcPr>
          <w:p w14:paraId="006BA127" w14:textId="77777777" w:rsidR="00931FBA" w:rsidRPr="00931FBA" w:rsidRDefault="00931FBA" w:rsidP="00931FBA">
            <w:pPr>
              <w:keepNext/>
              <w:spacing w:before="60"/>
              <w:rPr>
                <w:rFonts w:eastAsia="Times New Roman" w:cs="Times New Roman"/>
                <w:sz w:val="20"/>
                <w:lang w:eastAsia="en-AU"/>
              </w:rPr>
            </w:pPr>
            <w:r w:rsidRPr="00931FBA">
              <w:rPr>
                <w:rFonts w:eastAsia="Times New Roman" w:cs="Times New Roman"/>
                <w:sz w:val="20"/>
                <w:lang w:eastAsia="en-AU"/>
              </w:rPr>
              <w:t>a list of ingredients contained in the nicotine vaping product as follows:</w:t>
            </w:r>
          </w:p>
          <w:p w14:paraId="3C12101A" w14:textId="77777777" w:rsidR="00931FBA" w:rsidRPr="00931FBA" w:rsidRDefault="00931FBA" w:rsidP="00931FBA">
            <w:pPr>
              <w:spacing w:before="60" w:line="240" w:lineRule="atLeast"/>
              <w:ind w:left="336" w:hanging="336"/>
              <w:rPr>
                <w:rFonts w:eastAsia="Times New Roman" w:cs="Times New Roman"/>
                <w:sz w:val="20"/>
                <w:lang w:eastAsia="en-AU"/>
              </w:rPr>
            </w:pPr>
            <w:r w:rsidRPr="00931FBA">
              <w:rPr>
                <w:rFonts w:eastAsia="Times New Roman" w:cs="Times New Roman"/>
                <w:sz w:val="20"/>
                <w:lang w:eastAsia="en-AU"/>
              </w:rPr>
              <w:t>(a)</w:t>
            </w:r>
            <w:r w:rsidRPr="00931FBA">
              <w:rPr>
                <w:rFonts w:eastAsia="Times New Roman" w:cs="Times New Roman"/>
                <w:sz w:val="20"/>
                <w:lang w:eastAsia="en-AU"/>
              </w:rPr>
              <w:tab/>
              <w:t>the name of each active ingredient; and</w:t>
            </w:r>
          </w:p>
          <w:p w14:paraId="1C0076C0" w14:textId="77777777" w:rsidR="00931FBA" w:rsidRPr="00931FBA" w:rsidRDefault="00931FBA" w:rsidP="00931FBA">
            <w:pPr>
              <w:spacing w:before="60" w:line="240" w:lineRule="atLeast"/>
              <w:ind w:left="336" w:hanging="336"/>
              <w:rPr>
                <w:rFonts w:eastAsia="Times New Roman" w:cs="Times New Roman"/>
                <w:sz w:val="20"/>
                <w:lang w:eastAsia="en-AU"/>
              </w:rPr>
            </w:pPr>
            <w:r w:rsidRPr="00931FBA">
              <w:rPr>
                <w:rFonts w:eastAsia="Times New Roman" w:cs="Times New Roman"/>
                <w:sz w:val="20"/>
                <w:lang w:eastAsia="en-AU"/>
              </w:rPr>
              <w:t>(b)</w:t>
            </w:r>
            <w:r w:rsidRPr="00931FBA">
              <w:rPr>
                <w:rFonts w:eastAsia="Times New Roman" w:cs="Times New Roman"/>
                <w:sz w:val="20"/>
                <w:lang w:eastAsia="en-AU"/>
              </w:rPr>
              <w:tab/>
              <w:t>the name of each other ingredient; and</w:t>
            </w:r>
          </w:p>
          <w:p w14:paraId="131136CC" w14:textId="3D78C792" w:rsidR="00F901B4" w:rsidRPr="002C79AF" w:rsidRDefault="00931FBA" w:rsidP="00931FBA">
            <w:pPr>
              <w:spacing w:before="60" w:line="240" w:lineRule="atLeast"/>
              <w:ind w:left="336" w:hanging="336"/>
              <w:rPr>
                <w:rFonts w:eastAsia="Times New Roman" w:cs="Times New Roman"/>
                <w:sz w:val="20"/>
                <w:lang w:eastAsia="en-AU"/>
              </w:rPr>
            </w:pPr>
            <w:r w:rsidRPr="00931FBA">
              <w:rPr>
                <w:rFonts w:eastAsia="Times New Roman" w:cs="Times New Roman"/>
                <w:sz w:val="20"/>
                <w:lang w:eastAsia="en-AU"/>
              </w:rPr>
              <w:t>(c)</w:t>
            </w:r>
            <w:r w:rsidRPr="00931FBA">
              <w:rPr>
                <w:rFonts w:eastAsia="Times New Roman" w:cs="Times New Roman"/>
                <w:sz w:val="20"/>
                <w:lang w:eastAsia="en-AU"/>
              </w:rPr>
              <w:tab/>
            </w:r>
            <w:r w:rsidRPr="002C79AF">
              <w:rPr>
                <w:rFonts w:eastAsia="Times New Roman" w:cs="Times New Roman"/>
                <w:sz w:val="20"/>
                <w:lang w:eastAsia="en-AU"/>
              </w:rPr>
              <w:t>where the product contains a flavour—</w:t>
            </w:r>
            <w:r w:rsidR="002C79AF">
              <w:rPr>
                <w:rFonts w:eastAsia="Times New Roman" w:cs="Times New Roman"/>
                <w:sz w:val="20"/>
                <w:lang w:eastAsia="en-AU"/>
              </w:rPr>
              <w:t>either</w:t>
            </w:r>
            <w:r w:rsidR="00F901B4" w:rsidRPr="002C79AF">
              <w:rPr>
                <w:rFonts w:eastAsia="Times New Roman" w:cs="Times New Roman"/>
                <w:sz w:val="20"/>
                <w:lang w:eastAsia="en-AU"/>
              </w:rPr>
              <w:t>:</w:t>
            </w:r>
          </w:p>
          <w:p w14:paraId="04719169" w14:textId="6B670972" w:rsidR="00824B47" w:rsidRDefault="00824B47" w:rsidP="002C79AF">
            <w:pPr>
              <w:pStyle w:val="Tablei"/>
            </w:pPr>
            <w:r w:rsidRPr="002C79AF">
              <w:t>(i)</w:t>
            </w:r>
            <w:r w:rsidRPr="002C79AF">
              <w:tab/>
            </w:r>
            <w:r w:rsidR="00931FBA" w:rsidRPr="002C79AF">
              <w:t xml:space="preserve">the </w:t>
            </w:r>
            <w:r w:rsidR="00931FBA" w:rsidRPr="004E0ABB">
              <w:t>word “flavour”</w:t>
            </w:r>
            <w:r w:rsidR="002C79AF" w:rsidRPr="004E0ABB">
              <w:t xml:space="preserve"> or a description that includes the word “flavour” </w:t>
            </w:r>
            <w:r w:rsidR="002C79AF" w:rsidRPr="00114958">
              <w:t xml:space="preserve">(such as </w:t>
            </w:r>
            <w:r w:rsidR="00E740B5" w:rsidRPr="00114958">
              <w:t>“</w:t>
            </w:r>
            <w:r w:rsidR="002C79AF" w:rsidRPr="00114958">
              <w:t>cherry flavour</w:t>
            </w:r>
            <w:r w:rsidR="00E740B5" w:rsidRPr="00114958">
              <w:t>”</w:t>
            </w:r>
            <w:r w:rsidR="002C79AF" w:rsidRPr="00114958">
              <w:t>)</w:t>
            </w:r>
            <w:r w:rsidRPr="004E0ABB">
              <w:t>;</w:t>
            </w:r>
            <w:r w:rsidR="00A1248B" w:rsidRPr="004E0ABB">
              <w:t xml:space="preserve"> or</w:t>
            </w:r>
          </w:p>
          <w:p w14:paraId="58D85B0C" w14:textId="477F48CA" w:rsidR="00824B47" w:rsidRPr="00931FBA" w:rsidRDefault="002C79AF" w:rsidP="002C79AF">
            <w:pPr>
              <w:pStyle w:val="Tablei"/>
            </w:pPr>
            <w:r>
              <w:t>(ii)</w:t>
            </w:r>
            <w:r>
              <w:tab/>
              <w:t>the name of each ingredient contained in the flavour</w:t>
            </w:r>
          </w:p>
        </w:tc>
      </w:tr>
      <w:tr w:rsidR="00931FBA" w:rsidRPr="00931FBA" w14:paraId="1C5D5ED4" w14:textId="77777777" w:rsidTr="00931FBA">
        <w:trPr>
          <w:jc w:val="center"/>
        </w:trPr>
        <w:tc>
          <w:tcPr>
            <w:tcW w:w="2127" w:type="dxa"/>
            <w:tcBorders>
              <w:top w:val="single" w:sz="4" w:space="0" w:color="auto"/>
              <w:bottom w:val="single" w:sz="4" w:space="0" w:color="auto"/>
            </w:tcBorders>
            <w:shd w:val="clear" w:color="auto" w:fill="auto"/>
          </w:tcPr>
          <w:p w14:paraId="7E63F3D5" w14:textId="77777777" w:rsidR="00931FBA" w:rsidRPr="00931FBA" w:rsidRDefault="00931FBA" w:rsidP="00931FBA">
            <w:pPr>
              <w:spacing w:before="60" w:line="240" w:lineRule="atLeast"/>
              <w:rPr>
                <w:rFonts w:eastAsia="Times New Roman" w:cs="Times New Roman"/>
                <w:sz w:val="20"/>
                <w:lang w:eastAsia="en-AU"/>
              </w:rPr>
            </w:pPr>
            <w:r w:rsidRPr="00931FBA">
              <w:rPr>
                <w:rFonts w:eastAsia="Times New Roman" w:cs="Times New Roman"/>
                <w:sz w:val="20"/>
                <w:lang w:eastAsia="en-AU"/>
              </w:rPr>
              <w:t>2</w:t>
            </w:r>
          </w:p>
        </w:tc>
        <w:tc>
          <w:tcPr>
            <w:tcW w:w="6237" w:type="dxa"/>
            <w:tcBorders>
              <w:top w:val="single" w:sz="4" w:space="0" w:color="auto"/>
              <w:bottom w:val="single" w:sz="4" w:space="0" w:color="auto"/>
            </w:tcBorders>
            <w:shd w:val="clear" w:color="auto" w:fill="auto"/>
          </w:tcPr>
          <w:p w14:paraId="5B8E3A13" w14:textId="77777777" w:rsidR="00931FBA" w:rsidRPr="00931FBA" w:rsidRDefault="00931FBA" w:rsidP="00931FBA">
            <w:pPr>
              <w:keepNext/>
              <w:spacing w:before="60"/>
              <w:rPr>
                <w:rFonts w:eastAsia="Times New Roman" w:cs="Times New Roman"/>
                <w:sz w:val="20"/>
                <w:lang w:eastAsia="en-AU"/>
              </w:rPr>
            </w:pPr>
            <w:r w:rsidRPr="00931FBA">
              <w:rPr>
                <w:rFonts w:eastAsia="Times New Roman" w:cs="Times New Roman"/>
                <w:sz w:val="20"/>
                <w:lang w:eastAsia="en-AU"/>
              </w:rPr>
              <w:t>the concentration of nicotine contained in the nicotine vaping product as follows:</w:t>
            </w:r>
          </w:p>
          <w:p w14:paraId="7A56C2F1" w14:textId="77777777" w:rsidR="00931FBA" w:rsidRPr="00931FBA" w:rsidRDefault="00931FBA" w:rsidP="00931FBA">
            <w:pPr>
              <w:spacing w:before="60" w:line="240" w:lineRule="atLeast"/>
              <w:ind w:left="336" w:hanging="336"/>
              <w:rPr>
                <w:rFonts w:eastAsia="Times New Roman" w:cs="Times New Roman"/>
                <w:sz w:val="20"/>
                <w:lang w:eastAsia="en-AU"/>
              </w:rPr>
            </w:pPr>
            <w:r w:rsidRPr="00931FBA">
              <w:rPr>
                <w:rFonts w:eastAsia="Times New Roman" w:cs="Times New Roman"/>
                <w:sz w:val="20"/>
                <w:lang w:eastAsia="en-AU"/>
              </w:rPr>
              <w:t>(a)</w:t>
            </w:r>
            <w:r w:rsidRPr="00931FBA">
              <w:rPr>
                <w:rFonts w:eastAsia="Times New Roman" w:cs="Times New Roman"/>
                <w:sz w:val="20"/>
                <w:lang w:eastAsia="en-AU"/>
              </w:rPr>
              <w:tab/>
              <w:t>where the nicotine is in base form—the base form concentration of nicotine in mg/mL; or</w:t>
            </w:r>
          </w:p>
          <w:p w14:paraId="6D8181CC" w14:textId="77777777" w:rsidR="00931FBA" w:rsidRPr="00931FBA" w:rsidRDefault="00931FBA" w:rsidP="00931FBA">
            <w:pPr>
              <w:spacing w:before="60" w:line="240" w:lineRule="atLeast"/>
              <w:ind w:left="336" w:hanging="336"/>
              <w:rPr>
                <w:rFonts w:eastAsia="Times New Roman" w:cs="Times New Roman"/>
                <w:sz w:val="20"/>
                <w:lang w:eastAsia="en-AU"/>
              </w:rPr>
            </w:pPr>
            <w:r w:rsidRPr="00931FBA">
              <w:rPr>
                <w:rFonts w:eastAsia="Times New Roman" w:cs="Times New Roman"/>
                <w:sz w:val="20"/>
                <w:lang w:eastAsia="en-AU"/>
              </w:rPr>
              <w:t>(b)</w:t>
            </w:r>
            <w:r w:rsidRPr="00931FBA">
              <w:rPr>
                <w:rFonts w:eastAsia="Times New Roman" w:cs="Times New Roman"/>
                <w:sz w:val="20"/>
                <w:lang w:eastAsia="en-AU"/>
              </w:rPr>
              <w:tab/>
              <w:t>where the nicotine is in salt form— the equivalent base form concentration of nicotine in mg/mL</w:t>
            </w:r>
          </w:p>
        </w:tc>
      </w:tr>
      <w:tr w:rsidR="00931FBA" w:rsidRPr="00931FBA" w14:paraId="60CE51BE" w14:textId="77777777" w:rsidTr="00931FBA">
        <w:trPr>
          <w:jc w:val="center"/>
        </w:trPr>
        <w:tc>
          <w:tcPr>
            <w:tcW w:w="2127" w:type="dxa"/>
            <w:tcBorders>
              <w:top w:val="single" w:sz="4" w:space="0" w:color="auto"/>
              <w:bottom w:val="single" w:sz="12" w:space="0" w:color="auto"/>
            </w:tcBorders>
            <w:shd w:val="clear" w:color="auto" w:fill="auto"/>
          </w:tcPr>
          <w:p w14:paraId="450BBE43" w14:textId="77777777" w:rsidR="00931FBA" w:rsidRPr="00931FBA" w:rsidRDefault="00931FBA" w:rsidP="00931FBA">
            <w:pPr>
              <w:spacing w:before="60" w:line="240" w:lineRule="atLeast"/>
              <w:rPr>
                <w:rFonts w:eastAsia="Times New Roman" w:cs="Times New Roman"/>
                <w:sz w:val="20"/>
                <w:lang w:eastAsia="en-AU"/>
              </w:rPr>
            </w:pPr>
            <w:r w:rsidRPr="00931FBA">
              <w:rPr>
                <w:rFonts w:eastAsia="Times New Roman" w:cs="Times New Roman"/>
                <w:sz w:val="20"/>
                <w:lang w:eastAsia="en-AU"/>
              </w:rPr>
              <w:t>3</w:t>
            </w:r>
          </w:p>
        </w:tc>
        <w:tc>
          <w:tcPr>
            <w:tcW w:w="6237" w:type="dxa"/>
            <w:tcBorders>
              <w:top w:val="single" w:sz="4" w:space="0" w:color="auto"/>
              <w:bottom w:val="single" w:sz="12" w:space="0" w:color="auto"/>
            </w:tcBorders>
            <w:shd w:val="clear" w:color="auto" w:fill="auto"/>
          </w:tcPr>
          <w:p w14:paraId="6E8EE29C" w14:textId="77777777" w:rsidR="00931FBA" w:rsidRPr="00931FBA" w:rsidRDefault="00931FBA" w:rsidP="00931FBA">
            <w:pPr>
              <w:keepNext/>
              <w:spacing w:before="60"/>
              <w:ind w:left="600" w:hanging="600"/>
              <w:rPr>
                <w:rFonts w:eastAsia="Times New Roman" w:cs="Times New Roman"/>
                <w:sz w:val="20"/>
                <w:lang w:eastAsia="en-AU"/>
              </w:rPr>
            </w:pPr>
            <w:r w:rsidRPr="00931FBA">
              <w:rPr>
                <w:rFonts w:eastAsia="Times New Roman" w:cs="Times New Roman"/>
                <w:sz w:val="20"/>
                <w:lang w:eastAsia="en-AU"/>
              </w:rPr>
              <w:t>the following warning statements:</w:t>
            </w:r>
          </w:p>
          <w:p w14:paraId="7A986571" w14:textId="77777777" w:rsidR="00931FBA" w:rsidRPr="00931FBA" w:rsidRDefault="00931FBA" w:rsidP="00931FBA">
            <w:pPr>
              <w:spacing w:before="60" w:line="240" w:lineRule="atLeast"/>
              <w:ind w:left="336" w:hanging="336"/>
              <w:rPr>
                <w:rFonts w:eastAsia="Times New Roman" w:cs="Times New Roman"/>
                <w:sz w:val="20"/>
                <w:lang w:eastAsia="en-AU"/>
              </w:rPr>
            </w:pPr>
            <w:r w:rsidRPr="00931FBA">
              <w:rPr>
                <w:rFonts w:eastAsia="Times New Roman" w:cs="Times New Roman"/>
                <w:sz w:val="20"/>
                <w:lang w:eastAsia="en-AU"/>
              </w:rPr>
              <w:t>(a)</w:t>
            </w:r>
            <w:r w:rsidRPr="00931FBA">
              <w:rPr>
                <w:rFonts w:eastAsia="Times New Roman" w:cs="Times New Roman"/>
                <w:sz w:val="20"/>
                <w:lang w:eastAsia="en-AU"/>
              </w:rPr>
              <w:tab/>
              <w:t>“KEEP OUT OF REACH OF CHILDREN”; and</w:t>
            </w:r>
          </w:p>
          <w:p w14:paraId="43789A1C" w14:textId="77777777" w:rsidR="00931FBA" w:rsidRPr="00931FBA" w:rsidRDefault="00931FBA" w:rsidP="00931FBA">
            <w:pPr>
              <w:spacing w:before="60" w:line="240" w:lineRule="atLeast"/>
              <w:ind w:left="336" w:hanging="336"/>
              <w:rPr>
                <w:rFonts w:eastAsia="Times New Roman" w:cs="Times New Roman"/>
                <w:sz w:val="20"/>
                <w:lang w:eastAsia="en-AU"/>
              </w:rPr>
            </w:pPr>
            <w:r w:rsidRPr="00931FBA">
              <w:rPr>
                <w:rFonts w:eastAsia="Times New Roman" w:cs="Times New Roman"/>
                <w:sz w:val="20"/>
                <w:lang w:eastAsia="en-AU"/>
              </w:rPr>
              <w:t>(b)</w:t>
            </w:r>
            <w:r w:rsidRPr="00931FBA">
              <w:rPr>
                <w:rFonts w:eastAsia="Times New Roman" w:cs="Times New Roman"/>
                <w:sz w:val="20"/>
                <w:lang w:eastAsia="en-AU"/>
              </w:rPr>
              <w:tab/>
              <w:t>“Avoid contact with eyes”; and</w:t>
            </w:r>
          </w:p>
          <w:p w14:paraId="04BCF9F8" w14:textId="77777777" w:rsidR="00931FBA" w:rsidRPr="00931FBA" w:rsidRDefault="00931FBA" w:rsidP="00931FBA">
            <w:pPr>
              <w:spacing w:before="60" w:line="240" w:lineRule="atLeast"/>
              <w:ind w:left="336" w:hanging="336"/>
              <w:rPr>
                <w:rFonts w:eastAsia="Times New Roman" w:cs="Times New Roman"/>
                <w:sz w:val="20"/>
                <w:lang w:eastAsia="en-AU"/>
              </w:rPr>
            </w:pPr>
            <w:r w:rsidRPr="00931FBA">
              <w:rPr>
                <w:rFonts w:eastAsia="Times New Roman" w:cs="Times New Roman"/>
                <w:sz w:val="20"/>
                <w:lang w:eastAsia="en-AU"/>
              </w:rPr>
              <w:t>(c)</w:t>
            </w:r>
            <w:r w:rsidRPr="00931FBA">
              <w:rPr>
                <w:rFonts w:eastAsia="Times New Roman" w:cs="Times New Roman"/>
                <w:sz w:val="20"/>
                <w:lang w:eastAsia="en-AU"/>
              </w:rPr>
              <w:tab/>
              <w:t>“Avoid contact with skin”</w:t>
            </w:r>
          </w:p>
        </w:tc>
      </w:tr>
    </w:tbl>
    <w:p w14:paraId="3759B6E8" w14:textId="77777777" w:rsidR="00414FB2" w:rsidRPr="00184BCB" w:rsidRDefault="00414FB2" w:rsidP="009F77AA">
      <w:pPr>
        <w:pStyle w:val="paragraph"/>
        <w:ind w:left="0" w:firstLine="0"/>
      </w:pPr>
    </w:p>
    <w:sectPr w:rsidR="00414FB2" w:rsidRPr="00184BCB" w:rsidSect="008C2EAC">
      <w:headerReference w:type="even" r:id="rId19"/>
      <w:headerReference w:type="default" r:id="rId20"/>
      <w:footerReference w:type="even" r:id="rId21"/>
      <w:footerReference w:type="default" r:id="rId22"/>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831D" w14:textId="77777777" w:rsidR="004E0ABB" w:rsidRDefault="004E0ABB" w:rsidP="00715914">
      <w:pPr>
        <w:spacing w:line="240" w:lineRule="auto"/>
      </w:pPr>
      <w:r>
        <w:separator/>
      </w:r>
    </w:p>
  </w:endnote>
  <w:endnote w:type="continuationSeparator" w:id="0">
    <w:p w14:paraId="7889EEF0" w14:textId="77777777" w:rsidR="004E0ABB" w:rsidRDefault="004E0AB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F8D59" w14:textId="77777777" w:rsidR="004E0ABB" w:rsidRPr="00E33C1C" w:rsidRDefault="004E0ABB"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4E0ABB" w14:paraId="210D800B" w14:textId="77777777" w:rsidTr="00B33709">
      <w:tc>
        <w:tcPr>
          <w:tcW w:w="709" w:type="dxa"/>
          <w:tcBorders>
            <w:top w:val="nil"/>
            <w:left w:val="nil"/>
            <w:bottom w:val="nil"/>
            <w:right w:val="nil"/>
          </w:tcBorders>
        </w:tcPr>
        <w:p w14:paraId="4B2E4821" w14:textId="2A5A5382" w:rsidR="004E0ABB" w:rsidRDefault="004E0ABB"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c>
        <w:tcPr>
          <w:tcW w:w="6379" w:type="dxa"/>
          <w:tcBorders>
            <w:top w:val="nil"/>
            <w:left w:val="nil"/>
            <w:bottom w:val="nil"/>
            <w:right w:val="nil"/>
          </w:tcBorders>
        </w:tcPr>
        <w:p w14:paraId="4991E7B0" w14:textId="37F67795" w:rsidR="004E0ABB" w:rsidRPr="004E1307" w:rsidRDefault="004E0ABB"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00A8D">
            <w:rPr>
              <w:i/>
              <w:noProof/>
              <w:sz w:val="18"/>
            </w:rPr>
            <w:t>Therapeutic Goods (Standard for Nicotine Vaping Products) (TGO 110) Order 2021</w:t>
          </w:r>
          <w:r w:rsidRPr="004E1307">
            <w:rPr>
              <w:i/>
              <w:sz w:val="18"/>
            </w:rPr>
            <w:fldChar w:fldCharType="end"/>
          </w:r>
        </w:p>
      </w:tc>
      <w:tc>
        <w:tcPr>
          <w:tcW w:w="1383" w:type="dxa"/>
          <w:tcBorders>
            <w:top w:val="nil"/>
            <w:left w:val="nil"/>
            <w:bottom w:val="nil"/>
            <w:right w:val="nil"/>
          </w:tcBorders>
        </w:tcPr>
        <w:p w14:paraId="7D7232A3" w14:textId="77777777" w:rsidR="004E0ABB" w:rsidRDefault="004E0ABB" w:rsidP="00A369E3">
          <w:pPr>
            <w:spacing w:line="0" w:lineRule="atLeast"/>
            <w:jc w:val="right"/>
            <w:rPr>
              <w:sz w:val="18"/>
            </w:rPr>
          </w:pPr>
        </w:p>
      </w:tc>
    </w:tr>
    <w:tr w:rsidR="004E0ABB" w14:paraId="7C5140DE"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DF5DDF8" w14:textId="77777777" w:rsidR="004E0ABB" w:rsidRDefault="004E0ABB" w:rsidP="00A369E3">
          <w:pPr>
            <w:jc w:val="right"/>
            <w:rPr>
              <w:sz w:val="18"/>
            </w:rPr>
          </w:pPr>
        </w:p>
      </w:tc>
    </w:tr>
  </w:tbl>
  <w:p w14:paraId="54327351" w14:textId="77777777" w:rsidR="004E0ABB" w:rsidRPr="00ED79B6" w:rsidRDefault="004E0ABB"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E37E" w14:textId="77777777" w:rsidR="004E0ABB" w:rsidRPr="00E33C1C" w:rsidRDefault="004E0ABB"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E0ABB" w14:paraId="7563C04C" w14:textId="77777777" w:rsidTr="00A369E3">
      <w:tc>
        <w:tcPr>
          <w:tcW w:w="1384" w:type="dxa"/>
          <w:tcBorders>
            <w:top w:val="nil"/>
            <w:left w:val="nil"/>
            <w:bottom w:val="nil"/>
            <w:right w:val="nil"/>
          </w:tcBorders>
        </w:tcPr>
        <w:p w14:paraId="15273E4E" w14:textId="77777777" w:rsidR="004E0ABB" w:rsidRDefault="004E0ABB" w:rsidP="00A369E3">
          <w:pPr>
            <w:spacing w:line="0" w:lineRule="atLeast"/>
            <w:rPr>
              <w:sz w:val="18"/>
            </w:rPr>
          </w:pPr>
        </w:p>
      </w:tc>
      <w:tc>
        <w:tcPr>
          <w:tcW w:w="6379" w:type="dxa"/>
          <w:tcBorders>
            <w:top w:val="nil"/>
            <w:left w:val="nil"/>
            <w:bottom w:val="nil"/>
            <w:right w:val="nil"/>
          </w:tcBorders>
        </w:tcPr>
        <w:p w14:paraId="1D8DEE89" w14:textId="5B6C7D40" w:rsidR="004E0ABB" w:rsidRDefault="004E0ABB"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00A8D">
            <w:rPr>
              <w:i/>
              <w:noProof/>
              <w:sz w:val="18"/>
            </w:rPr>
            <w:t>Therapeutic Goods (Standard for Nicotine Vaping Products) (TGO 110) Order 2021</w:t>
          </w:r>
          <w:r w:rsidRPr="004E1307">
            <w:rPr>
              <w:i/>
              <w:sz w:val="18"/>
            </w:rPr>
            <w:fldChar w:fldCharType="end"/>
          </w:r>
        </w:p>
      </w:tc>
      <w:tc>
        <w:tcPr>
          <w:tcW w:w="709" w:type="dxa"/>
          <w:tcBorders>
            <w:top w:val="nil"/>
            <w:left w:val="nil"/>
            <w:bottom w:val="nil"/>
            <w:right w:val="nil"/>
          </w:tcBorders>
        </w:tcPr>
        <w:p w14:paraId="6904BA16" w14:textId="77777777" w:rsidR="004E0ABB" w:rsidRDefault="004E0ABB"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r w:rsidR="004E0ABB" w14:paraId="1DD7E1D6"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ED50971" w14:textId="77777777" w:rsidR="004E0ABB" w:rsidRDefault="004E0ABB" w:rsidP="00A369E3">
          <w:pPr>
            <w:rPr>
              <w:sz w:val="18"/>
            </w:rPr>
          </w:pPr>
        </w:p>
      </w:tc>
    </w:tr>
  </w:tbl>
  <w:p w14:paraId="7DFF818A" w14:textId="77777777" w:rsidR="004E0ABB" w:rsidRPr="00ED79B6" w:rsidRDefault="004E0ABB"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369E7" w14:textId="77777777" w:rsidR="004E0ABB" w:rsidRPr="00E33C1C" w:rsidRDefault="004E0ABB"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E0ABB" w14:paraId="0D9255B2" w14:textId="77777777" w:rsidTr="00B33709">
      <w:tc>
        <w:tcPr>
          <w:tcW w:w="1384" w:type="dxa"/>
          <w:tcBorders>
            <w:top w:val="nil"/>
            <w:left w:val="nil"/>
            <w:bottom w:val="nil"/>
            <w:right w:val="nil"/>
          </w:tcBorders>
        </w:tcPr>
        <w:p w14:paraId="406294BD" w14:textId="77777777" w:rsidR="004E0ABB" w:rsidRDefault="004E0ABB" w:rsidP="00A369E3">
          <w:pPr>
            <w:spacing w:line="0" w:lineRule="atLeast"/>
            <w:rPr>
              <w:sz w:val="18"/>
            </w:rPr>
          </w:pPr>
        </w:p>
      </w:tc>
      <w:tc>
        <w:tcPr>
          <w:tcW w:w="6379" w:type="dxa"/>
          <w:tcBorders>
            <w:top w:val="nil"/>
            <w:left w:val="nil"/>
            <w:bottom w:val="nil"/>
            <w:right w:val="nil"/>
          </w:tcBorders>
        </w:tcPr>
        <w:p w14:paraId="20F0FDFD" w14:textId="77777777" w:rsidR="004E0ABB" w:rsidRDefault="004E0ABB" w:rsidP="00A369E3">
          <w:pPr>
            <w:spacing w:line="0" w:lineRule="atLeast"/>
            <w:jc w:val="center"/>
            <w:rPr>
              <w:sz w:val="18"/>
            </w:rPr>
          </w:pPr>
        </w:p>
      </w:tc>
      <w:tc>
        <w:tcPr>
          <w:tcW w:w="709" w:type="dxa"/>
          <w:tcBorders>
            <w:top w:val="nil"/>
            <w:left w:val="nil"/>
            <w:bottom w:val="nil"/>
            <w:right w:val="nil"/>
          </w:tcBorders>
        </w:tcPr>
        <w:p w14:paraId="584C98E4" w14:textId="77777777" w:rsidR="004E0ABB" w:rsidRDefault="004E0ABB" w:rsidP="00A369E3">
          <w:pPr>
            <w:spacing w:line="0" w:lineRule="atLeast"/>
            <w:jc w:val="right"/>
            <w:rPr>
              <w:sz w:val="18"/>
            </w:rPr>
          </w:pPr>
        </w:p>
      </w:tc>
    </w:tr>
  </w:tbl>
  <w:p w14:paraId="41EE5299" w14:textId="77777777" w:rsidR="004E0ABB" w:rsidRPr="00ED79B6" w:rsidRDefault="004E0ABB"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293B" w14:textId="77777777" w:rsidR="004E0ABB" w:rsidRPr="002B0EA5" w:rsidRDefault="004E0ABB" w:rsidP="00EC05DE">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4E0ABB" w14:paraId="4310421F" w14:textId="77777777" w:rsidTr="00EC05DE">
      <w:tc>
        <w:tcPr>
          <w:tcW w:w="365" w:type="pct"/>
        </w:tcPr>
        <w:p w14:paraId="7D1E930C" w14:textId="77777777" w:rsidR="004E0ABB" w:rsidRDefault="004E0ABB" w:rsidP="00EC05D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18FC32AA" w14:textId="6D5FD466" w:rsidR="004E0ABB" w:rsidRDefault="004E0ABB" w:rsidP="00EC05D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300A8D">
            <w:rPr>
              <w:i/>
              <w:noProof/>
              <w:sz w:val="18"/>
            </w:rPr>
            <w:t>Therapeutic Goods (Standard for Nicotine Vaping Products) (TGO 110) Order 2021</w:t>
          </w:r>
          <w:r w:rsidRPr="004E1307">
            <w:rPr>
              <w:i/>
              <w:sz w:val="18"/>
            </w:rPr>
            <w:fldChar w:fldCharType="end"/>
          </w:r>
        </w:p>
      </w:tc>
      <w:tc>
        <w:tcPr>
          <w:tcW w:w="947" w:type="pct"/>
        </w:tcPr>
        <w:p w14:paraId="1E306E9D" w14:textId="77777777" w:rsidR="004E0ABB" w:rsidRDefault="004E0ABB" w:rsidP="00EC05DE">
          <w:pPr>
            <w:spacing w:line="0" w:lineRule="atLeast"/>
            <w:jc w:val="right"/>
            <w:rPr>
              <w:sz w:val="18"/>
            </w:rPr>
          </w:pPr>
        </w:p>
      </w:tc>
    </w:tr>
    <w:tr w:rsidR="004E0ABB" w14:paraId="6CBB8F08" w14:textId="77777777" w:rsidTr="00EC05DE">
      <w:tc>
        <w:tcPr>
          <w:tcW w:w="5000" w:type="pct"/>
          <w:gridSpan w:val="3"/>
        </w:tcPr>
        <w:p w14:paraId="61C564DE" w14:textId="77777777" w:rsidR="004E0ABB" w:rsidRDefault="004E0ABB" w:rsidP="00EC05DE">
          <w:pPr>
            <w:jc w:val="right"/>
            <w:rPr>
              <w:sz w:val="18"/>
            </w:rPr>
          </w:pPr>
        </w:p>
      </w:tc>
    </w:tr>
  </w:tbl>
  <w:p w14:paraId="726B25CE" w14:textId="77777777" w:rsidR="004E0ABB" w:rsidRPr="00ED79B6" w:rsidRDefault="004E0ABB" w:rsidP="00EC05DE">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55D3F" w14:textId="77777777" w:rsidR="004E0ABB" w:rsidRPr="002B0EA5" w:rsidRDefault="004E0ABB" w:rsidP="00EC05DE">
    <w:pPr>
      <w:pBdr>
        <w:top w:val="single" w:sz="6" w:space="1" w:color="auto"/>
      </w:pBdr>
      <w:spacing w:before="120" w:line="0" w:lineRule="atLeast"/>
      <w:rPr>
        <w:sz w:val="16"/>
        <w:szCs w:val="16"/>
      </w:rPr>
    </w:pPr>
  </w:p>
  <w:tbl>
    <w:tblPr>
      <w:tblStyle w:val="TableGrid"/>
      <w:tblW w:w="50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6521"/>
      <w:gridCol w:w="850"/>
    </w:tblGrid>
    <w:tr w:rsidR="004E0ABB" w14:paraId="66809AA3" w14:textId="77777777" w:rsidTr="001236A8">
      <w:tc>
        <w:tcPr>
          <w:tcW w:w="594" w:type="pct"/>
        </w:tcPr>
        <w:p w14:paraId="6236E318" w14:textId="77777777" w:rsidR="004E0ABB" w:rsidRDefault="004E0ABB" w:rsidP="00EC05DE">
          <w:pPr>
            <w:spacing w:line="0" w:lineRule="atLeast"/>
            <w:rPr>
              <w:sz w:val="18"/>
            </w:rPr>
          </w:pPr>
        </w:p>
      </w:tc>
      <w:tc>
        <w:tcPr>
          <w:tcW w:w="3898" w:type="pct"/>
        </w:tcPr>
        <w:p w14:paraId="6EB30C2C" w14:textId="241B11A5" w:rsidR="004E0ABB" w:rsidRDefault="004E0ABB" w:rsidP="00EC05D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B1CA2">
            <w:rPr>
              <w:i/>
              <w:noProof/>
              <w:sz w:val="18"/>
            </w:rPr>
            <w:t>Therapeutic Goods (Standard for Nicotine Vaping Products) (TGO 110) Order 2021</w:t>
          </w:r>
          <w:r w:rsidRPr="004E1307">
            <w:rPr>
              <w:i/>
              <w:sz w:val="18"/>
            </w:rPr>
            <w:fldChar w:fldCharType="end"/>
          </w:r>
        </w:p>
      </w:tc>
      <w:tc>
        <w:tcPr>
          <w:tcW w:w="509" w:type="pct"/>
        </w:tcPr>
        <w:p w14:paraId="65E6E8DF" w14:textId="0CDE47F2" w:rsidR="004E0ABB" w:rsidRDefault="004E0ABB" w:rsidP="00EC05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CA2">
            <w:rPr>
              <w:i/>
              <w:noProof/>
              <w:sz w:val="18"/>
            </w:rPr>
            <w:t>i</w:t>
          </w:r>
          <w:r w:rsidRPr="00ED79B6">
            <w:rPr>
              <w:i/>
              <w:sz w:val="18"/>
            </w:rPr>
            <w:fldChar w:fldCharType="end"/>
          </w:r>
        </w:p>
      </w:tc>
    </w:tr>
    <w:tr w:rsidR="004E0ABB" w14:paraId="540231EB" w14:textId="77777777" w:rsidTr="001236A8">
      <w:tc>
        <w:tcPr>
          <w:tcW w:w="5000" w:type="pct"/>
          <w:gridSpan w:val="3"/>
        </w:tcPr>
        <w:p w14:paraId="6EB94112" w14:textId="77777777" w:rsidR="004E0ABB" w:rsidRDefault="004E0ABB" w:rsidP="00EC05DE">
          <w:pPr>
            <w:rPr>
              <w:sz w:val="18"/>
            </w:rPr>
          </w:pPr>
        </w:p>
      </w:tc>
    </w:tr>
  </w:tbl>
  <w:p w14:paraId="7341F13D" w14:textId="77777777" w:rsidR="004E0ABB" w:rsidRPr="00ED79B6" w:rsidRDefault="004E0ABB" w:rsidP="00651A8C">
    <w:pPr>
      <w:jc w:val="cente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F492" w14:textId="77777777" w:rsidR="004E0ABB" w:rsidRPr="002B0EA5" w:rsidRDefault="004E0ABB" w:rsidP="00EC05DE">
    <w:pPr>
      <w:pBdr>
        <w:top w:val="single" w:sz="6" w:space="1" w:color="auto"/>
      </w:pBdr>
      <w:spacing w:before="120" w:line="0" w:lineRule="atLeast"/>
      <w:rPr>
        <w:sz w:val="16"/>
        <w:szCs w:val="16"/>
      </w:rPr>
    </w:pPr>
  </w:p>
  <w:tbl>
    <w:tblPr>
      <w:tblStyle w:val="TableGrid"/>
      <w:tblW w:w="56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
      <w:gridCol w:w="7189"/>
      <w:gridCol w:w="1569"/>
      <w:gridCol w:w="6"/>
    </w:tblGrid>
    <w:tr w:rsidR="004E0ABB" w14:paraId="20BC6F40" w14:textId="77777777" w:rsidTr="00651A8C">
      <w:tc>
        <w:tcPr>
          <w:tcW w:w="324" w:type="pct"/>
        </w:tcPr>
        <w:p w14:paraId="7EFF538F" w14:textId="35C817E4" w:rsidR="004E0ABB" w:rsidRDefault="004E0ABB" w:rsidP="00EC05D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CA2">
            <w:rPr>
              <w:i/>
              <w:noProof/>
              <w:sz w:val="18"/>
            </w:rPr>
            <w:t>6</w:t>
          </w:r>
          <w:r w:rsidRPr="00ED79B6">
            <w:rPr>
              <w:i/>
              <w:sz w:val="18"/>
            </w:rPr>
            <w:fldChar w:fldCharType="end"/>
          </w:r>
        </w:p>
      </w:tc>
      <w:tc>
        <w:tcPr>
          <w:tcW w:w="3836" w:type="pct"/>
        </w:tcPr>
        <w:p w14:paraId="2435A2F1" w14:textId="0EC8D8C0" w:rsidR="004E0ABB" w:rsidRDefault="004E0ABB" w:rsidP="00EC05D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B1CA2">
            <w:rPr>
              <w:i/>
              <w:noProof/>
              <w:sz w:val="18"/>
            </w:rPr>
            <w:t>Therapeutic Goods (Standard for Nicotine Vaping Products) (TGO 110) Order 2021</w:t>
          </w:r>
          <w:r w:rsidRPr="004E1307">
            <w:rPr>
              <w:i/>
              <w:sz w:val="18"/>
            </w:rPr>
            <w:fldChar w:fldCharType="end"/>
          </w:r>
        </w:p>
      </w:tc>
      <w:tc>
        <w:tcPr>
          <w:tcW w:w="840" w:type="pct"/>
          <w:gridSpan w:val="2"/>
        </w:tcPr>
        <w:p w14:paraId="38B8B31F" w14:textId="77777777" w:rsidR="004E0ABB" w:rsidRDefault="004E0ABB" w:rsidP="00EC05DE">
          <w:pPr>
            <w:spacing w:line="0" w:lineRule="atLeast"/>
            <w:jc w:val="right"/>
            <w:rPr>
              <w:sz w:val="18"/>
            </w:rPr>
          </w:pPr>
        </w:p>
      </w:tc>
    </w:tr>
    <w:tr w:rsidR="004E0ABB" w14:paraId="665CE0A2" w14:textId="77777777" w:rsidTr="00651A8C">
      <w:trPr>
        <w:gridAfter w:val="1"/>
        <w:wAfter w:w="3" w:type="pct"/>
      </w:trPr>
      <w:tc>
        <w:tcPr>
          <w:tcW w:w="4997" w:type="pct"/>
          <w:gridSpan w:val="3"/>
        </w:tcPr>
        <w:p w14:paraId="7804AC8F" w14:textId="77777777" w:rsidR="004E0ABB" w:rsidRDefault="004E0ABB" w:rsidP="00EC05DE">
          <w:pPr>
            <w:jc w:val="right"/>
            <w:rPr>
              <w:sz w:val="18"/>
            </w:rPr>
          </w:pPr>
        </w:p>
      </w:tc>
    </w:tr>
  </w:tbl>
  <w:p w14:paraId="14229C44" w14:textId="77777777" w:rsidR="004E0ABB" w:rsidRPr="00ED79B6" w:rsidRDefault="004E0ABB" w:rsidP="00651A8C">
    <w:pPr>
      <w:jc w:val="cente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57C9D" w14:textId="77777777" w:rsidR="004E0ABB" w:rsidRPr="002B0EA5" w:rsidRDefault="004E0ABB" w:rsidP="00EC05DE">
    <w:pPr>
      <w:pBdr>
        <w:top w:val="single" w:sz="6" w:space="1" w:color="auto"/>
      </w:pBdr>
      <w:spacing w:before="120" w:line="0" w:lineRule="atLeast"/>
      <w:rPr>
        <w:sz w:val="16"/>
        <w:szCs w:val="16"/>
      </w:rPr>
    </w:pPr>
  </w:p>
  <w:tbl>
    <w:tblPr>
      <w:tblStyle w:val="TableGrid"/>
      <w:tblW w:w="50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6347"/>
      <w:gridCol w:w="1026"/>
    </w:tblGrid>
    <w:tr w:rsidR="004E0ABB" w14:paraId="018AA260" w14:textId="77777777" w:rsidTr="001236A8">
      <w:tc>
        <w:tcPr>
          <w:tcW w:w="593" w:type="pct"/>
        </w:tcPr>
        <w:p w14:paraId="4AFA51AD" w14:textId="77777777" w:rsidR="004E0ABB" w:rsidRDefault="004E0ABB" w:rsidP="00EC05DE">
          <w:pPr>
            <w:spacing w:line="0" w:lineRule="atLeast"/>
            <w:rPr>
              <w:sz w:val="18"/>
            </w:rPr>
          </w:pPr>
        </w:p>
      </w:tc>
      <w:tc>
        <w:tcPr>
          <w:tcW w:w="3794" w:type="pct"/>
        </w:tcPr>
        <w:p w14:paraId="001C2DFF" w14:textId="71F502CF" w:rsidR="004E0ABB" w:rsidRDefault="004E0ABB" w:rsidP="00EC05DE">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7B1CA2">
            <w:rPr>
              <w:i/>
              <w:noProof/>
              <w:sz w:val="18"/>
            </w:rPr>
            <w:t>Therapeutic Goods (Standard for Nicotine Vaping Products) (TGO 110) Order 2021</w:t>
          </w:r>
          <w:r w:rsidRPr="004E1307">
            <w:rPr>
              <w:i/>
              <w:sz w:val="18"/>
            </w:rPr>
            <w:fldChar w:fldCharType="end"/>
          </w:r>
        </w:p>
      </w:tc>
      <w:tc>
        <w:tcPr>
          <w:tcW w:w="613" w:type="pct"/>
        </w:tcPr>
        <w:p w14:paraId="541D4270" w14:textId="59A88715" w:rsidR="004E0ABB" w:rsidRDefault="004E0ABB" w:rsidP="00EC05D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B1CA2">
            <w:rPr>
              <w:i/>
              <w:noProof/>
              <w:sz w:val="18"/>
            </w:rPr>
            <w:t>7</w:t>
          </w:r>
          <w:r w:rsidRPr="00ED79B6">
            <w:rPr>
              <w:i/>
              <w:sz w:val="18"/>
            </w:rPr>
            <w:fldChar w:fldCharType="end"/>
          </w:r>
        </w:p>
      </w:tc>
    </w:tr>
    <w:tr w:rsidR="004E0ABB" w14:paraId="688E4883" w14:textId="77777777" w:rsidTr="001236A8">
      <w:tc>
        <w:tcPr>
          <w:tcW w:w="5000" w:type="pct"/>
          <w:gridSpan w:val="3"/>
        </w:tcPr>
        <w:p w14:paraId="3E83FD04" w14:textId="77777777" w:rsidR="004E0ABB" w:rsidRDefault="004E0ABB" w:rsidP="00EC05DE">
          <w:pPr>
            <w:rPr>
              <w:sz w:val="18"/>
            </w:rPr>
          </w:pPr>
        </w:p>
      </w:tc>
    </w:tr>
  </w:tbl>
  <w:p w14:paraId="3580A886" w14:textId="77777777" w:rsidR="004E0ABB" w:rsidRPr="00ED79B6" w:rsidRDefault="004E0ABB" w:rsidP="00651A8C">
    <w:pPr>
      <w:jc w:val="cente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ACD20" w14:textId="77777777" w:rsidR="004E0ABB" w:rsidRDefault="004E0ABB" w:rsidP="00715914">
      <w:pPr>
        <w:spacing w:line="240" w:lineRule="auto"/>
      </w:pPr>
      <w:r>
        <w:separator/>
      </w:r>
    </w:p>
  </w:footnote>
  <w:footnote w:type="continuationSeparator" w:id="0">
    <w:p w14:paraId="5FBD954A" w14:textId="77777777" w:rsidR="004E0ABB" w:rsidRDefault="004E0ABB"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9DB2D" w14:textId="77777777" w:rsidR="004E0ABB" w:rsidRPr="005F1388" w:rsidRDefault="004E0ABB"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4BB18" w14:textId="77777777" w:rsidR="004E0ABB" w:rsidRPr="005F1388" w:rsidRDefault="004E0ABB"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FA6AA" w14:textId="77777777" w:rsidR="004E0ABB" w:rsidRPr="00ED79B6" w:rsidRDefault="004E0ABB" w:rsidP="00EC05DE">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6BDCE" w14:textId="77777777" w:rsidR="004E0ABB" w:rsidRPr="00ED79B6" w:rsidRDefault="004E0ABB" w:rsidP="00EC05DE">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0F380" w14:textId="77777777" w:rsidR="004E0ABB" w:rsidRPr="00ED79B6" w:rsidRDefault="004E0ABB"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2282" w14:textId="77777777" w:rsidR="004E0ABB" w:rsidRDefault="004E0ABB" w:rsidP="00715914">
    <w:pPr>
      <w:rPr>
        <w:sz w:val="20"/>
      </w:rPr>
    </w:pPr>
  </w:p>
  <w:p w14:paraId="04B0B73D" w14:textId="77777777" w:rsidR="004E0ABB" w:rsidRDefault="004E0ABB" w:rsidP="00715914">
    <w:pPr>
      <w:rPr>
        <w:sz w:val="20"/>
      </w:rPr>
    </w:pPr>
  </w:p>
  <w:p w14:paraId="0A725124" w14:textId="77777777" w:rsidR="004E0ABB" w:rsidRPr="007A1328" w:rsidRDefault="004E0ABB" w:rsidP="00715914">
    <w:pPr>
      <w:rPr>
        <w:sz w:val="20"/>
      </w:rPr>
    </w:pPr>
  </w:p>
  <w:p w14:paraId="5E9F8B79" w14:textId="77777777" w:rsidR="004E0ABB" w:rsidRPr="007A1328" w:rsidRDefault="004E0ABB" w:rsidP="00715914">
    <w:pPr>
      <w:rPr>
        <w:b/>
        <w:sz w:val="24"/>
      </w:rPr>
    </w:pPr>
  </w:p>
  <w:p w14:paraId="29B6800B" w14:textId="77777777" w:rsidR="004E0ABB" w:rsidRPr="007A1328" w:rsidRDefault="004E0ABB"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88765" w14:textId="77777777" w:rsidR="004E0ABB" w:rsidRPr="007A1328" w:rsidRDefault="004E0ABB" w:rsidP="00715914">
    <w:pPr>
      <w:jc w:val="right"/>
      <w:rPr>
        <w:sz w:val="20"/>
      </w:rPr>
    </w:pPr>
  </w:p>
  <w:p w14:paraId="63AEEFC7" w14:textId="77777777" w:rsidR="004E0ABB" w:rsidRPr="007A1328" w:rsidRDefault="004E0ABB" w:rsidP="00715914">
    <w:pPr>
      <w:jc w:val="right"/>
      <w:rPr>
        <w:sz w:val="20"/>
      </w:rPr>
    </w:pPr>
  </w:p>
  <w:p w14:paraId="49318713" w14:textId="77777777" w:rsidR="004E0ABB" w:rsidRPr="007A1328" w:rsidRDefault="004E0ABB" w:rsidP="00715914">
    <w:pPr>
      <w:jc w:val="right"/>
      <w:rPr>
        <w:sz w:val="20"/>
      </w:rPr>
    </w:pPr>
  </w:p>
  <w:p w14:paraId="0C17BF51" w14:textId="77777777" w:rsidR="004E0ABB" w:rsidRPr="007A1328" w:rsidRDefault="004E0ABB" w:rsidP="00715914">
    <w:pPr>
      <w:jc w:val="right"/>
      <w:rPr>
        <w:b/>
        <w:sz w:val="24"/>
      </w:rPr>
    </w:pPr>
  </w:p>
  <w:p w14:paraId="061350FC" w14:textId="77777777" w:rsidR="004E0ABB" w:rsidRPr="007A1328" w:rsidRDefault="004E0ABB"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14F5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72A7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204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AE5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82A8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8DE60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9662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C0EC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8B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6C98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DE333C"/>
    <w:multiLevelType w:val="hybridMultilevel"/>
    <w:tmpl w:val="88A0CDAC"/>
    <w:lvl w:ilvl="0" w:tplc="5C5A4654">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2CB6153"/>
    <w:multiLevelType w:val="hybridMultilevel"/>
    <w:tmpl w:val="AC8CE80E"/>
    <w:lvl w:ilvl="0" w:tplc="3280A92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4"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15:restartNumberingAfterBreak="0">
    <w:nsid w:val="516E41F4"/>
    <w:multiLevelType w:val="hybridMultilevel"/>
    <w:tmpl w:val="85AE04A0"/>
    <w:lvl w:ilvl="0" w:tplc="B46AE63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6" w15:restartNumberingAfterBreak="0">
    <w:nsid w:val="58C7231E"/>
    <w:multiLevelType w:val="hybridMultilevel"/>
    <w:tmpl w:val="85AE04A0"/>
    <w:lvl w:ilvl="0" w:tplc="B46AE638">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7" w15:restartNumberingAfterBreak="0">
    <w:nsid w:val="5F2C6BC7"/>
    <w:multiLevelType w:val="hybridMultilevel"/>
    <w:tmpl w:val="ECB44D2A"/>
    <w:lvl w:ilvl="0" w:tplc="AC6C5F20">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8" w15:restartNumberingAfterBreak="0">
    <w:nsid w:val="6839264B"/>
    <w:multiLevelType w:val="multilevel"/>
    <w:tmpl w:val="733C24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2"/>
  </w:num>
  <w:num w:numId="14">
    <w:abstractNumId w:val="18"/>
  </w:num>
  <w:num w:numId="15">
    <w:abstractNumId w:val="16"/>
  </w:num>
  <w:num w:numId="16">
    <w:abstractNumId w:val="15"/>
  </w:num>
  <w:num w:numId="17">
    <w:abstractNumId w:val="13"/>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3D6"/>
    <w:rsid w:val="00004174"/>
    <w:rsid w:val="00004470"/>
    <w:rsid w:val="00007FC8"/>
    <w:rsid w:val="00012406"/>
    <w:rsid w:val="000136AF"/>
    <w:rsid w:val="000153D9"/>
    <w:rsid w:val="00021045"/>
    <w:rsid w:val="00023EB6"/>
    <w:rsid w:val="000258B1"/>
    <w:rsid w:val="00040A89"/>
    <w:rsid w:val="000437C1"/>
    <w:rsid w:val="0004455A"/>
    <w:rsid w:val="00050C47"/>
    <w:rsid w:val="00051CDF"/>
    <w:rsid w:val="0005365D"/>
    <w:rsid w:val="00054E97"/>
    <w:rsid w:val="00054F86"/>
    <w:rsid w:val="000614BF"/>
    <w:rsid w:val="00065841"/>
    <w:rsid w:val="0006709C"/>
    <w:rsid w:val="000742A0"/>
    <w:rsid w:val="00074376"/>
    <w:rsid w:val="000832F9"/>
    <w:rsid w:val="00087503"/>
    <w:rsid w:val="00096D9A"/>
    <w:rsid w:val="000978F5"/>
    <w:rsid w:val="000A065A"/>
    <w:rsid w:val="000B120C"/>
    <w:rsid w:val="000B15CD"/>
    <w:rsid w:val="000B35EB"/>
    <w:rsid w:val="000C0A3F"/>
    <w:rsid w:val="000C57C2"/>
    <w:rsid w:val="000D05EF"/>
    <w:rsid w:val="000E2261"/>
    <w:rsid w:val="000E2BB2"/>
    <w:rsid w:val="000E2EB8"/>
    <w:rsid w:val="000E68A5"/>
    <w:rsid w:val="000E78B7"/>
    <w:rsid w:val="000F0248"/>
    <w:rsid w:val="000F21C1"/>
    <w:rsid w:val="000F38F2"/>
    <w:rsid w:val="00104E57"/>
    <w:rsid w:val="0010745C"/>
    <w:rsid w:val="00114958"/>
    <w:rsid w:val="00116531"/>
    <w:rsid w:val="001236A8"/>
    <w:rsid w:val="00132CEB"/>
    <w:rsid w:val="001339B0"/>
    <w:rsid w:val="00137579"/>
    <w:rsid w:val="00140872"/>
    <w:rsid w:val="00142B62"/>
    <w:rsid w:val="001441B7"/>
    <w:rsid w:val="001460E8"/>
    <w:rsid w:val="001516CB"/>
    <w:rsid w:val="00152336"/>
    <w:rsid w:val="001528D4"/>
    <w:rsid w:val="00157B8B"/>
    <w:rsid w:val="00163F90"/>
    <w:rsid w:val="00166C2F"/>
    <w:rsid w:val="001710C8"/>
    <w:rsid w:val="001809D7"/>
    <w:rsid w:val="00184AFF"/>
    <w:rsid w:val="00184BCB"/>
    <w:rsid w:val="001925F3"/>
    <w:rsid w:val="001939E1"/>
    <w:rsid w:val="00194C3E"/>
    <w:rsid w:val="00195382"/>
    <w:rsid w:val="0019564F"/>
    <w:rsid w:val="001A6CC4"/>
    <w:rsid w:val="001B2CB6"/>
    <w:rsid w:val="001B4832"/>
    <w:rsid w:val="001B538E"/>
    <w:rsid w:val="001C61C5"/>
    <w:rsid w:val="001C69C4"/>
    <w:rsid w:val="001D09C7"/>
    <w:rsid w:val="001D37EF"/>
    <w:rsid w:val="001E3590"/>
    <w:rsid w:val="001E69F2"/>
    <w:rsid w:val="001E7054"/>
    <w:rsid w:val="001E7407"/>
    <w:rsid w:val="001F5D5E"/>
    <w:rsid w:val="001F6219"/>
    <w:rsid w:val="001F6CD4"/>
    <w:rsid w:val="002034DC"/>
    <w:rsid w:val="00206C4D"/>
    <w:rsid w:val="00215AF1"/>
    <w:rsid w:val="00221F3D"/>
    <w:rsid w:val="0022280B"/>
    <w:rsid w:val="0022752B"/>
    <w:rsid w:val="002321E8"/>
    <w:rsid w:val="00232984"/>
    <w:rsid w:val="002375E6"/>
    <w:rsid w:val="0024010F"/>
    <w:rsid w:val="00240749"/>
    <w:rsid w:val="00240797"/>
    <w:rsid w:val="002409AE"/>
    <w:rsid w:val="00242EF9"/>
    <w:rsid w:val="00243018"/>
    <w:rsid w:val="002564A4"/>
    <w:rsid w:val="0026736C"/>
    <w:rsid w:val="00271A5A"/>
    <w:rsid w:val="00281308"/>
    <w:rsid w:val="00284719"/>
    <w:rsid w:val="00285CEE"/>
    <w:rsid w:val="00285FE4"/>
    <w:rsid w:val="002903AF"/>
    <w:rsid w:val="00291C0E"/>
    <w:rsid w:val="00293D40"/>
    <w:rsid w:val="00297ECB"/>
    <w:rsid w:val="002A3469"/>
    <w:rsid w:val="002A7BCF"/>
    <w:rsid w:val="002C3FD1"/>
    <w:rsid w:val="002C60C3"/>
    <w:rsid w:val="002C79AF"/>
    <w:rsid w:val="002D043A"/>
    <w:rsid w:val="002D18CE"/>
    <w:rsid w:val="002D266B"/>
    <w:rsid w:val="002D4F27"/>
    <w:rsid w:val="002D6224"/>
    <w:rsid w:val="002D73ED"/>
    <w:rsid w:val="002E1023"/>
    <w:rsid w:val="002E2166"/>
    <w:rsid w:val="002E2CCE"/>
    <w:rsid w:val="002E351A"/>
    <w:rsid w:val="002E490A"/>
    <w:rsid w:val="002F41FD"/>
    <w:rsid w:val="002F55AA"/>
    <w:rsid w:val="00300A8D"/>
    <w:rsid w:val="003012F8"/>
    <w:rsid w:val="00303630"/>
    <w:rsid w:val="00304F8B"/>
    <w:rsid w:val="00313313"/>
    <w:rsid w:val="00335BC6"/>
    <w:rsid w:val="00340F7D"/>
    <w:rsid w:val="003415D3"/>
    <w:rsid w:val="00341724"/>
    <w:rsid w:val="003423B2"/>
    <w:rsid w:val="00344338"/>
    <w:rsid w:val="00344701"/>
    <w:rsid w:val="00352B0F"/>
    <w:rsid w:val="00360459"/>
    <w:rsid w:val="003679DA"/>
    <w:rsid w:val="003767E2"/>
    <w:rsid w:val="00376CE6"/>
    <w:rsid w:val="0038049F"/>
    <w:rsid w:val="00384D39"/>
    <w:rsid w:val="00397121"/>
    <w:rsid w:val="003A29C4"/>
    <w:rsid w:val="003A669D"/>
    <w:rsid w:val="003A697E"/>
    <w:rsid w:val="003A6F81"/>
    <w:rsid w:val="003C6231"/>
    <w:rsid w:val="003D0BFE"/>
    <w:rsid w:val="003D5700"/>
    <w:rsid w:val="003D6FF6"/>
    <w:rsid w:val="003E0BC9"/>
    <w:rsid w:val="003E341B"/>
    <w:rsid w:val="003E4D00"/>
    <w:rsid w:val="003E74B7"/>
    <w:rsid w:val="003F2DD6"/>
    <w:rsid w:val="003F2E66"/>
    <w:rsid w:val="003F5691"/>
    <w:rsid w:val="004116CD"/>
    <w:rsid w:val="0041174C"/>
    <w:rsid w:val="00411C86"/>
    <w:rsid w:val="00414FB2"/>
    <w:rsid w:val="00417EB9"/>
    <w:rsid w:val="00423B94"/>
    <w:rsid w:val="00424CA9"/>
    <w:rsid w:val="004276DF"/>
    <w:rsid w:val="00431E9B"/>
    <w:rsid w:val="004379E3"/>
    <w:rsid w:val="00437CFE"/>
    <w:rsid w:val="0044015E"/>
    <w:rsid w:val="00440AB9"/>
    <w:rsid w:val="0044291A"/>
    <w:rsid w:val="00456C8E"/>
    <w:rsid w:val="00457AD3"/>
    <w:rsid w:val="00467661"/>
    <w:rsid w:val="004706D8"/>
    <w:rsid w:val="00472C54"/>
    <w:rsid w:val="00472DBE"/>
    <w:rsid w:val="00474A19"/>
    <w:rsid w:val="00477830"/>
    <w:rsid w:val="00487764"/>
    <w:rsid w:val="004937C7"/>
    <w:rsid w:val="00496F97"/>
    <w:rsid w:val="004A2FC8"/>
    <w:rsid w:val="004B6C48"/>
    <w:rsid w:val="004C07FA"/>
    <w:rsid w:val="004C4E59"/>
    <w:rsid w:val="004C6809"/>
    <w:rsid w:val="004C72BD"/>
    <w:rsid w:val="004D2CD4"/>
    <w:rsid w:val="004D5976"/>
    <w:rsid w:val="004E063A"/>
    <w:rsid w:val="004E0ABB"/>
    <w:rsid w:val="004E1307"/>
    <w:rsid w:val="004E4F93"/>
    <w:rsid w:val="004E5F69"/>
    <w:rsid w:val="004E7BEC"/>
    <w:rsid w:val="004F09A8"/>
    <w:rsid w:val="00504933"/>
    <w:rsid w:val="00505110"/>
    <w:rsid w:val="00505D3D"/>
    <w:rsid w:val="00506AF6"/>
    <w:rsid w:val="005079D8"/>
    <w:rsid w:val="005110A0"/>
    <w:rsid w:val="00516B8D"/>
    <w:rsid w:val="00521531"/>
    <w:rsid w:val="005303C8"/>
    <w:rsid w:val="005319F1"/>
    <w:rsid w:val="00537FBC"/>
    <w:rsid w:val="005452F9"/>
    <w:rsid w:val="00554563"/>
    <w:rsid w:val="00554826"/>
    <w:rsid w:val="00555CB2"/>
    <w:rsid w:val="00562877"/>
    <w:rsid w:val="005636AC"/>
    <w:rsid w:val="00565D78"/>
    <w:rsid w:val="00572968"/>
    <w:rsid w:val="005774BD"/>
    <w:rsid w:val="00580A55"/>
    <w:rsid w:val="00583C15"/>
    <w:rsid w:val="00584811"/>
    <w:rsid w:val="00585457"/>
    <w:rsid w:val="00585784"/>
    <w:rsid w:val="00586892"/>
    <w:rsid w:val="00591ACE"/>
    <w:rsid w:val="00593AA6"/>
    <w:rsid w:val="00594161"/>
    <w:rsid w:val="00594749"/>
    <w:rsid w:val="005A19D1"/>
    <w:rsid w:val="005A4858"/>
    <w:rsid w:val="005A5D1C"/>
    <w:rsid w:val="005A65D5"/>
    <w:rsid w:val="005B2578"/>
    <w:rsid w:val="005B4067"/>
    <w:rsid w:val="005B4ACD"/>
    <w:rsid w:val="005C3F41"/>
    <w:rsid w:val="005D1003"/>
    <w:rsid w:val="005D1096"/>
    <w:rsid w:val="005D1D92"/>
    <w:rsid w:val="005D2D09"/>
    <w:rsid w:val="005D368F"/>
    <w:rsid w:val="005D466B"/>
    <w:rsid w:val="005F13F1"/>
    <w:rsid w:val="005F3E2B"/>
    <w:rsid w:val="00600219"/>
    <w:rsid w:val="00604F2A"/>
    <w:rsid w:val="006111D5"/>
    <w:rsid w:val="00620076"/>
    <w:rsid w:val="00624969"/>
    <w:rsid w:val="00627E0A"/>
    <w:rsid w:val="00644B54"/>
    <w:rsid w:val="00651A8C"/>
    <w:rsid w:val="006520ED"/>
    <w:rsid w:val="0065488B"/>
    <w:rsid w:val="00664646"/>
    <w:rsid w:val="006674C3"/>
    <w:rsid w:val="00670EA1"/>
    <w:rsid w:val="00677CC2"/>
    <w:rsid w:val="00681A9A"/>
    <w:rsid w:val="0068744B"/>
    <w:rsid w:val="006905DE"/>
    <w:rsid w:val="00690F17"/>
    <w:rsid w:val="0069207B"/>
    <w:rsid w:val="006A154F"/>
    <w:rsid w:val="006A437B"/>
    <w:rsid w:val="006B10FE"/>
    <w:rsid w:val="006B5789"/>
    <w:rsid w:val="006C30C5"/>
    <w:rsid w:val="006C4EEA"/>
    <w:rsid w:val="006C7F8C"/>
    <w:rsid w:val="006D4D67"/>
    <w:rsid w:val="006D4E95"/>
    <w:rsid w:val="006D6D40"/>
    <w:rsid w:val="006E2E1C"/>
    <w:rsid w:val="006E6246"/>
    <w:rsid w:val="006E69C2"/>
    <w:rsid w:val="006E6DCC"/>
    <w:rsid w:val="006F08F3"/>
    <w:rsid w:val="006F318F"/>
    <w:rsid w:val="0070017E"/>
    <w:rsid w:val="00700B2C"/>
    <w:rsid w:val="007050A2"/>
    <w:rsid w:val="00713084"/>
    <w:rsid w:val="00714F20"/>
    <w:rsid w:val="0071590F"/>
    <w:rsid w:val="00715914"/>
    <w:rsid w:val="0072147A"/>
    <w:rsid w:val="00723791"/>
    <w:rsid w:val="00731E00"/>
    <w:rsid w:val="007322FA"/>
    <w:rsid w:val="0074293C"/>
    <w:rsid w:val="007440B7"/>
    <w:rsid w:val="007500C8"/>
    <w:rsid w:val="007510CE"/>
    <w:rsid w:val="007520E8"/>
    <w:rsid w:val="007533A7"/>
    <w:rsid w:val="00754E76"/>
    <w:rsid w:val="00756272"/>
    <w:rsid w:val="00762D38"/>
    <w:rsid w:val="00764226"/>
    <w:rsid w:val="007715C9"/>
    <w:rsid w:val="00771613"/>
    <w:rsid w:val="00774EDD"/>
    <w:rsid w:val="007750F4"/>
    <w:rsid w:val="007757EC"/>
    <w:rsid w:val="00775DD0"/>
    <w:rsid w:val="00780708"/>
    <w:rsid w:val="0078176C"/>
    <w:rsid w:val="00783E89"/>
    <w:rsid w:val="007866E5"/>
    <w:rsid w:val="00787971"/>
    <w:rsid w:val="00793915"/>
    <w:rsid w:val="00794E75"/>
    <w:rsid w:val="007B0DD7"/>
    <w:rsid w:val="007B1CA2"/>
    <w:rsid w:val="007B3AC6"/>
    <w:rsid w:val="007B4E59"/>
    <w:rsid w:val="007C1DB6"/>
    <w:rsid w:val="007C2253"/>
    <w:rsid w:val="007D3687"/>
    <w:rsid w:val="007D7911"/>
    <w:rsid w:val="007E163D"/>
    <w:rsid w:val="007E4847"/>
    <w:rsid w:val="007E667A"/>
    <w:rsid w:val="007E7CC5"/>
    <w:rsid w:val="007F0BE3"/>
    <w:rsid w:val="007F28C9"/>
    <w:rsid w:val="007F51B2"/>
    <w:rsid w:val="008040DD"/>
    <w:rsid w:val="00804A01"/>
    <w:rsid w:val="00807979"/>
    <w:rsid w:val="008117E9"/>
    <w:rsid w:val="0081267B"/>
    <w:rsid w:val="008159C0"/>
    <w:rsid w:val="00824498"/>
    <w:rsid w:val="00824B47"/>
    <w:rsid w:val="00825065"/>
    <w:rsid w:val="00825C0F"/>
    <w:rsid w:val="00826BD1"/>
    <w:rsid w:val="00826F4A"/>
    <w:rsid w:val="008347CA"/>
    <w:rsid w:val="008446BB"/>
    <w:rsid w:val="00853EAA"/>
    <w:rsid w:val="00854D0B"/>
    <w:rsid w:val="008553B8"/>
    <w:rsid w:val="00856A31"/>
    <w:rsid w:val="00860B4E"/>
    <w:rsid w:val="00867B37"/>
    <w:rsid w:val="00873D9B"/>
    <w:rsid w:val="008754D0"/>
    <w:rsid w:val="00875D13"/>
    <w:rsid w:val="008855C9"/>
    <w:rsid w:val="00885A0D"/>
    <w:rsid w:val="00886456"/>
    <w:rsid w:val="008918EF"/>
    <w:rsid w:val="00896176"/>
    <w:rsid w:val="008A2268"/>
    <w:rsid w:val="008A46E1"/>
    <w:rsid w:val="008A4F43"/>
    <w:rsid w:val="008A7209"/>
    <w:rsid w:val="008B2706"/>
    <w:rsid w:val="008B6705"/>
    <w:rsid w:val="008C0D9B"/>
    <w:rsid w:val="008C2EAC"/>
    <w:rsid w:val="008C31B5"/>
    <w:rsid w:val="008D0792"/>
    <w:rsid w:val="008D0EE0"/>
    <w:rsid w:val="008D3807"/>
    <w:rsid w:val="008D5473"/>
    <w:rsid w:val="008E0027"/>
    <w:rsid w:val="008E6067"/>
    <w:rsid w:val="008E7E05"/>
    <w:rsid w:val="008F54E7"/>
    <w:rsid w:val="00903422"/>
    <w:rsid w:val="00903EE9"/>
    <w:rsid w:val="00913916"/>
    <w:rsid w:val="009254C3"/>
    <w:rsid w:val="00931FBA"/>
    <w:rsid w:val="00932377"/>
    <w:rsid w:val="009351DA"/>
    <w:rsid w:val="00941236"/>
    <w:rsid w:val="0094256A"/>
    <w:rsid w:val="00943FD5"/>
    <w:rsid w:val="00945B32"/>
    <w:rsid w:val="00947D5A"/>
    <w:rsid w:val="00950117"/>
    <w:rsid w:val="009532A5"/>
    <w:rsid w:val="009545BD"/>
    <w:rsid w:val="00961EF3"/>
    <w:rsid w:val="00964CF0"/>
    <w:rsid w:val="00967320"/>
    <w:rsid w:val="00976080"/>
    <w:rsid w:val="00976620"/>
    <w:rsid w:val="00977806"/>
    <w:rsid w:val="00982242"/>
    <w:rsid w:val="0098260E"/>
    <w:rsid w:val="009868E9"/>
    <w:rsid w:val="009900A3"/>
    <w:rsid w:val="00997CB1"/>
    <w:rsid w:val="009A000B"/>
    <w:rsid w:val="009A2560"/>
    <w:rsid w:val="009A69E5"/>
    <w:rsid w:val="009A7A89"/>
    <w:rsid w:val="009C3413"/>
    <w:rsid w:val="009D2954"/>
    <w:rsid w:val="009D6D2A"/>
    <w:rsid w:val="009E3AD6"/>
    <w:rsid w:val="009F5798"/>
    <w:rsid w:val="009F6895"/>
    <w:rsid w:val="009F6BDB"/>
    <w:rsid w:val="009F77AA"/>
    <w:rsid w:val="00A0441E"/>
    <w:rsid w:val="00A0497A"/>
    <w:rsid w:val="00A06D4B"/>
    <w:rsid w:val="00A11FFC"/>
    <w:rsid w:val="00A12128"/>
    <w:rsid w:val="00A1248B"/>
    <w:rsid w:val="00A15B17"/>
    <w:rsid w:val="00A22C98"/>
    <w:rsid w:val="00A231E2"/>
    <w:rsid w:val="00A369E3"/>
    <w:rsid w:val="00A51A89"/>
    <w:rsid w:val="00A57600"/>
    <w:rsid w:val="00A64912"/>
    <w:rsid w:val="00A70A74"/>
    <w:rsid w:val="00A75FE9"/>
    <w:rsid w:val="00A768F5"/>
    <w:rsid w:val="00A864D2"/>
    <w:rsid w:val="00A94549"/>
    <w:rsid w:val="00A96B00"/>
    <w:rsid w:val="00AA47EB"/>
    <w:rsid w:val="00AA6856"/>
    <w:rsid w:val="00AB1A7E"/>
    <w:rsid w:val="00AC1A8F"/>
    <w:rsid w:val="00AD0ACE"/>
    <w:rsid w:val="00AD3232"/>
    <w:rsid w:val="00AD53CC"/>
    <w:rsid w:val="00AD5641"/>
    <w:rsid w:val="00AD77A2"/>
    <w:rsid w:val="00AF05A4"/>
    <w:rsid w:val="00AF06CF"/>
    <w:rsid w:val="00AF2A7C"/>
    <w:rsid w:val="00B01B17"/>
    <w:rsid w:val="00B07CDB"/>
    <w:rsid w:val="00B16A31"/>
    <w:rsid w:val="00B17DFD"/>
    <w:rsid w:val="00B25306"/>
    <w:rsid w:val="00B27831"/>
    <w:rsid w:val="00B308FE"/>
    <w:rsid w:val="00B33571"/>
    <w:rsid w:val="00B33709"/>
    <w:rsid w:val="00B33B3C"/>
    <w:rsid w:val="00B35B2A"/>
    <w:rsid w:val="00B36392"/>
    <w:rsid w:val="00B414CA"/>
    <w:rsid w:val="00B418CB"/>
    <w:rsid w:val="00B47444"/>
    <w:rsid w:val="00B50ADC"/>
    <w:rsid w:val="00B566B1"/>
    <w:rsid w:val="00B63834"/>
    <w:rsid w:val="00B72BBD"/>
    <w:rsid w:val="00B77768"/>
    <w:rsid w:val="00B77877"/>
    <w:rsid w:val="00B80199"/>
    <w:rsid w:val="00B83204"/>
    <w:rsid w:val="00B856E7"/>
    <w:rsid w:val="00B95829"/>
    <w:rsid w:val="00B97C10"/>
    <w:rsid w:val="00BA220B"/>
    <w:rsid w:val="00BA3A57"/>
    <w:rsid w:val="00BA4838"/>
    <w:rsid w:val="00BA69D3"/>
    <w:rsid w:val="00BB13D6"/>
    <w:rsid w:val="00BB1533"/>
    <w:rsid w:val="00BB4E1A"/>
    <w:rsid w:val="00BB5A7B"/>
    <w:rsid w:val="00BC015E"/>
    <w:rsid w:val="00BC6863"/>
    <w:rsid w:val="00BC76AC"/>
    <w:rsid w:val="00BD0ECB"/>
    <w:rsid w:val="00BD501A"/>
    <w:rsid w:val="00BD5B31"/>
    <w:rsid w:val="00BE20AD"/>
    <w:rsid w:val="00BE2155"/>
    <w:rsid w:val="00BE69E6"/>
    <w:rsid w:val="00BE719A"/>
    <w:rsid w:val="00BE720A"/>
    <w:rsid w:val="00BE7A9C"/>
    <w:rsid w:val="00BF0D73"/>
    <w:rsid w:val="00BF2465"/>
    <w:rsid w:val="00BF4847"/>
    <w:rsid w:val="00BF4F48"/>
    <w:rsid w:val="00C01FEA"/>
    <w:rsid w:val="00C03E79"/>
    <w:rsid w:val="00C1030D"/>
    <w:rsid w:val="00C1172C"/>
    <w:rsid w:val="00C16619"/>
    <w:rsid w:val="00C20483"/>
    <w:rsid w:val="00C25E7F"/>
    <w:rsid w:val="00C2746F"/>
    <w:rsid w:val="00C317EF"/>
    <w:rsid w:val="00C320EA"/>
    <w:rsid w:val="00C323D6"/>
    <w:rsid w:val="00C324A0"/>
    <w:rsid w:val="00C3788E"/>
    <w:rsid w:val="00C379CD"/>
    <w:rsid w:val="00C41A8B"/>
    <w:rsid w:val="00C42BF8"/>
    <w:rsid w:val="00C50043"/>
    <w:rsid w:val="00C503A8"/>
    <w:rsid w:val="00C53A61"/>
    <w:rsid w:val="00C543EA"/>
    <w:rsid w:val="00C7573B"/>
    <w:rsid w:val="00C76B0D"/>
    <w:rsid w:val="00C83125"/>
    <w:rsid w:val="00C87463"/>
    <w:rsid w:val="00C97A54"/>
    <w:rsid w:val="00CA5B23"/>
    <w:rsid w:val="00CA7D00"/>
    <w:rsid w:val="00CB0576"/>
    <w:rsid w:val="00CB0969"/>
    <w:rsid w:val="00CB2458"/>
    <w:rsid w:val="00CB2CAD"/>
    <w:rsid w:val="00CB4C06"/>
    <w:rsid w:val="00CB602E"/>
    <w:rsid w:val="00CB7E90"/>
    <w:rsid w:val="00CC5373"/>
    <w:rsid w:val="00CE051D"/>
    <w:rsid w:val="00CE1335"/>
    <w:rsid w:val="00CE490A"/>
    <w:rsid w:val="00CE493D"/>
    <w:rsid w:val="00CF07FA"/>
    <w:rsid w:val="00CF0BB2"/>
    <w:rsid w:val="00CF19DA"/>
    <w:rsid w:val="00CF3EE8"/>
    <w:rsid w:val="00CF4BCE"/>
    <w:rsid w:val="00CF5BAF"/>
    <w:rsid w:val="00D001D5"/>
    <w:rsid w:val="00D009BE"/>
    <w:rsid w:val="00D0225D"/>
    <w:rsid w:val="00D049C5"/>
    <w:rsid w:val="00D05379"/>
    <w:rsid w:val="00D119C2"/>
    <w:rsid w:val="00D13441"/>
    <w:rsid w:val="00D150E7"/>
    <w:rsid w:val="00D17EC9"/>
    <w:rsid w:val="00D218C0"/>
    <w:rsid w:val="00D25671"/>
    <w:rsid w:val="00D26B11"/>
    <w:rsid w:val="00D52DC2"/>
    <w:rsid w:val="00D53274"/>
    <w:rsid w:val="00D53BCC"/>
    <w:rsid w:val="00D54C9E"/>
    <w:rsid w:val="00D55442"/>
    <w:rsid w:val="00D63A38"/>
    <w:rsid w:val="00D6537E"/>
    <w:rsid w:val="00D70DFB"/>
    <w:rsid w:val="00D721C3"/>
    <w:rsid w:val="00D74AFD"/>
    <w:rsid w:val="00D766DF"/>
    <w:rsid w:val="00D8206C"/>
    <w:rsid w:val="00D91F10"/>
    <w:rsid w:val="00DA17B4"/>
    <w:rsid w:val="00DA186E"/>
    <w:rsid w:val="00DA4116"/>
    <w:rsid w:val="00DA4ED0"/>
    <w:rsid w:val="00DB251C"/>
    <w:rsid w:val="00DB41C6"/>
    <w:rsid w:val="00DB4630"/>
    <w:rsid w:val="00DB4814"/>
    <w:rsid w:val="00DC1D0A"/>
    <w:rsid w:val="00DC4F88"/>
    <w:rsid w:val="00DE0AA7"/>
    <w:rsid w:val="00DE107C"/>
    <w:rsid w:val="00DE51D4"/>
    <w:rsid w:val="00DF2388"/>
    <w:rsid w:val="00E007FC"/>
    <w:rsid w:val="00E018E1"/>
    <w:rsid w:val="00E05704"/>
    <w:rsid w:val="00E127F2"/>
    <w:rsid w:val="00E338EF"/>
    <w:rsid w:val="00E36087"/>
    <w:rsid w:val="00E36E63"/>
    <w:rsid w:val="00E378F0"/>
    <w:rsid w:val="00E40B71"/>
    <w:rsid w:val="00E4400C"/>
    <w:rsid w:val="00E45631"/>
    <w:rsid w:val="00E544BB"/>
    <w:rsid w:val="00E5757F"/>
    <w:rsid w:val="00E67E50"/>
    <w:rsid w:val="00E740B5"/>
    <w:rsid w:val="00E74DC7"/>
    <w:rsid w:val="00E8075A"/>
    <w:rsid w:val="00E86E6F"/>
    <w:rsid w:val="00E940D8"/>
    <w:rsid w:val="00E94D5E"/>
    <w:rsid w:val="00EA4706"/>
    <w:rsid w:val="00EA7100"/>
    <w:rsid w:val="00EA7E1E"/>
    <w:rsid w:val="00EA7F9F"/>
    <w:rsid w:val="00EB1274"/>
    <w:rsid w:val="00EB5000"/>
    <w:rsid w:val="00EC05DE"/>
    <w:rsid w:val="00ED2BB6"/>
    <w:rsid w:val="00ED34E1"/>
    <w:rsid w:val="00ED3B8D"/>
    <w:rsid w:val="00EE5E36"/>
    <w:rsid w:val="00EF2E3A"/>
    <w:rsid w:val="00F02C7C"/>
    <w:rsid w:val="00F072A7"/>
    <w:rsid w:val="00F078DC"/>
    <w:rsid w:val="00F13F83"/>
    <w:rsid w:val="00F16EC2"/>
    <w:rsid w:val="00F24490"/>
    <w:rsid w:val="00F26C93"/>
    <w:rsid w:val="00F32BA8"/>
    <w:rsid w:val="00F32EE0"/>
    <w:rsid w:val="00F349F1"/>
    <w:rsid w:val="00F34EA6"/>
    <w:rsid w:val="00F4144C"/>
    <w:rsid w:val="00F41B56"/>
    <w:rsid w:val="00F4350D"/>
    <w:rsid w:val="00F479C4"/>
    <w:rsid w:val="00F54C3A"/>
    <w:rsid w:val="00F567F7"/>
    <w:rsid w:val="00F6696E"/>
    <w:rsid w:val="00F71C4C"/>
    <w:rsid w:val="00F73BD6"/>
    <w:rsid w:val="00F75184"/>
    <w:rsid w:val="00F82A34"/>
    <w:rsid w:val="00F83989"/>
    <w:rsid w:val="00F85099"/>
    <w:rsid w:val="00F901B4"/>
    <w:rsid w:val="00F9379C"/>
    <w:rsid w:val="00F9632C"/>
    <w:rsid w:val="00FA1E52"/>
    <w:rsid w:val="00FB1433"/>
    <w:rsid w:val="00FB2EEF"/>
    <w:rsid w:val="00FB5A08"/>
    <w:rsid w:val="00FC125E"/>
    <w:rsid w:val="00FC6A80"/>
    <w:rsid w:val="00FD0501"/>
    <w:rsid w:val="00FE2663"/>
    <w:rsid w:val="00FE28F5"/>
    <w:rsid w:val="00FE4688"/>
    <w:rsid w:val="00FE6ED9"/>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7943298"/>
  <w15:docId w15:val="{1DA02B55-E58E-48DF-AED8-17DF810C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character" w:styleId="CommentReference">
    <w:name w:val="annotation reference"/>
    <w:basedOn w:val="DefaultParagraphFont"/>
    <w:uiPriority w:val="99"/>
    <w:semiHidden/>
    <w:unhideWhenUsed/>
    <w:rsid w:val="002034DC"/>
    <w:rPr>
      <w:sz w:val="16"/>
      <w:szCs w:val="16"/>
    </w:rPr>
  </w:style>
  <w:style w:type="paragraph" w:styleId="CommentText">
    <w:name w:val="annotation text"/>
    <w:basedOn w:val="Normal"/>
    <w:link w:val="CommentTextChar"/>
    <w:uiPriority w:val="99"/>
    <w:semiHidden/>
    <w:unhideWhenUsed/>
    <w:rsid w:val="002034DC"/>
    <w:pPr>
      <w:spacing w:line="240" w:lineRule="auto"/>
    </w:pPr>
    <w:rPr>
      <w:sz w:val="20"/>
    </w:rPr>
  </w:style>
  <w:style w:type="character" w:customStyle="1" w:styleId="CommentTextChar">
    <w:name w:val="Comment Text Char"/>
    <w:basedOn w:val="DefaultParagraphFont"/>
    <w:link w:val="CommentText"/>
    <w:uiPriority w:val="99"/>
    <w:semiHidden/>
    <w:rsid w:val="002034DC"/>
  </w:style>
  <w:style w:type="paragraph" w:styleId="CommentSubject">
    <w:name w:val="annotation subject"/>
    <w:basedOn w:val="CommentText"/>
    <w:next w:val="CommentText"/>
    <w:link w:val="CommentSubjectChar"/>
    <w:uiPriority w:val="99"/>
    <w:semiHidden/>
    <w:unhideWhenUsed/>
    <w:rsid w:val="002034DC"/>
    <w:rPr>
      <w:b/>
      <w:bCs/>
    </w:rPr>
  </w:style>
  <w:style w:type="character" w:customStyle="1" w:styleId="CommentSubjectChar">
    <w:name w:val="Comment Subject Char"/>
    <w:basedOn w:val="CommentTextChar"/>
    <w:link w:val="CommentSubject"/>
    <w:uiPriority w:val="99"/>
    <w:semiHidden/>
    <w:rsid w:val="002034DC"/>
    <w:rPr>
      <w:b/>
      <w:bCs/>
    </w:rPr>
  </w:style>
  <w:style w:type="paragraph" w:customStyle="1" w:styleId="definition0">
    <w:name w:val="definition"/>
    <w:basedOn w:val="Normal"/>
    <w:rsid w:val="00D009BE"/>
    <w:pPr>
      <w:spacing w:before="100" w:beforeAutospacing="1" w:after="100" w:afterAutospacing="1" w:line="240" w:lineRule="auto"/>
    </w:pPr>
    <w:rPr>
      <w:rFonts w:eastAsia="Times New Roman" w:cs="Times New Roman"/>
      <w:sz w:val="24"/>
      <w:szCs w:val="24"/>
      <w:lang w:eastAsia="en-AU"/>
    </w:rPr>
  </w:style>
  <w:style w:type="character" w:styleId="Hyperlink">
    <w:name w:val="Hyperlink"/>
    <w:basedOn w:val="DefaultParagraphFont"/>
    <w:uiPriority w:val="99"/>
    <w:unhideWhenUsed/>
    <w:rsid w:val="00472C54"/>
    <w:rPr>
      <w:color w:val="0000FF" w:themeColor="hyperlink"/>
      <w:u w:val="single"/>
    </w:rPr>
  </w:style>
  <w:style w:type="paragraph" w:styleId="Revision">
    <w:name w:val="Revision"/>
    <w:hidden/>
    <w:uiPriority w:val="99"/>
    <w:semiHidden/>
    <w:rsid w:val="00397121"/>
    <w:rPr>
      <w:sz w:val="22"/>
    </w:rPr>
  </w:style>
  <w:style w:type="character" w:styleId="FollowedHyperlink">
    <w:name w:val="FollowedHyperlink"/>
    <w:basedOn w:val="DefaultParagraphFont"/>
    <w:uiPriority w:val="99"/>
    <w:semiHidden/>
    <w:unhideWhenUsed/>
    <w:rsid w:val="005729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8843">
      <w:bodyDiv w:val="1"/>
      <w:marLeft w:val="0"/>
      <w:marRight w:val="0"/>
      <w:marTop w:val="0"/>
      <w:marBottom w:val="0"/>
      <w:divBdr>
        <w:top w:val="none" w:sz="0" w:space="0" w:color="auto"/>
        <w:left w:val="none" w:sz="0" w:space="0" w:color="auto"/>
        <w:bottom w:val="none" w:sz="0" w:space="0" w:color="auto"/>
        <w:right w:val="none" w:sz="0" w:space="0" w:color="auto"/>
      </w:divBdr>
      <w:divsChild>
        <w:div w:id="274558751">
          <w:marLeft w:val="0"/>
          <w:marRight w:val="0"/>
          <w:marTop w:val="0"/>
          <w:marBottom w:val="0"/>
          <w:divBdr>
            <w:top w:val="none" w:sz="0" w:space="0" w:color="auto"/>
            <w:left w:val="none" w:sz="0" w:space="0" w:color="auto"/>
            <w:bottom w:val="none" w:sz="0" w:space="0" w:color="auto"/>
            <w:right w:val="none" w:sz="0" w:space="0" w:color="auto"/>
          </w:divBdr>
          <w:divsChild>
            <w:div w:id="761684652">
              <w:marLeft w:val="0"/>
              <w:marRight w:val="0"/>
              <w:marTop w:val="0"/>
              <w:marBottom w:val="0"/>
              <w:divBdr>
                <w:top w:val="none" w:sz="0" w:space="0" w:color="auto"/>
                <w:left w:val="none" w:sz="0" w:space="0" w:color="auto"/>
                <w:bottom w:val="none" w:sz="0" w:space="0" w:color="auto"/>
                <w:right w:val="none" w:sz="0" w:space="0" w:color="auto"/>
              </w:divBdr>
              <w:divsChild>
                <w:div w:id="1093160289">
                  <w:marLeft w:val="0"/>
                  <w:marRight w:val="0"/>
                  <w:marTop w:val="0"/>
                  <w:marBottom w:val="0"/>
                  <w:divBdr>
                    <w:top w:val="none" w:sz="0" w:space="0" w:color="auto"/>
                    <w:left w:val="none" w:sz="0" w:space="0" w:color="auto"/>
                    <w:bottom w:val="none" w:sz="0" w:space="0" w:color="auto"/>
                    <w:right w:val="none" w:sz="0" w:space="0" w:color="auto"/>
                  </w:divBdr>
                  <w:divsChild>
                    <w:div w:id="1315337763">
                      <w:marLeft w:val="0"/>
                      <w:marRight w:val="0"/>
                      <w:marTop w:val="0"/>
                      <w:marBottom w:val="0"/>
                      <w:divBdr>
                        <w:top w:val="none" w:sz="0" w:space="0" w:color="auto"/>
                        <w:left w:val="none" w:sz="0" w:space="0" w:color="auto"/>
                        <w:bottom w:val="none" w:sz="0" w:space="0" w:color="auto"/>
                        <w:right w:val="none" w:sz="0" w:space="0" w:color="auto"/>
                      </w:divBdr>
                      <w:divsChild>
                        <w:div w:id="1690332877">
                          <w:marLeft w:val="0"/>
                          <w:marRight w:val="0"/>
                          <w:marTop w:val="0"/>
                          <w:marBottom w:val="0"/>
                          <w:divBdr>
                            <w:top w:val="none" w:sz="0" w:space="0" w:color="auto"/>
                            <w:left w:val="none" w:sz="0" w:space="0" w:color="auto"/>
                            <w:bottom w:val="none" w:sz="0" w:space="0" w:color="auto"/>
                            <w:right w:val="none" w:sz="0" w:space="0" w:color="auto"/>
                          </w:divBdr>
                          <w:divsChild>
                            <w:div w:id="27419330">
                              <w:marLeft w:val="0"/>
                              <w:marRight w:val="0"/>
                              <w:marTop w:val="0"/>
                              <w:marBottom w:val="0"/>
                              <w:divBdr>
                                <w:top w:val="none" w:sz="0" w:space="0" w:color="auto"/>
                                <w:left w:val="none" w:sz="0" w:space="0" w:color="auto"/>
                                <w:bottom w:val="none" w:sz="0" w:space="0" w:color="auto"/>
                                <w:right w:val="none" w:sz="0" w:space="0" w:color="auto"/>
                              </w:divBdr>
                              <w:divsChild>
                                <w:div w:id="1154489756">
                                  <w:marLeft w:val="0"/>
                                  <w:marRight w:val="0"/>
                                  <w:marTop w:val="0"/>
                                  <w:marBottom w:val="0"/>
                                  <w:divBdr>
                                    <w:top w:val="none" w:sz="0" w:space="0" w:color="auto"/>
                                    <w:left w:val="none" w:sz="0" w:space="0" w:color="auto"/>
                                    <w:bottom w:val="none" w:sz="0" w:space="0" w:color="auto"/>
                                    <w:right w:val="none" w:sz="0" w:space="0" w:color="auto"/>
                                  </w:divBdr>
                                  <w:divsChild>
                                    <w:div w:id="1859082244">
                                      <w:marLeft w:val="0"/>
                                      <w:marRight w:val="0"/>
                                      <w:marTop w:val="0"/>
                                      <w:marBottom w:val="0"/>
                                      <w:divBdr>
                                        <w:top w:val="none" w:sz="0" w:space="0" w:color="auto"/>
                                        <w:left w:val="none" w:sz="0" w:space="0" w:color="auto"/>
                                        <w:bottom w:val="none" w:sz="0" w:space="0" w:color="auto"/>
                                        <w:right w:val="none" w:sz="0" w:space="0" w:color="auto"/>
                                      </w:divBdr>
                                      <w:divsChild>
                                        <w:div w:id="537938368">
                                          <w:marLeft w:val="0"/>
                                          <w:marRight w:val="0"/>
                                          <w:marTop w:val="0"/>
                                          <w:marBottom w:val="0"/>
                                          <w:divBdr>
                                            <w:top w:val="none" w:sz="0" w:space="0" w:color="auto"/>
                                            <w:left w:val="none" w:sz="0" w:space="0" w:color="auto"/>
                                            <w:bottom w:val="none" w:sz="0" w:space="0" w:color="auto"/>
                                            <w:right w:val="none" w:sz="0" w:space="0" w:color="auto"/>
                                          </w:divBdr>
                                          <w:divsChild>
                                            <w:div w:id="1087578529">
                                              <w:marLeft w:val="0"/>
                                              <w:marRight w:val="0"/>
                                              <w:marTop w:val="0"/>
                                              <w:marBottom w:val="0"/>
                                              <w:divBdr>
                                                <w:top w:val="none" w:sz="0" w:space="0" w:color="auto"/>
                                                <w:left w:val="none" w:sz="0" w:space="0" w:color="auto"/>
                                                <w:bottom w:val="none" w:sz="0" w:space="0" w:color="auto"/>
                                                <w:right w:val="none" w:sz="0" w:space="0" w:color="auto"/>
                                              </w:divBdr>
                                              <w:divsChild>
                                                <w:div w:id="1278831108">
                                                  <w:marLeft w:val="0"/>
                                                  <w:marRight w:val="0"/>
                                                  <w:marTop w:val="0"/>
                                                  <w:marBottom w:val="0"/>
                                                  <w:divBdr>
                                                    <w:top w:val="none" w:sz="0" w:space="0" w:color="auto"/>
                                                    <w:left w:val="none" w:sz="0" w:space="0" w:color="auto"/>
                                                    <w:bottom w:val="none" w:sz="0" w:space="0" w:color="auto"/>
                                                    <w:right w:val="none" w:sz="0" w:space="0" w:color="auto"/>
                                                  </w:divBdr>
                                                  <w:divsChild>
                                                    <w:div w:id="583993637">
                                                      <w:marLeft w:val="0"/>
                                                      <w:marRight w:val="0"/>
                                                      <w:marTop w:val="0"/>
                                                      <w:marBottom w:val="0"/>
                                                      <w:divBdr>
                                                        <w:top w:val="none" w:sz="0" w:space="0" w:color="auto"/>
                                                        <w:left w:val="none" w:sz="0" w:space="0" w:color="auto"/>
                                                        <w:bottom w:val="none" w:sz="0" w:space="0" w:color="auto"/>
                                                        <w:right w:val="none" w:sz="0" w:space="0" w:color="auto"/>
                                                      </w:divBdr>
                                                      <w:divsChild>
                                                        <w:div w:id="6546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8603273">
      <w:bodyDiv w:val="1"/>
      <w:marLeft w:val="0"/>
      <w:marRight w:val="0"/>
      <w:marTop w:val="0"/>
      <w:marBottom w:val="0"/>
      <w:divBdr>
        <w:top w:val="none" w:sz="0" w:space="0" w:color="auto"/>
        <w:left w:val="none" w:sz="0" w:space="0" w:color="auto"/>
        <w:bottom w:val="none" w:sz="0" w:space="0" w:color="auto"/>
        <w:right w:val="none" w:sz="0" w:space="0" w:color="auto"/>
      </w:divBdr>
      <w:divsChild>
        <w:div w:id="1936135094">
          <w:marLeft w:val="0"/>
          <w:marRight w:val="0"/>
          <w:marTop w:val="0"/>
          <w:marBottom w:val="0"/>
          <w:divBdr>
            <w:top w:val="none" w:sz="0" w:space="0" w:color="auto"/>
            <w:left w:val="none" w:sz="0" w:space="0" w:color="auto"/>
            <w:bottom w:val="none" w:sz="0" w:space="0" w:color="auto"/>
            <w:right w:val="none" w:sz="0" w:space="0" w:color="auto"/>
          </w:divBdr>
          <w:divsChild>
            <w:div w:id="175466713">
              <w:marLeft w:val="0"/>
              <w:marRight w:val="0"/>
              <w:marTop w:val="0"/>
              <w:marBottom w:val="0"/>
              <w:divBdr>
                <w:top w:val="none" w:sz="0" w:space="0" w:color="auto"/>
                <w:left w:val="none" w:sz="0" w:space="0" w:color="auto"/>
                <w:bottom w:val="none" w:sz="0" w:space="0" w:color="auto"/>
                <w:right w:val="none" w:sz="0" w:space="0" w:color="auto"/>
              </w:divBdr>
              <w:divsChild>
                <w:div w:id="1267497773">
                  <w:marLeft w:val="0"/>
                  <w:marRight w:val="0"/>
                  <w:marTop w:val="0"/>
                  <w:marBottom w:val="0"/>
                  <w:divBdr>
                    <w:top w:val="none" w:sz="0" w:space="0" w:color="auto"/>
                    <w:left w:val="none" w:sz="0" w:space="0" w:color="auto"/>
                    <w:bottom w:val="none" w:sz="0" w:space="0" w:color="auto"/>
                    <w:right w:val="none" w:sz="0" w:space="0" w:color="auto"/>
                  </w:divBdr>
                  <w:divsChild>
                    <w:div w:id="559942465">
                      <w:marLeft w:val="0"/>
                      <w:marRight w:val="0"/>
                      <w:marTop w:val="0"/>
                      <w:marBottom w:val="0"/>
                      <w:divBdr>
                        <w:top w:val="none" w:sz="0" w:space="0" w:color="auto"/>
                        <w:left w:val="none" w:sz="0" w:space="0" w:color="auto"/>
                        <w:bottom w:val="none" w:sz="0" w:space="0" w:color="auto"/>
                        <w:right w:val="none" w:sz="0" w:space="0" w:color="auto"/>
                      </w:divBdr>
                      <w:divsChild>
                        <w:div w:id="1192841045">
                          <w:marLeft w:val="0"/>
                          <w:marRight w:val="0"/>
                          <w:marTop w:val="0"/>
                          <w:marBottom w:val="0"/>
                          <w:divBdr>
                            <w:top w:val="none" w:sz="0" w:space="0" w:color="auto"/>
                            <w:left w:val="none" w:sz="0" w:space="0" w:color="auto"/>
                            <w:bottom w:val="none" w:sz="0" w:space="0" w:color="auto"/>
                            <w:right w:val="none" w:sz="0" w:space="0" w:color="auto"/>
                          </w:divBdr>
                          <w:divsChild>
                            <w:div w:id="935285864">
                              <w:marLeft w:val="0"/>
                              <w:marRight w:val="0"/>
                              <w:marTop w:val="0"/>
                              <w:marBottom w:val="0"/>
                              <w:divBdr>
                                <w:top w:val="none" w:sz="0" w:space="0" w:color="auto"/>
                                <w:left w:val="none" w:sz="0" w:space="0" w:color="auto"/>
                                <w:bottom w:val="none" w:sz="0" w:space="0" w:color="auto"/>
                                <w:right w:val="none" w:sz="0" w:space="0" w:color="auto"/>
                              </w:divBdr>
                              <w:divsChild>
                                <w:div w:id="52435010">
                                  <w:marLeft w:val="0"/>
                                  <w:marRight w:val="0"/>
                                  <w:marTop w:val="0"/>
                                  <w:marBottom w:val="0"/>
                                  <w:divBdr>
                                    <w:top w:val="none" w:sz="0" w:space="0" w:color="auto"/>
                                    <w:left w:val="none" w:sz="0" w:space="0" w:color="auto"/>
                                    <w:bottom w:val="none" w:sz="0" w:space="0" w:color="auto"/>
                                    <w:right w:val="none" w:sz="0" w:space="0" w:color="auto"/>
                                  </w:divBdr>
                                  <w:divsChild>
                                    <w:div w:id="450248064">
                                      <w:marLeft w:val="0"/>
                                      <w:marRight w:val="0"/>
                                      <w:marTop w:val="0"/>
                                      <w:marBottom w:val="0"/>
                                      <w:divBdr>
                                        <w:top w:val="none" w:sz="0" w:space="0" w:color="auto"/>
                                        <w:left w:val="none" w:sz="0" w:space="0" w:color="auto"/>
                                        <w:bottom w:val="none" w:sz="0" w:space="0" w:color="auto"/>
                                        <w:right w:val="none" w:sz="0" w:space="0" w:color="auto"/>
                                      </w:divBdr>
                                      <w:divsChild>
                                        <w:div w:id="788276884">
                                          <w:marLeft w:val="0"/>
                                          <w:marRight w:val="0"/>
                                          <w:marTop w:val="0"/>
                                          <w:marBottom w:val="0"/>
                                          <w:divBdr>
                                            <w:top w:val="none" w:sz="0" w:space="0" w:color="auto"/>
                                            <w:left w:val="none" w:sz="0" w:space="0" w:color="auto"/>
                                            <w:bottom w:val="none" w:sz="0" w:space="0" w:color="auto"/>
                                            <w:right w:val="none" w:sz="0" w:space="0" w:color="auto"/>
                                          </w:divBdr>
                                          <w:divsChild>
                                            <w:div w:id="1521040523">
                                              <w:marLeft w:val="0"/>
                                              <w:marRight w:val="0"/>
                                              <w:marTop w:val="0"/>
                                              <w:marBottom w:val="0"/>
                                              <w:divBdr>
                                                <w:top w:val="none" w:sz="0" w:space="0" w:color="auto"/>
                                                <w:left w:val="none" w:sz="0" w:space="0" w:color="auto"/>
                                                <w:bottom w:val="none" w:sz="0" w:space="0" w:color="auto"/>
                                                <w:right w:val="none" w:sz="0" w:space="0" w:color="auto"/>
                                              </w:divBdr>
                                              <w:divsChild>
                                                <w:div w:id="574170117">
                                                  <w:marLeft w:val="0"/>
                                                  <w:marRight w:val="0"/>
                                                  <w:marTop w:val="0"/>
                                                  <w:marBottom w:val="0"/>
                                                  <w:divBdr>
                                                    <w:top w:val="none" w:sz="0" w:space="0" w:color="auto"/>
                                                    <w:left w:val="none" w:sz="0" w:space="0" w:color="auto"/>
                                                    <w:bottom w:val="none" w:sz="0" w:space="0" w:color="auto"/>
                                                    <w:right w:val="none" w:sz="0" w:space="0" w:color="auto"/>
                                                  </w:divBdr>
                                                  <w:divsChild>
                                                    <w:div w:id="311370218">
                                                      <w:marLeft w:val="0"/>
                                                      <w:marRight w:val="0"/>
                                                      <w:marTop w:val="0"/>
                                                      <w:marBottom w:val="0"/>
                                                      <w:divBdr>
                                                        <w:top w:val="none" w:sz="0" w:space="0" w:color="auto"/>
                                                        <w:left w:val="none" w:sz="0" w:space="0" w:color="auto"/>
                                                        <w:bottom w:val="none" w:sz="0" w:space="0" w:color="auto"/>
                                                        <w:right w:val="none" w:sz="0" w:space="0" w:color="auto"/>
                                                      </w:divBdr>
                                                      <w:divsChild>
                                                        <w:div w:id="4653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9707850">
      <w:bodyDiv w:val="1"/>
      <w:marLeft w:val="0"/>
      <w:marRight w:val="0"/>
      <w:marTop w:val="0"/>
      <w:marBottom w:val="0"/>
      <w:divBdr>
        <w:top w:val="none" w:sz="0" w:space="0" w:color="auto"/>
        <w:left w:val="none" w:sz="0" w:space="0" w:color="auto"/>
        <w:bottom w:val="none" w:sz="0" w:space="0" w:color="auto"/>
        <w:right w:val="none" w:sz="0" w:space="0" w:color="auto"/>
      </w:divBdr>
      <w:divsChild>
        <w:div w:id="99181690">
          <w:marLeft w:val="0"/>
          <w:marRight w:val="0"/>
          <w:marTop w:val="0"/>
          <w:marBottom w:val="0"/>
          <w:divBdr>
            <w:top w:val="none" w:sz="0" w:space="0" w:color="auto"/>
            <w:left w:val="none" w:sz="0" w:space="0" w:color="auto"/>
            <w:bottom w:val="none" w:sz="0" w:space="0" w:color="auto"/>
            <w:right w:val="none" w:sz="0" w:space="0" w:color="auto"/>
          </w:divBdr>
          <w:divsChild>
            <w:div w:id="1535115454">
              <w:marLeft w:val="0"/>
              <w:marRight w:val="0"/>
              <w:marTop w:val="0"/>
              <w:marBottom w:val="0"/>
              <w:divBdr>
                <w:top w:val="none" w:sz="0" w:space="0" w:color="auto"/>
                <w:left w:val="none" w:sz="0" w:space="0" w:color="auto"/>
                <w:bottom w:val="none" w:sz="0" w:space="0" w:color="auto"/>
                <w:right w:val="none" w:sz="0" w:space="0" w:color="auto"/>
              </w:divBdr>
              <w:divsChild>
                <w:div w:id="2034912524">
                  <w:marLeft w:val="0"/>
                  <w:marRight w:val="0"/>
                  <w:marTop w:val="0"/>
                  <w:marBottom w:val="0"/>
                  <w:divBdr>
                    <w:top w:val="none" w:sz="0" w:space="0" w:color="auto"/>
                    <w:left w:val="none" w:sz="0" w:space="0" w:color="auto"/>
                    <w:bottom w:val="none" w:sz="0" w:space="0" w:color="auto"/>
                    <w:right w:val="none" w:sz="0" w:space="0" w:color="auto"/>
                  </w:divBdr>
                  <w:divsChild>
                    <w:div w:id="1118332965">
                      <w:marLeft w:val="0"/>
                      <w:marRight w:val="0"/>
                      <w:marTop w:val="0"/>
                      <w:marBottom w:val="0"/>
                      <w:divBdr>
                        <w:top w:val="none" w:sz="0" w:space="0" w:color="auto"/>
                        <w:left w:val="none" w:sz="0" w:space="0" w:color="auto"/>
                        <w:bottom w:val="none" w:sz="0" w:space="0" w:color="auto"/>
                        <w:right w:val="none" w:sz="0" w:space="0" w:color="auto"/>
                      </w:divBdr>
                      <w:divsChild>
                        <w:div w:id="319619717">
                          <w:marLeft w:val="0"/>
                          <w:marRight w:val="0"/>
                          <w:marTop w:val="0"/>
                          <w:marBottom w:val="0"/>
                          <w:divBdr>
                            <w:top w:val="none" w:sz="0" w:space="0" w:color="auto"/>
                            <w:left w:val="none" w:sz="0" w:space="0" w:color="auto"/>
                            <w:bottom w:val="none" w:sz="0" w:space="0" w:color="auto"/>
                            <w:right w:val="none" w:sz="0" w:space="0" w:color="auto"/>
                          </w:divBdr>
                          <w:divsChild>
                            <w:div w:id="1957447482">
                              <w:marLeft w:val="0"/>
                              <w:marRight w:val="0"/>
                              <w:marTop w:val="0"/>
                              <w:marBottom w:val="0"/>
                              <w:divBdr>
                                <w:top w:val="none" w:sz="0" w:space="0" w:color="auto"/>
                                <w:left w:val="none" w:sz="0" w:space="0" w:color="auto"/>
                                <w:bottom w:val="none" w:sz="0" w:space="0" w:color="auto"/>
                                <w:right w:val="none" w:sz="0" w:space="0" w:color="auto"/>
                              </w:divBdr>
                              <w:divsChild>
                                <w:div w:id="1719160036">
                                  <w:marLeft w:val="0"/>
                                  <w:marRight w:val="0"/>
                                  <w:marTop w:val="0"/>
                                  <w:marBottom w:val="0"/>
                                  <w:divBdr>
                                    <w:top w:val="none" w:sz="0" w:space="0" w:color="auto"/>
                                    <w:left w:val="none" w:sz="0" w:space="0" w:color="auto"/>
                                    <w:bottom w:val="none" w:sz="0" w:space="0" w:color="auto"/>
                                    <w:right w:val="none" w:sz="0" w:space="0" w:color="auto"/>
                                  </w:divBdr>
                                  <w:divsChild>
                                    <w:div w:id="171069912">
                                      <w:marLeft w:val="0"/>
                                      <w:marRight w:val="0"/>
                                      <w:marTop w:val="0"/>
                                      <w:marBottom w:val="0"/>
                                      <w:divBdr>
                                        <w:top w:val="none" w:sz="0" w:space="0" w:color="auto"/>
                                        <w:left w:val="none" w:sz="0" w:space="0" w:color="auto"/>
                                        <w:bottom w:val="none" w:sz="0" w:space="0" w:color="auto"/>
                                        <w:right w:val="none" w:sz="0" w:space="0" w:color="auto"/>
                                      </w:divBdr>
                                      <w:divsChild>
                                        <w:div w:id="1238053114">
                                          <w:marLeft w:val="0"/>
                                          <w:marRight w:val="0"/>
                                          <w:marTop w:val="0"/>
                                          <w:marBottom w:val="0"/>
                                          <w:divBdr>
                                            <w:top w:val="none" w:sz="0" w:space="0" w:color="auto"/>
                                            <w:left w:val="none" w:sz="0" w:space="0" w:color="auto"/>
                                            <w:bottom w:val="none" w:sz="0" w:space="0" w:color="auto"/>
                                            <w:right w:val="none" w:sz="0" w:space="0" w:color="auto"/>
                                          </w:divBdr>
                                          <w:divsChild>
                                            <w:div w:id="2795781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3139111">
      <w:bodyDiv w:val="1"/>
      <w:marLeft w:val="0"/>
      <w:marRight w:val="0"/>
      <w:marTop w:val="0"/>
      <w:marBottom w:val="0"/>
      <w:divBdr>
        <w:top w:val="none" w:sz="0" w:space="0" w:color="auto"/>
        <w:left w:val="none" w:sz="0" w:space="0" w:color="auto"/>
        <w:bottom w:val="none" w:sz="0" w:space="0" w:color="auto"/>
        <w:right w:val="none" w:sz="0" w:space="0" w:color="auto"/>
      </w:divBdr>
      <w:divsChild>
        <w:div w:id="311563391">
          <w:marLeft w:val="0"/>
          <w:marRight w:val="0"/>
          <w:marTop w:val="0"/>
          <w:marBottom w:val="0"/>
          <w:divBdr>
            <w:top w:val="none" w:sz="0" w:space="0" w:color="auto"/>
            <w:left w:val="none" w:sz="0" w:space="0" w:color="auto"/>
            <w:bottom w:val="none" w:sz="0" w:space="0" w:color="auto"/>
            <w:right w:val="none" w:sz="0" w:space="0" w:color="auto"/>
          </w:divBdr>
          <w:divsChild>
            <w:div w:id="78601039">
              <w:marLeft w:val="0"/>
              <w:marRight w:val="0"/>
              <w:marTop w:val="0"/>
              <w:marBottom w:val="0"/>
              <w:divBdr>
                <w:top w:val="none" w:sz="0" w:space="0" w:color="auto"/>
                <w:left w:val="none" w:sz="0" w:space="0" w:color="auto"/>
                <w:bottom w:val="none" w:sz="0" w:space="0" w:color="auto"/>
                <w:right w:val="none" w:sz="0" w:space="0" w:color="auto"/>
              </w:divBdr>
              <w:divsChild>
                <w:div w:id="816606239">
                  <w:marLeft w:val="0"/>
                  <w:marRight w:val="0"/>
                  <w:marTop w:val="0"/>
                  <w:marBottom w:val="0"/>
                  <w:divBdr>
                    <w:top w:val="none" w:sz="0" w:space="0" w:color="auto"/>
                    <w:left w:val="none" w:sz="0" w:space="0" w:color="auto"/>
                    <w:bottom w:val="none" w:sz="0" w:space="0" w:color="auto"/>
                    <w:right w:val="none" w:sz="0" w:space="0" w:color="auto"/>
                  </w:divBdr>
                  <w:divsChild>
                    <w:div w:id="2021004768">
                      <w:marLeft w:val="0"/>
                      <w:marRight w:val="0"/>
                      <w:marTop w:val="0"/>
                      <w:marBottom w:val="0"/>
                      <w:divBdr>
                        <w:top w:val="none" w:sz="0" w:space="0" w:color="auto"/>
                        <w:left w:val="none" w:sz="0" w:space="0" w:color="auto"/>
                        <w:bottom w:val="none" w:sz="0" w:space="0" w:color="auto"/>
                        <w:right w:val="none" w:sz="0" w:space="0" w:color="auto"/>
                      </w:divBdr>
                      <w:divsChild>
                        <w:div w:id="368383287">
                          <w:marLeft w:val="0"/>
                          <w:marRight w:val="0"/>
                          <w:marTop w:val="0"/>
                          <w:marBottom w:val="0"/>
                          <w:divBdr>
                            <w:top w:val="none" w:sz="0" w:space="0" w:color="auto"/>
                            <w:left w:val="none" w:sz="0" w:space="0" w:color="auto"/>
                            <w:bottom w:val="none" w:sz="0" w:space="0" w:color="auto"/>
                            <w:right w:val="none" w:sz="0" w:space="0" w:color="auto"/>
                          </w:divBdr>
                          <w:divsChild>
                            <w:div w:id="1015964162">
                              <w:marLeft w:val="0"/>
                              <w:marRight w:val="0"/>
                              <w:marTop w:val="0"/>
                              <w:marBottom w:val="0"/>
                              <w:divBdr>
                                <w:top w:val="none" w:sz="0" w:space="0" w:color="auto"/>
                                <w:left w:val="none" w:sz="0" w:space="0" w:color="auto"/>
                                <w:bottom w:val="none" w:sz="0" w:space="0" w:color="auto"/>
                                <w:right w:val="none" w:sz="0" w:space="0" w:color="auto"/>
                              </w:divBdr>
                              <w:divsChild>
                                <w:div w:id="609164185">
                                  <w:marLeft w:val="0"/>
                                  <w:marRight w:val="0"/>
                                  <w:marTop w:val="0"/>
                                  <w:marBottom w:val="0"/>
                                  <w:divBdr>
                                    <w:top w:val="none" w:sz="0" w:space="0" w:color="auto"/>
                                    <w:left w:val="none" w:sz="0" w:space="0" w:color="auto"/>
                                    <w:bottom w:val="none" w:sz="0" w:space="0" w:color="auto"/>
                                    <w:right w:val="none" w:sz="0" w:space="0" w:color="auto"/>
                                  </w:divBdr>
                                  <w:divsChild>
                                    <w:div w:id="1864400672">
                                      <w:marLeft w:val="0"/>
                                      <w:marRight w:val="0"/>
                                      <w:marTop w:val="0"/>
                                      <w:marBottom w:val="0"/>
                                      <w:divBdr>
                                        <w:top w:val="none" w:sz="0" w:space="0" w:color="auto"/>
                                        <w:left w:val="none" w:sz="0" w:space="0" w:color="auto"/>
                                        <w:bottom w:val="none" w:sz="0" w:space="0" w:color="auto"/>
                                        <w:right w:val="none" w:sz="0" w:space="0" w:color="auto"/>
                                      </w:divBdr>
                                      <w:divsChild>
                                        <w:div w:id="615526890">
                                          <w:marLeft w:val="0"/>
                                          <w:marRight w:val="0"/>
                                          <w:marTop w:val="0"/>
                                          <w:marBottom w:val="0"/>
                                          <w:divBdr>
                                            <w:top w:val="none" w:sz="0" w:space="0" w:color="auto"/>
                                            <w:left w:val="none" w:sz="0" w:space="0" w:color="auto"/>
                                            <w:bottom w:val="none" w:sz="0" w:space="0" w:color="auto"/>
                                            <w:right w:val="none" w:sz="0" w:space="0" w:color="auto"/>
                                          </w:divBdr>
                                          <w:divsChild>
                                            <w:div w:id="17860787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630946">
      <w:bodyDiv w:val="1"/>
      <w:marLeft w:val="0"/>
      <w:marRight w:val="0"/>
      <w:marTop w:val="0"/>
      <w:marBottom w:val="0"/>
      <w:divBdr>
        <w:top w:val="none" w:sz="0" w:space="0" w:color="auto"/>
        <w:left w:val="none" w:sz="0" w:space="0" w:color="auto"/>
        <w:bottom w:val="none" w:sz="0" w:space="0" w:color="auto"/>
        <w:right w:val="none" w:sz="0" w:space="0" w:color="auto"/>
      </w:divBdr>
    </w:div>
    <w:div w:id="1695692050">
      <w:bodyDiv w:val="1"/>
      <w:marLeft w:val="0"/>
      <w:marRight w:val="0"/>
      <w:marTop w:val="0"/>
      <w:marBottom w:val="0"/>
      <w:divBdr>
        <w:top w:val="none" w:sz="0" w:space="0" w:color="auto"/>
        <w:left w:val="none" w:sz="0" w:space="0" w:color="auto"/>
        <w:bottom w:val="none" w:sz="0" w:space="0" w:color="auto"/>
        <w:right w:val="none" w:sz="0" w:space="0" w:color="auto"/>
      </w:divBdr>
      <w:divsChild>
        <w:div w:id="1438938747">
          <w:marLeft w:val="0"/>
          <w:marRight w:val="0"/>
          <w:marTop w:val="0"/>
          <w:marBottom w:val="0"/>
          <w:divBdr>
            <w:top w:val="none" w:sz="0" w:space="0" w:color="auto"/>
            <w:left w:val="none" w:sz="0" w:space="0" w:color="auto"/>
            <w:bottom w:val="none" w:sz="0" w:space="0" w:color="auto"/>
            <w:right w:val="none" w:sz="0" w:space="0" w:color="auto"/>
          </w:divBdr>
          <w:divsChild>
            <w:div w:id="2097285113">
              <w:marLeft w:val="0"/>
              <w:marRight w:val="0"/>
              <w:marTop w:val="0"/>
              <w:marBottom w:val="0"/>
              <w:divBdr>
                <w:top w:val="none" w:sz="0" w:space="0" w:color="auto"/>
                <w:left w:val="none" w:sz="0" w:space="0" w:color="auto"/>
                <w:bottom w:val="none" w:sz="0" w:space="0" w:color="auto"/>
                <w:right w:val="none" w:sz="0" w:space="0" w:color="auto"/>
              </w:divBdr>
              <w:divsChild>
                <w:div w:id="159126963">
                  <w:marLeft w:val="0"/>
                  <w:marRight w:val="0"/>
                  <w:marTop w:val="0"/>
                  <w:marBottom w:val="0"/>
                  <w:divBdr>
                    <w:top w:val="none" w:sz="0" w:space="0" w:color="auto"/>
                    <w:left w:val="none" w:sz="0" w:space="0" w:color="auto"/>
                    <w:bottom w:val="none" w:sz="0" w:space="0" w:color="auto"/>
                    <w:right w:val="none" w:sz="0" w:space="0" w:color="auto"/>
                  </w:divBdr>
                  <w:divsChild>
                    <w:div w:id="1774977281">
                      <w:marLeft w:val="0"/>
                      <w:marRight w:val="0"/>
                      <w:marTop w:val="0"/>
                      <w:marBottom w:val="0"/>
                      <w:divBdr>
                        <w:top w:val="none" w:sz="0" w:space="0" w:color="auto"/>
                        <w:left w:val="none" w:sz="0" w:space="0" w:color="auto"/>
                        <w:bottom w:val="none" w:sz="0" w:space="0" w:color="auto"/>
                        <w:right w:val="none" w:sz="0" w:space="0" w:color="auto"/>
                      </w:divBdr>
                      <w:divsChild>
                        <w:div w:id="857276479">
                          <w:marLeft w:val="0"/>
                          <w:marRight w:val="0"/>
                          <w:marTop w:val="0"/>
                          <w:marBottom w:val="0"/>
                          <w:divBdr>
                            <w:top w:val="none" w:sz="0" w:space="0" w:color="auto"/>
                            <w:left w:val="none" w:sz="0" w:space="0" w:color="auto"/>
                            <w:bottom w:val="none" w:sz="0" w:space="0" w:color="auto"/>
                            <w:right w:val="none" w:sz="0" w:space="0" w:color="auto"/>
                          </w:divBdr>
                          <w:divsChild>
                            <w:div w:id="2052916689">
                              <w:marLeft w:val="0"/>
                              <w:marRight w:val="0"/>
                              <w:marTop w:val="0"/>
                              <w:marBottom w:val="0"/>
                              <w:divBdr>
                                <w:top w:val="none" w:sz="0" w:space="0" w:color="auto"/>
                                <w:left w:val="none" w:sz="0" w:space="0" w:color="auto"/>
                                <w:bottom w:val="none" w:sz="0" w:space="0" w:color="auto"/>
                                <w:right w:val="none" w:sz="0" w:space="0" w:color="auto"/>
                              </w:divBdr>
                              <w:divsChild>
                                <w:div w:id="1854105373">
                                  <w:marLeft w:val="0"/>
                                  <w:marRight w:val="0"/>
                                  <w:marTop w:val="0"/>
                                  <w:marBottom w:val="0"/>
                                  <w:divBdr>
                                    <w:top w:val="none" w:sz="0" w:space="0" w:color="auto"/>
                                    <w:left w:val="none" w:sz="0" w:space="0" w:color="auto"/>
                                    <w:bottom w:val="none" w:sz="0" w:space="0" w:color="auto"/>
                                    <w:right w:val="none" w:sz="0" w:space="0" w:color="auto"/>
                                  </w:divBdr>
                                  <w:divsChild>
                                    <w:div w:id="138571413">
                                      <w:marLeft w:val="0"/>
                                      <w:marRight w:val="0"/>
                                      <w:marTop w:val="0"/>
                                      <w:marBottom w:val="0"/>
                                      <w:divBdr>
                                        <w:top w:val="none" w:sz="0" w:space="0" w:color="auto"/>
                                        <w:left w:val="none" w:sz="0" w:space="0" w:color="auto"/>
                                        <w:bottom w:val="none" w:sz="0" w:space="0" w:color="auto"/>
                                        <w:right w:val="none" w:sz="0" w:space="0" w:color="auto"/>
                                      </w:divBdr>
                                      <w:divsChild>
                                        <w:div w:id="490950378">
                                          <w:marLeft w:val="0"/>
                                          <w:marRight w:val="0"/>
                                          <w:marTop w:val="0"/>
                                          <w:marBottom w:val="0"/>
                                          <w:divBdr>
                                            <w:top w:val="none" w:sz="0" w:space="0" w:color="auto"/>
                                            <w:left w:val="none" w:sz="0" w:space="0" w:color="auto"/>
                                            <w:bottom w:val="none" w:sz="0" w:space="0" w:color="auto"/>
                                            <w:right w:val="none" w:sz="0" w:space="0" w:color="auto"/>
                                          </w:divBdr>
                                          <w:divsChild>
                                            <w:div w:id="166334332">
                                              <w:marLeft w:val="0"/>
                                              <w:marRight w:val="0"/>
                                              <w:marTop w:val="0"/>
                                              <w:marBottom w:val="0"/>
                                              <w:divBdr>
                                                <w:top w:val="none" w:sz="0" w:space="0" w:color="auto"/>
                                                <w:left w:val="none" w:sz="0" w:space="0" w:color="auto"/>
                                                <w:bottom w:val="none" w:sz="0" w:space="0" w:color="auto"/>
                                                <w:right w:val="none" w:sz="0" w:space="0" w:color="auto"/>
                                              </w:divBdr>
                                              <w:divsChild>
                                                <w:div w:id="33313641">
                                                  <w:marLeft w:val="0"/>
                                                  <w:marRight w:val="0"/>
                                                  <w:marTop w:val="0"/>
                                                  <w:marBottom w:val="0"/>
                                                  <w:divBdr>
                                                    <w:top w:val="none" w:sz="0" w:space="0" w:color="auto"/>
                                                    <w:left w:val="none" w:sz="0" w:space="0" w:color="auto"/>
                                                    <w:bottom w:val="none" w:sz="0" w:space="0" w:color="auto"/>
                                                    <w:right w:val="none" w:sz="0" w:space="0" w:color="auto"/>
                                                  </w:divBdr>
                                                  <w:divsChild>
                                                    <w:div w:id="1497303404">
                                                      <w:marLeft w:val="0"/>
                                                      <w:marRight w:val="0"/>
                                                      <w:marTop w:val="0"/>
                                                      <w:marBottom w:val="0"/>
                                                      <w:divBdr>
                                                        <w:top w:val="none" w:sz="0" w:space="0" w:color="auto"/>
                                                        <w:left w:val="none" w:sz="0" w:space="0" w:color="auto"/>
                                                        <w:bottom w:val="none" w:sz="0" w:space="0" w:color="auto"/>
                                                        <w:right w:val="none" w:sz="0" w:space="0" w:color="auto"/>
                                                      </w:divBdr>
                                                      <w:divsChild>
                                                        <w:div w:id="7639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9953377">
      <w:bodyDiv w:val="1"/>
      <w:marLeft w:val="0"/>
      <w:marRight w:val="0"/>
      <w:marTop w:val="0"/>
      <w:marBottom w:val="0"/>
      <w:divBdr>
        <w:top w:val="none" w:sz="0" w:space="0" w:color="auto"/>
        <w:left w:val="none" w:sz="0" w:space="0" w:color="auto"/>
        <w:bottom w:val="none" w:sz="0" w:space="0" w:color="auto"/>
        <w:right w:val="none" w:sz="0" w:space="0" w:color="auto"/>
      </w:divBdr>
      <w:divsChild>
        <w:div w:id="1931113566">
          <w:marLeft w:val="0"/>
          <w:marRight w:val="0"/>
          <w:marTop w:val="0"/>
          <w:marBottom w:val="0"/>
          <w:divBdr>
            <w:top w:val="none" w:sz="0" w:space="0" w:color="auto"/>
            <w:left w:val="none" w:sz="0" w:space="0" w:color="auto"/>
            <w:bottom w:val="none" w:sz="0" w:space="0" w:color="auto"/>
            <w:right w:val="none" w:sz="0" w:space="0" w:color="auto"/>
          </w:divBdr>
          <w:divsChild>
            <w:div w:id="317730375">
              <w:marLeft w:val="0"/>
              <w:marRight w:val="0"/>
              <w:marTop w:val="0"/>
              <w:marBottom w:val="0"/>
              <w:divBdr>
                <w:top w:val="none" w:sz="0" w:space="0" w:color="auto"/>
                <w:left w:val="none" w:sz="0" w:space="0" w:color="auto"/>
                <w:bottom w:val="none" w:sz="0" w:space="0" w:color="auto"/>
                <w:right w:val="none" w:sz="0" w:space="0" w:color="auto"/>
              </w:divBdr>
              <w:divsChild>
                <w:div w:id="2011566405">
                  <w:marLeft w:val="0"/>
                  <w:marRight w:val="0"/>
                  <w:marTop w:val="0"/>
                  <w:marBottom w:val="0"/>
                  <w:divBdr>
                    <w:top w:val="none" w:sz="0" w:space="0" w:color="auto"/>
                    <w:left w:val="none" w:sz="0" w:space="0" w:color="auto"/>
                    <w:bottom w:val="none" w:sz="0" w:space="0" w:color="auto"/>
                    <w:right w:val="none" w:sz="0" w:space="0" w:color="auto"/>
                  </w:divBdr>
                  <w:divsChild>
                    <w:div w:id="912273434">
                      <w:marLeft w:val="0"/>
                      <w:marRight w:val="0"/>
                      <w:marTop w:val="0"/>
                      <w:marBottom w:val="0"/>
                      <w:divBdr>
                        <w:top w:val="none" w:sz="0" w:space="0" w:color="auto"/>
                        <w:left w:val="none" w:sz="0" w:space="0" w:color="auto"/>
                        <w:bottom w:val="none" w:sz="0" w:space="0" w:color="auto"/>
                        <w:right w:val="none" w:sz="0" w:space="0" w:color="auto"/>
                      </w:divBdr>
                      <w:divsChild>
                        <w:div w:id="753669493">
                          <w:marLeft w:val="0"/>
                          <w:marRight w:val="0"/>
                          <w:marTop w:val="0"/>
                          <w:marBottom w:val="0"/>
                          <w:divBdr>
                            <w:top w:val="none" w:sz="0" w:space="0" w:color="auto"/>
                            <w:left w:val="none" w:sz="0" w:space="0" w:color="auto"/>
                            <w:bottom w:val="none" w:sz="0" w:space="0" w:color="auto"/>
                            <w:right w:val="none" w:sz="0" w:space="0" w:color="auto"/>
                          </w:divBdr>
                          <w:divsChild>
                            <w:div w:id="451636032">
                              <w:marLeft w:val="0"/>
                              <w:marRight w:val="0"/>
                              <w:marTop w:val="0"/>
                              <w:marBottom w:val="0"/>
                              <w:divBdr>
                                <w:top w:val="none" w:sz="0" w:space="0" w:color="auto"/>
                                <w:left w:val="none" w:sz="0" w:space="0" w:color="auto"/>
                                <w:bottom w:val="none" w:sz="0" w:space="0" w:color="auto"/>
                                <w:right w:val="none" w:sz="0" w:space="0" w:color="auto"/>
                              </w:divBdr>
                              <w:divsChild>
                                <w:div w:id="310208056">
                                  <w:marLeft w:val="0"/>
                                  <w:marRight w:val="0"/>
                                  <w:marTop w:val="0"/>
                                  <w:marBottom w:val="0"/>
                                  <w:divBdr>
                                    <w:top w:val="none" w:sz="0" w:space="0" w:color="auto"/>
                                    <w:left w:val="none" w:sz="0" w:space="0" w:color="auto"/>
                                    <w:bottom w:val="none" w:sz="0" w:space="0" w:color="auto"/>
                                    <w:right w:val="none" w:sz="0" w:space="0" w:color="auto"/>
                                  </w:divBdr>
                                  <w:divsChild>
                                    <w:div w:id="447241029">
                                      <w:marLeft w:val="0"/>
                                      <w:marRight w:val="0"/>
                                      <w:marTop w:val="0"/>
                                      <w:marBottom w:val="0"/>
                                      <w:divBdr>
                                        <w:top w:val="none" w:sz="0" w:space="0" w:color="auto"/>
                                        <w:left w:val="none" w:sz="0" w:space="0" w:color="auto"/>
                                        <w:bottom w:val="none" w:sz="0" w:space="0" w:color="auto"/>
                                        <w:right w:val="none" w:sz="0" w:space="0" w:color="auto"/>
                                      </w:divBdr>
                                      <w:divsChild>
                                        <w:div w:id="303195581">
                                          <w:marLeft w:val="0"/>
                                          <w:marRight w:val="0"/>
                                          <w:marTop w:val="0"/>
                                          <w:marBottom w:val="0"/>
                                          <w:divBdr>
                                            <w:top w:val="none" w:sz="0" w:space="0" w:color="auto"/>
                                            <w:left w:val="none" w:sz="0" w:space="0" w:color="auto"/>
                                            <w:bottom w:val="none" w:sz="0" w:space="0" w:color="auto"/>
                                            <w:right w:val="none" w:sz="0" w:space="0" w:color="auto"/>
                                          </w:divBdr>
                                          <w:divsChild>
                                            <w:div w:id="508174726">
                                              <w:marLeft w:val="0"/>
                                              <w:marRight w:val="0"/>
                                              <w:marTop w:val="0"/>
                                              <w:marBottom w:val="0"/>
                                              <w:divBdr>
                                                <w:top w:val="none" w:sz="0" w:space="0" w:color="auto"/>
                                                <w:left w:val="none" w:sz="0" w:space="0" w:color="auto"/>
                                                <w:bottom w:val="none" w:sz="0" w:space="0" w:color="auto"/>
                                                <w:right w:val="none" w:sz="0" w:space="0" w:color="auto"/>
                                              </w:divBdr>
                                              <w:divsChild>
                                                <w:div w:id="216936035">
                                                  <w:marLeft w:val="0"/>
                                                  <w:marRight w:val="0"/>
                                                  <w:marTop w:val="0"/>
                                                  <w:marBottom w:val="0"/>
                                                  <w:divBdr>
                                                    <w:top w:val="none" w:sz="0" w:space="0" w:color="auto"/>
                                                    <w:left w:val="none" w:sz="0" w:space="0" w:color="auto"/>
                                                    <w:bottom w:val="none" w:sz="0" w:space="0" w:color="auto"/>
                                                    <w:right w:val="none" w:sz="0" w:space="0" w:color="auto"/>
                                                  </w:divBdr>
                                                  <w:divsChild>
                                                    <w:div w:id="240137010">
                                                      <w:marLeft w:val="0"/>
                                                      <w:marRight w:val="0"/>
                                                      <w:marTop w:val="0"/>
                                                      <w:marBottom w:val="0"/>
                                                      <w:divBdr>
                                                        <w:top w:val="none" w:sz="0" w:space="0" w:color="auto"/>
                                                        <w:left w:val="none" w:sz="0" w:space="0" w:color="auto"/>
                                                        <w:bottom w:val="none" w:sz="0" w:space="0" w:color="auto"/>
                                                        <w:right w:val="none" w:sz="0" w:space="0" w:color="auto"/>
                                                      </w:divBdr>
                                                      <w:divsChild>
                                                        <w:div w:id="17215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yroa\AppData\Local\Microsoft\Windows\INetCache\IE\SBGSDUNC\template_-_principal_instrument_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CAC39-1208-46CC-8239-722C2DAF9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template_-_principal_instrument_0</Template>
  <TotalTime>0</TotalTime>
  <Pages>11</Pages>
  <Words>1933</Words>
  <Characters>11023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PEYROVI, Pasha</dc:creator>
  <cp:lastModifiedBy>ALLEN, Donna</cp:lastModifiedBy>
  <cp:revision>2</cp:revision>
  <cp:lastPrinted>2021-05-12T23:29:00Z</cp:lastPrinted>
  <dcterms:created xsi:type="dcterms:W3CDTF">2021-05-18T05:20:00Z</dcterms:created>
  <dcterms:modified xsi:type="dcterms:W3CDTF">2021-05-18T05:20:00Z</dcterms:modified>
</cp:coreProperties>
</file>