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453914B1" w:rsidR="004C58B9" w:rsidRDefault="00D00D4B" w:rsidP="004C58B9">
      <w:pPr>
        <w:jc w:val="center"/>
        <w:rPr>
          <w:rFonts w:ascii="Times New Roman" w:hAnsi="Times New Roman" w:cs="Times New Roman"/>
          <w:b/>
          <w:i/>
        </w:rPr>
      </w:pPr>
      <w:r w:rsidRPr="00D00D4B">
        <w:rPr>
          <w:rFonts w:ascii="Times New Roman" w:hAnsi="Times New Roman" w:cs="Times New Roman"/>
          <w:b/>
          <w:i/>
        </w:rPr>
        <w:t>Australian Radiofrequency Spectrum Plan 20</w:t>
      </w:r>
      <w:r>
        <w:rPr>
          <w:rFonts w:ascii="Times New Roman" w:hAnsi="Times New Roman" w:cs="Times New Roman"/>
          <w:b/>
          <w:i/>
        </w:rPr>
        <w:t>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062D9493"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AB57DA">
        <w:rPr>
          <w:rFonts w:ascii="Times New Roman" w:hAnsi="Times New Roman" w:cs="Times New Roman"/>
          <w:bCs/>
        </w:rPr>
        <w:t>the</w:t>
      </w:r>
      <w:r>
        <w:rPr>
          <w:rFonts w:ascii="Times New Roman" w:hAnsi="Times New Roman" w:cs="Times New Roman"/>
          <w:b/>
        </w:rPr>
        <w:t xml:space="preserve"> </w:t>
      </w:r>
      <w:r w:rsidR="00216531">
        <w:rPr>
          <w:rFonts w:ascii="Times New Roman" w:hAnsi="Times New Roman" w:cs="Times New Roman"/>
          <w:b/>
        </w:rPr>
        <w:t>ACMA</w:t>
      </w:r>
      <w:r>
        <w:rPr>
          <w:rFonts w:ascii="Times New Roman" w:hAnsi="Times New Roman" w:cs="Times New Roman"/>
        </w:rPr>
        <w:t xml:space="preserve">) has made the </w:t>
      </w:r>
      <w:r w:rsidR="00D00D4B" w:rsidRPr="00D00D4B">
        <w:rPr>
          <w:rFonts w:ascii="Times New Roman" w:hAnsi="Times New Roman" w:cs="Times New Roman"/>
          <w:i/>
          <w:iCs/>
        </w:rPr>
        <w:t>Australian Radiofrequency Spectrum Plan 20</w:t>
      </w:r>
      <w:r w:rsidR="00D00D4B">
        <w:rPr>
          <w:rFonts w:ascii="Times New Roman" w:hAnsi="Times New Roman" w:cs="Times New Roman"/>
          <w:i/>
          <w:iCs/>
        </w:rPr>
        <w:t>21</w:t>
      </w:r>
      <w:r w:rsidR="00D00D4B" w:rsidRPr="00D00D4B">
        <w:rPr>
          <w:rFonts w:ascii="Times New Roman" w:hAnsi="Times New Roman" w:cs="Times New Roman"/>
          <w:i/>
          <w:iCs/>
        </w:rPr>
        <w:t xml:space="preserve"> </w:t>
      </w:r>
      <w:r>
        <w:rPr>
          <w:rFonts w:ascii="Times New Roman" w:hAnsi="Times New Roman" w:cs="Times New Roman"/>
        </w:rPr>
        <w:t>(</w:t>
      </w:r>
      <w:r w:rsidRPr="00AB57DA">
        <w:rPr>
          <w:rFonts w:ascii="Times New Roman" w:hAnsi="Times New Roman" w:cs="Times New Roman"/>
          <w:bCs/>
        </w:rPr>
        <w:t>the</w:t>
      </w:r>
      <w:r>
        <w:rPr>
          <w:rFonts w:ascii="Times New Roman" w:hAnsi="Times New Roman" w:cs="Times New Roman"/>
          <w:b/>
        </w:rPr>
        <w:t xml:space="preserve"> </w:t>
      </w:r>
      <w:r w:rsidR="00216531">
        <w:rPr>
          <w:rFonts w:ascii="Times New Roman" w:hAnsi="Times New Roman" w:cs="Times New Roman"/>
          <w:b/>
        </w:rPr>
        <w:t>Spectrum Plan</w:t>
      </w:r>
      <w:r>
        <w:rPr>
          <w:rFonts w:ascii="Times New Roman" w:hAnsi="Times New Roman" w:cs="Times New Roman"/>
        </w:rPr>
        <w:t xml:space="preserve">) under </w:t>
      </w:r>
      <w:r w:rsidR="00A903B4">
        <w:rPr>
          <w:rFonts w:ascii="Times New Roman" w:hAnsi="Times New Roman" w:cs="Times New Roman"/>
        </w:rPr>
        <w:t xml:space="preserve">section </w:t>
      </w:r>
      <w:r w:rsidR="00D00D4B">
        <w:rPr>
          <w:rFonts w:ascii="Times New Roman" w:hAnsi="Times New Roman" w:cs="Times New Roman"/>
        </w:rPr>
        <w:t>30</w:t>
      </w:r>
      <w:r w:rsidR="00A903B4">
        <w:rPr>
          <w:rFonts w:ascii="Times New Roman" w:hAnsi="Times New Roman" w:cs="Times New Roman"/>
        </w:rPr>
        <w:t xml:space="preserve"> </w:t>
      </w:r>
      <w:r>
        <w:rPr>
          <w:rFonts w:ascii="Times New Roman" w:hAnsi="Times New Roman" w:cs="Times New Roman"/>
        </w:rPr>
        <w:t xml:space="preserve">of the </w:t>
      </w:r>
      <w:r w:rsidR="00A903B4" w:rsidRPr="00A903B4">
        <w:rPr>
          <w:rFonts w:ascii="Times New Roman" w:hAnsi="Times New Roman" w:cs="Times New Roman"/>
          <w:i/>
          <w:iCs/>
        </w:rPr>
        <w:t>Radiocommunications Act 1992</w:t>
      </w:r>
      <w:r>
        <w:rPr>
          <w:rFonts w:ascii="Times New Roman" w:hAnsi="Times New Roman" w:cs="Times New Roman"/>
        </w:rPr>
        <w:t xml:space="preserve"> (</w:t>
      </w:r>
      <w:r w:rsidRPr="00AB57DA">
        <w:rPr>
          <w:rFonts w:ascii="Times New Roman" w:hAnsi="Times New Roman" w:cs="Times New Roman"/>
          <w:bCs/>
        </w:rPr>
        <w:t>the</w:t>
      </w:r>
      <w:r>
        <w:rPr>
          <w:rFonts w:ascii="Times New Roman" w:hAnsi="Times New Roman" w:cs="Times New Roman"/>
          <w:b/>
        </w:rPr>
        <w:t xml:space="preserve"> Act</w:t>
      </w:r>
      <w:r>
        <w:rPr>
          <w:rFonts w:ascii="Times New Roman" w:hAnsi="Times New Roman" w:cs="Times New Roman"/>
        </w:rPr>
        <w:t>).</w:t>
      </w:r>
    </w:p>
    <w:p w14:paraId="563E5C0A" w14:textId="4566E9EB" w:rsidR="00CE1507" w:rsidRDefault="00CE1507" w:rsidP="004C58B9">
      <w:pPr>
        <w:rPr>
          <w:rFonts w:ascii="Times New Roman" w:hAnsi="Times New Roman" w:cs="Times New Roman"/>
        </w:rPr>
      </w:pPr>
      <w:r>
        <w:rPr>
          <w:rFonts w:ascii="Times New Roman" w:hAnsi="Times New Roman" w:cs="Times New Roman"/>
        </w:rPr>
        <w:t xml:space="preserve">Section </w:t>
      </w:r>
      <w:r w:rsidR="00D00D4B">
        <w:rPr>
          <w:rFonts w:ascii="Times New Roman" w:hAnsi="Times New Roman" w:cs="Times New Roman"/>
        </w:rPr>
        <w:t>30</w:t>
      </w:r>
      <w:r>
        <w:rPr>
          <w:rFonts w:ascii="Times New Roman" w:hAnsi="Times New Roman" w:cs="Times New Roman"/>
        </w:rPr>
        <w:t xml:space="preserve"> of the Act provides that the ACMA may</w:t>
      </w:r>
      <w:r w:rsidR="00D00D4B">
        <w:rPr>
          <w:rFonts w:ascii="Times New Roman" w:hAnsi="Times New Roman" w:cs="Times New Roman"/>
        </w:rPr>
        <w:t>, by legislative instrument, prepare a spectrum plan</w:t>
      </w:r>
      <w:r w:rsidR="00246EE2" w:rsidRPr="00246EE2">
        <w:rPr>
          <w:rFonts w:ascii="Times New Roman" w:hAnsi="Times New Roman" w:cs="Times New Roman"/>
        </w:rPr>
        <w:t>.</w:t>
      </w:r>
      <w:r w:rsidR="00D00D4B">
        <w:rPr>
          <w:rFonts w:ascii="Times New Roman" w:hAnsi="Times New Roman" w:cs="Times New Roman"/>
        </w:rPr>
        <w:t xml:space="preserve"> </w:t>
      </w:r>
      <w:r w:rsidR="00D00D4B" w:rsidRPr="00D00D4B">
        <w:rPr>
          <w:rFonts w:ascii="Times New Roman" w:hAnsi="Times New Roman" w:cs="Times New Roman"/>
        </w:rPr>
        <w:t>Pursuant to section 30 of the Act, a spectrum plan must divide the spectrum into such number of frequency bands as is considered necessary by the ACMA for the purpose of regulating radiocommunications under the Act. A spectrum plan must also designate one or more bands to be used primarily for the general purposes of defence, and specify the general purpose or purposes for which other bands may be used.</w:t>
      </w:r>
    </w:p>
    <w:p w14:paraId="1828A3C8" w14:textId="010D704F" w:rsidR="00D00D4B" w:rsidRDefault="00D00D4B" w:rsidP="004C58B9">
      <w:pPr>
        <w:rPr>
          <w:rFonts w:ascii="Times New Roman" w:hAnsi="Times New Roman" w:cs="Times New Roman"/>
        </w:rPr>
      </w:pPr>
      <w:r w:rsidRPr="00D00D4B">
        <w:rPr>
          <w:rFonts w:ascii="Times New Roman" w:hAnsi="Times New Roman" w:cs="Times New Roman"/>
        </w:rPr>
        <w:t xml:space="preserve">The </w:t>
      </w:r>
      <w:r w:rsidR="00BA5F46">
        <w:rPr>
          <w:rFonts w:ascii="Times New Roman" w:hAnsi="Times New Roman" w:cs="Times New Roman"/>
        </w:rPr>
        <w:t xml:space="preserve">Spectrum Plan </w:t>
      </w:r>
      <w:r w:rsidRPr="00D00D4B">
        <w:rPr>
          <w:rFonts w:ascii="Times New Roman" w:hAnsi="Times New Roman" w:cs="Times New Roman"/>
        </w:rPr>
        <w:t xml:space="preserve">revokes and replaces the </w:t>
      </w:r>
      <w:r w:rsidRPr="00D00D4B">
        <w:rPr>
          <w:rFonts w:ascii="Times New Roman" w:hAnsi="Times New Roman" w:cs="Times New Roman"/>
          <w:i/>
          <w:iCs/>
        </w:rPr>
        <w:t>Australian Radiofrequency Spectrum Plan 2017</w:t>
      </w:r>
      <w:r w:rsidRPr="00D00D4B">
        <w:rPr>
          <w:rFonts w:ascii="Times New Roman" w:hAnsi="Times New Roman" w:cs="Times New Roman"/>
        </w:rPr>
        <w:t xml:space="preserve"> (the </w:t>
      </w:r>
      <w:r w:rsidRPr="00216531">
        <w:rPr>
          <w:rFonts w:ascii="Times New Roman" w:hAnsi="Times New Roman" w:cs="Times New Roman"/>
          <w:b/>
          <w:bCs/>
        </w:rPr>
        <w:t>Spectrum Plan</w:t>
      </w:r>
      <w:r w:rsidR="00C937FF" w:rsidRPr="00216531">
        <w:rPr>
          <w:rFonts w:ascii="Times New Roman" w:hAnsi="Times New Roman" w:cs="Times New Roman"/>
          <w:b/>
          <w:bCs/>
        </w:rPr>
        <w:t xml:space="preserve"> 2017</w:t>
      </w:r>
      <w:r w:rsidRPr="00D00D4B">
        <w:rPr>
          <w:rFonts w:ascii="Times New Roman" w:hAnsi="Times New Roman" w:cs="Times New Roman"/>
        </w:rPr>
        <w:t xml:space="preserve">). Subsection 33(3) of the </w:t>
      </w:r>
      <w:r w:rsidRPr="00FC6DD3">
        <w:rPr>
          <w:rFonts w:ascii="Times New Roman" w:hAnsi="Times New Roman" w:cs="Times New Roman"/>
          <w:i/>
          <w:iCs/>
        </w:rPr>
        <w:t>Acts Interpretation Act 1901</w:t>
      </w:r>
      <w:r w:rsidRPr="00D00D4B">
        <w:rPr>
          <w:rFonts w:ascii="Times New Roman" w:hAnsi="Times New Roman" w:cs="Times New Roman"/>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13CAA26A" w14:textId="36CC6947" w:rsidR="00830B25" w:rsidRPr="00830B25" w:rsidRDefault="00830B25" w:rsidP="00CE1507">
      <w:pPr>
        <w:rPr>
          <w:rFonts w:ascii="Times New Roman" w:hAnsi="Times New Roman" w:cs="Times New Roman"/>
          <w:i/>
          <w:iCs/>
        </w:rPr>
      </w:pPr>
      <w:r>
        <w:rPr>
          <w:rFonts w:ascii="Times New Roman" w:hAnsi="Times New Roman" w:cs="Times New Roman"/>
          <w:i/>
          <w:iCs/>
        </w:rPr>
        <w:t>Purpose of the instrument</w:t>
      </w:r>
    </w:p>
    <w:p w14:paraId="12A80012" w14:textId="68F7DF7E" w:rsidR="00BA5F46" w:rsidRPr="00BA5F46" w:rsidRDefault="00BA5F46" w:rsidP="00BA5F46">
      <w:pPr>
        <w:spacing w:line="257" w:lineRule="auto"/>
        <w:rPr>
          <w:rFonts w:ascii="Times New Roman" w:hAnsi="Times New Roman" w:cs="Times New Roman"/>
        </w:rPr>
      </w:pPr>
      <w:r w:rsidRPr="00BA5F46">
        <w:rPr>
          <w:rFonts w:ascii="Times New Roman" w:hAnsi="Times New Roman" w:cs="Times New Roman"/>
        </w:rPr>
        <w:t xml:space="preserve">As required under section 30 of the Act, the Spectrum Plan divides the radiofrequency spectrum into frequency bands and specifies the purposes for which those bands may be used. This process is referred to as ‘allocation’ of frequency bands to services. The allocation process includes designating services as either primary or secondary services. The main purpose of designating services as either primary or secondary is to assist in interference management. The status of a service is indicated by use of </w:t>
      </w:r>
      <w:proofErr w:type="gramStart"/>
      <w:r w:rsidRPr="00BA5F46">
        <w:rPr>
          <w:rFonts w:ascii="Times New Roman" w:hAnsi="Times New Roman" w:cs="Times New Roman"/>
        </w:rPr>
        <w:t>upper case</w:t>
      </w:r>
      <w:proofErr w:type="gramEnd"/>
      <w:r w:rsidRPr="00BA5F46">
        <w:rPr>
          <w:rFonts w:ascii="Times New Roman" w:hAnsi="Times New Roman" w:cs="Times New Roman"/>
        </w:rPr>
        <w:t xml:space="preserve"> letters for ‘PRIMARY’, and lower case letters for ‘secondary’.</w:t>
      </w:r>
    </w:p>
    <w:p w14:paraId="52176856" w14:textId="0845E26F" w:rsidR="00BA5F46" w:rsidRPr="00BA5F46" w:rsidRDefault="00BA5F46" w:rsidP="00BA5F46">
      <w:pPr>
        <w:spacing w:line="257" w:lineRule="auto"/>
        <w:rPr>
          <w:rFonts w:ascii="Times New Roman" w:hAnsi="Times New Roman" w:cs="Times New Roman"/>
        </w:rPr>
      </w:pPr>
      <w:r w:rsidRPr="00BA5F46">
        <w:rPr>
          <w:rFonts w:ascii="Times New Roman" w:hAnsi="Times New Roman" w:cs="Times New Roman"/>
        </w:rPr>
        <w:t>The Spectrum Plan provides the basis for management of the radiofrequency spectrum in Australia. The allocations effected by the Spectrum Plan are prescriptive and the ACMA issue</w:t>
      </w:r>
      <w:r w:rsidR="00F0264F">
        <w:rPr>
          <w:rFonts w:ascii="Times New Roman" w:hAnsi="Times New Roman" w:cs="Times New Roman"/>
        </w:rPr>
        <w:t>s</w:t>
      </w:r>
      <w:r w:rsidRPr="00BA5F46">
        <w:rPr>
          <w:rFonts w:ascii="Times New Roman" w:hAnsi="Times New Roman" w:cs="Times New Roman"/>
        </w:rPr>
        <w:t xml:space="preserve"> apparatus licences consistent</w:t>
      </w:r>
      <w:r w:rsidR="00F0264F">
        <w:rPr>
          <w:rFonts w:ascii="Times New Roman" w:hAnsi="Times New Roman" w:cs="Times New Roman"/>
        </w:rPr>
        <w:t>ly</w:t>
      </w:r>
      <w:r w:rsidRPr="00BA5F46">
        <w:rPr>
          <w:rFonts w:ascii="Times New Roman" w:hAnsi="Times New Roman" w:cs="Times New Roman"/>
        </w:rPr>
        <w:t xml:space="preserve"> with the Spectrum Plan. </w:t>
      </w:r>
    </w:p>
    <w:p w14:paraId="670A951D" w14:textId="7C0C60E3" w:rsidR="00BA5F46" w:rsidRPr="00BA5F46" w:rsidRDefault="00BA5F46" w:rsidP="00BA5F46">
      <w:pPr>
        <w:spacing w:line="257" w:lineRule="auto"/>
        <w:rPr>
          <w:rFonts w:ascii="Times New Roman" w:hAnsi="Times New Roman" w:cs="Times New Roman"/>
        </w:rPr>
      </w:pPr>
      <w:r w:rsidRPr="00BA5F46">
        <w:rPr>
          <w:rFonts w:ascii="Times New Roman" w:hAnsi="Times New Roman" w:cs="Times New Roman"/>
        </w:rPr>
        <w:t>The Spectrum Plan is part of the way Australia’s obligations as a signatory to the Constitution and Convention of the International Telecommunication Union (ITU) are addressed in domestic law. The provisions of the Constitution and Convention are complemented by the Administrative Regulations, including the Radio Regulations, which are binding on all Member States. The Spectrum Plan provides details of the international frequency allocations agreed for the three world regions (in column 1 of the Table of Frequency Band Allocations of the Spectrum Plan)</w:t>
      </w:r>
      <w:r w:rsidR="00D62819">
        <w:rPr>
          <w:rFonts w:ascii="Times New Roman" w:hAnsi="Times New Roman" w:cs="Times New Roman"/>
        </w:rPr>
        <w:t>.</w:t>
      </w:r>
      <w:r w:rsidRPr="00BA5F46">
        <w:rPr>
          <w:rFonts w:ascii="Times New Roman" w:hAnsi="Times New Roman" w:cs="Times New Roman"/>
        </w:rPr>
        <w:t xml:space="preserve"> Australia is part of Region 3 (the third sub-column under column 1).</w:t>
      </w:r>
    </w:p>
    <w:p w14:paraId="4497C44A" w14:textId="59592F78" w:rsidR="00BA5F46" w:rsidRDefault="00BA5F46" w:rsidP="00BA5F46">
      <w:pPr>
        <w:spacing w:line="257" w:lineRule="auto"/>
        <w:rPr>
          <w:rFonts w:ascii="Times New Roman" w:hAnsi="Times New Roman" w:cs="Times New Roman"/>
        </w:rPr>
      </w:pPr>
      <w:r w:rsidRPr="00BA5F46">
        <w:rPr>
          <w:rFonts w:ascii="Times New Roman" w:hAnsi="Times New Roman" w:cs="Times New Roman"/>
        </w:rPr>
        <w:t>The basis for the structure of the Spectrum Plan is derived from the Table of Frequency Allocations contained in Article 5 of the Radio Regulations. While the Australian allocations are broadly aligned with the ITU requirements for Region 3, some variations do exist. Such variations are subject to the condition that the services do not cause harmful interference to the radio services or communications of other ITU Members that operate in accordance with the provisions of the Radio Regulations, and that the possibility of harmful interference from such services and communications is accepted.</w:t>
      </w:r>
    </w:p>
    <w:p w14:paraId="441B0E73" w14:textId="120DC115" w:rsidR="00830B25" w:rsidRPr="0011398E" w:rsidRDefault="00830B25" w:rsidP="0043037A">
      <w:pPr>
        <w:spacing w:line="257" w:lineRule="auto"/>
        <w:rPr>
          <w:rFonts w:ascii="Times New Roman" w:hAnsi="Times New Roman" w:cs="Times New Roman"/>
          <w:i/>
          <w:iCs/>
        </w:rPr>
      </w:pPr>
      <w:r w:rsidRPr="0011398E">
        <w:rPr>
          <w:rFonts w:ascii="Times New Roman" w:hAnsi="Times New Roman" w:cs="Times New Roman"/>
          <w:i/>
          <w:iCs/>
        </w:rPr>
        <w:lastRenderedPageBreak/>
        <w:t>Operation of the instrument</w:t>
      </w:r>
    </w:p>
    <w:p w14:paraId="05BC50F9" w14:textId="1DA98B78" w:rsidR="00C73E0B" w:rsidRDefault="00BA5F46" w:rsidP="00C73E0B">
      <w:pPr>
        <w:spacing w:line="257" w:lineRule="auto"/>
        <w:rPr>
          <w:rFonts w:ascii="Times New Roman" w:hAnsi="Times New Roman" w:cs="Times New Roman"/>
        </w:rPr>
      </w:pPr>
      <w:r w:rsidRPr="00BA5F46">
        <w:rPr>
          <w:rFonts w:ascii="Times New Roman" w:hAnsi="Times New Roman" w:cs="Times New Roman"/>
        </w:rPr>
        <w:t xml:space="preserve">The Spectrum Plan revokes and </w:t>
      </w:r>
      <w:r w:rsidRPr="00216531">
        <w:rPr>
          <w:rFonts w:ascii="Times New Roman" w:hAnsi="Times New Roman" w:cs="Times New Roman"/>
        </w:rPr>
        <w:t xml:space="preserve">replaces the Spectrum Plan 2017. </w:t>
      </w:r>
      <w:r w:rsidR="00C73E0B" w:rsidRPr="00216531">
        <w:rPr>
          <w:rFonts w:ascii="Times New Roman" w:hAnsi="Times New Roman" w:cs="Times New Roman"/>
        </w:rPr>
        <w:t>A provision</w:t>
      </w:r>
      <w:r w:rsidR="00C73E0B">
        <w:rPr>
          <w:rFonts w:ascii="Times New Roman" w:hAnsi="Times New Roman" w:cs="Times New Roman"/>
        </w:rPr>
        <w:t xml:space="preserve">-by-provision description of the instrument is set out in the notes at </w:t>
      </w:r>
      <w:r w:rsidR="00C73E0B">
        <w:rPr>
          <w:rFonts w:ascii="Times New Roman" w:hAnsi="Times New Roman" w:cs="Times New Roman"/>
          <w:b/>
        </w:rPr>
        <w:t>Attachment A</w:t>
      </w:r>
      <w:r w:rsidR="00C73E0B">
        <w:rPr>
          <w:rFonts w:ascii="Times New Roman" w:hAnsi="Times New Roman" w:cs="Times New Roman"/>
        </w:rPr>
        <w:t>.</w:t>
      </w:r>
    </w:p>
    <w:p w14:paraId="1A43362D" w14:textId="18FDF81E" w:rsidR="00BA5F46" w:rsidRPr="00BA5F46" w:rsidRDefault="00BA5F46" w:rsidP="00BA5F46">
      <w:pPr>
        <w:spacing w:line="257" w:lineRule="auto"/>
        <w:rPr>
          <w:rFonts w:ascii="Times New Roman" w:hAnsi="Times New Roman" w:cs="Times New Roman"/>
        </w:rPr>
      </w:pPr>
      <w:r w:rsidRPr="00BA5F46">
        <w:rPr>
          <w:rFonts w:ascii="Times New Roman" w:hAnsi="Times New Roman" w:cs="Times New Roman"/>
        </w:rPr>
        <w:t>The differences between the Spectrum Plan and the former plan reflect both international and domestic changes.</w:t>
      </w:r>
    </w:p>
    <w:p w14:paraId="1F822EFF" w14:textId="497967FC" w:rsidR="00BA5F46" w:rsidRPr="00BA5F46" w:rsidRDefault="00BA5F46" w:rsidP="00BA5F46">
      <w:pPr>
        <w:spacing w:line="257" w:lineRule="auto"/>
        <w:rPr>
          <w:rFonts w:ascii="Times New Roman" w:hAnsi="Times New Roman" w:cs="Times New Roman"/>
        </w:rPr>
      </w:pPr>
      <w:r w:rsidRPr="00BA5F46">
        <w:rPr>
          <w:rFonts w:ascii="Times New Roman" w:hAnsi="Times New Roman" w:cs="Times New Roman"/>
        </w:rPr>
        <w:t>Changes arising from the ITU World Radiocommunication Conference 20</w:t>
      </w:r>
      <w:r>
        <w:rPr>
          <w:rFonts w:ascii="Times New Roman" w:hAnsi="Times New Roman" w:cs="Times New Roman"/>
        </w:rPr>
        <w:t>19</w:t>
      </w:r>
      <w:r w:rsidRPr="00BA5F46">
        <w:rPr>
          <w:rFonts w:ascii="Times New Roman" w:hAnsi="Times New Roman" w:cs="Times New Roman"/>
        </w:rPr>
        <w:t xml:space="preserve"> (WRC-1</w:t>
      </w:r>
      <w:r>
        <w:rPr>
          <w:rFonts w:ascii="Times New Roman" w:hAnsi="Times New Roman" w:cs="Times New Roman"/>
        </w:rPr>
        <w:t>9</w:t>
      </w:r>
      <w:r w:rsidRPr="00BA5F46">
        <w:rPr>
          <w:rFonts w:ascii="Times New Roman" w:hAnsi="Times New Roman" w:cs="Times New Roman"/>
        </w:rPr>
        <w:t xml:space="preserve">) held in </w:t>
      </w:r>
      <w:r>
        <w:rPr>
          <w:rFonts w:ascii="Times New Roman" w:hAnsi="Times New Roman" w:cs="Times New Roman"/>
        </w:rPr>
        <w:t xml:space="preserve">Sharm El Sheik, Egypt </w:t>
      </w:r>
      <w:r w:rsidRPr="00BA5F46">
        <w:rPr>
          <w:rFonts w:ascii="Times New Roman" w:hAnsi="Times New Roman" w:cs="Times New Roman"/>
        </w:rPr>
        <w:t>from 2</w:t>
      </w:r>
      <w:r>
        <w:rPr>
          <w:rFonts w:ascii="Times New Roman" w:hAnsi="Times New Roman" w:cs="Times New Roman"/>
        </w:rPr>
        <w:t>8 October</w:t>
      </w:r>
      <w:r w:rsidRPr="00BA5F46">
        <w:rPr>
          <w:rFonts w:ascii="Times New Roman" w:hAnsi="Times New Roman" w:cs="Times New Roman"/>
        </w:rPr>
        <w:t xml:space="preserve"> to 2</w:t>
      </w:r>
      <w:r>
        <w:rPr>
          <w:rFonts w:ascii="Times New Roman" w:hAnsi="Times New Roman" w:cs="Times New Roman"/>
        </w:rPr>
        <w:t>2</w:t>
      </w:r>
      <w:r w:rsidRPr="00BA5F46">
        <w:rPr>
          <w:rFonts w:ascii="Times New Roman" w:hAnsi="Times New Roman" w:cs="Times New Roman"/>
        </w:rPr>
        <w:t xml:space="preserve"> November 201</w:t>
      </w:r>
      <w:r>
        <w:rPr>
          <w:rFonts w:ascii="Times New Roman" w:hAnsi="Times New Roman" w:cs="Times New Roman"/>
        </w:rPr>
        <w:t>9</w:t>
      </w:r>
      <w:r w:rsidRPr="00BA5F46">
        <w:rPr>
          <w:rFonts w:ascii="Times New Roman" w:hAnsi="Times New Roman" w:cs="Times New Roman"/>
        </w:rPr>
        <w:t xml:space="preserve"> are reflected in column 1 of the Table of Frequency Band Allocations (Part 2 of the Spectrum Plan) and International Footnotes to the Table (Part 4 of the Spectrum Plan). </w:t>
      </w:r>
    </w:p>
    <w:p w14:paraId="6051AD86" w14:textId="27B6EBD5" w:rsidR="00BA5F46" w:rsidRPr="00BA5F46" w:rsidRDefault="00BA5F46" w:rsidP="00BA5F46">
      <w:pPr>
        <w:spacing w:line="257" w:lineRule="auto"/>
        <w:rPr>
          <w:rFonts w:ascii="Times New Roman" w:hAnsi="Times New Roman" w:cs="Times New Roman"/>
        </w:rPr>
      </w:pPr>
      <w:r w:rsidRPr="00BA5F46">
        <w:rPr>
          <w:rFonts w:ascii="Times New Roman" w:hAnsi="Times New Roman" w:cs="Times New Roman"/>
          <w:b/>
          <w:bCs/>
        </w:rPr>
        <w:t>Attachment B</w:t>
      </w:r>
      <w:r w:rsidRPr="00BA5F46">
        <w:rPr>
          <w:rFonts w:ascii="Times New Roman" w:hAnsi="Times New Roman" w:cs="Times New Roman"/>
        </w:rPr>
        <w:t xml:space="preserve"> provides details of the changes affecting Australia from WRC-1</w:t>
      </w:r>
      <w:r>
        <w:rPr>
          <w:rFonts w:ascii="Times New Roman" w:hAnsi="Times New Roman" w:cs="Times New Roman"/>
        </w:rPr>
        <w:t>9</w:t>
      </w:r>
      <w:r w:rsidRPr="00BA5F46">
        <w:rPr>
          <w:rFonts w:ascii="Times New Roman" w:hAnsi="Times New Roman" w:cs="Times New Roman"/>
        </w:rPr>
        <w:t>.</w:t>
      </w:r>
    </w:p>
    <w:p w14:paraId="14EFA813" w14:textId="77777777" w:rsidR="00C43ACF" w:rsidRDefault="00BA5F46" w:rsidP="00BA5F46">
      <w:pPr>
        <w:spacing w:line="257" w:lineRule="auto"/>
        <w:rPr>
          <w:rFonts w:ascii="Times New Roman" w:hAnsi="Times New Roman" w:cs="Times New Roman"/>
        </w:rPr>
      </w:pPr>
      <w:r w:rsidRPr="00BA5F46">
        <w:rPr>
          <w:rFonts w:ascii="Times New Roman" w:hAnsi="Times New Roman" w:cs="Times New Roman"/>
        </w:rPr>
        <w:t>Domestic developments that have led to changes made in the Spectrum Plan (as compared to the Spectrum Plan 201</w:t>
      </w:r>
      <w:r>
        <w:rPr>
          <w:rFonts w:ascii="Times New Roman" w:hAnsi="Times New Roman" w:cs="Times New Roman"/>
        </w:rPr>
        <w:t>7</w:t>
      </w:r>
      <w:r w:rsidRPr="00BA5F46">
        <w:rPr>
          <w:rFonts w:ascii="Times New Roman" w:hAnsi="Times New Roman" w:cs="Times New Roman"/>
        </w:rPr>
        <w:t xml:space="preserve">) are </w:t>
      </w:r>
      <w:r w:rsidR="00C43ACF">
        <w:rPr>
          <w:rFonts w:ascii="Times New Roman" w:hAnsi="Times New Roman" w:cs="Times New Roman"/>
        </w:rPr>
        <w:t>as follows:</w:t>
      </w:r>
    </w:p>
    <w:p w14:paraId="7651982F" w14:textId="6039493F" w:rsidR="00C43ACF" w:rsidRDefault="00C43ACF" w:rsidP="00C43ACF">
      <w:pPr>
        <w:pStyle w:val="ListParagraph"/>
        <w:numPr>
          <w:ilvl w:val="0"/>
          <w:numId w:val="23"/>
        </w:numPr>
        <w:rPr>
          <w:rFonts w:ascii="Times New Roman" w:hAnsi="Times New Roman" w:cs="Times New Roman"/>
        </w:rPr>
      </w:pPr>
      <w:r>
        <w:rPr>
          <w:rFonts w:ascii="Times New Roman" w:hAnsi="Times New Roman" w:cs="Times New Roman"/>
        </w:rPr>
        <w:t>Part 1 – Introductory</w:t>
      </w:r>
    </w:p>
    <w:p w14:paraId="10BBD80C" w14:textId="53EB51E9" w:rsidR="00C43ACF" w:rsidRDefault="00C43ACF" w:rsidP="00C43ACF">
      <w:pPr>
        <w:pStyle w:val="ListParagraph"/>
        <w:numPr>
          <w:ilvl w:val="1"/>
          <w:numId w:val="23"/>
        </w:numPr>
        <w:rPr>
          <w:rFonts w:ascii="Times New Roman" w:hAnsi="Times New Roman" w:cs="Times New Roman"/>
        </w:rPr>
      </w:pPr>
      <w:r>
        <w:rPr>
          <w:rFonts w:ascii="Times New Roman" w:hAnsi="Times New Roman" w:cs="Times New Roman"/>
        </w:rPr>
        <w:t>Unauthorised services</w:t>
      </w:r>
    </w:p>
    <w:p w14:paraId="05B231B6" w14:textId="2522A934" w:rsidR="00C43ACF" w:rsidRDefault="00C43ACF" w:rsidP="00C43ACF">
      <w:pPr>
        <w:pStyle w:val="ListParagraph"/>
        <w:numPr>
          <w:ilvl w:val="2"/>
          <w:numId w:val="23"/>
        </w:numPr>
        <w:rPr>
          <w:rFonts w:ascii="Times New Roman" w:hAnsi="Times New Roman" w:cs="Times New Roman"/>
        </w:rPr>
      </w:pPr>
      <w:r>
        <w:rPr>
          <w:rFonts w:ascii="Times New Roman" w:hAnsi="Times New Roman" w:cs="Times New Roman"/>
        </w:rPr>
        <w:t xml:space="preserve">Subsection 10(11) is a transitional provision to </w:t>
      </w:r>
      <w:r w:rsidRPr="00C43ACF">
        <w:rPr>
          <w:rFonts w:ascii="Times New Roman" w:hAnsi="Times New Roman" w:cs="Times New Roman"/>
        </w:rPr>
        <w:t xml:space="preserve">enable decisions made under subsection 10(10) of the Spectrum Plan </w:t>
      </w:r>
      <w:r>
        <w:rPr>
          <w:rFonts w:ascii="Times New Roman" w:hAnsi="Times New Roman" w:cs="Times New Roman"/>
        </w:rPr>
        <w:t xml:space="preserve">2017 </w:t>
      </w:r>
      <w:r w:rsidRPr="00C43ACF">
        <w:rPr>
          <w:rFonts w:ascii="Times New Roman" w:hAnsi="Times New Roman" w:cs="Times New Roman"/>
        </w:rPr>
        <w:t>to be carried over.</w:t>
      </w:r>
    </w:p>
    <w:p w14:paraId="14F6D9C5" w14:textId="6A2673E7" w:rsidR="00C43ACF" w:rsidRDefault="00C43ACF" w:rsidP="00C43ACF">
      <w:pPr>
        <w:pStyle w:val="ListParagraph"/>
        <w:numPr>
          <w:ilvl w:val="0"/>
          <w:numId w:val="23"/>
        </w:numPr>
        <w:rPr>
          <w:rFonts w:ascii="Times New Roman" w:hAnsi="Times New Roman" w:cs="Times New Roman"/>
        </w:rPr>
      </w:pPr>
      <w:r>
        <w:rPr>
          <w:rFonts w:ascii="Times New Roman" w:hAnsi="Times New Roman" w:cs="Times New Roman"/>
        </w:rPr>
        <w:t>Australian Table of Allocations and Australian Footnotes</w:t>
      </w:r>
    </w:p>
    <w:p w14:paraId="0AF77A5F" w14:textId="17CA0D05" w:rsidR="004038EE" w:rsidRPr="004038EE" w:rsidRDefault="004038EE" w:rsidP="004038EE">
      <w:pPr>
        <w:pStyle w:val="ListParagraph"/>
        <w:numPr>
          <w:ilvl w:val="1"/>
          <w:numId w:val="23"/>
        </w:numPr>
        <w:rPr>
          <w:rFonts w:ascii="Times New Roman" w:hAnsi="Times New Roman" w:cs="Times New Roman"/>
        </w:rPr>
      </w:pPr>
      <w:r w:rsidRPr="004038EE">
        <w:rPr>
          <w:rFonts w:ascii="Times New Roman" w:hAnsi="Times New Roman" w:cs="Times New Roman"/>
        </w:rPr>
        <w:t>Removed primary service Broadcasting and corresponding footnote AUS54</w:t>
      </w:r>
      <w:r>
        <w:rPr>
          <w:rFonts w:ascii="Times New Roman" w:hAnsi="Times New Roman" w:cs="Times New Roman"/>
        </w:rPr>
        <w:t xml:space="preserve"> in the </w:t>
      </w:r>
      <w:r w:rsidRPr="004038EE">
        <w:rPr>
          <w:rFonts w:ascii="Times New Roman" w:hAnsi="Times New Roman" w:cs="Times New Roman"/>
        </w:rPr>
        <w:t>7</w:t>
      </w:r>
      <w:r>
        <w:rPr>
          <w:rFonts w:ascii="Times New Roman" w:hAnsi="Times New Roman" w:cs="Times New Roman"/>
        </w:rPr>
        <w:t> </w:t>
      </w:r>
      <w:r w:rsidRPr="004038EE">
        <w:rPr>
          <w:rFonts w:ascii="Times New Roman" w:hAnsi="Times New Roman" w:cs="Times New Roman"/>
        </w:rPr>
        <w:t>100 – 7 200 kHz</w:t>
      </w:r>
      <w:r>
        <w:rPr>
          <w:rFonts w:ascii="Times New Roman" w:hAnsi="Times New Roman" w:cs="Times New Roman"/>
        </w:rPr>
        <w:t xml:space="preserve"> band</w:t>
      </w:r>
      <w:r w:rsidRPr="004038EE">
        <w:rPr>
          <w:rFonts w:ascii="Times New Roman" w:hAnsi="Times New Roman" w:cs="Times New Roman"/>
        </w:rPr>
        <w:t>.</w:t>
      </w:r>
    </w:p>
    <w:p w14:paraId="6176FBF9" w14:textId="607CD7E5" w:rsidR="004038EE" w:rsidRDefault="004038EE" w:rsidP="004038EE">
      <w:pPr>
        <w:pStyle w:val="ListParagraph"/>
        <w:numPr>
          <w:ilvl w:val="1"/>
          <w:numId w:val="23"/>
        </w:numPr>
        <w:rPr>
          <w:rFonts w:ascii="Times New Roman" w:hAnsi="Times New Roman" w:cs="Times New Roman"/>
        </w:rPr>
      </w:pPr>
      <w:r w:rsidRPr="004038EE">
        <w:rPr>
          <w:rFonts w:ascii="Times New Roman" w:hAnsi="Times New Roman" w:cs="Times New Roman"/>
        </w:rPr>
        <w:t>Added footnote AUS53 to primary service Maritime Mobile</w:t>
      </w:r>
      <w:r>
        <w:rPr>
          <w:rFonts w:ascii="Times New Roman" w:hAnsi="Times New Roman" w:cs="Times New Roman"/>
        </w:rPr>
        <w:t xml:space="preserve"> in the </w:t>
      </w:r>
      <w:r w:rsidRPr="004038EE">
        <w:rPr>
          <w:rFonts w:ascii="Times New Roman" w:hAnsi="Times New Roman" w:cs="Times New Roman"/>
        </w:rPr>
        <w:t>26 100 – 26</w:t>
      </w:r>
      <w:r>
        <w:rPr>
          <w:rFonts w:ascii="Times New Roman" w:hAnsi="Times New Roman" w:cs="Times New Roman"/>
        </w:rPr>
        <w:t> </w:t>
      </w:r>
      <w:r w:rsidRPr="004038EE">
        <w:rPr>
          <w:rFonts w:ascii="Times New Roman" w:hAnsi="Times New Roman" w:cs="Times New Roman"/>
        </w:rPr>
        <w:t>175 kHz</w:t>
      </w:r>
      <w:r w:rsidRPr="004038EE">
        <w:rPr>
          <w:rFonts w:ascii="Times New Roman" w:hAnsi="Times New Roman" w:cs="Times New Roman"/>
        </w:rPr>
        <w:tab/>
      </w:r>
      <w:r>
        <w:rPr>
          <w:rFonts w:ascii="Times New Roman" w:hAnsi="Times New Roman" w:cs="Times New Roman"/>
        </w:rPr>
        <w:t>band</w:t>
      </w:r>
      <w:r w:rsidRPr="004038EE">
        <w:rPr>
          <w:rFonts w:ascii="Times New Roman" w:hAnsi="Times New Roman" w:cs="Times New Roman"/>
        </w:rPr>
        <w:t>.</w:t>
      </w:r>
    </w:p>
    <w:p w14:paraId="2E165CD8" w14:textId="2759BC78" w:rsidR="00C73E0B" w:rsidRPr="00C43ACF" w:rsidRDefault="004038EE" w:rsidP="004038EE">
      <w:pPr>
        <w:pStyle w:val="ListParagraph"/>
        <w:numPr>
          <w:ilvl w:val="1"/>
          <w:numId w:val="23"/>
        </w:numPr>
        <w:rPr>
          <w:rFonts w:ascii="Times New Roman" w:hAnsi="Times New Roman" w:cs="Times New Roman"/>
        </w:rPr>
      </w:pPr>
      <w:r>
        <w:rPr>
          <w:rFonts w:ascii="Times New Roman" w:hAnsi="Times New Roman" w:cs="Times New Roman"/>
        </w:rPr>
        <w:t>Added</w:t>
      </w:r>
      <w:r w:rsidR="00C43ACF" w:rsidRPr="00C43ACF">
        <w:rPr>
          <w:rFonts w:ascii="Times New Roman" w:hAnsi="Times New Roman" w:cs="Times New Roman"/>
        </w:rPr>
        <w:t xml:space="preserve"> footnote AUS100A to the primary allocation to the Maritime Mobile-Satellite (space-to-Earth) service in the 7 375–7 750 MHz band.</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2FB79798" w14:textId="40E14D20" w:rsidR="00BA5F46" w:rsidRPr="00BA5F46" w:rsidRDefault="00BA5F46" w:rsidP="00BA5F46">
      <w:pPr>
        <w:rPr>
          <w:rFonts w:ascii="Times New Roman" w:hAnsi="Times New Roman" w:cs="Times New Roman"/>
        </w:rPr>
      </w:pPr>
      <w:r w:rsidRPr="00BA5F46">
        <w:rPr>
          <w:rFonts w:ascii="Times New Roman" w:hAnsi="Times New Roman" w:cs="Times New Roman"/>
        </w:rPr>
        <w:t xml:space="preserve">The Spectrum Plan incorporates references to the </w:t>
      </w:r>
      <w:r w:rsidRPr="00C73E0B">
        <w:rPr>
          <w:rFonts w:ascii="Times New Roman" w:hAnsi="Times New Roman" w:cs="Times New Roman"/>
          <w:i/>
          <w:iCs/>
        </w:rPr>
        <w:t>Broadcasting Services Act 1992</w:t>
      </w:r>
      <w:r w:rsidRPr="00BA5F46">
        <w:rPr>
          <w:rFonts w:ascii="Times New Roman" w:hAnsi="Times New Roman" w:cs="Times New Roman"/>
        </w:rPr>
        <w:t xml:space="preserve">, the </w:t>
      </w:r>
      <w:r w:rsidRPr="00C73E0B">
        <w:rPr>
          <w:rFonts w:ascii="Times New Roman" w:hAnsi="Times New Roman" w:cs="Times New Roman"/>
          <w:i/>
          <w:iCs/>
        </w:rPr>
        <w:t>Offshore Minerals Act 1994</w:t>
      </w:r>
      <w:r w:rsidRPr="00BA5F46">
        <w:rPr>
          <w:rFonts w:ascii="Times New Roman" w:hAnsi="Times New Roman" w:cs="Times New Roman"/>
        </w:rPr>
        <w:t xml:space="preserve">, the </w:t>
      </w:r>
      <w:r w:rsidRPr="00C73E0B">
        <w:rPr>
          <w:rFonts w:ascii="Times New Roman" w:hAnsi="Times New Roman" w:cs="Times New Roman"/>
          <w:i/>
          <w:iCs/>
        </w:rPr>
        <w:t>Radiocommunications Act 1992</w:t>
      </w:r>
      <w:r w:rsidRPr="00BA5F46">
        <w:rPr>
          <w:rFonts w:ascii="Times New Roman" w:hAnsi="Times New Roman" w:cs="Times New Roman"/>
        </w:rPr>
        <w:t xml:space="preserve">, the </w:t>
      </w:r>
      <w:r w:rsidRPr="00C73E0B">
        <w:rPr>
          <w:rFonts w:ascii="Times New Roman" w:hAnsi="Times New Roman" w:cs="Times New Roman"/>
          <w:i/>
          <w:iCs/>
        </w:rPr>
        <w:t>Radiocommunications (Interpretation) Determination 2015</w:t>
      </w:r>
      <w:r w:rsidRPr="00BA5F46">
        <w:rPr>
          <w:rFonts w:ascii="Times New Roman" w:hAnsi="Times New Roman" w:cs="Times New Roman"/>
        </w:rPr>
        <w:t xml:space="preserve"> and the </w:t>
      </w:r>
      <w:r w:rsidRPr="00C73E0B">
        <w:rPr>
          <w:rFonts w:ascii="Times New Roman" w:hAnsi="Times New Roman" w:cs="Times New Roman"/>
          <w:i/>
          <w:iCs/>
        </w:rPr>
        <w:t xml:space="preserve">Radiocommunications Regulations </w:t>
      </w:r>
      <w:r w:rsidR="00C73E0B">
        <w:rPr>
          <w:rFonts w:ascii="Times New Roman" w:hAnsi="Times New Roman" w:cs="Times New Roman"/>
          <w:i/>
          <w:iCs/>
        </w:rPr>
        <w:t>1993</w:t>
      </w:r>
      <w:r w:rsidRPr="00BA5F46">
        <w:rPr>
          <w:rFonts w:ascii="Times New Roman" w:hAnsi="Times New Roman" w:cs="Times New Roman"/>
        </w:rPr>
        <w:t xml:space="preserve">, each of which are available </w:t>
      </w:r>
      <w:r w:rsidR="00216531">
        <w:rPr>
          <w:rFonts w:ascii="Times New Roman" w:hAnsi="Times New Roman" w:cs="Times New Roman"/>
        </w:rPr>
        <w:t xml:space="preserve">free of charge </w:t>
      </w:r>
      <w:r w:rsidRPr="00BA5F46">
        <w:rPr>
          <w:rFonts w:ascii="Times New Roman" w:hAnsi="Times New Roman" w:cs="Times New Roman"/>
        </w:rPr>
        <w:t xml:space="preserve">on the Australian Government’s Federal Register of Legislation: </w:t>
      </w:r>
      <w:hyperlink r:id="rId12" w:history="1">
        <w:r w:rsidR="00C73E0B" w:rsidRPr="00A01AE3">
          <w:rPr>
            <w:rStyle w:val="Hyperlink"/>
            <w:rFonts w:ascii="Times New Roman" w:hAnsi="Times New Roman" w:cs="Times New Roman"/>
          </w:rPr>
          <w:t>www.legislation.gov.au</w:t>
        </w:r>
      </w:hyperlink>
      <w:r w:rsidRPr="00BA5F46">
        <w:rPr>
          <w:rFonts w:ascii="Times New Roman" w:hAnsi="Times New Roman" w:cs="Times New Roman"/>
        </w:rPr>
        <w:t>.</w:t>
      </w:r>
      <w:r w:rsidR="00C73E0B">
        <w:rPr>
          <w:rFonts w:ascii="Times New Roman" w:hAnsi="Times New Roman" w:cs="Times New Roman"/>
        </w:rPr>
        <w:t xml:space="preserve"> </w:t>
      </w:r>
    </w:p>
    <w:p w14:paraId="313F6535" w14:textId="5006A02E" w:rsidR="00BA5F46" w:rsidRPr="00FC6DD3" w:rsidRDefault="00BA5F46" w:rsidP="00BA5F46">
      <w:pPr>
        <w:rPr>
          <w:rFonts w:ascii="Times New Roman" w:hAnsi="Times New Roman" w:cs="Times New Roman"/>
        </w:rPr>
      </w:pPr>
      <w:r w:rsidRPr="00BA5F46">
        <w:rPr>
          <w:rFonts w:ascii="Times New Roman" w:hAnsi="Times New Roman" w:cs="Times New Roman"/>
        </w:rPr>
        <w:t xml:space="preserve">The Spectrum Plan also </w:t>
      </w:r>
      <w:r w:rsidRPr="00FC6DD3">
        <w:rPr>
          <w:rFonts w:ascii="Times New Roman" w:hAnsi="Times New Roman" w:cs="Times New Roman"/>
        </w:rPr>
        <w:t>incorporates references to:</w:t>
      </w:r>
    </w:p>
    <w:p w14:paraId="681A6490" w14:textId="5AB88333" w:rsidR="00BA5F46" w:rsidRPr="00FC6DD3" w:rsidRDefault="00BA5F46" w:rsidP="00C73E0B">
      <w:pPr>
        <w:pStyle w:val="ListParagraph"/>
        <w:numPr>
          <w:ilvl w:val="0"/>
          <w:numId w:val="23"/>
        </w:numPr>
        <w:rPr>
          <w:rFonts w:ascii="Times New Roman" w:hAnsi="Times New Roman" w:cs="Times New Roman"/>
        </w:rPr>
      </w:pPr>
      <w:r w:rsidRPr="00FC6DD3">
        <w:rPr>
          <w:rFonts w:ascii="Times New Roman" w:hAnsi="Times New Roman" w:cs="Times New Roman"/>
        </w:rPr>
        <w:t xml:space="preserve">the </w:t>
      </w:r>
      <w:r w:rsidR="00FB721C" w:rsidRPr="00FC6DD3">
        <w:rPr>
          <w:rFonts w:ascii="Times New Roman" w:hAnsi="Times New Roman" w:cs="Times New Roman"/>
        </w:rPr>
        <w:t xml:space="preserve">current </w:t>
      </w:r>
      <w:r w:rsidRPr="00FC6DD3">
        <w:rPr>
          <w:rFonts w:ascii="Times New Roman" w:hAnsi="Times New Roman" w:cs="Times New Roman"/>
        </w:rPr>
        <w:t>edition of the Radio Regulations published by the ITU</w:t>
      </w:r>
      <w:r w:rsidR="00594EFC" w:rsidRPr="00FC6DD3">
        <w:rPr>
          <w:rFonts w:ascii="Times New Roman" w:hAnsi="Times New Roman" w:cs="Times New Roman"/>
        </w:rPr>
        <w:t xml:space="preserve"> – which </w:t>
      </w:r>
      <w:r w:rsidR="00FC7211" w:rsidRPr="00FC6DD3">
        <w:rPr>
          <w:rFonts w:ascii="Times New Roman" w:hAnsi="Times New Roman" w:cs="Times New Roman"/>
        </w:rPr>
        <w:t>is</w:t>
      </w:r>
      <w:r w:rsidRPr="00FC6DD3">
        <w:rPr>
          <w:rFonts w:ascii="Times New Roman" w:hAnsi="Times New Roman" w:cs="Times New Roman"/>
        </w:rPr>
        <w:t xml:space="preserve"> available</w:t>
      </w:r>
      <w:r w:rsidR="00216531" w:rsidRPr="00FC6DD3">
        <w:rPr>
          <w:rFonts w:ascii="Times New Roman" w:hAnsi="Times New Roman" w:cs="Times New Roman"/>
        </w:rPr>
        <w:t xml:space="preserve"> free of charge</w:t>
      </w:r>
      <w:r w:rsidRPr="00FC6DD3">
        <w:rPr>
          <w:rFonts w:ascii="Times New Roman" w:hAnsi="Times New Roman" w:cs="Times New Roman"/>
        </w:rPr>
        <w:t xml:space="preserve"> </w:t>
      </w:r>
      <w:r w:rsidR="00216531" w:rsidRPr="00FC6DD3">
        <w:rPr>
          <w:rFonts w:ascii="Times New Roman" w:hAnsi="Times New Roman" w:cs="Times New Roman"/>
        </w:rPr>
        <w:t>from</w:t>
      </w:r>
      <w:r w:rsidRPr="00FC6DD3">
        <w:rPr>
          <w:rFonts w:ascii="Times New Roman" w:hAnsi="Times New Roman" w:cs="Times New Roman"/>
        </w:rPr>
        <w:t xml:space="preserve"> the ITU’s website: </w:t>
      </w:r>
      <w:hyperlink r:id="rId13" w:history="1">
        <w:r w:rsidR="00C73E0B" w:rsidRPr="00FC6DD3">
          <w:rPr>
            <w:rStyle w:val="Hyperlink"/>
            <w:rFonts w:ascii="Times New Roman" w:hAnsi="Times New Roman" w:cs="Times New Roman"/>
          </w:rPr>
          <w:t>www.itu.int</w:t>
        </w:r>
      </w:hyperlink>
      <w:r w:rsidR="00C73E0B" w:rsidRPr="00FC6DD3">
        <w:rPr>
          <w:rFonts w:ascii="Times New Roman" w:hAnsi="Times New Roman" w:cs="Times New Roman"/>
        </w:rPr>
        <w:t xml:space="preserve"> </w:t>
      </w:r>
      <w:r w:rsidRPr="00FC6DD3">
        <w:rPr>
          <w:rFonts w:ascii="Times New Roman" w:hAnsi="Times New Roman" w:cs="Times New Roman"/>
        </w:rPr>
        <w:t xml:space="preserve"> </w:t>
      </w:r>
    </w:p>
    <w:p w14:paraId="5790DEFF" w14:textId="298C2266" w:rsidR="00BA5F46" w:rsidRPr="00FC6DD3" w:rsidRDefault="00BA5F46" w:rsidP="00C73E0B">
      <w:pPr>
        <w:pStyle w:val="ListParagraph"/>
        <w:numPr>
          <w:ilvl w:val="0"/>
          <w:numId w:val="23"/>
        </w:numPr>
        <w:rPr>
          <w:rFonts w:ascii="Times New Roman" w:hAnsi="Times New Roman" w:cs="Times New Roman"/>
        </w:rPr>
      </w:pPr>
      <w:r w:rsidRPr="00FC6DD3">
        <w:rPr>
          <w:rFonts w:ascii="Times New Roman" w:hAnsi="Times New Roman" w:cs="Times New Roman"/>
        </w:rPr>
        <w:t>the Convention on International Civil Aviation and the Standards and Recommended Practices of the International Civil Aviation Organi</w:t>
      </w:r>
      <w:r w:rsidR="00594EFC" w:rsidRPr="00FC6DD3">
        <w:rPr>
          <w:rFonts w:ascii="Times New Roman" w:hAnsi="Times New Roman" w:cs="Times New Roman"/>
        </w:rPr>
        <w:t>z</w:t>
      </w:r>
      <w:r w:rsidRPr="00FC6DD3">
        <w:rPr>
          <w:rFonts w:ascii="Times New Roman" w:hAnsi="Times New Roman" w:cs="Times New Roman"/>
        </w:rPr>
        <w:t>ation</w:t>
      </w:r>
      <w:r w:rsidR="00594EFC" w:rsidRPr="00FC6DD3">
        <w:rPr>
          <w:rFonts w:ascii="Times New Roman" w:hAnsi="Times New Roman" w:cs="Times New Roman"/>
        </w:rPr>
        <w:t xml:space="preserve"> – which</w:t>
      </w:r>
      <w:r w:rsidRPr="00FC6DD3">
        <w:rPr>
          <w:rFonts w:ascii="Times New Roman" w:hAnsi="Times New Roman" w:cs="Times New Roman"/>
        </w:rPr>
        <w:t xml:space="preserve"> are available </w:t>
      </w:r>
      <w:r w:rsidR="00216531" w:rsidRPr="00FC6DD3">
        <w:rPr>
          <w:rFonts w:ascii="Times New Roman" w:hAnsi="Times New Roman" w:cs="Times New Roman"/>
        </w:rPr>
        <w:t>free of charge from</w:t>
      </w:r>
      <w:r w:rsidRPr="00FC6DD3">
        <w:rPr>
          <w:rFonts w:ascii="Times New Roman" w:hAnsi="Times New Roman" w:cs="Times New Roman"/>
        </w:rPr>
        <w:t xml:space="preserve"> the</w:t>
      </w:r>
      <w:r w:rsidR="00C73E0B" w:rsidRPr="00FC6DD3">
        <w:rPr>
          <w:rFonts w:ascii="Times New Roman" w:hAnsi="Times New Roman" w:cs="Times New Roman"/>
        </w:rPr>
        <w:t xml:space="preserve"> </w:t>
      </w:r>
      <w:r w:rsidRPr="00FC6DD3">
        <w:rPr>
          <w:rFonts w:ascii="Times New Roman" w:hAnsi="Times New Roman" w:cs="Times New Roman"/>
        </w:rPr>
        <w:t xml:space="preserve">International Civil Aviation Organization’s website: </w:t>
      </w:r>
      <w:hyperlink r:id="rId14" w:history="1">
        <w:r w:rsidR="00E44D69" w:rsidRPr="00FC6DD3">
          <w:rPr>
            <w:rStyle w:val="Hyperlink"/>
            <w:rFonts w:ascii="Times New Roman" w:hAnsi="Times New Roman" w:cs="Times New Roman"/>
          </w:rPr>
          <w:t>www.icao.int</w:t>
        </w:r>
      </w:hyperlink>
      <w:r w:rsidR="00E44D69" w:rsidRPr="00FC6DD3">
        <w:rPr>
          <w:rFonts w:ascii="Times New Roman" w:hAnsi="Times New Roman" w:cs="Times New Roman"/>
        </w:rPr>
        <w:t xml:space="preserve"> </w:t>
      </w:r>
    </w:p>
    <w:p w14:paraId="6BC7D20C" w14:textId="0F769C3A" w:rsidR="00BA5F46" w:rsidRPr="00FC6DD3" w:rsidRDefault="00BA5F46" w:rsidP="00C73E0B">
      <w:pPr>
        <w:pStyle w:val="ListParagraph"/>
        <w:numPr>
          <w:ilvl w:val="0"/>
          <w:numId w:val="23"/>
        </w:numPr>
        <w:rPr>
          <w:rFonts w:ascii="Times New Roman" w:hAnsi="Times New Roman" w:cs="Times New Roman"/>
        </w:rPr>
      </w:pPr>
      <w:r w:rsidRPr="00FC6DD3">
        <w:rPr>
          <w:rFonts w:ascii="Times New Roman" w:hAnsi="Times New Roman" w:cs="Times New Roman"/>
        </w:rPr>
        <w:t>the Final Acts of the Special Regional Conference (Geneva, 1960)</w:t>
      </w:r>
      <w:r w:rsidR="00E44D69" w:rsidRPr="00FC6DD3">
        <w:rPr>
          <w:rFonts w:ascii="Times New Roman" w:hAnsi="Times New Roman" w:cs="Times New Roman"/>
        </w:rPr>
        <w:t xml:space="preserve"> and</w:t>
      </w:r>
      <w:r w:rsidRPr="00FC6DD3">
        <w:rPr>
          <w:rFonts w:ascii="Times New Roman" w:hAnsi="Times New Roman" w:cs="Times New Roman"/>
        </w:rPr>
        <w:t xml:space="preserve"> the Final Acts of the Regional Administrative LF/MF Broadcasting Conference (Regions 1 and 3) (Geneva, 1975)</w:t>
      </w:r>
      <w:r w:rsidR="00594EFC" w:rsidRPr="00FC6DD3">
        <w:rPr>
          <w:rFonts w:ascii="Times New Roman" w:hAnsi="Times New Roman" w:cs="Times New Roman"/>
        </w:rPr>
        <w:t xml:space="preserve"> – </w:t>
      </w:r>
      <w:r w:rsidRPr="00FC6DD3">
        <w:rPr>
          <w:rFonts w:ascii="Times New Roman" w:hAnsi="Times New Roman" w:cs="Times New Roman"/>
        </w:rPr>
        <w:t xml:space="preserve">each of which are available </w:t>
      </w:r>
      <w:r w:rsidR="00216531" w:rsidRPr="00FC6DD3">
        <w:rPr>
          <w:rFonts w:ascii="Times New Roman" w:hAnsi="Times New Roman" w:cs="Times New Roman"/>
        </w:rPr>
        <w:t>free of charge from</w:t>
      </w:r>
      <w:r w:rsidRPr="00FC6DD3">
        <w:rPr>
          <w:rFonts w:ascii="Times New Roman" w:hAnsi="Times New Roman" w:cs="Times New Roman"/>
        </w:rPr>
        <w:t xml:space="preserve"> the ITU’s website: </w:t>
      </w:r>
      <w:hyperlink r:id="rId15" w:history="1">
        <w:r w:rsidR="00C73E0B" w:rsidRPr="00FC6DD3">
          <w:rPr>
            <w:rStyle w:val="Hyperlink"/>
            <w:rFonts w:ascii="Times New Roman" w:hAnsi="Times New Roman" w:cs="Times New Roman"/>
          </w:rPr>
          <w:t>www.itu.int</w:t>
        </w:r>
      </w:hyperlink>
      <w:r w:rsidR="00C73E0B" w:rsidRPr="00FC6DD3">
        <w:rPr>
          <w:rFonts w:ascii="Times New Roman" w:hAnsi="Times New Roman" w:cs="Times New Roman"/>
        </w:rPr>
        <w:t xml:space="preserve"> </w:t>
      </w:r>
    </w:p>
    <w:p w14:paraId="51A47525" w14:textId="289F5508" w:rsidR="00594EFC" w:rsidRPr="00FC6DD3" w:rsidRDefault="00BA5F46" w:rsidP="00BA5F46">
      <w:pPr>
        <w:pStyle w:val="ListParagraph"/>
        <w:numPr>
          <w:ilvl w:val="0"/>
          <w:numId w:val="23"/>
        </w:numPr>
        <w:rPr>
          <w:rFonts w:ascii="Times New Roman" w:hAnsi="Times New Roman" w:cs="Times New Roman"/>
        </w:rPr>
      </w:pPr>
      <w:r w:rsidRPr="00FC6DD3">
        <w:rPr>
          <w:rFonts w:ascii="Times New Roman" w:hAnsi="Times New Roman" w:cs="Times New Roman"/>
        </w:rPr>
        <w:t>the Master International Frequency Register</w:t>
      </w:r>
      <w:r w:rsidR="00594EFC" w:rsidRPr="00FC6DD3">
        <w:rPr>
          <w:rFonts w:ascii="Times New Roman" w:hAnsi="Times New Roman" w:cs="Times New Roman"/>
        </w:rPr>
        <w:t>, which</w:t>
      </w:r>
      <w:r w:rsidR="002C139D" w:rsidRPr="00FC6DD3">
        <w:rPr>
          <w:rFonts w:ascii="Times New Roman" w:hAnsi="Times New Roman" w:cs="Times New Roman"/>
        </w:rPr>
        <w:t xml:space="preserve"> is</w:t>
      </w:r>
      <w:r w:rsidRPr="00FC6DD3">
        <w:rPr>
          <w:rFonts w:ascii="Times New Roman" w:hAnsi="Times New Roman" w:cs="Times New Roman"/>
        </w:rPr>
        <w:t xml:space="preserve"> maintained by the ITU</w:t>
      </w:r>
      <w:r w:rsidR="00594EFC" w:rsidRPr="00FC6DD3">
        <w:rPr>
          <w:rFonts w:ascii="Times New Roman" w:hAnsi="Times New Roman" w:cs="Times New Roman"/>
        </w:rPr>
        <w:t xml:space="preserve"> – </w:t>
      </w:r>
      <w:r w:rsidR="002C139D" w:rsidRPr="00FC6DD3">
        <w:rPr>
          <w:rFonts w:ascii="Times New Roman" w:hAnsi="Times New Roman" w:cs="Times New Roman"/>
        </w:rPr>
        <w:t>the ACMA can facilitate access to the Register</w:t>
      </w:r>
      <w:r w:rsidR="003B5D9B" w:rsidRPr="00FC6DD3">
        <w:rPr>
          <w:rFonts w:ascii="Times New Roman" w:hAnsi="Times New Roman" w:cs="Times New Roman"/>
        </w:rPr>
        <w:t xml:space="preserve"> upon request</w:t>
      </w:r>
    </w:p>
    <w:p w14:paraId="76CD0CA1" w14:textId="0550F5D1" w:rsidR="00C73E0B" w:rsidRPr="00FC6DD3" w:rsidRDefault="003B5D9B" w:rsidP="00BA5F46">
      <w:pPr>
        <w:pStyle w:val="ListParagraph"/>
        <w:numPr>
          <w:ilvl w:val="0"/>
          <w:numId w:val="23"/>
        </w:numPr>
        <w:rPr>
          <w:rFonts w:ascii="Times New Roman" w:hAnsi="Times New Roman" w:cs="Times New Roman"/>
        </w:rPr>
      </w:pPr>
      <w:r w:rsidRPr="00FC6DD3">
        <w:rPr>
          <w:rFonts w:ascii="Times New Roman" w:hAnsi="Times New Roman" w:cs="Times New Roman"/>
        </w:rPr>
        <w:t xml:space="preserve">a list of </w:t>
      </w:r>
      <w:r w:rsidR="00287E7A" w:rsidRPr="00FC6DD3">
        <w:rPr>
          <w:rFonts w:ascii="Times New Roman" w:hAnsi="Times New Roman" w:cs="Times New Roman"/>
        </w:rPr>
        <w:t>Radio Astronomy services in the 1668-1670 MHz ban</w:t>
      </w:r>
      <w:r w:rsidR="008632C8" w:rsidRPr="00FC6DD3">
        <w:rPr>
          <w:rFonts w:ascii="Times New Roman" w:hAnsi="Times New Roman" w:cs="Times New Roman"/>
        </w:rPr>
        <w:t xml:space="preserve">d </w:t>
      </w:r>
      <w:r w:rsidR="00171E85" w:rsidRPr="00FC6DD3">
        <w:rPr>
          <w:rFonts w:ascii="Times New Roman" w:hAnsi="Times New Roman" w:cs="Times New Roman"/>
        </w:rPr>
        <w:t>(</w:t>
      </w:r>
      <w:r w:rsidR="007479DD" w:rsidRPr="00FC6DD3">
        <w:rPr>
          <w:rFonts w:ascii="Times New Roman" w:hAnsi="Times New Roman" w:cs="Times New Roman"/>
        </w:rPr>
        <w:t>for the purposes of international footnote 379C)</w:t>
      </w:r>
      <w:r w:rsidR="00594EFC" w:rsidRPr="00FC6DD3">
        <w:rPr>
          <w:rFonts w:ascii="Times New Roman" w:hAnsi="Times New Roman" w:cs="Times New Roman"/>
        </w:rPr>
        <w:t xml:space="preserve"> – which</w:t>
      </w:r>
      <w:r w:rsidR="007479DD" w:rsidRPr="00FC6DD3">
        <w:rPr>
          <w:rFonts w:ascii="Times New Roman" w:hAnsi="Times New Roman" w:cs="Times New Roman"/>
        </w:rPr>
        <w:t xml:space="preserve"> </w:t>
      </w:r>
      <w:r w:rsidR="008632C8" w:rsidRPr="00FC6DD3">
        <w:rPr>
          <w:rFonts w:ascii="Times New Roman" w:hAnsi="Times New Roman" w:cs="Times New Roman"/>
        </w:rPr>
        <w:t>can be provided by the ACMA upon request</w:t>
      </w:r>
    </w:p>
    <w:p w14:paraId="59F7FFBA" w14:textId="3CB72CB5" w:rsidR="00C73E0B" w:rsidRDefault="00BA5F46" w:rsidP="00BA5F46">
      <w:pPr>
        <w:pStyle w:val="ListParagraph"/>
        <w:numPr>
          <w:ilvl w:val="0"/>
          <w:numId w:val="23"/>
        </w:numPr>
        <w:rPr>
          <w:rFonts w:ascii="Times New Roman" w:hAnsi="Times New Roman" w:cs="Times New Roman"/>
        </w:rPr>
      </w:pPr>
      <w:r w:rsidRPr="00C73E0B">
        <w:rPr>
          <w:rFonts w:ascii="Times New Roman" w:hAnsi="Times New Roman" w:cs="Times New Roman"/>
        </w:rPr>
        <w:lastRenderedPageBreak/>
        <w:t xml:space="preserve">the following ITU Recommendations: Recommendation </w:t>
      </w:r>
      <w:r w:rsidRPr="00310B06">
        <w:rPr>
          <w:rFonts w:ascii="Times New Roman" w:hAnsi="Times New Roman" w:cs="Times New Roman"/>
        </w:rPr>
        <w:t>ITU</w:t>
      </w:r>
      <w:r w:rsidR="001B6E99" w:rsidRPr="00310B06">
        <w:rPr>
          <w:rFonts w:ascii="Times New Roman" w:hAnsi="Times New Roman" w:cs="Times New Roman"/>
        </w:rPr>
        <w:t>-</w:t>
      </w:r>
      <w:r w:rsidRPr="00310B06">
        <w:rPr>
          <w:rFonts w:ascii="Times New Roman" w:hAnsi="Times New Roman" w:cs="Times New Roman"/>
        </w:rPr>
        <w:t>R P.452, Recommendation ITU</w:t>
      </w:r>
      <w:r w:rsidR="001B6E99" w:rsidRPr="00310B06">
        <w:rPr>
          <w:rFonts w:ascii="Times New Roman" w:hAnsi="Times New Roman" w:cs="Times New Roman"/>
        </w:rPr>
        <w:t>-</w:t>
      </w:r>
      <w:r w:rsidRPr="00310B06">
        <w:rPr>
          <w:rFonts w:ascii="Times New Roman" w:hAnsi="Times New Roman" w:cs="Times New Roman"/>
        </w:rPr>
        <w:t>R RA.769, Recommendation ITU</w:t>
      </w:r>
      <w:r w:rsidR="001B6E99" w:rsidRPr="00310B06">
        <w:rPr>
          <w:rFonts w:ascii="Times New Roman" w:hAnsi="Times New Roman" w:cs="Times New Roman"/>
        </w:rPr>
        <w:t>-</w:t>
      </w:r>
      <w:r w:rsidRPr="00310B06">
        <w:rPr>
          <w:rFonts w:ascii="Times New Roman" w:hAnsi="Times New Roman" w:cs="Times New Roman"/>
        </w:rPr>
        <w:t>R SA.1154-0, Recommendation ITU</w:t>
      </w:r>
      <w:r w:rsidR="001B6E99" w:rsidRPr="00310B06">
        <w:rPr>
          <w:rFonts w:ascii="Times New Roman" w:hAnsi="Times New Roman" w:cs="Times New Roman"/>
        </w:rPr>
        <w:t>-</w:t>
      </w:r>
      <w:r w:rsidRPr="00310B06">
        <w:rPr>
          <w:rFonts w:ascii="Times New Roman" w:hAnsi="Times New Roman" w:cs="Times New Roman"/>
        </w:rPr>
        <w:t>R M.1174</w:t>
      </w:r>
      <w:r w:rsidR="001B6E99" w:rsidRPr="00310B06">
        <w:rPr>
          <w:rFonts w:ascii="Times New Roman" w:hAnsi="Times New Roman" w:cs="Times New Roman"/>
        </w:rPr>
        <w:t>-4</w:t>
      </w:r>
      <w:r w:rsidRPr="00310B06">
        <w:rPr>
          <w:rFonts w:ascii="Times New Roman" w:hAnsi="Times New Roman" w:cs="Times New Roman"/>
        </w:rPr>
        <w:t>, Recommendation ITU</w:t>
      </w:r>
      <w:r w:rsidR="001B6E99" w:rsidRPr="00310B06">
        <w:rPr>
          <w:rFonts w:ascii="Times New Roman" w:hAnsi="Times New Roman" w:cs="Times New Roman"/>
        </w:rPr>
        <w:t>-</w:t>
      </w:r>
      <w:r w:rsidRPr="00310B06">
        <w:rPr>
          <w:rFonts w:ascii="Times New Roman" w:hAnsi="Times New Roman" w:cs="Times New Roman"/>
        </w:rPr>
        <w:t>R S.1340-0, Recommendation ITU</w:t>
      </w:r>
      <w:r w:rsidR="001B6E99" w:rsidRPr="00310B06">
        <w:rPr>
          <w:rFonts w:ascii="Times New Roman" w:hAnsi="Times New Roman" w:cs="Times New Roman"/>
        </w:rPr>
        <w:t>-</w:t>
      </w:r>
      <w:r w:rsidRPr="00310B06">
        <w:rPr>
          <w:rFonts w:ascii="Times New Roman" w:hAnsi="Times New Roman" w:cs="Times New Roman"/>
        </w:rPr>
        <w:t>R M.1371, Recommendation ITU</w:t>
      </w:r>
      <w:r w:rsidR="001B6E99" w:rsidRPr="00310B06">
        <w:rPr>
          <w:rFonts w:ascii="Times New Roman" w:hAnsi="Times New Roman" w:cs="Times New Roman"/>
        </w:rPr>
        <w:t>-</w:t>
      </w:r>
      <w:r w:rsidRPr="00310B06">
        <w:rPr>
          <w:rFonts w:ascii="Times New Roman" w:hAnsi="Times New Roman" w:cs="Times New Roman"/>
        </w:rPr>
        <w:t>F.1613-0</w:t>
      </w:r>
      <w:r w:rsidR="00594EFC">
        <w:rPr>
          <w:rFonts w:ascii="Times New Roman" w:hAnsi="Times New Roman" w:cs="Times New Roman"/>
        </w:rPr>
        <w:t>,</w:t>
      </w:r>
      <w:r w:rsidRPr="00310B06">
        <w:rPr>
          <w:rFonts w:ascii="Times New Roman" w:hAnsi="Times New Roman" w:cs="Times New Roman"/>
        </w:rPr>
        <w:t xml:space="preserve"> Recommendation ITU</w:t>
      </w:r>
      <w:r w:rsidR="001B6E99" w:rsidRPr="00310B06">
        <w:rPr>
          <w:rFonts w:ascii="Times New Roman" w:hAnsi="Times New Roman" w:cs="Times New Roman"/>
        </w:rPr>
        <w:t>-</w:t>
      </w:r>
      <w:r w:rsidRPr="00310B06">
        <w:rPr>
          <w:rFonts w:ascii="Times New Roman" w:hAnsi="Times New Roman" w:cs="Times New Roman"/>
        </w:rPr>
        <w:t>R RA.1631-0, Recommendation ITU</w:t>
      </w:r>
      <w:r w:rsidR="001B6E99" w:rsidRPr="00310B06">
        <w:rPr>
          <w:rFonts w:ascii="Times New Roman" w:hAnsi="Times New Roman" w:cs="Times New Roman"/>
        </w:rPr>
        <w:t>-</w:t>
      </w:r>
      <w:r w:rsidR="009A1F56" w:rsidRPr="00310B06">
        <w:rPr>
          <w:rFonts w:ascii="Times New Roman" w:hAnsi="Times New Roman" w:cs="Times New Roman"/>
        </w:rPr>
        <w:t>R</w:t>
      </w:r>
      <w:r w:rsidRPr="00310B06">
        <w:rPr>
          <w:rFonts w:ascii="Times New Roman" w:hAnsi="Times New Roman" w:cs="Times New Roman"/>
        </w:rPr>
        <w:t xml:space="preserve"> M.1643-0, Recommendation ITU</w:t>
      </w:r>
      <w:r w:rsidR="00E44D69" w:rsidRPr="00310B06">
        <w:rPr>
          <w:rFonts w:ascii="Times New Roman" w:hAnsi="Times New Roman" w:cs="Times New Roman"/>
        </w:rPr>
        <w:t>-</w:t>
      </w:r>
      <w:r w:rsidRPr="00310B06">
        <w:rPr>
          <w:rFonts w:ascii="Times New Roman" w:hAnsi="Times New Roman" w:cs="Times New Roman"/>
        </w:rPr>
        <w:t xml:space="preserve">R RS.1881, </w:t>
      </w:r>
      <w:r w:rsidR="001B6E99" w:rsidRPr="00310B06">
        <w:rPr>
          <w:rFonts w:ascii="Times New Roman" w:hAnsi="Times New Roman" w:cs="Times New Roman"/>
        </w:rPr>
        <w:t xml:space="preserve">Recommendation ITU-R M.2010, Recommendation ITU-R RS.1260-2, Recommendation ITU-R M.1583-1, </w:t>
      </w:r>
      <w:r w:rsidR="009A1F56" w:rsidRPr="00310B06">
        <w:rPr>
          <w:rFonts w:ascii="Times New Roman" w:hAnsi="Times New Roman" w:cs="Times New Roman"/>
        </w:rPr>
        <w:t xml:space="preserve">Recommendation ITU-R RS.2066-0, Recommendation ITU-R RS.2065-0, </w:t>
      </w:r>
      <w:r w:rsidRPr="00310B06">
        <w:rPr>
          <w:rFonts w:ascii="Times New Roman" w:hAnsi="Times New Roman" w:cs="Times New Roman"/>
        </w:rPr>
        <w:t>Recommendation ITU</w:t>
      </w:r>
      <w:r w:rsidR="001B6E99" w:rsidRPr="00310B06">
        <w:rPr>
          <w:rFonts w:ascii="Times New Roman" w:hAnsi="Times New Roman" w:cs="Times New Roman"/>
        </w:rPr>
        <w:t>-</w:t>
      </w:r>
      <w:r w:rsidRPr="00310B06">
        <w:rPr>
          <w:rFonts w:ascii="Times New Roman" w:hAnsi="Times New Roman" w:cs="Times New Roman"/>
        </w:rPr>
        <w:t>R BO.1898 and Recommendation ITU-R M.2057 – each of wh</w:t>
      </w:r>
      <w:r w:rsidRPr="00C73E0B">
        <w:rPr>
          <w:rFonts w:ascii="Times New Roman" w:hAnsi="Times New Roman" w:cs="Times New Roman"/>
        </w:rPr>
        <w:t xml:space="preserve">ich </w:t>
      </w:r>
      <w:r w:rsidR="0025611A">
        <w:rPr>
          <w:rFonts w:ascii="Times New Roman" w:hAnsi="Times New Roman" w:cs="Times New Roman"/>
        </w:rPr>
        <w:t>is</w:t>
      </w:r>
      <w:r w:rsidR="0025611A" w:rsidRPr="00C73E0B">
        <w:rPr>
          <w:rFonts w:ascii="Times New Roman" w:hAnsi="Times New Roman" w:cs="Times New Roman"/>
        </w:rPr>
        <w:t xml:space="preserve"> </w:t>
      </w:r>
      <w:r w:rsidRPr="00C73E0B">
        <w:rPr>
          <w:rFonts w:ascii="Times New Roman" w:hAnsi="Times New Roman" w:cs="Times New Roman"/>
        </w:rPr>
        <w:t>available</w:t>
      </w:r>
      <w:r w:rsidR="00216531">
        <w:rPr>
          <w:rFonts w:ascii="Times New Roman" w:hAnsi="Times New Roman" w:cs="Times New Roman"/>
        </w:rPr>
        <w:t xml:space="preserve"> free of charge</w:t>
      </w:r>
      <w:r w:rsidRPr="00C73E0B">
        <w:rPr>
          <w:rFonts w:ascii="Times New Roman" w:hAnsi="Times New Roman" w:cs="Times New Roman"/>
        </w:rPr>
        <w:t xml:space="preserve"> from the ITU’s website at: </w:t>
      </w:r>
      <w:hyperlink r:id="rId16" w:history="1">
        <w:r w:rsidR="009A1F56" w:rsidRPr="00A01AE3">
          <w:rPr>
            <w:rStyle w:val="Hyperlink"/>
            <w:rFonts w:ascii="Times New Roman" w:hAnsi="Times New Roman" w:cs="Times New Roman"/>
          </w:rPr>
          <w:t>www.itu.int</w:t>
        </w:r>
      </w:hyperlink>
      <w:r w:rsidRPr="00C73E0B">
        <w:rPr>
          <w:rFonts w:ascii="Times New Roman" w:hAnsi="Times New Roman" w:cs="Times New Roman"/>
        </w:rPr>
        <w:t>;</w:t>
      </w:r>
      <w:r w:rsidR="009A1F56">
        <w:rPr>
          <w:rFonts w:ascii="Times New Roman" w:hAnsi="Times New Roman" w:cs="Times New Roman"/>
        </w:rPr>
        <w:t xml:space="preserve"> </w:t>
      </w:r>
      <w:r w:rsidRPr="00C73E0B">
        <w:rPr>
          <w:rFonts w:ascii="Times New Roman" w:hAnsi="Times New Roman" w:cs="Times New Roman"/>
        </w:rPr>
        <w:t>and</w:t>
      </w:r>
    </w:p>
    <w:p w14:paraId="580F93B0" w14:textId="5A3AE5C8" w:rsidR="00BA5F46" w:rsidRPr="00C73E0B" w:rsidRDefault="00BA5F46" w:rsidP="00BA5F46">
      <w:pPr>
        <w:pStyle w:val="ListParagraph"/>
        <w:numPr>
          <w:ilvl w:val="0"/>
          <w:numId w:val="23"/>
        </w:numPr>
        <w:rPr>
          <w:rFonts w:ascii="Times New Roman" w:hAnsi="Times New Roman" w:cs="Times New Roman"/>
        </w:rPr>
      </w:pPr>
      <w:r w:rsidRPr="00C73E0B">
        <w:rPr>
          <w:rFonts w:ascii="Times New Roman" w:hAnsi="Times New Roman" w:cs="Times New Roman"/>
        </w:rPr>
        <w:t>Resolutions adopted at ITU World Radiocommunication Conferences held in 1997, 1999, 2000, 2003, 2007, 2012</w:t>
      </w:r>
      <w:r w:rsidR="00C73E0B">
        <w:rPr>
          <w:rFonts w:ascii="Times New Roman" w:hAnsi="Times New Roman" w:cs="Times New Roman"/>
        </w:rPr>
        <w:t xml:space="preserve">, </w:t>
      </w:r>
      <w:r w:rsidRPr="00C73E0B">
        <w:rPr>
          <w:rFonts w:ascii="Times New Roman" w:hAnsi="Times New Roman" w:cs="Times New Roman"/>
        </w:rPr>
        <w:t>2015</w:t>
      </w:r>
      <w:r w:rsidR="00C73E0B">
        <w:rPr>
          <w:rFonts w:ascii="Times New Roman" w:hAnsi="Times New Roman" w:cs="Times New Roman"/>
        </w:rPr>
        <w:t xml:space="preserve"> and 2019</w:t>
      </w:r>
      <w:r w:rsidR="0025611A">
        <w:rPr>
          <w:rFonts w:ascii="Times New Roman" w:hAnsi="Times New Roman" w:cs="Times New Roman"/>
        </w:rPr>
        <w:t xml:space="preserve"> </w:t>
      </w:r>
      <w:r w:rsidR="00594EFC">
        <w:rPr>
          <w:rFonts w:ascii="Times New Roman" w:hAnsi="Times New Roman" w:cs="Times New Roman"/>
        </w:rPr>
        <w:t xml:space="preserve">– </w:t>
      </w:r>
      <w:r w:rsidRPr="00C73E0B">
        <w:rPr>
          <w:rFonts w:ascii="Times New Roman" w:hAnsi="Times New Roman" w:cs="Times New Roman"/>
        </w:rPr>
        <w:t xml:space="preserve">all of which are available </w:t>
      </w:r>
      <w:r w:rsidR="00216531">
        <w:rPr>
          <w:rFonts w:ascii="Times New Roman" w:hAnsi="Times New Roman" w:cs="Times New Roman"/>
        </w:rPr>
        <w:t>free of charge</w:t>
      </w:r>
      <w:r w:rsidR="00216531" w:rsidRPr="00C73E0B">
        <w:rPr>
          <w:rFonts w:ascii="Times New Roman" w:hAnsi="Times New Roman" w:cs="Times New Roman"/>
        </w:rPr>
        <w:t xml:space="preserve"> </w:t>
      </w:r>
      <w:r w:rsidRPr="00C73E0B">
        <w:rPr>
          <w:rFonts w:ascii="Times New Roman" w:hAnsi="Times New Roman" w:cs="Times New Roman"/>
        </w:rPr>
        <w:t xml:space="preserve">from the ITU’s website at: </w:t>
      </w:r>
      <w:hyperlink r:id="rId17" w:history="1">
        <w:r w:rsidRPr="00C73E0B">
          <w:rPr>
            <w:rStyle w:val="Hyperlink"/>
            <w:rFonts w:ascii="Times New Roman" w:hAnsi="Times New Roman" w:cs="Times New Roman"/>
          </w:rPr>
          <w:t>www.itu.int</w:t>
        </w:r>
      </w:hyperlink>
      <w:r w:rsidRPr="00C73E0B">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47AD69BD" w14:textId="05CF524B" w:rsidR="00030D1C" w:rsidRDefault="00BA5F46" w:rsidP="00E25ED1">
      <w:pPr>
        <w:rPr>
          <w:rFonts w:ascii="Times New Roman" w:hAnsi="Times New Roman" w:cs="Times New Roman"/>
        </w:rPr>
      </w:pPr>
      <w:r w:rsidRPr="00BA5F46">
        <w:rPr>
          <w:rFonts w:ascii="Times New Roman" w:hAnsi="Times New Roman" w:cs="Times New Roman"/>
        </w:rPr>
        <w:t xml:space="preserve">Section 33 of the Act requires the ACMA to publish a notice on the ACMA’s website stating that a draft of the spectrum plan is available for comment, setting out the draft plan and inviting interested persons to make representations about the draft plan by a date at least one month later than the date on which the notice is published.  Such a notice was placed on the ACMA’s website on </w:t>
      </w:r>
      <w:r w:rsidR="00B17BD1">
        <w:rPr>
          <w:rFonts w:ascii="Times New Roman" w:hAnsi="Times New Roman" w:cs="Times New Roman"/>
        </w:rPr>
        <w:t>26</w:t>
      </w:r>
      <w:r w:rsidRPr="00BA5F46">
        <w:rPr>
          <w:rFonts w:ascii="Times New Roman" w:hAnsi="Times New Roman" w:cs="Times New Roman"/>
        </w:rPr>
        <w:t xml:space="preserve"> </w:t>
      </w:r>
      <w:r w:rsidR="00B17BD1">
        <w:rPr>
          <w:rFonts w:ascii="Times New Roman" w:hAnsi="Times New Roman" w:cs="Times New Roman"/>
        </w:rPr>
        <w:t xml:space="preserve">August 2020 </w:t>
      </w:r>
      <w:r w:rsidRPr="00BA5F46">
        <w:rPr>
          <w:rFonts w:ascii="Times New Roman" w:hAnsi="Times New Roman" w:cs="Times New Roman"/>
        </w:rPr>
        <w:t>inviting representations about the draft spectrum plan by 2</w:t>
      </w:r>
      <w:r w:rsidR="00B17BD1">
        <w:rPr>
          <w:rFonts w:ascii="Times New Roman" w:hAnsi="Times New Roman" w:cs="Times New Roman"/>
        </w:rPr>
        <w:t>9</w:t>
      </w:r>
      <w:r w:rsidRPr="00BA5F46">
        <w:rPr>
          <w:rFonts w:ascii="Times New Roman" w:hAnsi="Times New Roman" w:cs="Times New Roman"/>
        </w:rPr>
        <w:t xml:space="preserve"> </w:t>
      </w:r>
      <w:r w:rsidR="00B17BD1">
        <w:rPr>
          <w:rFonts w:ascii="Times New Roman" w:hAnsi="Times New Roman" w:cs="Times New Roman"/>
        </w:rPr>
        <w:t>September 2020</w:t>
      </w:r>
      <w:r w:rsidRPr="00BA5F46">
        <w:rPr>
          <w:rFonts w:ascii="Times New Roman" w:hAnsi="Times New Roman" w:cs="Times New Roman"/>
        </w:rPr>
        <w:t xml:space="preserve">. </w:t>
      </w:r>
      <w:r w:rsidR="00216531">
        <w:rPr>
          <w:rFonts w:ascii="Times New Roman" w:hAnsi="Times New Roman" w:cs="Times New Roman"/>
        </w:rPr>
        <w:t>Nine</w:t>
      </w:r>
      <w:r w:rsidR="00B17BD1">
        <w:rPr>
          <w:rFonts w:ascii="Times New Roman" w:hAnsi="Times New Roman" w:cs="Times New Roman"/>
        </w:rPr>
        <w:t xml:space="preserve"> </w:t>
      </w:r>
      <w:r w:rsidRPr="00BA5F46">
        <w:rPr>
          <w:rFonts w:ascii="Times New Roman" w:hAnsi="Times New Roman" w:cs="Times New Roman"/>
        </w:rPr>
        <w:t>submissions were received during the comment period from a mixture of government agencies, communications and broadcasting industry members, and private citizens. In making the Spectrum Plan, and in accordance with the requirements of subsection 33(4) of the Act, the ACMA gave due consideration to the representations received during the consultation period.</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2F6ED7C0" w14:textId="7D94ACC8" w:rsidR="00B17BD1" w:rsidRDefault="007F2F5E" w:rsidP="004C58B9">
      <w:pPr>
        <w:rPr>
          <w:rFonts w:ascii="Times New Roman" w:hAnsi="Times New Roman" w:cs="Times New Roman"/>
        </w:rPr>
      </w:pPr>
      <w:r w:rsidRPr="008B0DD6">
        <w:rPr>
          <w:rFonts w:ascii="Times New Roman" w:hAnsi="Times New Roman" w:cs="Times New Roman"/>
        </w:rPr>
        <w:t xml:space="preserve">A preliminary assessment of the proposal to make the </w:t>
      </w:r>
      <w:r w:rsidR="00216531">
        <w:rPr>
          <w:rFonts w:ascii="Times New Roman" w:hAnsi="Times New Roman" w:cs="Times New Roman"/>
        </w:rPr>
        <w:t>Spectrum Plan</w:t>
      </w:r>
      <w:r w:rsidRPr="008B0DD6">
        <w:rPr>
          <w:rFonts w:ascii="Times New Roman" w:hAnsi="Times New Roman" w:cs="Times New Roman"/>
        </w:rPr>
        <w:t xml:space="preserve">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 OBPR reference number </w:t>
      </w:r>
      <w:r w:rsidR="00B17BD1">
        <w:rPr>
          <w:rFonts w:ascii="Times New Roman" w:hAnsi="Times New Roman" w:cs="Times New Roman"/>
        </w:rPr>
        <w:t>42862</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444B1985"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w:t>
      </w:r>
      <w:r w:rsidR="00B17BD1" w:rsidRPr="00B17BD1">
        <w:rPr>
          <w:rFonts w:ascii="Times New Roman" w:hAnsi="Times New Roman" w:cs="Times New Roman"/>
          <w:i/>
          <w:iCs/>
        </w:rPr>
        <w:t>Legislation Act 2003</w:t>
      </w:r>
      <w:r w:rsidR="00B17BD1">
        <w:rPr>
          <w:rFonts w:ascii="Times New Roman" w:hAnsi="Times New Roman" w:cs="Times New Roman"/>
        </w:rPr>
        <w:t xml:space="preserve"> (the </w:t>
      </w:r>
      <w:r w:rsidRPr="00B17BD1">
        <w:rPr>
          <w:rFonts w:ascii="Times New Roman" w:hAnsi="Times New Roman" w:cs="Times New Roman"/>
          <w:b/>
          <w:bCs/>
        </w:rPr>
        <w:t>LA</w:t>
      </w:r>
      <w:r w:rsidR="00B17BD1">
        <w:rPr>
          <w:rFonts w:ascii="Times New Roman" w:hAnsi="Times New Roman" w:cs="Times New Roman"/>
        </w:rPr>
        <w:t>)</w:t>
      </w:r>
      <w:r>
        <w:rPr>
          <w:rFonts w:ascii="Times New Roman" w:hAnsi="Times New Roman" w:cs="Times New Roman"/>
        </w:rPr>
        <w:t xml:space="preserve"> applies to cause a statement of compatibility </w:t>
      </w:r>
      <w:r w:rsidR="00C65546">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00F27FC8" w14:textId="77D56AD1" w:rsidR="00B17BD1" w:rsidRPr="00B17BD1" w:rsidRDefault="00B17BD1" w:rsidP="00B17BD1">
      <w:pPr>
        <w:spacing w:line="257" w:lineRule="auto"/>
        <w:rPr>
          <w:rFonts w:ascii="Times New Roman" w:hAnsi="Times New Roman" w:cs="Times New Roman"/>
        </w:rPr>
      </w:pPr>
      <w:r w:rsidRPr="00B17BD1">
        <w:rPr>
          <w:rFonts w:ascii="Times New Roman" w:hAnsi="Times New Roman" w:cs="Times New Roman"/>
        </w:rPr>
        <w:t xml:space="preserve">The </w:t>
      </w:r>
      <w:r w:rsidRPr="00216531">
        <w:rPr>
          <w:rFonts w:ascii="Times New Roman" w:hAnsi="Times New Roman" w:cs="Times New Roman"/>
          <w:i/>
          <w:iCs/>
        </w:rPr>
        <w:t>Australian Radiofrequency Spectrum Plan 2021</w:t>
      </w:r>
      <w:r w:rsidRPr="00B17BD1">
        <w:rPr>
          <w:rFonts w:ascii="Times New Roman" w:hAnsi="Times New Roman" w:cs="Times New Roman"/>
        </w:rPr>
        <w:t xml:space="preserve"> (the Spectrum Plan) is a </w:t>
      </w:r>
      <w:r w:rsidR="00A00A58">
        <w:rPr>
          <w:rFonts w:ascii="Times New Roman" w:hAnsi="Times New Roman" w:cs="Times New Roman"/>
        </w:rPr>
        <w:t xml:space="preserve">disallowable </w:t>
      </w:r>
      <w:r w:rsidRPr="00B17BD1">
        <w:rPr>
          <w:rFonts w:ascii="Times New Roman" w:hAnsi="Times New Roman" w:cs="Times New Roman"/>
        </w:rPr>
        <w:t xml:space="preserve">legislative instrument for the purposes of the </w:t>
      </w:r>
      <w:r w:rsidRPr="00B17BD1">
        <w:rPr>
          <w:rFonts w:ascii="Times New Roman" w:hAnsi="Times New Roman" w:cs="Times New Roman"/>
          <w:i/>
          <w:iCs/>
        </w:rPr>
        <w:t>Legislation Act 2003</w:t>
      </w:r>
      <w:r w:rsidRPr="00B17BD1">
        <w:rPr>
          <w:rFonts w:ascii="Times New Roman" w:hAnsi="Times New Roman" w:cs="Times New Roman"/>
        </w:rPr>
        <w:t>.</w:t>
      </w:r>
    </w:p>
    <w:p w14:paraId="721CBE7F" w14:textId="25FDE179" w:rsidR="00B17BD1" w:rsidRPr="00B17BD1" w:rsidRDefault="00B17BD1" w:rsidP="00B17BD1">
      <w:pPr>
        <w:spacing w:line="257" w:lineRule="auto"/>
        <w:rPr>
          <w:rFonts w:ascii="Times New Roman" w:hAnsi="Times New Roman" w:cs="Times New Roman"/>
        </w:rPr>
      </w:pPr>
      <w:r w:rsidRPr="00B17BD1">
        <w:rPr>
          <w:rFonts w:ascii="Times New Roman" w:hAnsi="Times New Roman" w:cs="Times New Roman"/>
        </w:rPr>
        <w:t xml:space="preserve">The Spectrum Plan is prepared under section 30 of the </w:t>
      </w:r>
      <w:r w:rsidRPr="00B17BD1">
        <w:rPr>
          <w:rFonts w:ascii="Times New Roman" w:hAnsi="Times New Roman" w:cs="Times New Roman"/>
          <w:i/>
          <w:iCs/>
        </w:rPr>
        <w:t>Radiocommunications Act 1992</w:t>
      </w:r>
      <w:r w:rsidRPr="00B17BD1">
        <w:rPr>
          <w:rFonts w:ascii="Times New Roman" w:hAnsi="Times New Roman" w:cs="Times New Roman"/>
        </w:rPr>
        <w:t xml:space="preserve"> and revokes and replaces the </w:t>
      </w:r>
      <w:r w:rsidRPr="00C937FF">
        <w:rPr>
          <w:rFonts w:ascii="Times New Roman" w:hAnsi="Times New Roman" w:cs="Times New Roman"/>
          <w:i/>
          <w:iCs/>
        </w:rPr>
        <w:t>Australian Radiofrequency Spectrum Plan 2017</w:t>
      </w:r>
      <w:r w:rsidRPr="00B17BD1">
        <w:rPr>
          <w:rFonts w:ascii="Times New Roman" w:hAnsi="Times New Roman" w:cs="Times New Roman"/>
        </w:rPr>
        <w:t xml:space="preserve"> (the Spectrum Plan</w:t>
      </w:r>
      <w:r>
        <w:rPr>
          <w:rFonts w:ascii="Times New Roman" w:hAnsi="Times New Roman" w:cs="Times New Roman"/>
        </w:rPr>
        <w:t xml:space="preserve"> 2017</w:t>
      </w:r>
      <w:r w:rsidRPr="00B17BD1">
        <w:rPr>
          <w:rFonts w:ascii="Times New Roman" w:hAnsi="Times New Roman" w:cs="Times New Roman"/>
        </w:rPr>
        <w:t>).</w:t>
      </w:r>
    </w:p>
    <w:p w14:paraId="0922F656" w14:textId="4FD41273" w:rsidR="00B17BD1" w:rsidRDefault="00B17BD1" w:rsidP="00B17BD1">
      <w:pPr>
        <w:spacing w:line="257" w:lineRule="auto"/>
        <w:rPr>
          <w:rFonts w:ascii="Times New Roman" w:hAnsi="Times New Roman" w:cs="Times New Roman"/>
        </w:rPr>
      </w:pPr>
      <w:r w:rsidRPr="00B17BD1">
        <w:rPr>
          <w:rFonts w:ascii="Times New Roman" w:hAnsi="Times New Roman" w:cs="Times New Roman"/>
        </w:rPr>
        <w:t>The Spectrum Plan divides the radiofrequency spectrum into frequency bands and specifies the purposes for which those bands may be used. The Spectrum Plan reflects changes to the International Telecommunication Union’s treaty level Radio Regulations resulting from the 201</w:t>
      </w:r>
      <w:r>
        <w:rPr>
          <w:rFonts w:ascii="Times New Roman" w:hAnsi="Times New Roman" w:cs="Times New Roman"/>
        </w:rPr>
        <w:t>9</w:t>
      </w:r>
      <w:r w:rsidRPr="00B17BD1">
        <w:rPr>
          <w:rFonts w:ascii="Times New Roman" w:hAnsi="Times New Roman" w:cs="Times New Roman"/>
        </w:rPr>
        <w:t xml:space="preserve"> World </w:t>
      </w:r>
      <w:r w:rsidRPr="00B17BD1">
        <w:rPr>
          <w:rFonts w:ascii="Times New Roman" w:hAnsi="Times New Roman" w:cs="Times New Roman"/>
        </w:rPr>
        <w:lastRenderedPageBreak/>
        <w:t>Radiocommunication Conference, as well as changes that have occurred domestically since the Spectrum Plan</w:t>
      </w:r>
      <w:r w:rsidR="00C937FF">
        <w:rPr>
          <w:rFonts w:ascii="Times New Roman" w:hAnsi="Times New Roman" w:cs="Times New Roman"/>
        </w:rPr>
        <w:t xml:space="preserve"> 2017</w:t>
      </w:r>
      <w:r w:rsidR="00A00A58">
        <w:rPr>
          <w:rFonts w:ascii="Times New Roman" w:hAnsi="Times New Roman" w:cs="Times New Roman"/>
        </w:rPr>
        <w:t xml:space="preserve"> was made</w:t>
      </w:r>
      <w:r w:rsidRPr="00B17BD1">
        <w:rPr>
          <w:rFonts w:ascii="Times New Roman" w:hAnsi="Times New Roman" w:cs="Times New Roman"/>
        </w:rPr>
        <w:t xml:space="preserve">. </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66F827FD" w:rsidR="004C58B9" w:rsidRDefault="004C58B9" w:rsidP="004C58B9">
      <w:pPr>
        <w:rPr>
          <w:rFonts w:ascii="Times New Roman" w:hAnsi="Times New Roman" w:cs="Times New Roman"/>
        </w:rPr>
      </w:pPr>
      <w:r>
        <w:rPr>
          <w:rFonts w:ascii="Times New Roman" w:hAnsi="Times New Roman" w:cs="Times New Roman"/>
        </w:rPr>
        <w:t xml:space="preserve">The ACMA has assessed whether the </w:t>
      </w:r>
      <w:r w:rsidR="00B17BD1">
        <w:rPr>
          <w:rFonts w:ascii="Times New Roman" w:hAnsi="Times New Roman" w:cs="Times New Roman"/>
        </w:rPr>
        <w:t xml:space="preserve">Spectrum Plan </w:t>
      </w:r>
      <w:r>
        <w:rPr>
          <w:rFonts w:ascii="Times New Roman" w:hAnsi="Times New Roman" w:cs="Times New Roman"/>
        </w:rPr>
        <w:t>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40BD4B1E"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w:t>
      </w:r>
      <w:r w:rsidR="00B17BD1">
        <w:rPr>
          <w:rFonts w:ascii="Times New Roman" w:hAnsi="Times New Roman" w:cs="Times New Roman"/>
        </w:rPr>
        <w:t>Spectrum Plan</w:t>
      </w:r>
      <w:r>
        <w:rPr>
          <w:rFonts w:ascii="Times New Roman" w:hAnsi="Times New Roman" w:cs="Times New Roman"/>
        </w:rPr>
        <w:t xml:space="preserve"> and the nature of the applicable rights and freedoms, the ACMA has formed the view that the </w:t>
      </w:r>
      <w:r w:rsidR="00B17BD1">
        <w:rPr>
          <w:rFonts w:ascii="Times New Roman" w:hAnsi="Times New Roman" w:cs="Times New Roman"/>
        </w:rPr>
        <w:t>Spectrum Plan</w:t>
      </w:r>
      <w:r>
        <w:rPr>
          <w:rFonts w:ascii="Times New Roman" w:hAnsi="Times New Roman" w:cs="Times New Roman"/>
        </w:rPr>
        <w:t xml:space="preserve">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35DAD6A0" w:rsidR="004C58B9" w:rsidRDefault="004C58B9" w:rsidP="004C58B9">
      <w:pPr>
        <w:rPr>
          <w:rFonts w:ascii="Times New Roman" w:hAnsi="Times New Roman" w:cs="Times New Roman"/>
        </w:rPr>
      </w:pPr>
      <w:r>
        <w:rPr>
          <w:rFonts w:ascii="Times New Roman" w:hAnsi="Times New Roman" w:cs="Times New Roman"/>
        </w:rPr>
        <w:t xml:space="preserve">The </w:t>
      </w:r>
      <w:r w:rsidR="00B17BD1">
        <w:rPr>
          <w:rFonts w:ascii="Times New Roman" w:hAnsi="Times New Roman" w:cs="Times New Roman"/>
        </w:rPr>
        <w:t>Spectrum Plan</w:t>
      </w:r>
      <w:r>
        <w:rPr>
          <w:rFonts w:ascii="Times New Roman" w:hAnsi="Times New Roman" w:cs="Times New Roman"/>
        </w:rPr>
        <w:t xml:space="preserve"> is compatible with human rights as it does not raise any human rights issues.</w:t>
      </w: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42062B08"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B17BD1" w:rsidRPr="00B17BD1">
        <w:rPr>
          <w:rFonts w:ascii="Times New Roman" w:hAnsi="Times New Roman" w:cs="Times New Roman"/>
          <w:b/>
          <w:i/>
          <w:iCs/>
          <w:sz w:val="28"/>
          <w:szCs w:val="28"/>
        </w:rPr>
        <w:t>Australian Radiofrequency Spectrum Plan 2021</w:t>
      </w:r>
    </w:p>
    <w:p w14:paraId="6A2FB53C" w14:textId="2A331F97" w:rsidR="00B17BD1" w:rsidRPr="00B17BD1" w:rsidRDefault="006C26C2" w:rsidP="006C26C2">
      <w:pPr>
        <w:spacing w:before="280"/>
        <w:rPr>
          <w:rFonts w:ascii="Times New Roman" w:hAnsi="Times New Roman" w:cs="Times New Roman"/>
        </w:rPr>
      </w:pPr>
      <w:r>
        <w:rPr>
          <w:rFonts w:ascii="Times New Roman" w:hAnsi="Times New Roman" w:cs="Times New Roman"/>
          <w:b/>
        </w:rPr>
        <w:t>Part 1–</w:t>
      </w:r>
      <w:r w:rsidR="00B17BD1" w:rsidRPr="006C26C2">
        <w:rPr>
          <w:rFonts w:ascii="Times New Roman" w:hAnsi="Times New Roman" w:cs="Times New Roman"/>
          <w:b/>
        </w:rPr>
        <w:t>Introductory</w:t>
      </w:r>
    </w:p>
    <w:p w14:paraId="4348AD2B" w14:textId="396FC6E4" w:rsidR="00B17BD1" w:rsidRDefault="00B17BD1" w:rsidP="00B17BD1">
      <w:pPr>
        <w:rPr>
          <w:rFonts w:ascii="Times New Roman" w:hAnsi="Times New Roman" w:cs="Times New Roman"/>
        </w:rPr>
      </w:pPr>
      <w:r w:rsidRPr="00B17BD1">
        <w:rPr>
          <w:rFonts w:ascii="Times New Roman" w:hAnsi="Times New Roman" w:cs="Times New Roman"/>
        </w:rPr>
        <w:t>Part 1 contains definitions of services and provisions which give effect to the various parts of the Table of Frequency Band Allocations (‘the Table’) in Part 2 and the Australian footnotes in Part 3.  It also contains provisions which provide for the use of frequency bands other than in accordance with the Table.</w:t>
      </w:r>
    </w:p>
    <w:p w14:paraId="56282A74" w14:textId="26D5927B" w:rsidR="00B17BD1" w:rsidRPr="00B17BD1" w:rsidRDefault="006C26C2" w:rsidP="00B17BD1">
      <w:pPr>
        <w:rPr>
          <w:rFonts w:ascii="Times New Roman" w:hAnsi="Times New Roman" w:cs="Times New Roman"/>
        </w:rPr>
      </w:pPr>
      <w:r>
        <w:rPr>
          <w:rFonts w:ascii="Times New Roman" w:hAnsi="Times New Roman" w:cs="Times New Roman"/>
          <w:b/>
        </w:rPr>
        <w:t>Section 1</w:t>
      </w:r>
      <w:r>
        <w:rPr>
          <w:rFonts w:ascii="Times New Roman" w:hAnsi="Times New Roman" w:cs="Times New Roman"/>
          <w:b/>
        </w:rPr>
        <w:tab/>
        <w:t xml:space="preserve">Name </w:t>
      </w:r>
      <w:r w:rsidR="00B17BD1" w:rsidRPr="006C26C2">
        <w:rPr>
          <w:rFonts w:ascii="Times New Roman" w:hAnsi="Times New Roman" w:cs="Times New Roman"/>
          <w:b/>
        </w:rPr>
        <w:t>of Spectrum Plan</w:t>
      </w:r>
    </w:p>
    <w:p w14:paraId="5DF18A31" w14:textId="23BCE995"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Section 1 provides for the citation of the Spectrum Plan as the </w:t>
      </w:r>
      <w:r w:rsidRPr="00216531">
        <w:rPr>
          <w:rFonts w:ascii="Times New Roman" w:hAnsi="Times New Roman" w:cs="Times New Roman"/>
          <w:i/>
          <w:iCs/>
        </w:rPr>
        <w:t>Australian Radiofrequency Spectrum Plan 20</w:t>
      </w:r>
      <w:r w:rsidR="00C937FF" w:rsidRPr="00216531">
        <w:rPr>
          <w:rFonts w:ascii="Times New Roman" w:hAnsi="Times New Roman" w:cs="Times New Roman"/>
          <w:i/>
          <w:iCs/>
        </w:rPr>
        <w:t>21</w:t>
      </w:r>
      <w:r w:rsidRPr="00B17BD1">
        <w:rPr>
          <w:rFonts w:ascii="Times New Roman" w:hAnsi="Times New Roman" w:cs="Times New Roman"/>
        </w:rPr>
        <w:t>.</w:t>
      </w:r>
    </w:p>
    <w:p w14:paraId="164F62C7" w14:textId="4BECA410"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2 </w:t>
      </w:r>
      <w:r w:rsidR="006C26C2" w:rsidRPr="006C26C2">
        <w:rPr>
          <w:rFonts w:ascii="Times New Roman" w:hAnsi="Times New Roman" w:cs="Times New Roman"/>
          <w:b/>
        </w:rPr>
        <w:tab/>
      </w:r>
      <w:r w:rsidRPr="006C26C2">
        <w:rPr>
          <w:rFonts w:ascii="Times New Roman" w:hAnsi="Times New Roman" w:cs="Times New Roman"/>
          <w:b/>
        </w:rPr>
        <w:t>Commencement</w:t>
      </w:r>
    </w:p>
    <w:p w14:paraId="7E8D321F" w14:textId="23F648D0"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Section 2 provides for the commencement of the Spectrum Plan </w:t>
      </w:r>
      <w:r w:rsidR="004F52E2" w:rsidRPr="004F52E2">
        <w:rPr>
          <w:rFonts w:ascii="Times New Roman" w:hAnsi="Times New Roman" w:cs="Times New Roman"/>
        </w:rPr>
        <w:t>at the start of the day after the day it is registered on the Federal Register of Legislation.</w:t>
      </w:r>
    </w:p>
    <w:p w14:paraId="09C8DA8F" w14:textId="6CCFB44C"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2A </w:t>
      </w:r>
      <w:r w:rsidR="006C26C2" w:rsidRPr="006C26C2">
        <w:rPr>
          <w:rFonts w:ascii="Times New Roman" w:hAnsi="Times New Roman" w:cs="Times New Roman"/>
          <w:b/>
        </w:rPr>
        <w:tab/>
      </w:r>
      <w:r w:rsidRPr="006C26C2">
        <w:rPr>
          <w:rFonts w:ascii="Times New Roman" w:hAnsi="Times New Roman" w:cs="Times New Roman"/>
          <w:b/>
        </w:rPr>
        <w:t>Revocation</w:t>
      </w:r>
    </w:p>
    <w:p w14:paraId="797546D5" w14:textId="06AD6446"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Section 2A revokes the </w:t>
      </w:r>
      <w:r w:rsidRPr="00FC6DD3">
        <w:rPr>
          <w:rFonts w:ascii="Times New Roman" w:hAnsi="Times New Roman" w:cs="Times New Roman"/>
          <w:i/>
          <w:iCs/>
        </w:rPr>
        <w:t>Australian Radiofrequency Spectrum Plan 201</w:t>
      </w:r>
      <w:r w:rsidR="006C26C2" w:rsidRPr="00FC6DD3">
        <w:rPr>
          <w:rFonts w:ascii="Times New Roman" w:hAnsi="Times New Roman" w:cs="Times New Roman"/>
          <w:i/>
          <w:iCs/>
        </w:rPr>
        <w:t>7</w:t>
      </w:r>
      <w:r w:rsidRPr="00B17BD1">
        <w:rPr>
          <w:rFonts w:ascii="Times New Roman" w:hAnsi="Times New Roman" w:cs="Times New Roman"/>
        </w:rPr>
        <w:t>.</w:t>
      </w:r>
    </w:p>
    <w:p w14:paraId="232B6400" w14:textId="2778D742"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3 </w:t>
      </w:r>
      <w:r w:rsidR="006C26C2" w:rsidRPr="006C26C2">
        <w:rPr>
          <w:rFonts w:ascii="Times New Roman" w:hAnsi="Times New Roman" w:cs="Times New Roman"/>
          <w:b/>
        </w:rPr>
        <w:tab/>
      </w:r>
      <w:r w:rsidRPr="006C26C2">
        <w:rPr>
          <w:rFonts w:ascii="Times New Roman" w:hAnsi="Times New Roman" w:cs="Times New Roman"/>
          <w:b/>
        </w:rPr>
        <w:t>Definitions</w:t>
      </w:r>
    </w:p>
    <w:p w14:paraId="52A808F9" w14:textId="44EC86C7"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Section 3 contains definitions and interpretation provisions.  It provides the meaning of terms used in the Spectrum Plan, particularly the various kinds of "services".  Many of these are derived from the Radio Regulations published by the ITU.  Expressions not defined in the Spectrum Plan will have the meaning given by the </w:t>
      </w:r>
      <w:r w:rsidRPr="006C26C2">
        <w:rPr>
          <w:rFonts w:ascii="Times New Roman" w:hAnsi="Times New Roman" w:cs="Times New Roman"/>
          <w:i/>
          <w:iCs/>
        </w:rPr>
        <w:t>Radiocommunications (Interpretation) Determination 2015</w:t>
      </w:r>
      <w:r w:rsidRPr="00B17BD1">
        <w:rPr>
          <w:rFonts w:ascii="Times New Roman" w:hAnsi="Times New Roman" w:cs="Times New Roman"/>
        </w:rPr>
        <w:t xml:space="preserve"> or the </w:t>
      </w:r>
      <w:r w:rsidRPr="006C26C2">
        <w:rPr>
          <w:rFonts w:ascii="Times New Roman" w:hAnsi="Times New Roman" w:cs="Times New Roman"/>
          <w:i/>
          <w:iCs/>
        </w:rPr>
        <w:t>Radiocommunications Regulations 1993</w:t>
      </w:r>
      <w:r w:rsidRPr="00B17BD1">
        <w:rPr>
          <w:rFonts w:ascii="Times New Roman" w:hAnsi="Times New Roman" w:cs="Times New Roman"/>
        </w:rPr>
        <w:t>.</w:t>
      </w:r>
    </w:p>
    <w:p w14:paraId="136D2269" w14:textId="7EE37D2D" w:rsidR="00B17BD1" w:rsidRPr="00B17BD1" w:rsidRDefault="00B17BD1" w:rsidP="00B17BD1">
      <w:pPr>
        <w:rPr>
          <w:rFonts w:ascii="Times New Roman" w:hAnsi="Times New Roman" w:cs="Times New Roman"/>
        </w:rPr>
      </w:pPr>
      <w:r w:rsidRPr="00B17BD1">
        <w:rPr>
          <w:rFonts w:ascii="Times New Roman" w:hAnsi="Times New Roman" w:cs="Times New Roman"/>
        </w:rPr>
        <w:t>Subsection 3(5) of the Spectrum Plan is intended to reflect that the Australian and International footnotes should be read as parts of the Spectrum Plan and not simply as being for information only.</w:t>
      </w:r>
    </w:p>
    <w:p w14:paraId="5CCDC37A" w14:textId="2B8C1EE7" w:rsidR="00B17BD1" w:rsidRPr="00B17BD1" w:rsidRDefault="00B17BD1" w:rsidP="00B17BD1">
      <w:pPr>
        <w:rPr>
          <w:rFonts w:ascii="Times New Roman" w:hAnsi="Times New Roman" w:cs="Times New Roman"/>
        </w:rPr>
      </w:pPr>
      <w:r w:rsidRPr="006C26C2">
        <w:rPr>
          <w:rFonts w:ascii="Times New Roman" w:hAnsi="Times New Roman" w:cs="Times New Roman"/>
          <w:b/>
        </w:rPr>
        <w:t xml:space="preserve">Section 4 </w:t>
      </w:r>
      <w:r w:rsidR="006C26C2" w:rsidRPr="006C26C2">
        <w:rPr>
          <w:rFonts w:ascii="Times New Roman" w:hAnsi="Times New Roman" w:cs="Times New Roman"/>
          <w:b/>
        </w:rPr>
        <w:tab/>
      </w:r>
      <w:r w:rsidRPr="006C26C2">
        <w:rPr>
          <w:rFonts w:ascii="Times New Roman" w:hAnsi="Times New Roman" w:cs="Times New Roman"/>
          <w:b/>
        </w:rPr>
        <w:t>Division of spectrum into frequency bands</w:t>
      </w:r>
    </w:p>
    <w:p w14:paraId="5CD0F509"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Section 4 divides the radiofrequency spectrum into the frequency bands set out in column 2 of the Table for the purposes of section 30 of the Act.</w:t>
      </w:r>
    </w:p>
    <w:p w14:paraId="575552AE"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Column 1 is only included in the Table to allow for comparison with column 2.</w:t>
      </w:r>
    </w:p>
    <w:p w14:paraId="7F51B313" w14:textId="715E2468"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5 </w:t>
      </w:r>
      <w:r w:rsidR="006C26C2" w:rsidRPr="006C26C2">
        <w:rPr>
          <w:rFonts w:ascii="Times New Roman" w:hAnsi="Times New Roman" w:cs="Times New Roman"/>
          <w:b/>
        </w:rPr>
        <w:tab/>
      </w:r>
      <w:r w:rsidRPr="006C26C2">
        <w:rPr>
          <w:rFonts w:ascii="Times New Roman" w:hAnsi="Times New Roman" w:cs="Times New Roman"/>
          <w:b/>
        </w:rPr>
        <w:t>How the Table refers to services</w:t>
      </w:r>
    </w:p>
    <w:p w14:paraId="7C4FE63F"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Section 5 provides the method by which the primary and secondary services in a frequency band are expressed, including any limitations, modes of operation or operational restrictions, in column 2 of the Table.</w:t>
      </w:r>
    </w:p>
    <w:p w14:paraId="2040F2F4" w14:textId="36F79D04" w:rsidR="00B17BD1" w:rsidRPr="000F4600" w:rsidRDefault="00B17BD1" w:rsidP="00B17BD1">
      <w:pPr>
        <w:rPr>
          <w:rFonts w:ascii="Times New Roman" w:hAnsi="Times New Roman" w:cs="Times New Roman"/>
          <w:b/>
        </w:rPr>
      </w:pPr>
      <w:bookmarkStart w:id="0" w:name="_Hlk51083695"/>
      <w:r w:rsidRPr="000F4600">
        <w:rPr>
          <w:rFonts w:ascii="Times New Roman" w:hAnsi="Times New Roman" w:cs="Times New Roman"/>
          <w:b/>
        </w:rPr>
        <w:t xml:space="preserve">Section 6 </w:t>
      </w:r>
      <w:r w:rsidR="006C26C2" w:rsidRPr="000F4600">
        <w:rPr>
          <w:rFonts w:ascii="Times New Roman" w:hAnsi="Times New Roman" w:cs="Times New Roman"/>
          <w:b/>
        </w:rPr>
        <w:tab/>
      </w:r>
      <w:r w:rsidRPr="000F4600">
        <w:rPr>
          <w:rFonts w:ascii="Times New Roman" w:hAnsi="Times New Roman" w:cs="Times New Roman"/>
          <w:b/>
        </w:rPr>
        <w:t>Primary and secondary services — frequency band plans</w:t>
      </w:r>
    </w:p>
    <w:p w14:paraId="76B53C0D" w14:textId="0E453D34" w:rsidR="00B17BD1" w:rsidRPr="00B17BD1" w:rsidRDefault="00B17BD1" w:rsidP="00B17BD1">
      <w:pPr>
        <w:rPr>
          <w:rFonts w:ascii="Times New Roman" w:hAnsi="Times New Roman" w:cs="Times New Roman"/>
        </w:rPr>
      </w:pPr>
      <w:r w:rsidRPr="000F4600">
        <w:rPr>
          <w:rFonts w:ascii="Times New Roman" w:hAnsi="Times New Roman" w:cs="Times New Roman"/>
        </w:rPr>
        <w:t xml:space="preserve">Section 6 provides that if </w:t>
      </w:r>
      <w:r w:rsidR="000F4600" w:rsidRPr="000F4600">
        <w:rPr>
          <w:rFonts w:ascii="Times New Roman" w:hAnsi="Times New Roman" w:cs="Times New Roman"/>
        </w:rPr>
        <w:t>a frequency band is specified for a</w:t>
      </w:r>
      <w:r w:rsidRPr="000F4600">
        <w:rPr>
          <w:rFonts w:ascii="Times New Roman" w:hAnsi="Times New Roman" w:cs="Times New Roman"/>
        </w:rPr>
        <w:t xml:space="preserve"> primary </w:t>
      </w:r>
      <w:r w:rsidR="000F4600" w:rsidRPr="000F4600">
        <w:rPr>
          <w:rFonts w:ascii="Times New Roman" w:hAnsi="Times New Roman" w:cs="Times New Roman"/>
        </w:rPr>
        <w:t xml:space="preserve">service, the frequency band may also be specified for a </w:t>
      </w:r>
      <w:r w:rsidRPr="000F4600">
        <w:rPr>
          <w:rFonts w:ascii="Times New Roman" w:hAnsi="Times New Roman" w:cs="Times New Roman"/>
        </w:rPr>
        <w:t xml:space="preserve">secondary </w:t>
      </w:r>
      <w:r w:rsidR="000F4600" w:rsidRPr="000F4600">
        <w:rPr>
          <w:rFonts w:ascii="Times New Roman" w:hAnsi="Times New Roman" w:cs="Times New Roman"/>
        </w:rPr>
        <w:t xml:space="preserve">service </w:t>
      </w:r>
      <w:r w:rsidRPr="000F4600">
        <w:rPr>
          <w:rFonts w:ascii="Times New Roman" w:hAnsi="Times New Roman" w:cs="Times New Roman"/>
        </w:rPr>
        <w:t>in a separate frequency band plan.</w:t>
      </w:r>
      <w:r w:rsidRPr="00B17BD1">
        <w:rPr>
          <w:rFonts w:ascii="Times New Roman" w:hAnsi="Times New Roman" w:cs="Times New Roman"/>
        </w:rPr>
        <w:t xml:space="preserve">  </w:t>
      </w:r>
    </w:p>
    <w:bookmarkEnd w:id="0"/>
    <w:p w14:paraId="1838CADE" w14:textId="77777777" w:rsidR="00A00A58" w:rsidRDefault="00A00A58" w:rsidP="00B17BD1">
      <w:pPr>
        <w:rPr>
          <w:rFonts w:ascii="Times New Roman" w:hAnsi="Times New Roman" w:cs="Times New Roman"/>
          <w:b/>
        </w:rPr>
      </w:pPr>
    </w:p>
    <w:p w14:paraId="76FC7BE5" w14:textId="77777777" w:rsidR="00A00A58" w:rsidRDefault="00A00A58" w:rsidP="00B17BD1">
      <w:pPr>
        <w:rPr>
          <w:rFonts w:ascii="Times New Roman" w:hAnsi="Times New Roman" w:cs="Times New Roman"/>
          <w:b/>
        </w:rPr>
      </w:pPr>
    </w:p>
    <w:p w14:paraId="21CDAE85" w14:textId="55CB655D" w:rsidR="00B17BD1" w:rsidRPr="006C26C2" w:rsidRDefault="00B17BD1" w:rsidP="00B17BD1">
      <w:pPr>
        <w:rPr>
          <w:rFonts w:ascii="Times New Roman" w:hAnsi="Times New Roman" w:cs="Times New Roman"/>
          <w:b/>
        </w:rPr>
      </w:pPr>
      <w:r w:rsidRPr="006C26C2">
        <w:rPr>
          <w:rFonts w:ascii="Times New Roman" w:hAnsi="Times New Roman" w:cs="Times New Roman"/>
          <w:b/>
        </w:rPr>
        <w:lastRenderedPageBreak/>
        <w:t xml:space="preserve">Section 7 </w:t>
      </w:r>
      <w:r w:rsidR="006C26C2" w:rsidRPr="006C26C2">
        <w:rPr>
          <w:rFonts w:ascii="Times New Roman" w:hAnsi="Times New Roman" w:cs="Times New Roman"/>
          <w:b/>
        </w:rPr>
        <w:tab/>
      </w:r>
      <w:r w:rsidRPr="006C26C2">
        <w:rPr>
          <w:rFonts w:ascii="Times New Roman" w:hAnsi="Times New Roman" w:cs="Times New Roman"/>
          <w:b/>
        </w:rPr>
        <w:t>Primary services — spectrum licences</w:t>
      </w:r>
    </w:p>
    <w:p w14:paraId="6AACD817"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Section 7 provides that services operating under a spectrum licence are generally taken to be primary services.  This section ensures that spectrum licences are generally afforded particular interference protection over any class or apparatus licences that might be operating in that band as secondary services.</w:t>
      </w:r>
    </w:p>
    <w:p w14:paraId="03EAD7E8" w14:textId="2ECBD750" w:rsidR="00B17BD1" w:rsidRPr="006C26C2" w:rsidRDefault="006C26C2" w:rsidP="00B17BD1">
      <w:pPr>
        <w:rPr>
          <w:rFonts w:ascii="Times New Roman" w:hAnsi="Times New Roman" w:cs="Times New Roman"/>
          <w:b/>
        </w:rPr>
      </w:pPr>
      <w:r w:rsidRPr="006C26C2">
        <w:rPr>
          <w:rFonts w:ascii="Times New Roman" w:hAnsi="Times New Roman" w:cs="Times New Roman"/>
          <w:b/>
        </w:rPr>
        <w:t xml:space="preserve">Section </w:t>
      </w:r>
      <w:r>
        <w:rPr>
          <w:rFonts w:ascii="Times New Roman" w:hAnsi="Times New Roman" w:cs="Times New Roman"/>
          <w:b/>
        </w:rPr>
        <w:t>8</w:t>
      </w:r>
      <w:r w:rsidRPr="006C26C2">
        <w:rPr>
          <w:rFonts w:ascii="Times New Roman" w:hAnsi="Times New Roman" w:cs="Times New Roman"/>
          <w:b/>
        </w:rPr>
        <w:t xml:space="preserve"> </w:t>
      </w:r>
      <w:r w:rsidRPr="006C26C2">
        <w:rPr>
          <w:rFonts w:ascii="Times New Roman" w:hAnsi="Times New Roman" w:cs="Times New Roman"/>
          <w:b/>
        </w:rPr>
        <w:tab/>
      </w:r>
      <w:r w:rsidR="00B17BD1" w:rsidRPr="006C26C2">
        <w:rPr>
          <w:rFonts w:ascii="Times New Roman" w:hAnsi="Times New Roman" w:cs="Times New Roman"/>
          <w:b/>
        </w:rPr>
        <w:t>Use of frequency bands — general</w:t>
      </w:r>
    </w:p>
    <w:p w14:paraId="636981D2"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Section 8 provides that if a frequency band is part of a frequency band plan, the frequency band must be used only for the purpose specified in the frequency band plan and in a way mentioned in section 9 or 10. </w:t>
      </w:r>
    </w:p>
    <w:p w14:paraId="61A64B60" w14:textId="39B48F6F"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9 </w:t>
      </w:r>
      <w:r w:rsidR="006C26C2" w:rsidRPr="006C26C2">
        <w:rPr>
          <w:rFonts w:ascii="Times New Roman" w:hAnsi="Times New Roman" w:cs="Times New Roman"/>
          <w:b/>
        </w:rPr>
        <w:tab/>
      </w:r>
      <w:r w:rsidRPr="006C26C2">
        <w:rPr>
          <w:rFonts w:ascii="Times New Roman" w:hAnsi="Times New Roman" w:cs="Times New Roman"/>
          <w:b/>
        </w:rPr>
        <w:t>Use of frequency bands — spectrum licensing and class licensing</w:t>
      </w:r>
    </w:p>
    <w:p w14:paraId="43A685E8"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9(1) provides that a frequency band may be used for a service that is operating in accordance with a spectrum licence and is an unspecified service.</w:t>
      </w:r>
    </w:p>
    <w:p w14:paraId="666BDB90"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9(2) provides that a frequency band may be used by a device that is operating in accordance with a class licence and is not consistent with a service specified in column 2 of the Table for the frequency band.</w:t>
      </w:r>
    </w:p>
    <w:p w14:paraId="52D30BB0" w14:textId="056CFA3A"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10 </w:t>
      </w:r>
      <w:r w:rsidR="006C26C2" w:rsidRPr="006C26C2">
        <w:rPr>
          <w:rFonts w:ascii="Times New Roman" w:hAnsi="Times New Roman" w:cs="Times New Roman"/>
          <w:b/>
        </w:rPr>
        <w:tab/>
      </w:r>
      <w:r w:rsidRPr="006C26C2">
        <w:rPr>
          <w:rFonts w:ascii="Times New Roman" w:hAnsi="Times New Roman" w:cs="Times New Roman"/>
          <w:b/>
        </w:rPr>
        <w:t>Use of frequency bands — other circumstances</w:t>
      </w:r>
    </w:p>
    <w:p w14:paraId="057439C1" w14:textId="4BB574EF"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Section 10 provides flexibility for circumstances in which a frequency band may be used for a service that is not specified in column 2 of the Table.  </w:t>
      </w:r>
    </w:p>
    <w:p w14:paraId="56D85A48"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10(1) provides for a frequency band to be used for an unspecified service if that service is used to support a service specified in column 2 of the Table.</w:t>
      </w:r>
    </w:p>
    <w:p w14:paraId="450C6CB3" w14:textId="0B53CD78" w:rsidR="00B17BD1" w:rsidRPr="00B17BD1" w:rsidRDefault="00B17BD1" w:rsidP="00B17BD1">
      <w:pPr>
        <w:rPr>
          <w:rFonts w:ascii="Times New Roman" w:hAnsi="Times New Roman" w:cs="Times New Roman"/>
        </w:rPr>
      </w:pPr>
      <w:r w:rsidRPr="00B17BD1">
        <w:rPr>
          <w:rFonts w:ascii="Times New Roman" w:hAnsi="Times New Roman" w:cs="Times New Roman"/>
        </w:rPr>
        <w:t>Subsection 10(2) provides for the better support of certain practical configurations of radiocommunications systems.  Examples of this are provided in the subsection.</w:t>
      </w:r>
    </w:p>
    <w:p w14:paraId="08B2E220"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10(3) supports the use of a frequency band for broadcasting purposes where fixed and mobile services are allocated to that band.</w:t>
      </w:r>
    </w:p>
    <w:p w14:paraId="5199A9F5"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10(4) provides flexibility in the use of a frequency band to assist in the planning and implementation of new radiocommunication services.</w:t>
      </w:r>
    </w:p>
    <w:p w14:paraId="0F1A0F06"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10(5) provides for experimental stations to use a frequency band on a secondary basis where the band’s allocation(s) do not otherwise support their use.</w:t>
      </w:r>
    </w:p>
    <w:p w14:paraId="75BF05AF"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10(6) provides for atmospheric and ionospheric sounders to use a frequency band on a secondary basis where the band’s allocation(s) do not otherwise support their use.</w:t>
      </w:r>
    </w:p>
    <w:p w14:paraId="3C4A06BB"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10(7) provides for use of a service where that use is in the public interest for the purposes of defence or national security.</w:t>
      </w:r>
    </w:p>
    <w:p w14:paraId="7EF10D05"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Subsection 10(8) provides that a frequency band may be used for radio astronomy services in circumstances where the ACMA has made provision for that use in a frequency band plan.  </w:t>
      </w:r>
    </w:p>
    <w:p w14:paraId="008D77E6"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10(9) provides that a frequency band may be used by an earth receive station in a frequency band allocated for the fixed-satellite service (space-to-Earth) where that station is in motion, or in a stationary position at an unspecified point on land, on water or in the air.</w:t>
      </w:r>
    </w:p>
    <w:p w14:paraId="4E3D686D" w14:textId="3BC508AF" w:rsidR="00B17BD1" w:rsidRDefault="00B17BD1" w:rsidP="00B17BD1">
      <w:pPr>
        <w:rPr>
          <w:rFonts w:ascii="Times New Roman" w:hAnsi="Times New Roman" w:cs="Times New Roman"/>
        </w:rPr>
      </w:pPr>
      <w:r w:rsidRPr="00B17BD1">
        <w:rPr>
          <w:rFonts w:ascii="Times New Roman" w:hAnsi="Times New Roman" w:cs="Times New Roman"/>
        </w:rPr>
        <w:lastRenderedPageBreak/>
        <w:t>Subsection 10(10) provides that a frequency band may be used for an unspecified service if, prior to that use, the ACMA, being satisfied that the unspecified service is unlikely to cause harmful interference to another service, has approved the unspecified service in writing and given notice of that approval on its website.</w:t>
      </w:r>
    </w:p>
    <w:p w14:paraId="10EAE829" w14:textId="38A4B41A" w:rsidR="004F52E2" w:rsidRPr="00B17BD1" w:rsidRDefault="004F52E2" w:rsidP="00B17BD1">
      <w:pPr>
        <w:rPr>
          <w:rFonts w:ascii="Times New Roman" w:hAnsi="Times New Roman" w:cs="Times New Roman"/>
        </w:rPr>
      </w:pPr>
      <w:r w:rsidRPr="00B17BD1">
        <w:rPr>
          <w:rFonts w:ascii="Times New Roman" w:hAnsi="Times New Roman" w:cs="Times New Roman"/>
        </w:rPr>
        <w:t>Subsection 10(1</w:t>
      </w:r>
      <w:r>
        <w:rPr>
          <w:rFonts w:ascii="Times New Roman" w:hAnsi="Times New Roman" w:cs="Times New Roman"/>
        </w:rPr>
        <w:t>1</w:t>
      </w:r>
      <w:r w:rsidRPr="00B17BD1">
        <w:rPr>
          <w:rFonts w:ascii="Times New Roman" w:hAnsi="Times New Roman" w:cs="Times New Roman"/>
        </w:rPr>
        <w:t xml:space="preserve">) provides that </w:t>
      </w:r>
      <w:r w:rsidRPr="004F52E2">
        <w:rPr>
          <w:rFonts w:ascii="Times New Roman" w:hAnsi="Times New Roman" w:cs="Times New Roman"/>
        </w:rPr>
        <w:t xml:space="preserve">decisions made under subsection 10(10) of the Spectrum Plan 2017 </w:t>
      </w:r>
      <w:r>
        <w:rPr>
          <w:rFonts w:ascii="Times New Roman" w:hAnsi="Times New Roman" w:cs="Times New Roman"/>
        </w:rPr>
        <w:t xml:space="preserve">are </w:t>
      </w:r>
      <w:r w:rsidRPr="004F52E2">
        <w:rPr>
          <w:rFonts w:ascii="Times New Roman" w:hAnsi="Times New Roman" w:cs="Times New Roman"/>
        </w:rPr>
        <w:t xml:space="preserve">taken to have been approved and published under subsection 10(10) of </w:t>
      </w:r>
      <w:r w:rsidR="00C50A48">
        <w:rPr>
          <w:rFonts w:ascii="Times New Roman" w:hAnsi="Times New Roman" w:cs="Times New Roman"/>
        </w:rPr>
        <w:t>the</w:t>
      </w:r>
      <w:r w:rsidR="00C50A48" w:rsidRPr="004F52E2">
        <w:rPr>
          <w:rFonts w:ascii="Times New Roman" w:hAnsi="Times New Roman" w:cs="Times New Roman"/>
        </w:rPr>
        <w:t xml:space="preserve"> </w:t>
      </w:r>
      <w:r w:rsidRPr="004F52E2">
        <w:rPr>
          <w:rFonts w:ascii="Times New Roman" w:hAnsi="Times New Roman" w:cs="Times New Roman"/>
        </w:rPr>
        <w:t>Spectrum Plan.</w:t>
      </w:r>
    </w:p>
    <w:p w14:paraId="24DC0E71" w14:textId="5D1DB11A"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11 </w:t>
      </w:r>
      <w:r w:rsidR="006C26C2" w:rsidRPr="006C26C2">
        <w:rPr>
          <w:rFonts w:ascii="Times New Roman" w:hAnsi="Times New Roman" w:cs="Times New Roman"/>
          <w:b/>
        </w:rPr>
        <w:tab/>
      </w:r>
      <w:r w:rsidRPr="006C26C2">
        <w:rPr>
          <w:rFonts w:ascii="Times New Roman" w:hAnsi="Times New Roman" w:cs="Times New Roman"/>
          <w:b/>
        </w:rPr>
        <w:t>Harmful interference — general</w:t>
      </w:r>
    </w:p>
    <w:p w14:paraId="2922D91F" w14:textId="15F06156"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Subsection 11(1) provides that if an allocation to a service </w:t>
      </w:r>
      <w:r w:rsidR="00216531">
        <w:rPr>
          <w:rFonts w:ascii="Times New Roman" w:hAnsi="Times New Roman" w:cs="Times New Roman"/>
        </w:rPr>
        <w:t xml:space="preserve">in </w:t>
      </w:r>
      <w:r w:rsidRPr="00B17BD1">
        <w:rPr>
          <w:rFonts w:ascii="Times New Roman" w:hAnsi="Times New Roman" w:cs="Times New Roman"/>
        </w:rPr>
        <w:t>the Table is subject to the requirement that the use does not cause harmful interference to another service, then the first-mentioned service may not claim protection from harmful interference caused by the second-mentioned service.</w:t>
      </w:r>
    </w:p>
    <w:p w14:paraId="38F04C75" w14:textId="41D2E361" w:rsidR="00B17BD1" w:rsidRPr="00B17BD1" w:rsidRDefault="00B17BD1" w:rsidP="00B17BD1">
      <w:pPr>
        <w:rPr>
          <w:rFonts w:ascii="Times New Roman" w:hAnsi="Times New Roman" w:cs="Times New Roman"/>
        </w:rPr>
      </w:pPr>
      <w:r w:rsidRPr="00B17BD1">
        <w:rPr>
          <w:rFonts w:ascii="Times New Roman" w:hAnsi="Times New Roman" w:cs="Times New Roman"/>
        </w:rPr>
        <w:t>Subsection 11(2) provides that if an allocation to a service in the Table is subject to the requirement that the use may not claim protection from interference caused by another service, then the first-mentioned service must not cause harmful interference to the second-mentioned service.</w:t>
      </w:r>
    </w:p>
    <w:p w14:paraId="75B2084E"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11(3) provides that a service operating otherwise than in accordance with the ITU Radio Regulations must not cause harmful interference to a station outside Australia operating in accordance with the Radio Regulations.</w:t>
      </w:r>
    </w:p>
    <w:p w14:paraId="49F59671"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11(4) provides that if a service is operating otherwise than in accordance with the ITU Radio Regulations it must not cause harmful interference to a foreign vessel or foreign aircraft that is travelling on a voyage and operating in accordance with the Radio Regulations.</w:t>
      </w:r>
    </w:p>
    <w:p w14:paraId="6D993B80" w14:textId="34F7E671"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12 </w:t>
      </w:r>
      <w:r w:rsidR="006C26C2">
        <w:rPr>
          <w:rFonts w:ascii="Times New Roman" w:hAnsi="Times New Roman" w:cs="Times New Roman"/>
          <w:b/>
        </w:rPr>
        <w:tab/>
      </w:r>
      <w:r w:rsidRPr="006C26C2">
        <w:rPr>
          <w:rFonts w:ascii="Times New Roman" w:hAnsi="Times New Roman" w:cs="Times New Roman"/>
          <w:b/>
        </w:rPr>
        <w:t>Harmful interference — secondary services</w:t>
      </w:r>
    </w:p>
    <w:p w14:paraId="2A8C7E29"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Section 12 provides that services that have a secondary status in the Table must not cause harmful interference to other services and cannot claim protection from harmful interference caused by a primary service using the band, but may however claim protection from harmful interference from certain other secondary services.</w:t>
      </w:r>
    </w:p>
    <w:p w14:paraId="6AD0AAA8" w14:textId="00FF0D8B" w:rsidR="00B17BD1" w:rsidRPr="006C26C2" w:rsidRDefault="00B17BD1" w:rsidP="00B17BD1">
      <w:pPr>
        <w:rPr>
          <w:rFonts w:ascii="Times New Roman" w:hAnsi="Times New Roman" w:cs="Times New Roman"/>
          <w:b/>
        </w:rPr>
      </w:pPr>
      <w:r w:rsidRPr="006C26C2">
        <w:rPr>
          <w:rFonts w:ascii="Times New Roman" w:hAnsi="Times New Roman" w:cs="Times New Roman"/>
          <w:b/>
        </w:rPr>
        <w:t xml:space="preserve">Section 13 </w:t>
      </w:r>
      <w:r w:rsidR="006C26C2">
        <w:rPr>
          <w:rFonts w:ascii="Times New Roman" w:hAnsi="Times New Roman" w:cs="Times New Roman"/>
          <w:b/>
        </w:rPr>
        <w:tab/>
      </w:r>
      <w:r w:rsidRPr="006C26C2">
        <w:rPr>
          <w:rFonts w:ascii="Times New Roman" w:hAnsi="Times New Roman" w:cs="Times New Roman"/>
          <w:b/>
        </w:rPr>
        <w:t>Interpretation of the Table</w:t>
      </w:r>
    </w:p>
    <w:p w14:paraId="622FDEF9"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Section 13 provides information to assist in interpreting the Table.</w:t>
      </w:r>
    </w:p>
    <w:p w14:paraId="6189DEAE"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13(1) explains how a frequency band is identified.</w:t>
      </w:r>
    </w:p>
    <w:p w14:paraId="0130AC74"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 13(2) explains that the numbers used to identify bands refer to kilohertz, megahertz or gigahertz, and that the range is taken to include the higher but not the lower number.</w:t>
      </w:r>
    </w:p>
    <w:p w14:paraId="43549F8E" w14:textId="77777777" w:rsidR="00B17BD1" w:rsidRPr="00B17BD1" w:rsidRDefault="00B17BD1" w:rsidP="00B17BD1">
      <w:pPr>
        <w:rPr>
          <w:rFonts w:ascii="Times New Roman" w:hAnsi="Times New Roman" w:cs="Times New Roman"/>
        </w:rPr>
      </w:pPr>
      <w:r w:rsidRPr="00B17BD1">
        <w:rPr>
          <w:rFonts w:ascii="Times New Roman" w:hAnsi="Times New Roman" w:cs="Times New Roman"/>
        </w:rPr>
        <w:t>Subsections 13(3), (4), (5) and (6) explain that numbers (with or without letters) constitute a reference to the footnotes. Services with a footnote reference are subject to service conditions or restrictions. Frequency bands with a footnote reference are subject to conditions or restrictions across that band.</w:t>
      </w:r>
    </w:p>
    <w:p w14:paraId="2079D405" w14:textId="1395A26A" w:rsidR="00B17BD1" w:rsidRPr="00B17BD1" w:rsidRDefault="00B17BD1" w:rsidP="00B17BD1">
      <w:pPr>
        <w:spacing w:before="280"/>
        <w:rPr>
          <w:rFonts w:ascii="Times New Roman" w:hAnsi="Times New Roman" w:cs="Times New Roman"/>
        </w:rPr>
      </w:pPr>
      <w:r>
        <w:rPr>
          <w:rFonts w:ascii="Times New Roman" w:hAnsi="Times New Roman" w:cs="Times New Roman"/>
          <w:b/>
        </w:rPr>
        <w:t>Part 2–</w:t>
      </w:r>
      <w:r w:rsidRPr="00B17BD1">
        <w:rPr>
          <w:rFonts w:ascii="Times New Roman" w:hAnsi="Times New Roman" w:cs="Times New Roman"/>
          <w:b/>
        </w:rPr>
        <w:t>Table of Frequency Band Allocations</w:t>
      </w:r>
    </w:p>
    <w:p w14:paraId="7CC7830D" w14:textId="219E11AE" w:rsidR="00B17BD1" w:rsidRPr="00B17BD1" w:rsidRDefault="00B17BD1" w:rsidP="00B17BD1">
      <w:pPr>
        <w:rPr>
          <w:rFonts w:ascii="Times New Roman" w:hAnsi="Times New Roman" w:cs="Times New Roman"/>
        </w:rPr>
      </w:pPr>
      <w:r w:rsidRPr="00B17BD1">
        <w:rPr>
          <w:rFonts w:ascii="Times New Roman" w:hAnsi="Times New Roman" w:cs="Times New Roman"/>
        </w:rPr>
        <w:t xml:space="preserve">This part comprises two columns. Column 1 reproduces the Table of Frequency Allocations in Article 5 of the ITU Radio Regulations. Column 2 is the Australian Table of Allocations setting out frequency bands as required by section 30 of the Act. Both columns divide the spectrum into bands, and provide for services which are allocated to those bands. Column 2 includes numbers which are called footnotes which comprise both Australian (denoted as AUS) footnotes and </w:t>
      </w:r>
      <w:r w:rsidR="00345B5A">
        <w:rPr>
          <w:rFonts w:ascii="Times New Roman" w:hAnsi="Times New Roman" w:cs="Times New Roman"/>
        </w:rPr>
        <w:t>I</w:t>
      </w:r>
      <w:r w:rsidRPr="00B17BD1">
        <w:rPr>
          <w:rFonts w:ascii="Times New Roman" w:hAnsi="Times New Roman" w:cs="Times New Roman"/>
        </w:rPr>
        <w:t xml:space="preserve">nternational footnotes.  </w:t>
      </w:r>
    </w:p>
    <w:p w14:paraId="7A5FFCD9" w14:textId="63780BB8" w:rsidR="00B17BD1" w:rsidRDefault="00B17BD1" w:rsidP="00040980">
      <w:pPr>
        <w:keepNext/>
        <w:keepLines/>
        <w:spacing w:before="280" w:line="257" w:lineRule="auto"/>
        <w:rPr>
          <w:rFonts w:ascii="Times New Roman" w:hAnsi="Times New Roman" w:cs="Times New Roman"/>
          <w:b/>
        </w:rPr>
      </w:pPr>
      <w:r>
        <w:rPr>
          <w:rFonts w:ascii="Times New Roman" w:hAnsi="Times New Roman" w:cs="Times New Roman"/>
          <w:b/>
        </w:rPr>
        <w:lastRenderedPageBreak/>
        <w:t>Part 3–Australian Footnotes</w:t>
      </w:r>
    </w:p>
    <w:p w14:paraId="2AA786AC" w14:textId="28607B01" w:rsidR="00B17BD1" w:rsidRPr="00B17BD1" w:rsidRDefault="00B17BD1" w:rsidP="00040980">
      <w:pPr>
        <w:keepNext/>
        <w:keepLines/>
        <w:spacing w:line="257" w:lineRule="auto"/>
        <w:rPr>
          <w:rFonts w:ascii="Times New Roman" w:hAnsi="Times New Roman" w:cs="Times New Roman"/>
        </w:rPr>
      </w:pPr>
      <w:r w:rsidRPr="00B17BD1">
        <w:rPr>
          <w:rFonts w:ascii="Times New Roman" w:hAnsi="Times New Roman" w:cs="Times New Roman"/>
        </w:rPr>
        <w:t>This part sets out text for the Australian footnotes specified in column 2 of the Table of Frequency Band Allocations. All of the Australian footnotes begin with the prefix AUS, which distinguishes them from the International footnotes, which do not have this prefix. Whilst the Australian allocations are broadly aligned with the ITU requirements, a number of variations exist.</w:t>
      </w:r>
    </w:p>
    <w:p w14:paraId="77E637C4" w14:textId="722CFCC6" w:rsidR="00B17BD1" w:rsidRPr="00B17BD1" w:rsidRDefault="00B17BD1" w:rsidP="00B17BD1">
      <w:pPr>
        <w:spacing w:before="280"/>
        <w:rPr>
          <w:rFonts w:ascii="Times New Roman" w:hAnsi="Times New Roman" w:cs="Times New Roman"/>
          <w:b/>
        </w:rPr>
      </w:pPr>
      <w:r>
        <w:rPr>
          <w:rFonts w:ascii="Times New Roman" w:hAnsi="Times New Roman" w:cs="Times New Roman"/>
          <w:b/>
        </w:rPr>
        <w:t>Part 4–International Footnotes</w:t>
      </w:r>
    </w:p>
    <w:p w14:paraId="55F65EC0" w14:textId="02B1DB4E" w:rsidR="00B17BD1" w:rsidRDefault="00B17BD1" w:rsidP="00B17BD1">
      <w:pPr>
        <w:rPr>
          <w:rFonts w:ascii="Times New Roman" w:hAnsi="Times New Roman" w:cs="Times New Roman"/>
        </w:rPr>
      </w:pPr>
      <w:r w:rsidRPr="00B17BD1">
        <w:rPr>
          <w:rFonts w:ascii="Times New Roman" w:hAnsi="Times New Roman" w:cs="Times New Roman"/>
        </w:rPr>
        <w:t>This part sets out the International footnotes.  These are the footnotes mentioned in Article 5 of the ITU Radio Regulations.  These footnotes appear in both columns 1 and 2 of the Table of Frequency Band Allocations and, where included in the column 2 frequency bands, apply to Australian allocations.</w:t>
      </w:r>
    </w:p>
    <w:p w14:paraId="1A3F203A" w14:textId="77777777" w:rsidR="00A44063" w:rsidRDefault="00A44063" w:rsidP="00A44063">
      <w:pPr>
        <w:rPr>
          <w:rFonts w:ascii="Times New Roman" w:hAnsi="Times New Roman" w:cs="Times New Roman"/>
        </w:rPr>
      </w:pPr>
    </w:p>
    <w:p w14:paraId="02C40107" w14:textId="77777777" w:rsidR="00A44063" w:rsidRDefault="00A44063" w:rsidP="00A44063">
      <w:pPr>
        <w:rPr>
          <w:rFonts w:ascii="Times New Roman" w:hAnsi="Times New Roman" w:cs="Times New Roman"/>
        </w:rPr>
      </w:pPr>
    </w:p>
    <w:p w14:paraId="3468269C" w14:textId="77777777" w:rsidR="00A44063" w:rsidRDefault="00A44063" w:rsidP="00A44063">
      <w:pPr>
        <w:rPr>
          <w:rFonts w:ascii="Times New Roman" w:hAnsi="Times New Roman" w:cs="Times New Roman"/>
        </w:rPr>
      </w:pPr>
    </w:p>
    <w:p w14:paraId="1A9E09F1" w14:textId="77777777" w:rsidR="00A44063" w:rsidRDefault="00A44063" w:rsidP="00A44063">
      <w:pPr>
        <w:rPr>
          <w:rFonts w:ascii="Times New Roman" w:hAnsi="Times New Roman" w:cs="Times New Roman"/>
          <w:b/>
        </w:rPr>
      </w:pPr>
      <w:r>
        <w:rPr>
          <w:rFonts w:ascii="Times New Roman" w:hAnsi="Times New Roman" w:cs="Times New Roman"/>
          <w:b/>
        </w:rPr>
        <w:br w:type="page"/>
      </w:r>
    </w:p>
    <w:p w14:paraId="3BF00FCF" w14:textId="716AAC32" w:rsidR="00A44063" w:rsidRDefault="00A44063" w:rsidP="00A44063">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039B46F4" w14:textId="1933F5A3" w:rsidR="00A44063" w:rsidRDefault="00A44063" w:rsidP="00A44063">
      <w:pPr>
        <w:jc w:val="center"/>
        <w:rPr>
          <w:rFonts w:ascii="Times New Roman" w:hAnsi="Times New Roman" w:cs="Times New Roman"/>
          <w:b/>
          <w:sz w:val="28"/>
          <w:szCs w:val="28"/>
        </w:rPr>
      </w:pPr>
      <w:r w:rsidRPr="00A44063">
        <w:rPr>
          <w:rFonts w:ascii="Times New Roman" w:hAnsi="Times New Roman" w:cs="Times New Roman"/>
          <w:b/>
          <w:sz w:val="28"/>
          <w:szCs w:val="28"/>
        </w:rPr>
        <w:t>Table of changes affecting Australia arising from WRC-1</w:t>
      </w:r>
      <w:r>
        <w:rPr>
          <w:rFonts w:ascii="Times New Roman" w:hAnsi="Times New Roman" w:cs="Times New Roman"/>
          <w:b/>
          <w:sz w:val="28"/>
          <w:szCs w:val="28"/>
        </w:rPr>
        <w:t>9</w:t>
      </w:r>
    </w:p>
    <w:p w14:paraId="7BCDDCA0" w14:textId="4F8DDE3E" w:rsidR="00A44063" w:rsidRDefault="00A44063" w:rsidP="00A44063">
      <w:pPr>
        <w:rPr>
          <w:rFonts w:ascii="Times New Roman" w:hAnsi="Times New Roman" w:cs="Times New Roman"/>
        </w:rPr>
      </w:pPr>
      <w:r w:rsidRPr="00A44063">
        <w:rPr>
          <w:rFonts w:ascii="Times New Roman" w:hAnsi="Times New Roman" w:cs="Times New Roman"/>
        </w:rPr>
        <w:t>The following table lists the changes that have been made to the Australian column of the Table of Frequency Band Allocations due to the outcomes of the 201</w:t>
      </w:r>
      <w:r w:rsidR="001C0E09">
        <w:rPr>
          <w:rFonts w:ascii="Times New Roman" w:hAnsi="Times New Roman" w:cs="Times New Roman"/>
        </w:rPr>
        <w:t>9</w:t>
      </w:r>
      <w:r w:rsidRPr="00A44063">
        <w:rPr>
          <w:rFonts w:ascii="Times New Roman" w:hAnsi="Times New Roman" w:cs="Times New Roman"/>
        </w:rPr>
        <w:t xml:space="preserve"> World Radiocommunication Conference, as described in the WRC-1</w:t>
      </w:r>
      <w:r w:rsidR="001C0E09">
        <w:rPr>
          <w:rFonts w:ascii="Times New Roman" w:hAnsi="Times New Roman" w:cs="Times New Roman"/>
        </w:rPr>
        <w:t>9</w:t>
      </w:r>
      <w:r w:rsidRPr="00A44063">
        <w:rPr>
          <w:rFonts w:ascii="Times New Roman" w:hAnsi="Times New Roman" w:cs="Times New Roman"/>
        </w:rPr>
        <w:t xml:space="preserve"> Final Acts.</w:t>
      </w:r>
    </w:p>
    <w:tbl>
      <w:tblPr>
        <w:tblStyle w:val="TableGrid"/>
        <w:tblW w:w="0" w:type="auto"/>
        <w:tblLook w:val="04A0" w:firstRow="1" w:lastRow="0" w:firstColumn="1" w:lastColumn="0" w:noHBand="0" w:noVBand="1"/>
      </w:tblPr>
      <w:tblGrid>
        <w:gridCol w:w="439"/>
        <w:gridCol w:w="2675"/>
        <w:gridCol w:w="5902"/>
      </w:tblGrid>
      <w:tr w:rsidR="00A44063" w:rsidRPr="00A44063" w14:paraId="7AA32FF3" w14:textId="77777777" w:rsidTr="00B740E4">
        <w:trPr>
          <w:cantSplit/>
          <w:tblHeader/>
        </w:trPr>
        <w:tc>
          <w:tcPr>
            <w:tcW w:w="439" w:type="dxa"/>
            <w:shd w:val="clear" w:color="auto" w:fill="3B3838" w:themeFill="background2" w:themeFillShade="40"/>
          </w:tcPr>
          <w:p w14:paraId="408BB0C4" w14:textId="75573D95" w:rsidR="00A44063" w:rsidRPr="00A44063" w:rsidRDefault="00A44063" w:rsidP="00A44063">
            <w:pPr>
              <w:rPr>
                <w:rFonts w:ascii="Times New Roman" w:hAnsi="Times New Roman" w:cs="Times New Roman"/>
                <w:b/>
                <w:bCs/>
                <w:color w:val="FFFFFF" w:themeColor="background1"/>
              </w:rPr>
            </w:pPr>
            <w:r w:rsidRPr="00A44063">
              <w:rPr>
                <w:rFonts w:ascii="Times New Roman" w:hAnsi="Times New Roman" w:cs="Times New Roman"/>
                <w:b/>
                <w:bCs/>
                <w:color w:val="FFFFFF" w:themeColor="background1"/>
              </w:rPr>
              <w:t>#</w:t>
            </w:r>
          </w:p>
        </w:tc>
        <w:tc>
          <w:tcPr>
            <w:tcW w:w="2675" w:type="dxa"/>
            <w:shd w:val="clear" w:color="auto" w:fill="3B3838" w:themeFill="background2" w:themeFillShade="40"/>
          </w:tcPr>
          <w:p w14:paraId="4A093255" w14:textId="6C50BD8F" w:rsidR="00A44063" w:rsidRPr="00A44063" w:rsidRDefault="00A44063" w:rsidP="00A44063">
            <w:pPr>
              <w:rPr>
                <w:rFonts w:ascii="Times New Roman" w:hAnsi="Times New Roman" w:cs="Times New Roman"/>
                <w:b/>
                <w:bCs/>
                <w:color w:val="FFFFFF" w:themeColor="background1"/>
              </w:rPr>
            </w:pPr>
            <w:r w:rsidRPr="00A44063">
              <w:rPr>
                <w:rFonts w:ascii="Times New Roman" w:hAnsi="Times New Roman" w:cs="Times New Roman"/>
                <w:b/>
                <w:bCs/>
                <w:color w:val="FFFFFF" w:themeColor="background1"/>
              </w:rPr>
              <w:t>Frequency Range</w:t>
            </w:r>
          </w:p>
        </w:tc>
        <w:tc>
          <w:tcPr>
            <w:tcW w:w="5902" w:type="dxa"/>
            <w:shd w:val="clear" w:color="auto" w:fill="3B3838" w:themeFill="background2" w:themeFillShade="40"/>
          </w:tcPr>
          <w:p w14:paraId="5DDCCCA1" w14:textId="7C18F4A6" w:rsidR="00A44063" w:rsidRPr="00A44063" w:rsidRDefault="00A44063" w:rsidP="00A44063">
            <w:pPr>
              <w:rPr>
                <w:rFonts w:ascii="Times New Roman" w:hAnsi="Times New Roman" w:cs="Times New Roman"/>
                <w:b/>
                <w:bCs/>
                <w:color w:val="FFFFFF" w:themeColor="background1"/>
              </w:rPr>
            </w:pPr>
            <w:r w:rsidRPr="00A44063">
              <w:rPr>
                <w:rFonts w:ascii="Times New Roman" w:hAnsi="Times New Roman" w:cs="Times New Roman"/>
                <w:b/>
                <w:bCs/>
                <w:color w:val="FFFFFF" w:themeColor="background1"/>
              </w:rPr>
              <w:t>Changes</w:t>
            </w:r>
          </w:p>
        </w:tc>
      </w:tr>
      <w:tr w:rsidR="00A44063" w:rsidRPr="00A44063" w14:paraId="0CD50D7A" w14:textId="77777777" w:rsidTr="00B740E4">
        <w:trPr>
          <w:cantSplit/>
        </w:trPr>
        <w:tc>
          <w:tcPr>
            <w:tcW w:w="439" w:type="dxa"/>
          </w:tcPr>
          <w:p w14:paraId="617379F5" w14:textId="07C9D393" w:rsidR="00A44063" w:rsidRPr="00A44063" w:rsidRDefault="00A44063" w:rsidP="00A44063">
            <w:pPr>
              <w:rPr>
                <w:rFonts w:ascii="Times New Roman" w:hAnsi="Times New Roman" w:cs="Times New Roman"/>
              </w:rPr>
            </w:pPr>
            <w:r w:rsidRPr="00A44063">
              <w:rPr>
                <w:rFonts w:ascii="Times New Roman" w:hAnsi="Times New Roman" w:cs="Times New Roman"/>
              </w:rPr>
              <w:t>1</w:t>
            </w:r>
          </w:p>
        </w:tc>
        <w:tc>
          <w:tcPr>
            <w:tcW w:w="2675" w:type="dxa"/>
          </w:tcPr>
          <w:p w14:paraId="261A8F70" w14:textId="07C713E5" w:rsidR="00A44063" w:rsidRPr="00A44063" w:rsidRDefault="001C0E09" w:rsidP="00A44063">
            <w:pPr>
              <w:rPr>
                <w:rFonts w:ascii="Times New Roman" w:hAnsi="Times New Roman" w:cs="Times New Roman"/>
              </w:rPr>
            </w:pPr>
            <w:r w:rsidRPr="001C0E09">
              <w:rPr>
                <w:rFonts w:ascii="Times New Roman" w:hAnsi="Times New Roman" w:cs="Times New Roman"/>
              </w:rPr>
              <w:t>495 – 505</w:t>
            </w:r>
            <w:r>
              <w:rPr>
                <w:rFonts w:ascii="Times New Roman" w:hAnsi="Times New Roman" w:cs="Times New Roman"/>
              </w:rPr>
              <w:t xml:space="preserve"> kHz</w:t>
            </w:r>
          </w:p>
        </w:tc>
        <w:tc>
          <w:tcPr>
            <w:tcW w:w="5902" w:type="dxa"/>
          </w:tcPr>
          <w:p w14:paraId="63FD7096" w14:textId="00C823E1" w:rsidR="00A44063" w:rsidRPr="001C0E09" w:rsidRDefault="001C0E09" w:rsidP="00A44063">
            <w:pPr>
              <w:rPr>
                <w:rFonts w:ascii="Times New Roman" w:hAnsi="Times New Roman" w:cs="Times New Roman"/>
              </w:rPr>
            </w:pPr>
            <w:r w:rsidRPr="001C0E09">
              <w:rPr>
                <w:rFonts w:ascii="Times New Roman" w:hAnsi="Times New Roman" w:cs="Times New Roman"/>
              </w:rPr>
              <w:t xml:space="preserve">Added footnote </w:t>
            </w:r>
            <w:r w:rsidRPr="001C0E09">
              <w:rPr>
                <w:rFonts w:ascii="Times New Roman" w:hAnsi="Times New Roman" w:cs="Times New Roman"/>
                <w:b/>
                <w:bCs/>
              </w:rPr>
              <w:t>82C</w:t>
            </w:r>
            <w:r>
              <w:rPr>
                <w:rFonts w:ascii="Times New Roman" w:hAnsi="Times New Roman" w:cs="Times New Roman"/>
              </w:rPr>
              <w:t xml:space="preserve"> to primary service </w:t>
            </w:r>
            <w:r w:rsidRPr="001C0E09">
              <w:rPr>
                <w:rFonts w:ascii="Times New Roman" w:hAnsi="Times New Roman" w:cs="Times New Roman"/>
                <w:b/>
                <w:bCs/>
              </w:rPr>
              <w:t>Maritime Mobile</w:t>
            </w:r>
            <w:r>
              <w:rPr>
                <w:rFonts w:ascii="Times New Roman" w:hAnsi="Times New Roman" w:cs="Times New Roman"/>
              </w:rPr>
              <w:t>.</w:t>
            </w:r>
          </w:p>
        </w:tc>
      </w:tr>
      <w:tr w:rsidR="004038EE" w:rsidRPr="00A44063" w14:paraId="24C1AE1D" w14:textId="77777777" w:rsidTr="00B740E4">
        <w:trPr>
          <w:cantSplit/>
        </w:trPr>
        <w:tc>
          <w:tcPr>
            <w:tcW w:w="439" w:type="dxa"/>
          </w:tcPr>
          <w:p w14:paraId="6472B2C5" w14:textId="45F2D617" w:rsidR="004038EE" w:rsidRPr="00A44063" w:rsidRDefault="004038EE" w:rsidP="004038EE">
            <w:pPr>
              <w:rPr>
                <w:rFonts w:ascii="Times New Roman" w:hAnsi="Times New Roman" w:cs="Times New Roman"/>
              </w:rPr>
            </w:pPr>
            <w:r>
              <w:rPr>
                <w:rFonts w:ascii="Times New Roman" w:hAnsi="Times New Roman" w:cs="Times New Roman"/>
              </w:rPr>
              <w:t>2</w:t>
            </w:r>
          </w:p>
        </w:tc>
        <w:tc>
          <w:tcPr>
            <w:tcW w:w="2675" w:type="dxa"/>
          </w:tcPr>
          <w:p w14:paraId="1F412B46" w14:textId="76D776A7"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137 – </w:t>
            </w:r>
            <w:r w:rsidRPr="003948EC">
              <w:rPr>
                <w:rFonts w:ascii="Times New Roman" w:hAnsi="Times New Roman" w:cs="Times New Roman"/>
              </w:rPr>
              <w:t>13</w:t>
            </w:r>
            <w:r>
              <w:rPr>
                <w:rFonts w:ascii="Times New Roman" w:hAnsi="Times New Roman" w:cs="Times New Roman"/>
              </w:rPr>
              <w:t>8 MHz</w:t>
            </w:r>
          </w:p>
        </w:tc>
        <w:tc>
          <w:tcPr>
            <w:tcW w:w="5902" w:type="dxa"/>
          </w:tcPr>
          <w:p w14:paraId="42EFDFA0" w14:textId="77777777" w:rsidR="004038EE"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203</w:t>
            </w:r>
            <w:r w:rsidRPr="001C0E09">
              <w:rPr>
                <w:rFonts w:ascii="Times New Roman" w:hAnsi="Times New Roman" w:cs="Times New Roman"/>
                <w:b/>
                <w:bCs/>
              </w:rPr>
              <w:t>C</w:t>
            </w:r>
            <w:r>
              <w:rPr>
                <w:rFonts w:ascii="Times New Roman" w:hAnsi="Times New Roman" w:cs="Times New Roman"/>
              </w:rPr>
              <w:t xml:space="preserve"> to primary service </w:t>
            </w:r>
            <w:r>
              <w:rPr>
                <w:rFonts w:ascii="Times New Roman" w:hAnsi="Times New Roman" w:cs="Times New Roman"/>
                <w:b/>
                <w:bCs/>
              </w:rPr>
              <w:t>Space Operation (space-to-Earth)</w:t>
            </w:r>
            <w:r>
              <w:rPr>
                <w:rFonts w:ascii="Times New Roman" w:hAnsi="Times New Roman" w:cs="Times New Roman"/>
              </w:rPr>
              <w:t>.</w:t>
            </w:r>
          </w:p>
          <w:p w14:paraId="0762D9D1" w14:textId="77777777" w:rsidR="004038EE" w:rsidRDefault="004038EE" w:rsidP="004038EE">
            <w:pPr>
              <w:rPr>
                <w:rFonts w:ascii="Times New Roman" w:hAnsi="Times New Roman" w:cs="Times New Roman"/>
              </w:rPr>
            </w:pPr>
          </w:p>
          <w:p w14:paraId="2225F200" w14:textId="764ACE7C" w:rsidR="004038EE" w:rsidRPr="00A44063" w:rsidRDefault="004038EE" w:rsidP="004038EE">
            <w:pPr>
              <w:rPr>
                <w:rFonts w:ascii="Times New Roman" w:hAnsi="Times New Roman" w:cs="Times New Roman"/>
              </w:rPr>
            </w:pPr>
            <w:r>
              <w:rPr>
                <w:rFonts w:ascii="Times New Roman" w:hAnsi="Times New Roman" w:cs="Times New Roman"/>
              </w:rPr>
              <w:t xml:space="preserve">Removed footnote </w:t>
            </w:r>
            <w:r w:rsidRPr="001C0E09">
              <w:rPr>
                <w:rFonts w:ascii="Times New Roman" w:hAnsi="Times New Roman" w:cs="Times New Roman"/>
                <w:b/>
                <w:bCs/>
              </w:rPr>
              <w:t>208</w:t>
            </w:r>
            <w:r>
              <w:rPr>
                <w:rFonts w:ascii="Times New Roman" w:hAnsi="Times New Roman" w:cs="Times New Roman"/>
              </w:rPr>
              <w:t xml:space="preserve"> from primary service </w:t>
            </w:r>
            <w:r w:rsidRPr="001C0E09">
              <w:rPr>
                <w:rFonts w:ascii="Times New Roman" w:hAnsi="Times New Roman" w:cs="Times New Roman"/>
                <w:b/>
                <w:bCs/>
              </w:rPr>
              <w:t>Mobile-Satellite (space-to-Earth)</w:t>
            </w:r>
            <w:r>
              <w:rPr>
                <w:rFonts w:ascii="Times New Roman" w:hAnsi="Times New Roman" w:cs="Times New Roman"/>
                <w:b/>
                <w:bCs/>
              </w:rPr>
              <w:t xml:space="preserve"> </w:t>
            </w:r>
            <w:r w:rsidRPr="003948EC">
              <w:rPr>
                <w:rFonts w:ascii="Times New Roman" w:hAnsi="Times New Roman" w:cs="Times New Roman"/>
              </w:rPr>
              <w:t xml:space="preserve">and added </w:t>
            </w:r>
            <w:r>
              <w:rPr>
                <w:rFonts w:ascii="Times New Roman" w:hAnsi="Times New Roman" w:cs="Times New Roman"/>
              </w:rPr>
              <w:t xml:space="preserve">footnote </w:t>
            </w:r>
            <w:r w:rsidRPr="001C0E09">
              <w:rPr>
                <w:rFonts w:ascii="Times New Roman" w:hAnsi="Times New Roman" w:cs="Times New Roman"/>
                <w:b/>
                <w:bCs/>
              </w:rPr>
              <w:t>208</w:t>
            </w:r>
            <w:r>
              <w:rPr>
                <w:rFonts w:ascii="Times New Roman" w:hAnsi="Times New Roman" w:cs="Times New Roman"/>
              </w:rPr>
              <w:t xml:space="preserve"> </w:t>
            </w:r>
            <w:r w:rsidRPr="003948EC">
              <w:rPr>
                <w:rFonts w:ascii="Times New Roman" w:hAnsi="Times New Roman" w:cs="Times New Roman"/>
              </w:rPr>
              <w:t xml:space="preserve">to the entire </w:t>
            </w:r>
            <w:r>
              <w:rPr>
                <w:rFonts w:ascii="Times New Roman" w:hAnsi="Times New Roman" w:cs="Times New Roman"/>
              </w:rPr>
              <w:t xml:space="preserve">frequency </w:t>
            </w:r>
            <w:r w:rsidRPr="003948EC">
              <w:rPr>
                <w:rFonts w:ascii="Times New Roman" w:hAnsi="Times New Roman" w:cs="Times New Roman"/>
              </w:rPr>
              <w:t>range</w:t>
            </w:r>
            <w:r>
              <w:rPr>
                <w:rFonts w:ascii="Times New Roman" w:hAnsi="Times New Roman" w:cs="Times New Roman"/>
              </w:rPr>
              <w:t>.</w:t>
            </w:r>
          </w:p>
        </w:tc>
      </w:tr>
      <w:tr w:rsidR="004038EE" w:rsidRPr="00A44063" w14:paraId="247CB938" w14:textId="77777777" w:rsidTr="00B740E4">
        <w:trPr>
          <w:cantSplit/>
        </w:trPr>
        <w:tc>
          <w:tcPr>
            <w:tcW w:w="439" w:type="dxa"/>
          </w:tcPr>
          <w:p w14:paraId="35414648" w14:textId="100C0CD2" w:rsidR="004038EE" w:rsidRPr="00A44063" w:rsidRDefault="004038EE" w:rsidP="004038EE">
            <w:pPr>
              <w:rPr>
                <w:rFonts w:ascii="Times New Roman" w:hAnsi="Times New Roman" w:cs="Times New Roman"/>
              </w:rPr>
            </w:pPr>
            <w:r>
              <w:rPr>
                <w:rFonts w:ascii="Times New Roman" w:hAnsi="Times New Roman" w:cs="Times New Roman"/>
              </w:rPr>
              <w:t>3</w:t>
            </w:r>
          </w:p>
        </w:tc>
        <w:tc>
          <w:tcPr>
            <w:tcW w:w="2675" w:type="dxa"/>
          </w:tcPr>
          <w:p w14:paraId="24321764" w14:textId="71F54E34" w:rsidR="004038EE" w:rsidRPr="00A44063" w:rsidRDefault="004038EE" w:rsidP="004038EE">
            <w:pPr>
              <w:rPr>
                <w:rFonts w:ascii="Times New Roman" w:hAnsi="Times New Roman" w:cs="Times New Roman"/>
              </w:rPr>
            </w:pPr>
            <w:r w:rsidRPr="003948EC">
              <w:rPr>
                <w:rFonts w:ascii="Times New Roman" w:hAnsi="Times New Roman" w:cs="Times New Roman"/>
              </w:rPr>
              <w:t>137.175 – 137.825</w:t>
            </w:r>
            <w:r>
              <w:rPr>
                <w:rFonts w:ascii="Times New Roman" w:hAnsi="Times New Roman" w:cs="Times New Roman"/>
              </w:rPr>
              <w:t xml:space="preserve"> MHz</w:t>
            </w:r>
          </w:p>
        </w:tc>
        <w:tc>
          <w:tcPr>
            <w:tcW w:w="5902" w:type="dxa"/>
          </w:tcPr>
          <w:p w14:paraId="30B82C00" w14:textId="6AC6073E"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209A</w:t>
            </w:r>
            <w:r>
              <w:rPr>
                <w:rFonts w:ascii="Times New Roman" w:hAnsi="Times New Roman" w:cs="Times New Roman"/>
              </w:rPr>
              <w:t xml:space="preserve"> to primary service </w:t>
            </w:r>
            <w:r>
              <w:rPr>
                <w:rFonts w:ascii="Times New Roman" w:hAnsi="Times New Roman" w:cs="Times New Roman"/>
                <w:b/>
                <w:bCs/>
              </w:rPr>
              <w:t>Space Operation (space-to-Earth)</w:t>
            </w:r>
            <w:r>
              <w:rPr>
                <w:rFonts w:ascii="Times New Roman" w:hAnsi="Times New Roman" w:cs="Times New Roman"/>
              </w:rPr>
              <w:t>.</w:t>
            </w:r>
          </w:p>
        </w:tc>
      </w:tr>
      <w:tr w:rsidR="004038EE" w:rsidRPr="00A44063" w14:paraId="0EA70546" w14:textId="77777777" w:rsidTr="00B740E4">
        <w:trPr>
          <w:cantSplit/>
        </w:trPr>
        <w:tc>
          <w:tcPr>
            <w:tcW w:w="439" w:type="dxa"/>
          </w:tcPr>
          <w:p w14:paraId="5FDA5C2E" w14:textId="5CB8A852" w:rsidR="004038EE" w:rsidRPr="00A44063" w:rsidRDefault="004038EE" w:rsidP="004038EE">
            <w:pPr>
              <w:rPr>
                <w:rFonts w:ascii="Times New Roman" w:hAnsi="Times New Roman" w:cs="Times New Roman"/>
              </w:rPr>
            </w:pPr>
            <w:r w:rsidRPr="00A44063">
              <w:rPr>
                <w:rFonts w:ascii="Times New Roman" w:hAnsi="Times New Roman" w:cs="Times New Roman"/>
              </w:rPr>
              <w:t>4</w:t>
            </w:r>
          </w:p>
        </w:tc>
        <w:tc>
          <w:tcPr>
            <w:tcW w:w="2675" w:type="dxa"/>
          </w:tcPr>
          <w:p w14:paraId="570F2B73" w14:textId="7DDC4C40" w:rsidR="004038EE" w:rsidRPr="00A44063" w:rsidRDefault="004038EE" w:rsidP="004038EE">
            <w:pPr>
              <w:rPr>
                <w:rFonts w:ascii="Times New Roman" w:hAnsi="Times New Roman" w:cs="Times New Roman"/>
              </w:rPr>
            </w:pPr>
            <w:r w:rsidRPr="003948EC">
              <w:rPr>
                <w:rFonts w:ascii="Times New Roman" w:hAnsi="Times New Roman" w:cs="Times New Roman"/>
              </w:rPr>
              <w:t>148 – 149.9</w:t>
            </w:r>
            <w:r>
              <w:rPr>
                <w:rFonts w:ascii="Times New Roman" w:hAnsi="Times New Roman" w:cs="Times New Roman"/>
              </w:rPr>
              <w:t xml:space="preserve"> MHz</w:t>
            </w:r>
          </w:p>
        </w:tc>
        <w:tc>
          <w:tcPr>
            <w:tcW w:w="5902" w:type="dxa"/>
          </w:tcPr>
          <w:p w14:paraId="7C02B357" w14:textId="07663EC5"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218A</w:t>
            </w:r>
            <w:r w:rsidRPr="003948EC">
              <w:rPr>
                <w:rFonts w:ascii="Times New Roman" w:hAnsi="Times New Roman" w:cs="Times New Roman"/>
              </w:rPr>
              <w:t>.</w:t>
            </w:r>
          </w:p>
        </w:tc>
      </w:tr>
      <w:tr w:rsidR="004038EE" w:rsidRPr="00A44063" w14:paraId="3E671226" w14:textId="77777777" w:rsidTr="00B740E4">
        <w:trPr>
          <w:cantSplit/>
        </w:trPr>
        <w:tc>
          <w:tcPr>
            <w:tcW w:w="439" w:type="dxa"/>
          </w:tcPr>
          <w:p w14:paraId="3881FADD" w14:textId="331E31D9" w:rsidR="004038EE" w:rsidRPr="00A44063" w:rsidRDefault="004038EE" w:rsidP="004038EE">
            <w:pPr>
              <w:rPr>
                <w:rFonts w:ascii="Times New Roman" w:hAnsi="Times New Roman" w:cs="Times New Roman"/>
              </w:rPr>
            </w:pPr>
            <w:r w:rsidRPr="00A44063">
              <w:rPr>
                <w:rFonts w:ascii="Times New Roman" w:hAnsi="Times New Roman" w:cs="Times New Roman"/>
              </w:rPr>
              <w:t>5</w:t>
            </w:r>
          </w:p>
        </w:tc>
        <w:tc>
          <w:tcPr>
            <w:tcW w:w="2675" w:type="dxa"/>
          </w:tcPr>
          <w:p w14:paraId="4C29CC2F" w14:textId="77777777" w:rsidR="004038EE" w:rsidRDefault="004038EE" w:rsidP="004038EE">
            <w:pPr>
              <w:rPr>
                <w:rFonts w:ascii="Times New Roman" w:hAnsi="Times New Roman" w:cs="Times New Roman"/>
              </w:rPr>
            </w:pPr>
            <w:r w:rsidRPr="003948EC">
              <w:rPr>
                <w:rFonts w:ascii="Times New Roman" w:hAnsi="Times New Roman" w:cs="Times New Roman"/>
              </w:rPr>
              <w:t>157.1875 – 157.3375</w:t>
            </w:r>
            <w:r>
              <w:rPr>
                <w:rFonts w:ascii="Times New Roman" w:hAnsi="Times New Roman" w:cs="Times New Roman"/>
              </w:rPr>
              <w:t xml:space="preserve"> MHz</w:t>
            </w:r>
          </w:p>
          <w:p w14:paraId="6D81BF1B" w14:textId="7A8AFF69" w:rsidR="004038EE" w:rsidRPr="00A44063" w:rsidRDefault="004038EE" w:rsidP="004038EE">
            <w:pPr>
              <w:rPr>
                <w:rFonts w:ascii="Times New Roman" w:hAnsi="Times New Roman" w:cs="Times New Roman"/>
              </w:rPr>
            </w:pPr>
            <w:r w:rsidRPr="003948EC">
              <w:rPr>
                <w:rFonts w:ascii="Times New Roman" w:hAnsi="Times New Roman" w:cs="Times New Roman"/>
              </w:rPr>
              <w:t>161.7875 – 161.9375</w:t>
            </w:r>
            <w:r>
              <w:rPr>
                <w:rFonts w:ascii="Times New Roman" w:hAnsi="Times New Roman" w:cs="Times New Roman"/>
              </w:rPr>
              <w:t xml:space="preserve"> MHz</w:t>
            </w:r>
          </w:p>
        </w:tc>
        <w:tc>
          <w:tcPr>
            <w:tcW w:w="5902" w:type="dxa"/>
          </w:tcPr>
          <w:p w14:paraId="258D724F" w14:textId="41756544" w:rsidR="004038EE" w:rsidRPr="00A44063" w:rsidRDefault="004038EE" w:rsidP="004038EE">
            <w:pPr>
              <w:rPr>
                <w:rFonts w:ascii="Times New Roman" w:hAnsi="Times New Roman" w:cs="Times New Roman"/>
              </w:rPr>
            </w:pPr>
            <w:r>
              <w:rPr>
                <w:rFonts w:ascii="Times New Roman" w:hAnsi="Times New Roman" w:cs="Times New Roman"/>
              </w:rPr>
              <w:t xml:space="preserve">Added secondary service </w:t>
            </w:r>
            <w:r w:rsidRPr="003948EC">
              <w:rPr>
                <w:rFonts w:ascii="Times New Roman" w:hAnsi="Times New Roman" w:cs="Times New Roman"/>
                <w:b/>
                <w:bCs/>
              </w:rPr>
              <w:t>Maritime mobile–satellite</w:t>
            </w:r>
            <w:r w:rsidRPr="003948EC">
              <w:rPr>
                <w:rFonts w:ascii="Times New Roman" w:hAnsi="Times New Roman" w:cs="Times New Roman"/>
              </w:rPr>
              <w:t xml:space="preserve"> </w:t>
            </w:r>
            <w:r>
              <w:rPr>
                <w:rFonts w:ascii="Times New Roman" w:hAnsi="Times New Roman" w:cs="Times New Roman"/>
              </w:rPr>
              <w:t xml:space="preserve">and corresponding footnotes </w:t>
            </w:r>
            <w:r w:rsidRPr="003948EC">
              <w:rPr>
                <w:rFonts w:ascii="Times New Roman" w:hAnsi="Times New Roman" w:cs="Times New Roman"/>
                <w:b/>
                <w:bCs/>
              </w:rPr>
              <w:t>208A</w:t>
            </w:r>
            <w:r>
              <w:rPr>
                <w:rFonts w:ascii="Times New Roman" w:hAnsi="Times New Roman" w:cs="Times New Roman"/>
              </w:rPr>
              <w:t xml:space="preserve">, </w:t>
            </w:r>
            <w:r w:rsidRPr="003948EC">
              <w:rPr>
                <w:rFonts w:ascii="Times New Roman" w:hAnsi="Times New Roman" w:cs="Times New Roman"/>
                <w:b/>
                <w:bCs/>
              </w:rPr>
              <w:t>208B</w:t>
            </w:r>
            <w:r>
              <w:rPr>
                <w:rFonts w:ascii="Times New Roman" w:hAnsi="Times New Roman" w:cs="Times New Roman"/>
              </w:rPr>
              <w:t xml:space="preserve">, </w:t>
            </w:r>
            <w:r w:rsidRPr="003948EC">
              <w:rPr>
                <w:rFonts w:ascii="Times New Roman" w:hAnsi="Times New Roman" w:cs="Times New Roman"/>
                <w:b/>
                <w:bCs/>
              </w:rPr>
              <w:t>228AB</w:t>
            </w:r>
            <w:r>
              <w:rPr>
                <w:rFonts w:ascii="Times New Roman" w:hAnsi="Times New Roman" w:cs="Times New Roman"/>
              </w:rPr>
              <w:t xml:space="preserve"> and </w:t>
            </w:r>
            <w:r w:rsidRPr="003948EC">
              <w:rPr>
                <w:rFonts w:ascii="Times New Roman" w:hAnsi="Times New Roman" w:cs="Times New Roman"/>
                <w:b/>
                <w:bCs/>
              </w:rPr>
              <w:t>228AC</w:t>
            </w:r>
            <w:r>
              <w:rPr>
                <w:rFonts w:ascii="Times New Roman" w:hAnsi="Times New Roman" w:cs="Times New Roman"/>
              </w:rPr>
              <w:t>.</w:t>
            </w:r>
          </w:p>
        </w:tc>
      </w:tr>
      <w:tr w:rsidR="004038EE" w:rsidRPr="00A44063" w14:paraId="6D427582" w14:textId="77777777" w:rsidTr="00B740E4">
        <w:trPr>
          <w:cantSplit/>
        </w:trPr>
        <w:tc>
          <w:tcPr>
            <w:tcW w:w="439" w:type="dxa"/>
          </w:tcPr>
          <w:p w14:paraId="5BE4A4D4" w14:textId="286B266E" w:rsidR="004038EE" w:rsidRPr="00A44063" w:rsidRDefault="004038EE" w:rsidP="004038EE">
            <w:pPr>
              <w:rPr>
                <w:rFonts w:ascii="Times New Roman" w:hAnsi="Times New Roman" w:cs="Times New Roman"/>
              </w:rPr>
            </w:pPr>
            <w:r w:rsidRPr="00A44063">
              <w:rPr>
                <w:rFonts w:ascii="Times New Roman" w:hAnsi="Times New Roman" w:cs="Times New Roman"/>
              </w:rPr>
              <w:t>6</w:t>
            </w:r>
          </w:p>
        </w:tc>
        <w:tc>
          <w:tcPr>
            <w:tcW w:w="2675" w:type="dxa"/>
          </w:tcPr>
          <w:p w14:paraId="6D9439F8" w14:textId="4A888BDB" w:rsidR="004038EE" w:rsidRPr="00A44063" w:rsidRDefault="004038EE" w:rsidP="004038EE">
            <w:pPr>
              <w:rPr>
                <w:rFonts w:ascii="Times New Roman" w:hAnsi="Times New Roman" w:cs="Times New Roman"/>
              </w:rPr>
            </w:pPr>
            <w:r w:rsidRPr="003948EC">
              <w:rPr>
                <w:rFonts w:ascii="Times New Roman" w:hAnsi="Times New Roman" w:cs="Times New Roman"/>
              </w:rPr>
              <w:t>399.9 – 400.05</w:t>
            </w:r>
            <w:r>
              <w:rPr>
                <w:rFonts w:ascii="Times New Roman" w:hAnsi="Times New Roman" w:cs="Times New Roman"/>
              </w:rPr>
              <w:t xml:space="preserve"> MHz</w:t>
            </w:r>
          </w:p>
        </w:tc>
        <w:tc>
          <w:tcPr>
            <w:tcW w:w="5902" w:type="dxa"/>
          </w:tcPr>
          <w:p w14:paraId="6A80E0F1" w14:textId="736A3423" w:rsidR="004038EE" w:rsidRPr="00A44063" w:rsidRDefault="004038EE" w:rsidP="004038EE">
            <w:pPr>
              <w:rPr>
                <w:rFonts w:ascii="Times New Roman" w:hAnsi="Times New Roman" w:cs="Times New Roman"/>
              </w:rPr>
            </w:pPr>
            <w:r w:rsidRPr="001C0E09">
              <w:rPr>
                <w:rFonts w:ascii="Times New Roman" w:hAnsi="Times New Roman" w:cs="Times New Roman"/>
              </w:rPr>
              <w:t>Added footnote</w:t>
            </w:r>
            <w:r>
              <w:rPr>
                <w:rFonts w:ascii="Times New Roman" w:hAnsi="Times New Roman" w:cs="Times New Roman"/>
              </w:rPr>
              <w:t>s</w:t>
            </w:r>
            <w:r w:rsidRPr="001C0E09">
              <w:rPr>
                <w:rFonts w:ascii="Times New Roman" w:hAnsi="Times New Roman" w:cs="Times New Roman"/>
              </w:rPr>
              <w:t xml:space="preserve"> </w:t>
            </w:r>
            <w:r w:rsidRPr="003948EC">
              <w:rPr>
                <w:rFonts w:ascii="Times New Roman" w:hAnsi="Times New Roman" w:cs="Times New Roman"/>
                <w:b/>
                <w:bCs/>
              </w:rPr>
              <w:t>260A</w:t>
            </w:r>
            <w:r w:rsidRPr="003948EC">
              <w:rPr>
                <w:rFonts w:ascii="Times New Roman" w:hAnsi="Times New Roman" w:cs="Times New Roman"/>
              </w:rPr>
              <w:t xml:space="preserve"> and </w:t>
            </w:r>
            <w:r w:rsidRPr="003948EC">
              <w:rPr>
                <w:rFonts w:ascii="Times New Roman" w:hAnsi="Times New Roman" w:cs="Times New Roman"/>
                <w:b/>
                <w:bCs/>
              </w:rPr>
              <w:t xml:space="preserve">260B </w:t>
            </w:r>
            <w:r>
              <w:rPr>
                <w:rFonts w:ascii="Times New Roman" w:hAnsi="Times New Roman" w:cs="Times New Roman"/>
              </w:rPr>
              <w:t xml:space="preserve">to primary service </w:t>
            </w:r>
            <w:r w:rsidRPr="003948EC">
              <w:rPr>
                <w:rFonts w:ascii="Times New Roman" w:hAnsi="Times New Roman" w:cs="Times New Roman"/>
                <w:b/>
                <w:bCs/>
              </w:rPr>
              <w:t>Mobile-Satellite (Earth-to-space)</w:t>
            </w:r>
            <w:r>
              <w:rPr>
                <w:rFonts w:ascii="Times New Roman" w:hAnsi="Times New Roman" w:cs="Times New Roman"/>
              </w:rPr>
              <w:t>.</w:t>
            </w:r>
          </w:p>
        </w:tc>
      </w:tr>
      <w:tr w:rsidR="004038EE" w:rsidRPr="00A44063" w14:paraId="64951FD7" w14:textId="77777777" w:rsidTr="00B740E4">
        <w:trPr>
          <w:cantSplit/>
        </w:trPr>
        <w:tc>
          <w:tcPr>
            <w:tcW w:w="439" w:type="dxa"/>
          </w:tcPr>
          <w:p w14:paraId="6BB915D2" w14:textId="31AE0036" w:rsidR="004038EE" w:rsidRPr="00A44063" w:rsidRDefault="004038EE" w:rsidP="004038EE">
            <w:pPr>
              <w:rPr>
                <w:rFonts w:ascii="Times New Roman" w:hAnsi="Times New Roman" w:cs="Times New Roman"/>
              </w:rPr>
            </w:pPr>
            <w:r w:rsidRPr="00A44063">
              <w:rPr>
                <w:rFonts w:ascii="Times New Roman" w:hAnsi="Times New Roman" w:cs="Times New Roman"/>
              </w:rPr>
              <w:t>7</w:t>
            </w:r>
          </w:p>
        </w:tc>
        <w:tc>
          <w:tcPr>
            <w:tcW w:w="2675" w:type="dxa"/>
          </w:tcPr>
          <w:p w14:paraId="36871CB7" w14:textId="7558EABE" w:rsidR="004038EE" w:rsidRPr="00A44063" w:rsidRDefault="004038EE" w:rsidP="004038EE">
            <w:pPr>
              <w:rPr>
                <w:rFonts w:ascii="Times New Roman" w:hAnsi="Times New Roman" w:cs="Times New Roman"/>
              </w:rPr>
            </w:pPr>
            <w:r w:rsidRPr="003948EC">
              <w:rPr>
                <w:rFonts w:ascii="Times New Roman" w:hAnsi="Times New Roman" w:cs="Times New Roman"/>
              </w:rPr>
              <w:t>401 – 40</w:t>
            </w:r>
            <w:r>
              <w:rPr>
                <w:rFonts w:ascii="Times New Roman" w:hAnsi="Times New Roman" w:cs="Times New Roman"/>
              </w:rPr>
              <w:t>3 MHz</w:t>
            </w:r>
          </w:p>
        </w:tc>
        <w:tc>
          <w:tcPr>
            <w:tcW w:w="5902" w:type="dxa"/>
          </w:tcPr>
          <w:p w14:paraId="78656308" w14:textId="6F3279F3"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264A</w:t>
            </w:r>
            <w:r w:rsidRPr="003948EC">
              <w:rPr>
                <w:rFonts w:ascii="Times New Roman" w:hAnsi="Times New Roman" w:cs="Times New Roman"/>
              </w:rPr>
              <w:t xml:space="preserve"> and </w:t>
            </w:r>
            <w:r>
              <w:rPr>
                <w:rFonts w:ascii="Times New Roman" w:hAnsi="Times New Roman" w:cs="Times New Roman"/>
                <w:b/>
                <w:bCs/>
              </w:rPr>
              <w:t>264B</w:t>
            </w:r>
            <w:r w:rsidRPr="003948EC">
              <w:rPr>
                <w:rFonts w:ascii="Times New Roman" w:hAnsi="Times New Roman" w:cs="Times New Roman"/>
              </w:rPr>
              <w:t>.</w:t>
            </w:r>
          </w:p>
        </w:tc>
      </w:tr>
      <w:tr w:rsidR="004038EE" w:rsidRPr="00A44063" w14:paraId="76F13B8B" w14:textId="77777777" w:rsidTr="00B740E4">
        <w:trPr>
          <w:cantSplit/>
        </w:trPr>
        <w:tc>
          <w:tcPr>
            <w:tcW w:w="439" w:type="dxa"/>
          </w:tcPr>
          <w:p w14:paraId="2E125269" w14:textId="7B4ADE92" w:rsidR="004038EE" w:rsidRPr="00A44063" w:rsidRDefault="004038EE" w:rsidP="004038EE">
            <w:pPr>
              <w:rPr>
                <w:rFonts w:ascii="Times New Roman" w:hAnsi="Times New Roman" w:cs="Times New Roman"/>
              </w:rPr>
            </w:pPr>
            <w:r w:rsidRPr="00A44063">
              <w:rPr>
                <w:rFonts w:ascii="Times New Roman" w:hAnsi="Times New Roman" w:cs="Times New Roman"/>
              </w:rPr>
              <w:t>8</w:t>
            </w:r>
          </w:p>
        </w:tc>
        <w:tc>
          <w:tcPr>
            <w:tcW w:w="2675" w:type="dxa"/>
          </w:tcPr>
          <w:p w14:paraId="0FF0617C" w14:textId="290FD717" w:rsidR="004038EE" w:rsidRPr="00A44063" w:rsidRDefault="004038EE" w:rsidP="004038EE">
            <w:pPr>
              <w:rPr>
                <w:rFonts w:ascii="Times New Roman" w:hAnsi="Times New Roman" w:cs="Times New Roman"/>
              </w:rPr>
            </w:pPr>
            <w:r w:rsidRPr="003948EC">
              <w:rPr>
                <w:rFonts w:ascii="Times New Roman" w:hAnsi="Times New Roman" w:cs="Times New Roman"/>
              </w:rPr>
              <w:t xml:space="preserve">520 – </w:t>
            </w:r>
            <w:r>
              <w:rPr>
                <w:rFonts w:ascii="Times New Roman" w:hAnsi="Times New Roman" w:cs="Times New Roman"/>
              </w:rPr>
              <w:t>850 MHz</w:t>
            </w:r>
          </w:p>
        </w:tc>
        <w:tc>
          <w:tcPr>
            <w:tcW w:w="5902" w:type="dxa"/>
          </w:tcPr>
          <w:p w14:paraId="13D895A3" w14:textId="5FBB5403" w:rsidR="004038EE" w:rsidRPr="00A44063" w:rsidRDefault="004038EE" w:rsidP="004038EE">
            <w:pPr>
              <w:rPr>
                <w:rFonts w:ascii="Times New Roman" w:hAnsi="Times New Roman" w:cs="Times New Roman"/>
              </w:rPr>
            </w:pPr>
            <w:r>
              <w:rPr>
                <w:rFonts w:ascii="Times New Roman" w:hAnsi="Times New Roman" w:cs="Times New Roman"/>
              </w:rPr>
              <w:t xml:space="preserve">Removed footnote </w:t>
            </w:r>
            <w:r w:rsidRPr="003948EC">
              <w:rPr>
                <w:rFonts w:ascii="Times New Roman" w:hAnsi="Times New Roman" w:cs="Times New Roman"/>
                <w:b/>
                <w:bCs/>
              </w:rPr>
              <w:t>311A</w:t>
            </w:r>
            <w:r>
              <w:rPr>
                <w:rFonts w:ascii="Times New Roman" w:hAnsi="Times New Roman" w:cs="Times New Roman"/>
              </w:rPr>
              <w:t xml:space="preserve">. </w:t>
            </w:r>
          </w:p>
        </w:tc>
      </w:tr>
      <w:tr w:rsidR="004038EE" w:rsidRPr="00A44063" w14:paraId="3C136CA3" w14:textId="77777777" w:rsidTr="00B740E4">
        <w:trPr>
          <w:cantSplit/>
        </w:trPr>
        <w:tc>
          <w:tcPr>
            <w:tcW w:w="439" w:type="dxa"/>
          </w:tcPr>
          <w:p w14:paraId="53D42B18" w14:textId="024987C5" w:rsidR="004038EE" w:rsidRPr="00A44063" w:rsidRDefault="004038EE" w:rsidP="004038EE">
            <w:pPr>
              <w:rPr>
                <w:rFonts w:ascii="Times New Roman" w:hAnsi="Times New Roman" w:cs="Times New Roman"/>
              </w:rPr>
            </w:pPr>
            <w:r w:rsidRPr="00A44063">
              <w:rPr>
                <w:rFonts w:ascii="Times New Roman" w:hAnsi="Times New Roman" w:cs="Times New Roman"/>
              </w:rPr>
              <w:t>9</w:t>
            </w:r>
          </w:p>
        </w:tc>
        <w:tc>
          <w:tcPr>
            <w:tcW w:w="2675" w:type="dxa"/>
          </w:tcPr>
          <w:p w14:paraId="0D861349" w14:textId="0D0C9920" w:rsidR="004038EE" w:rsidRPr="00A44063" w:rsidRDefault="004038EE" w:rsidP="004038EE">
            <w:pPr>
              <w:rPr>
                <w:rFonts w:ascii="Times New Roman" w:hAnsi="Times New Roman" w:cs="Times New Roman"/>
              </w:rPr>
            </w:pPr>
            <w:r w:rsidRPr="00995E66">
              <w:rPr>
                <w:rFonts w:ascii="Times New Roman" w:hAnsi="Times New Roman" w:cs="Times New Roman"/>
              </w:rPr>
              <w:t>1 621.35 – 1 626.5</w:t>
            </w:r>
            <w:r>
              <w:rPr>
                <w:rFonts w:ascii="Times New Roman" w:hAnsi="Times New Roman" w:cs="Times New Roman"/>
              </w:rPr>
              <w:t xml:space="preserve"> MHz</w:t>
            </w:r>
          </w:p>
        </w:tc>
        <w:tc>
          <w:tcPr>
            <w:tcW w:w="5902" w:type="dxa"/>
          </w:tcPr>
          <w:p w14:paraId="375B1BAB" w14:textId="77777777" w:rsidR="004038EE" w:rsidRDefault="004038EE" w:rsidP="004038EE">
            <w:pPr>
              <w:rPr>
                <w:rFonts w:ascii="Times New Roman" w:hAnsi="Times New Roman" w:cs="Times New Roman"/>
              </w:rPr>
            </w:pPr>
            <w:r>
              <w:rPr>
                <w:rFonts w:ascii="Times New Roman" w:hAnsi="Times New Roman" w:cs="Times New Roman"/>
              </w:rPr>
              <w:t xml:space="preserve">Added primary service </w:t>
            </w:r>
            <w:r w:rsidRPr="003948EC">
              <w:rPr>
                <w:rFonts w:ascii="Times New Roman" w:hAnsi="Times New Roman" w:cs="Times New Roman"/>
                <w:b/>
                <w:bCs/>
              </w:rPr>
              <w:t>Maritime mobile–satellite</w:t>
            </w:r>
            <w:r>
              <w:rPr>
                <w:rFonts w:ascii="Times New Roman" w:hAnsi="Times New Roman" w:cs="Times New Roman"/>
                <w:b/>
                <w:bCs/>
              </w:rPr>
              <w:t xml:space="preserve"> (space-to-Earth)</w:t>
            </w:r>
            <w:r>
              <w:rPr>
                <w:rFonts w:ascii="Times New Roman" w:hAnsi="Times New Roman" w:cs="Times New Roman"/>
              </w:rPr>
              <w:t xml:space="preserve"> and corresponding footnotes </w:t>
            </w:r>
            <w:r>
              <w:rPr>
                <w:rFonts w:ascii="Times New Roman" w:hAnsi="Times New Roman" w:cs="Times New Roman"/>
                <w:b/>
                <w:bCs/>
              </w:rPr>
              <w:t xml:space="preserve">373 </w:t>
            </w:r>
            <w:r w:rsidRPr="00995E66">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b/>
                <w:bCs/>
              </w:rPr>
              <w:t>373A</w:t>
            </w:r>
            <w:r w:rsidRPr="00995E66">
              <w:rPr>
                <w:rFonts w:ascii="Times New Roman" w:hAnsi="Times New Roman" w:cs="Times New Roman"/>
              </w:rPr>
              <w:t>.</w:t>
            </w:r>
          </w:p>
          <w:p w14:paraId="3D414E0E" w14:textId="77777777" w:rsidR="004038EE" w:rsidRDefault="004038EE" w:rsidP="004038EE">
            <w:pPr>
              <w:rPr>
                <w:rFonts w:ascii="Times New Roman" w:hAnsi="Times New Roman" w:cs="Times New Roman"/>
              </w:rPr>
            </w:pPr>
          </w:p>
          <w:p w14:paraId="0D5C4E40" w14:textId="77777777" w:rsidR="004038EE" w:rsidRDefault="004038EE" w:rsidP="004038EE">
            <w:pPr>
              <w:rPr>
                <w:rFonts w:ascii="Times New Roman" w:hAnsi="Times New Roman" w:cs="Times New Roman"/>
              </w:rPr>
            </w:pPr>
            <w:r>
              <w:rPr>
                <w:rFonts w:ascii="Times New Roman" w:hAnsi="Times New Roman" w:cs="Times New Roman"/>
              </w:rPr>
              <w:t xml:space="preserve">Modified secondary service </w:t>
            </w:r>
            <w:r w:rsidRPr="00995E66">
              <w:rPr>
                <w:rFonts w:ascii="Times New Roman" w:hAnsi="Times New Roman" w:cs="Times New Roman"/>
                <w:b/>
                <w:bCs/>
              </w:rPr>
              <w:t>M</w:t>
            </w:r>
            <w:r w:rsidRPr="003948EC">
              <w:rPr>
                <w:rFonts w:ascii="Times New Roman" w:hAnsi="Times New Roman" w:cs="Times New Roman"/>
                <w:b/>
                <w:bCs/>
              </w:rPr>
              <w:t>obile–satellite</w:t>
            </w:r>
            <w:r>
              <w:rPr>
                <w:rFonts w:ascii="Times New Roman" w:hAnsi="Times New Roman" w:cs="Times New Roman"/>
                <w:b/>
                <w:bCs/>
              </w:rPr>
              <w:t xml:space="preserve"> (space-to-Earth) </w:t>
            </w:r>
            <w:r w:rsidRPr="00995E66">
              <w:rPr>
                <w:rFonts w:ascii="Times New Roman" w:hAnsi="Times New Roman" w:cs="Times New Roman"/>
              </w:rPr>
              <w:t>to</w:t>
            </w:r>
            <w:r>
              <w:rPr>
                <w:rFonts w:ascii="Times New Roman" w:hAnsi="Times New Roman" w:cs="Times New Roman"/>
                <w:b/>
                <w:bCs/>
              </w:rPr>
              <w:t xml:space="preserve"> </w:t>
            </w:r>
            <w:r w:rsidRPr="00995E66">
              <w:rPr>
                <w:rFonts w:ascii="Times New Roman" w:hAnsi="Times New Roman" w:cs="Times New Roman"/>
                <w:b/>
                <w:bCs/>
              </w:rPr>
              <w:t>M</w:t>
            </w:r>
            <w:r w:rsidRPr="003948EC">
              <w:rPr>
                <w:rFonts w:ascii="Times New Roman" w:hAnsi="Times New Roman" w:cs="Times New Roman"/>
                <w:b/>
                <w:bCs/>
              </w:rPr>
              <w:t>obile–satellite</w:t>
            </w:r>
            <w:r>
              <w:rPr>
                <w:rFonts w:ascii="Times New Roman" w:hAnsi="Times New Roman" w:cs="Times New Roman"/>
                <w:b/>
                <w:bCs/>
              </w:rPr>
              <w:t xml:space="preserve"> (space-to-Earth) </w:t>
            </w:r>
            <w:r w:rsidRPr="00995E66">
              <w:rPr>
                <w:rFonts w:ascii="Times New Roman" w:hAnsi="Times New Roman" w:cs="Times New Roman"/>
                <w:b/>
                <w:bCs/>
              </w:rPr>
              <w:t>except maritime mobile–satellite (space-to-Earth)</w:t>
            </w:r>
            <w:r w:rsidRPr="00995E66">
              <w:rPr>
                <w:rFonts w:ascii="Times New Roman" w:hAnsi="Times New Roman" w:cs="Times New Roman"/>
              </w:rPr>
              <w:t xml:space="preserve"> and removed corresponding footnote </w:t>
            </w:r>
            <w:r>
              <w:rPr>
                <w:rFonts w:ascii="Times New Roman" w:hAnsi="Times New Roman" w:cs="Times New Roman"/>
                <w:b/>
                <w:bCs/>
              </w:rPr>
              <w:t>208B</w:t>
            </w:r>
            <w:r w:rsidRPr="00995E66">
              <w:rPr>
                <w:rFonts w:ascii="Times New Roman" w:hAnsi="Times New Roman" w:cs="Times New Roman"/>
              </w:rPr>
              <w:t>.</w:t>
            </w:r>
          </w:p>
          <w:p w14:paraId="29329497" w14:textId="77777777" w:rsidR="004038EE" w:rsidRDefault="004038EE" w:rsidP="004038EE">
            <w:pPr>
              <w:rPr>
                <w:rFonts w:ascii="Times New Roman" w:hAnsi="Times New Roman" w:cs="Times New Roman"/>
              </w:rPr>
            </w:pPr>
          </w:p>
          <w:p w14:paraId="6B9E89A5" w14:textId="147B2632" w:rsidR="004038EE" w:rsidRPr="00A44063" w:rsidRDefault="004038EE" w:rsidP="004038EE">
            <w:pPr>
              <w:rPr>
                <w:rFonts w:ascii="Times New Roman" w:hAnsi="Times New Roman" w:cs="Times New Roman"/>
              </w:rPr>
            </w:pPr>
            <w:r>
              <w:rPr>
                <w:rFonts w:ascii="Times New Roman" w:hAnsi="Times New Roman" w:cs="Times New Roman"/>
              </w:rPr>
              <w:t>A</w:t>
            </w:r>
            <w:r w:rsidRPr="003948EC">
              <w:rPr>
                <w:rFonts w:ascii="Times New Roman" w:hAnsi="Times New Roman" w:cs="Times New Roman"/>
              </w:rPr>
              <w:t xml:space="preserve">dded </w:t>
            </w:r>
            <w:r>
              <w:rPr>
                <w:rFonts w:ascii="Times New Roman" w:hAnsi="Times New Roman" w:cs="Times New Roman"/>
              </w:rPr>
              <w:t xml:space="preserve">footnote </w:t>
            </w:r>
            <w:r w:rsidRPr="001C0E09">
              <w:rPr>
                <w:rFonts w:ascii="Times New Roman" w:hAnsi="Times New Roman" w:cs="Times New Roman"/>
                <w:b/>
                <w:bCs/>
              </w:rPr>
              <w:t>208</w:t>
            </w:r>
            <w:r>
              <w:rPr>
                <w:rFonts w:ascii="Times New Roman" w:hAnsi="Times New Roman" w:cs="Times New Roman"/>
                <w:b/>
                <w:bCs/>
              </w:rPr>
              <w:t>B</w:t>
            </w:r>
            <w:r>
              <w:rPr>
                <w:rFonts w:ascii="Times New Roman" w:hAnsi="Times New Roman" w:cs="Times New Roman"/>
              </w:rPr>
              <w:t xml:space="preserve"> </w:t>
            </w:r>
            <w:r w:rsidRPr="003948EC">
              <w:rPr>
                <w:rFonts w:ascii="Times New Roman" w:hAnsi="Times New Roman" w:cs="Times New Roman"/>
              </w:rPr>
              <w:t xml:space="preserve">to the entire </w:t>
            </w:r>
            <w:r>
              <w:rPr>
                <w:rFonts w:ascii="Times New Roman" w:hAnsi="Times New Roman" w:cs="Times New Roman"/>
              </w:rPr>
              <w:t xml:space="preserve">frequency </w:t>
            </w:r>
            <w:r w:rsidRPr="003948EC">
              <w:rPr>
                <w:rFonts w:ascii="Times New Roman" w:hAnsi="Times New Roman" w:cs="Times New Roman"/>
              </w:rPr>
              <w:t>range</w:t>
            </w:r>
            <w:r>
              <w:rPr>
                <w:rFonts w:ascii="Times New Roman" w:hAnsi="Times New Roman" w:cs="Times New Roman"/>
              </w:rPr>
              <w:t>.</w:t>
            </w:r>
          </w:p>
        </w:tc>
      </w:tr>
      <w:tr w:rsidR="004038EE" w:rsidRPr="00A44063" w14:paraId="5F262E6F" w14:textId="77777777" w:rsidTr="00B740E4">
        <w:trPr>
          <w:cantSplit/>
        </w:trPr>
        <w:tc>
          <w:tcPr>
            <w:tcW w:w="439" w:type="dxa"/>
          </w:tcPr>
          <w:p w14:paraId="0E5732C4" w14:textId="59EA4670" w:rsidR="004038EE" w:rsidRPr="00A44063" w:rsidRDefault="004038EE" w:rsidP="004038EE">
            <w:pPr>
              <w:rPr>
                <w:rFonts w:ascii="Times New Roman" w:hAnsi="Times New Roman" w:cs="Times New Roman"/>
              </w:rPr>
            </w:pPr>
            <w:r w:rsidRPr="00A44063">
              <w:rPr>
                <w:rFonts w:ascii="Times New Roman" w:hAnsi="Times New Roman" w:cs="Times New Roman"/>
              </w:rPr>
              <w:t>10</w:t>
            </w:r>
          </w:p>
        </w:tc>
        <w:tc>
          <w:tcPr>
            <w:tcW w:w="2675" w:type="dxa"/>
          </w:tcPr>
          <w:p w14:paraId="4243485E" w14:textId="18E1CE06" w:rsidR="004038EE" w:rsidRPr="00A44063" w:rsidRDefault="004038EE" w:rsidP="004038EE">
            <w:pPr>
              <w:rPr>
                <w:rFonts w:ascii="Times New Roman" w:hAnsi="Times New Roman" w:cs="Times New Roman"/>
              </w:rPr>
            </w:pPr>
            <w:r w:rsidRPr="00995E66">
              <w:rPr>
                <w:rFonts w:ascii="Times New Roman" w:hAnsi="Times New Roman" w:cs="Times New Roman"/>
              </w:rPr>
              <w:t>9.3 – 9.5 GHz</w:t>
            </w:r>
          </w:p>
        </w:tc>
        <w:tc>
          <w:tcPr>
            <w:tcW w:w="5902" w:type="dxa"/>
          </w:tcPr>
          <w:p w14:paraId="2A3C1CB6" w14:textId="7789743C"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475</w:t>
            </w:r>
            <w:r w:rsidRPr="003948EC">
              <w:rPr>
                <w:rFonts w:ascii="Times New Roman" w:hAnsi="Times New Roman" w:cs="Times New Roman"/>
                <w:b/>
                <w:bCs/>
              </w:rPr>
              <w:t xml:space="preserve"> </w:t>
            </w:r>
            <w:r>
              <w:rPr>
                <w:rFonts w:ascii="Times New Roman" w:hAnsi="Times New Roman" w:cs="Times New Roman"/>
              </w:rPr>
              <w:t xml:space="preserve">to primary service </w:t>
            </w:r>
            <w:r>
              <w:rPr>
                <w:rFonts w:ascii="Times New Roman" w:hAnsi="Times New Roman" w:cs="Times New Roman"/>
                <w:b/>
                <w:bCs/>
              </w:rPr>
              <w:t xml:space="preserve">Radionavigation </w:t>
            </w:r>
            <w:r w:rsidRPr="003948EC">
              <w:rPr>
                <w:rFonts w:ascii="Times New Roman" w:hAnsi="Times New Roman" w:cs="Times New Roman"/>
              </w:rPr>
              <w:t xml:space="preserve">and </w:t>
            </w:r>
            <w:r>
              <w:rPr>
                <w:rFonts w:ascii="Times New Roman" w:hAnsi="Times New Roman" w:cs="Times New Roman"/>
              </w:rPr>
              <w:t>removed</w:t>
            </w:r>
            <w:r w:rsidRPr="003948EC">
              <w:rPr>
                <w:rFonts w:ascii="Times New Roman" w:hAnsi="Times New Roman" w:cs="Times New Roman"/>
              </w:rPr>
              <w:t xml:space="preserve"> </w:t>
            </w:r>
            <w:r>
              <w:rPr>
                <w:rFonts w:ascii="Times New Roman" w:hAnsi="Times New Roman" w:cs="Times New Roman"/>
              </w:rPr>
              <w:t xml:space="preserve">footnote </w:t>
            </w:r>
            <w:r w:rsidRPr="00995E66">
              <w:rPr>
                <w:rFonts w:ascii="Times New Roman" w:hAnsi="Times New Roman" w:cs="Times New Roman"/>
                <w:b/>
                <w:bCs/>
              </w:rPr>
              <w:t>475</w:t>
            </w:r>
            <w:r>
              <w:rPr>
                <w:rFonts w:ascii="Times New Roman" w:hAnsi="Times New Roman" w:cs="Times New Roman"/>
              </w:rPr>
              <w:t xml:space="preserve"> </w:t>
            </w:r>
            <w:r w:rsidR="00FC6DD3">
              <w:rPr>
                <w:rFonts w:ascii="Times New Roman" w:hAnsi="Times New Roman" w:cs="Times New Roman"/>
              </w:rPr>
              <w:t>from</w:t>
            </w:r>
            <w:r w:rsidRPr="003948EC">
              <w:rPr>
                <w:rFonts w:ascii="Times New Roman" w:hAnsi="Times New Roman" w:cs="Times New Roman"/>
              </w:rPr>
              <w:t xml:space="preserve"> the entire </w:t>
            </w:r>
            <w:r>
              <w:rPr>
                <w:rFonts w:ascii="Times New Roman" w:hAnsi="Times New Roman" w:cs="Times New Roman"/>
              </w:rPr>
              <w:t xml:space="preserve">frequency </w:t>
            </w:r>
            <w:r w:rsidRPr="003948EC">
              <w:rPr>
                <w:rFonts w:ascii="Times New Roman" w:hAnsi="Times New Roman" w:cs="Times New Roman"/>
              </w:rPr>
              <w:t>range</w:t>
            </w:r>
            <w:r>
              <w:rPr>
                <w:rFonts w:ascii="Times New Roman" w:hAnsi="Times New Roman" w:cs="Times New Roman"/>
              </w:rPr>
              <w:t>.</w:t>
            </w:r>
          </w:p>
        </w:tc>
      </w:tr>
      <w:tr w:rsidR="004038EE" w:rsidRPr="00A44063" w14:paraId="2AE4DFE1" w14:textId="77777777" w:rsidTr="00B740E4">
        <w:trPr>
          <w:cantSplit/>
        </w:trPr>
        <w:tc>
          <w:tcPr>
            <w:tcW w:w="439" w:type="dxa"/>
          </w:tcPr>
          <w:p w14:paraId="74BC6D55" w14:textId="0B9D2789" w:rsidR="004038EE" w:rsidRPr="00A44063" w:rsidRDefault="004038EE" w:rsidP="004038EE">
            <w:pPr>
              <w:rPr>
                <w:rFonts w:ascii="Times New Roman" w:hAnsi="Times New Roman" w:cs="Times New Roman"/>
              </w:rPr>
            </w:pPr>
            <w:r w:rsidRPr="00A44063">
              <w:rPr>
                <w:rFonts w:ascii="Times New Roman" w:hAnsi="Times New Roman" w:cs="Times New Roman"/>
              </w:rPr>
              <w:t>11</w:t>
            </w:r>
          </w:p>
        </w:tc>
        <w:tc>
          <w:tcPr>
            <w:tcW w:w="2675" w:type="dxa"/>
          </w:tcPr>
          <w:p w14:paraId="7BBB39AE" w14:textId="637839D9" w:rsidR="004038EE" w:rsidRPr="00A44063" w:rsidRDefault="004038EE" w:rsidP="004038EE">
            <w:pPr>
              <w:rPr>
                <w:rFonts w:ascii="Times New Roman" w:hAnsi="Times New Roman" w:cs="Times New Roman"/>
              </w:rPr>
            </w:pPr>
            <w:r>
              <w:rPr>
                <w:rFonts w:ascii="Times New Roman" w:hAnsi="Times New Roman" w:cs="Times New Roman"/>
              </w:rPr>
              <w:t>12.2</w:t>
            </w:r>
            <w:r w:rsidRPr="00995E66">
              <w:rPr>
                <w:rFonts w:ascii="Times New Roman" w:hAnsi="Times New Roman" w:cs="Times New Roman"/>
              </w:rPr>
              <w:t xml:space="preserve"> – </w:t>
            </w:r>
            <w:r>
              <w:rPr>
                <w:rFonts w:ascii="Times New Roman" w:hAnsi="Times New Roman" w:cs="Times New Roman"/>
              </w:rPr>
              <w:t>12</w:t>
            </w:r>
            <w:r w:rsidRPr="00995E66">
              <w:rPr>
                <w:rFonts w:ascii="Times New Roman" w:hAnsi="Times New Roman" w:cs="Times New Roman"/>
              </w:rPr>
              <w:t>.</w:t>
            </w:r>
            <w:r>
              <w:rPr>
                <w:rFonts w:ascii="Times New Roman" w:hAnsi="Times New Roman" w:cs="Times New Roman"/>
              </w:rPr>
              <w:t>7</w:t>
            </w:r>
            <w:r w:rsidRPr="00995E66">
              <w:rPr>
                <w:rFonts w:ascii="Times New Roman" w:hAnsi="Times New Roman" w:cs="Times New Roman"/>
              </w:rPr>
              <w:t>5 GHz</w:t>
            </w:r>
          </w:p>
        </w:tc>
        <w:tc>
          <w:tcPr>
            <w:tcW w:w="5902" w:type="dxa"/>
          </w:tcPr>
          <w:p w14:paraId="58A0C650" w14:textId="165030AC" w:rsidR="004038EE" w:rsidRPr="00995E66" w:rsidRDefault="004038EE" w:rsidP="004038EE">
            <w:pPr>
              <w:rPr>
                <w:rFonts w:ascii="Times New Roman" w:hAnsi="Times New Roman" w:cs="Times New Roman"/>
                <w:b/>
                <w:bCs/>
              </w:rPr>
            </w:pPr>
            <w:r>
              <w:rPr>
                <w:rFonts w:ascii="Times New Roman" w:hAnsi="Times New Roman" w:cs="Times New Roman"/>
              </w:rPr>
              <w:t xml:space="preserve">Removed secondary service </w:t>
            </w:r>
            <w:r w:rsidRPr="00995E66">
              <w:rPr>
                <w:rFonts w:ascii="Times New Roman" w:hAnsi="Times New Roman" w:cs="Times New Roman"/>
                <w:b/>
                <w:bCs/>
              </w:rPr>
              <w:t>Land mobile satellite (space-to-Earth)</w:t>
            </w:r>
            <w:r>
              <w:rPr>
                <w:rFonts w:ascii="Times New Roman" w:hAnsi="Times New Roman" w:cs="Times New Roman"/>
              </w:rPr>
              <w:t>.</w:t>
            </w:r>
          </w:p>
        </w:tc>
      </w:tr>
      <w:tr w:rsidR="004038EE" w:rsidRPr="00A44063" w14:paraId="543D92D0" w14:textId="77777777" w:rsidTr="00B740E4">
        <w:trPr>
          <w:cantSplit/>
        </w:trPr>
        <w:tc>
          <w:tcPr>
            <w:tcW w:w="439" w:type="dxa"/>
          </w:tcPr>
          <w:p w14:paraId="154BAE63" w14:textId="27026C04" w:rsidR="004038EE" w:rsidRPr="00A44063" w:rsidRDefault="004038EE" w:rsidP="004038EE">
            <w:pPr>
              <w:rPr>
                <w:rFonts w:ascii="Times New Roman" w:hAnsi="Times New Roman" w:cs="Times New Roman"/>
              </w:rPr>
            </w:pPr>
            <w:r w:rsidRPr="00A44063">
              <w:rPr>
                <w:rFonts w:ascii="Times New Roman" w:hAnsi="Times New Roman" w:cs="Times New Roman"/>
              </w:rPr>
              <w:t>12</w:t>
            </w:r>
          </w:p>
        </w:tc>
        <w:tc>
          <w:tcPr>
            <w:tcW w:w="2675" w:type="dxa"/>
          </w:tcPr>
          <w:p w14:paraId="136DDB64" w14:textId="1D67ED1C" w:rsidR="004038EE" w:rsidRPr="00995E66" w:rsidRDefault="004038EE" w:rsidP="004038EE">
            <w:pPr>
              <w:rPr>
                <w:rFonts w:ascii="Times New Roman" w:hAnsi="Times New Roman" w:cs="Times New Roman"/>
              </w:rPr>
            </w:pPr>
            <w:r>
              <w:rPr>
                <w:rFonts w:ascii="Times New Roman" w:hAnsi="Times New Roman" w:cs="Times New Roman"/>
              </w:rPr>
              <w:t>17.7</w:t>
            </w:r>
            <w:r w:rsidRPr="00995E66">
              <w:rPr>
                <w:rFonts w:ascii="Times New Roman" w:hAnsi="Times New Roman" w:cs="Times New Roman"/>
              </w:rPr>
              <w:t xml:space="preserve"> – </w:t>
            </w:r>
            <w:r>
              <w:rPr>
                <w:rFonts w:ascii="Times New Roman" w:hAnsi="Times New Roman" w:cs="Times New Roman"/>
              </w:rPr>
              <w:t>19</w:t>
            </w:r>
            <w:r w:rsidRPr="00995E66">
              <w:rPr>
                <w:rFonts w:ascii="Times New Roman" w:hAnsi="Times New Roman" w:cs="Times New Roman"/>
              </w:rPr>
              <w:t>.</w:t>
            </w:r>
            <w:r>
              <w:rPr>
                <w:rFonts w:ascii="Times New Roman" w:hAnsi="Times New Roman" w:cs="Times New Roman"/>
              </w:rPr>
              <w:t>7</w:t>
            </w:r>
            <w:r w:rsidRPr="00995E66">
              <w:rPr>
                <w:rFonts w:ascii="Times New Roman" w:hAnsi="Times New Roman" w:cs="Times New Roman"/>
              </w:rPr>
              <w:t xml:space="preserve"> GHz</w:t>
            </w:r>
          </w:p>
        </w:tc>
        <w:tc>
          <w:tcPr>
            <w:tcW w:w="5902" w:type="dxa"/>
          </w:tcPr>
          <w:p w14:paraId="7886537B" w14:textId="37000E9C" w:rsidR="004038EE" w:rsidRPr="001C0E09"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517A</w:t>
            </w:r>
            <w:r w:rsidRPr="003948EC">
              <w:rPr>
                <w:rFonts w:ascii="Times New Roman" w:hAnsi="Times New Roman" w:cs="Times New Roman"/>
              </w:rPr>
              <w:t xml:space="preserve"> </w:t>
            </w:r>
            <w:r>
              <w:rPr>
                <w:rFonts w:ascii="Times New Roman" w:hAnsi="Times New Roman" w:cs="Times New Roman"/>
              </w:rPr>
              <w:t xml:space="preserve">to primary service </w:t>
            </w:r>
            <w:r>
              <w:rPr>
                <w:rFonts w:ascii="Times New Roman" w:hAnsi="Times New Roman" w:cs="Times New Roman"/>
                <w:b/>
                <w:bCs/>
              </w:rPr>
              <w:t>Fixed</w:t>
            </w:r>
            <w:r w:rsidRPr="003948EC">
              <w:rPr>
                <w:rFonts w:ascii="Times New Roman" w:hAnsi="Times New Roman" w:cs="Times New Roman"/>
                <w:b/>
                <w:bCs/>
              </w:rPr>
              <w:t>-Satellite (</w:t>
            </w:r>
            <w:r>
              <w:rPr>
                <w:rFonts w:ascii="Times New Roman" w:hAnsi="Times New Roman" w:cs="Times New Roman"/>
                <w:b/>
                <w:bCs/>
              </w:rPr>
              <w:t>space</w:t>
            </w:r>
            <w:r w:rsidRPr="003948EC">
              <w:rPr>
                <w:rFonts w:ascii="Times New Roman" w:hAnsi="Times New Roman" w:cs="Times New Roman"/>
                <w:b/>
                <w:bCs/>
              </w:rPr>
              <w:t>-to-</w:t>
            </w:r>
            <w:r>
              <w:rPr>
                <w:rFonts w:ascii="Times New Roman" w:hAnsi="Times New Roman" w:cs="Times New Roman"/>
                <w:b/>
                <w:bCs/>
              </w:rPr>
              <w:t>Earth</w:t>
            </w:r>
            <w:r w:rsidRPr="003948EC">
              <w:rPr>
                <w:rFonts w:ascii="Times New Roman" w:hAnsi="Times New Roman" w:cs="Times New Roman"/>
                <w:b/>
                <w:bCs/>
              </w:rPr>
              <w:t>)</w:t>
            </w:r>
            <w:r>
              <w:rPr>
                <w:rFonts w:ascii="Times New Roman" w:hAnsi="Times New Roman" w:cs="Times New Roman"/>
              </w:rPr>
              <w:t>.</w:t>
            </w:r>
          </w:p>
        </w:tc>
      </w:tr>
      <w:tr w:rsidR="004038EE" w:rsidRPr="00A44063" w14:paraId="7802C9AB" w14:textId="77777777" w:rsidTr="00B740E4">
        <w:trPr>
          <w:cantSplit/>
        </w:trPr>
        <w:tc>
          <w:tcPr>
            <w:tcW w:w="439" w:type="dxa"/>
          </w:tcPr>
          <w:p w14:paraId="3AE0DD20" w14:textId="22F6A69A" w:rsidR="004038EE" w:rsidRPr="00A44063" w:rsidRDefault="004038EE" w:rsidP="004038EE">
            <w:pPr>
              <w:rPr>
                <w:rFonts w:ascii="Times New Roman" w:hAnsi="Times New Roman" w:cs="Times New Roman"/>
              </w:rPr>
            </w:pPr>
            <w:r w:rsidRPr="00A44063">
              <w:rPr>
                <w:rFonts w:ascii="Times New Roman" w:hAnsi="Times New Roman" w:cs="Times New Roman"/>
              </w:rPr>
              <w:t>13</w:t>
            </w:r>
          </w:p>
        </w:tc>
        <w:tc>
          <w:tcPr>
            <w:tcW w:w="2675" w:type="dxa"/>
          </w:tcPr>
          <w:p w14:paraId="5F8FF92D" w14:textId="183D3C6F" w:rsidR="004038EE" w:rsidRPr="00995E66" w:rsidRDefault="004038EE" w:rsidP="004038EE">
            <w:pPr>
              <w:rPr>
                <w:rFonts w:ascii="Times New Roman" w:hAnsi="Times New Roman" w:cs="Times New Roman"/>
              </w:rPr>
            </w:pPr>
            <w:r w:rsidRPr="00995E66">
              <w:rPr>
                <w:rFonts w:ascii="Times New Roman" w:hAnsi="Times New Roman" w:cs="Times New Roman"/>
              </w:rPr>
              <w:t>21.4 – 22</w:t>
            </w:r>
            <w:r>
              <w:rPr>
                <w:rFonts w:ascii="Times New Roman" w:hAnsi="Times New Roman" w:cs="Times New Roman"/>
              </w:rPr>
              <w:t xml:space="preserve"> GHz</w:t>
            </w:r>
          </w:p>
        </w:tc>
        <w:tc>
          <w:tcPr>
            <w:tcW w:w="5902" w:type="dxa"/>
          </w:tcPr>
          <w:p w14:paraId="31572A69" w14:textId="004425ED" w:rsidR="004038EE" w:rsidRPr="00A44063" w:rsidRDefault="004038EE" w:rsidP="004038EE">
            <w:pPr>
              <w:rPr>
                <w:rFonts w:ascii="Times New Roman" w:hAnsi="Times New Roman" w:cs="Times New Roman"/>
              </w:rPr>
            </w:pPr>
            <w:r>
              <w:rPr>
                <w:rFonts w:ascii="Times New Roman" w:hAnsi="Times New Roman" w:cs="Times New Roman"/>
              </w:rPr>
              <w:t xml:space="preserve">Removed footnote </w:t>
            </w:r>
            <w:r w:rsidRPr="00995E66">
              <w:rPr>
                <w:rFonts w:ascii="Times New Roman" w:hAnsi="Times New Roman" w:cs="Times New Roman"/>
                <w:b/>
                <w:bCs/>
              </w:rPr>
              <w:t>530D</w:t>
            </w:r>
            <w:r>
              <w:rPr>
                <w:rFonts w:ascii="Times New Roman" w:hAnsi="Times New Roman" w:cs="Times New Roman"/>
              </w:rPr>
              <w:t>.</w:t>
            </w:r>
          </w:p>
        </w:tc>
      </w:tr>
      <w:tr w:rsidR="004038EE" w:rsidRPr="00A44063" w14:paraId="3B1F8814" w14:textId="77777777" w:rsidTr="00B740E4">
        <w:trPr>
          <w:cantSplit/>
        </w:trPr>
        <w:tc>
          <w:tcPr>
            <w:tcW w:w="439" w:type="dxa"/>
          </w:tcPr>
          <w:p w14:paraId="5952C1FE" w14:textId="6B6230EB" w:rsidR="004038EE" w:rsidRPr="00A44063" w:rsidRDefault="004038EE" w:rsidP="004038EE">
            <w:pPr>
              <w:rPr>
                <w:rFonts w:ascii="Times New Roman" w:hAnsi="Times New Roman" w:cs="Times New Roman"/>
              </w:rPr>
            </w:pPr>
            <w:r w:rsidRPr="00A44063">
              <w:rPr>
                <w:rFonts w:ascii="Times New Roman" w:hAnsi="Times New Roman" w:cs="Times New Roman"/>
              </w:rPr>
              <w:t>14</w:t>
            </w:r>
          </w:p>
        </w:tc>
        <w:tc>
          <w:tcPr>
            <w:tcW w:w="2675" w:type="dxa"/>
          </w:tcPr>
          <w:p w14:paraId="56E91E1D" w14:textId="516FA008" w:rsidR="004038EE" w:rsidRPr="00A44063" w:rsidRDefault="004038EE" w:rsidP="004038EE">
            <w:pPr>
              <w:rPr>
                <w:rFonts w:ascii="Times New Roman" w:hAnsi="Times New Roman" w:cs="Times New Roman"/>
              </w:rPr>
            </w:pPr>
            <w:r w:rsidRPr="00995E66">
              <w:rPr>
                <w:rFonts w:ascii="Times New Roman" w:hAnsi="Times New Roman" w:cs="Times New Roman"/>
              </w:rPr>
              <w:t>2</w:t>
            </w:r>
            <w:r>
              <w:rPr>
                <w:rFonts w:ascii="Times New Roman" w:hAnsi="Times New Roman" w:cs="Times New Roman"/>
              </w:rPr>
              <w:t>4</w:t>
            </w:r>
            <w:r w:rsidRPr="00995E66">
              <w:rPr>
                <w:rFonts w:ascii="Times New Roman" w:hAnsi="Times New Roman" w:cs="Times New Roman"/>
              </w:rPr>
              <w:t>.</w:t>
            </w:r>
            <w:r>
              <w:rPr>
                <w:rFonts w:ascii="Times New Roman" w:hAnsi="Times New Roman" w:cs="Times New Roman"/>
              </w:rPr>
              <w:t>25</w:t>
            </w:r>
            <w:r w:rsidRPr="00995E66">
              <w:rPr>
                <w:rFonts w:ascii="Times New Roman" w:hAnsi="Times New Roman" w:cs="Times New Roman"/>
              </w:rPr>
              <w:t xml:space="preserve"> – 2</w:t>
            </w:r>
            <w:r>
              <w:rPr>
                <w:rFonts w:ascii="Times New Roman" w:hAnsi="Times New Roman" w:cs="Times New Roman"/>
              </w:rPr>
              <w:t>7.5 GHz</w:t>
            </w:r>
          </w:p>
        </w:tc>
        <w:tc>
          <w:tcPr>
            <w:tcW w:w="5902" w:type="dxa"/>
          </w:tcPr>
          <w:p w14:paraId="48352D81" w14:textId="425B2FD2" w:rsidR="004038EE" w:rsidRPr="00A44063" w:rsidRDefault="004038EE" w:rsidP="004038EE">
            <w:pPr>
              <w:rPr>
                <w:rFonts w:ascii="Times New Roman" w:hAnsi="Times New Roman" w:cs="Times New Roman"/>
              </w:rPr>
            </w:pPr>
            <w:r w:rsidRPr="001C0E09">
              <w:rPr>
                <w:rFonts w:ascii="Times New Roman" w:hAnsi="Times New Roman" w:cs="Times New Roman"/>
              </w:rPr>
              <w:t>Added footnote</w:t>
            </w:r>
            <w:r>
              <w:rPr>
                <w:rFonts w:ascii="Times New Roman" w:hAnsi="Times New Roman" w:cs="Times New Roman"/>
              </w:rPr>
              <w:t>s</w:t>
            </w:r>
            <w:r w:rsidRPr="001C0E09">
              <w:rPr>
                <w:rFonts w:ascii="Times New Roman" w:hAnsi="Times New Roman" w:cs="Times New Roman"/>
              </w:rPr>
              <w:t xml:space="preserve"> </w:t>
            </w:r>
            <w:r w:rsidRPr="00995E66">
              <w:rPr>
                <w:rFonts w:ascii="Times New Roman" w:hAnsi="Times New Roman" w:cs="Times New Roman"/>
                <w:b/>
                <w:bCs/>
              </w:rPr>
              <w:t>338A</w:t>
            </w:r>
            <w:r>
              <w:rPr>
                <w:rFonts w:ascii="Times New Roman" w:hAnsi="Times New Roman" w:cs="Times New Roman"/>
              </w:rPr>
              <w:t xml:space="preserve"> and </w:t>
            </w:r>
            <w:r w:rsidRPr="00995E66">
              <w:rPr>
                <w:rFonts w:ascii="Times New Roman" w:hAnsi="Times New Roman" w:cs="Times New Roman"/>
                <w:b/>
                <w:bCs/>
              </w:rPr>
              <w:t>532AB</w:t>
            </w:r>
            <w:r w:rsidRPr="003948EC">
              <w:rPr>
                <w:rFonts w:ascii="Times New Roman" w:hAnsi="Times New Roman" w:cs="Times New Roman"/>
              </w:rPr>
              <w:t xml:space="preserve"> </w:t>
            </w:r>
            <w:r>
              <w:rPr>
                <w:rFonts w:ascii="Times New Roman" w:hAnsi="Times New Roman" w:cs="Times New Roman"/>
              </w:rPr>
              <w:t xml:space="preserve">to primary service </w:t>
            </w:r>
            <w:r>
              <w:rPr>
                <w:rFonts w:ascii="Times New Roman" w:hAnsi="Times New Roman" w:cs="Times New Roman"/>
                <w:b/>
                <w:bCs/>
              </w:rPr>
              <w:t>Mobile</w:t>
            </w:r>
            <w:r>
              <w:rPr>
                <w:rFonts w:ascii="Times New Roman" w:hAnsi="Times New Roman" w:cs="Times New Roman"/>
              </w:rPr>
              <w:t>.</w:t>
            </w:r>
          </w:p>
        </w:tc>
      </w:tr>
      <w:tr w:rsidR="004038EE" w:rsidRPr="00A44063" w14:paraId="0547F5E2" w14:textId="77777777" w:rsidTr="00B740E4">
        <w:trPr>
          <w:cantSplit/>
        </w:trPr>
        <w:tc>
          <w:tcPr>
            <w:tcW w:w="439" w:type="dxa"/>
          </w:tcPr>
          <w:p w14:paraId="664FB992" w14:textId="30FB9272" w:rsidR="004038EE" w:rsidRPr="00A44063" w:rsidRDefault="004038EE" w:rsidP="004038EE">
            <w:pPr>
              <w:rPr>
                <w:rFonts w:ascii="Times New Roman" w:hAnsi="Times New Roman" w:cs="Times New Roman"/>
              </w:rPr>
            </w:pPr>
            <w:r w:rsidRPr="00A44063">
              <w:rPr>
                <w:rFonts w:ascii="Times New Roman" w:hAnsi="Times New Roman" w:cs="Times New Roman"/>
              </w:rPr>
              <w:t>15</w:t>
            </w:r>
          </w:p>
        </w:tc>
        <w:tc>
          <w:tcPr>
            <w:tcW w:w="2675" w:type="dxa"/>
          </w:tcPr>
          <w:p w14:paraId="1B8EF520" w14:textId="3F465625" w:rsidR="004038EE" w:rsidRPr="00A44063" w:rsidRDefault="004038EE" w:rsidP="004038EE">
            <w:pPr>
              <w:rPr>
                <w:rFonts w:ascii="Times New Roman" w:hAnsi="Times New Roman" w:cs="Times New Roman"/>
              </w:rPr>
            </w:pPr>
            <w:r w:rsidRPr="00995E66">
              <w:rPr>
                <w:rFonts w:ascii="Times New Roman" w:hAnsi="Times New Roman" w:cs="Times New Roman"/>
              </w:rPr>
              <w:t>2</w:t>
            </w:r>
            <w:r>
              <w:rPr>
                <w:rFonts w:ascii="Times New Roman" w:hAnsi="Times New Roman" w:cs="Times New Roman"/>
              </w:rPr>
              <w:t>4</w:t>
            </w:r>
            <w:r w:rsidRPr="00995E66">
              <w:rPr>
                <w:rFonts w:ascii="Times New Roman" w:hAnsi="Times New Roman" w:cs="Times New Roman"/>
              </w:rPr>
              <w:t>.</w:t>
            </w:r>
            <w:r>
              <w:rPr>
                <w:rFonts w:ascii="Times New Roman" w:hAnsi="Times New Roman" w:cs="Times New Roman"/>
              </w:rPr>
              <w:t>65</w:t>
            </w:r>
            <w:r w:rsidRPr="00995E66">
              <w:rPr>
                <w:rFonts w:ascii="Times New Roman" w:hAnsi="Times New Roman" w:cs="Times New Roman"/>
              </w:rPr>
              <w:t xml:space="preserve"> – 2</w:t>
            </w:r>
            <w:r>
              <w:rPr>
                <w:rFonts w:ascii="Times New Roman" w:hAnsi="Times New Roman" w:cs="Times New Roman"/>
              </w:rPr>
              <w:t>4.75 GHz</w:t>
            </w:r>
          </w:p>
        </w:tc>
        <w:tc>
          <w:tcPr>
            <w:tcW w:w="5902" w:type="dxa"/>
          </w:tcPr>
          <w:p w14:paraId="565E935B" w14:textId="08638E87" w:rsidR="004038EE" w:rsidRPr="00A44063" w:rsidRDefault="004038EE" w:rsidP="004038EE">
            <w:pPr>
              <w:rPr>
                <w:rFonts w:ascii="Times New Roman" w:hAnsi="Times New Roman" w:cs="Times New Roman"/>
              </w:rPr>
            </w:pPr>
            <w:r>
              <w:rPr>
                <w:rFonts w:ascii="Times New Roman" w:hAnsi="Times New Roman" w:cs="Times New Roman"/>
              </w:rPr>
              <w:t xml:space="preserve">Removed footnote </w:t>
            </w:r>
            <w:r w:rsidRPr="00995E66">
              <w:rPr>
                <w:rFonts w:ascii="Times New Roman" w:hAnsi="Times New Roman" w:cs="Times New Roman"/>
                <w:b/>
                <w:bCs/>
              </w:rPr>
              <w:t>53</w:t>
            </w:r>
            <w:r>
              <w:rPr>
                <w:rFonts w:ascii="Times New Roman" w:hAnsi="Times New Roman" w:cs="Times New Roman"/>
                <w:b/>
                <w:bCs/>
              </w:rPr>
              <w:t>3</w:t>
            </w:r>
            <w:r>
              <w:rPr>
                <w:rFonts w:ascii="Times New Roman" w:hAnsi="Times New Roman" w:cs="Times New Roman"/>
              </w:rPr>
              <w:t>.</w:t>
            </w:r>
          </w:p>
        </w:tc>
      </w:tr>
      <w:tr w:rsidR="004038EE" w:rsidRPr="00A44063" w14:paraId="1FDBF6D2" w14:textId="77777777" w:rsidTr="00B740E4">
        <w:trPr>
          <w:cantSplit/>
        </w:trPr>
        <w:tc>
          <w:tcPr>
            <w:tcW w:w="439" w:type="dxa"/>
          </w:tcPr>
          <w:p w14:paraId="1340D009" w14:textId="3E2DE89F" w:rsidR="004038EE" w:rsidRPr="00A44063" w:rsidRDefault="004038EE" w:rsidP="004038EE">
            <w:pPr>
              <w:rPr>
                <w:rFonts w:ascii="Times New Roman" w:hAnsi="Times New Roman" w:cs="Times New Roman"/>
              </w:rPr>
            </w:pPr>
            <w:r w:rsidRPr="00A44063">
              <w:rPr>
                <w:rFonts w:ascii="Times New Roman" w:hAnsi="Times New Roman" w:cs="Times New Roman"/>
              </w:rPr>
              <w:t>16</w:t>
            </w:r>
          </w:p>
        </w:tc>
        <w:tc>
          <w:tcPr>
            <w:tcW w:w="2675" w:type="dxa"/>
          </w:tcPr>
          <w:p w14:paraId="3879927B" w14:textId="6E5F96A6" w:rsidR="004038EE" w:rsidRPr="00A44063" w:rsidRDefault="004038EE" w:rsidP="004038EE">
            <w:pPr>
              <w:rPr>
                <w:rFonts w:ascii="Times New Roman" w:hAnsi="Times New Roman" w:cs="Times New Roman"/>
              </w:rPr>
            </w:pPr>
            <w:r w:rsidRPr="00995E66">
              <w:rPr>
                <w:rFonts w:ascii="Times New Roman" w:hAnsi="Times New Roman" w:cs="Times New Roman"/>
              </w:rPr>
              <w:t>2</w:t>
            </w:r>
            <w:r>
              <w:rPr>
                <w:rFonts w:ascii="Times New Roman" w:hAnsi="Times New Roman" w:cs="Times New Roman"/>
              </w:rPr>
              <w:t>7</w:t>
            </w:r>
            <w:r w:rsidRPr="00995E66">
              <w:rPr>
                <w:rFonts w:ascii="Times New Roman" w:hAnsi="Times New Roman" w:cs="Times New Roman"/>
              </w:rPr>
              <w:t>.</w:t>
            </w:r>
            <w:r>
              <w:rPr>
                <w:rFonts w:ascii="Times New Roman" w:hAnsi="Times New Roman" w:cs="Times New Roman"/>
              </w:rPr>
              <w:t>5</w:t>
            </w:r>
            <w:r w:rsidRPr="00995E66">
              <w:rPr>
                <w:rFonts w:ascii="Times New Roman" w:hAnsi="Times New Roman" w:cs="Times New Roman"/>
              </w:rPr>
              <w:t xml:space="preserve"> – 2</w:t>
            </w:r>
            <w:r>
              <w:rPr>
                <w:rFonts w:ascii="Times New Roman" w:hAnsi="Times New Roman" w:cs="Times New Roman"/>
              </w:rPr>
              <w:t>9.5 GHz</w:t>
            </w:r>
          </w:p>
        </w:tc>
        <w:tc>
          <w:tcPr>
            <w:tcW w:w="5902" w:type="dxa"/>
          </w:tcPr>
          <w:p w14:paraId="2AF54EC7" w14:textId="642354B1"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517A</w:t>
            </w:r>
            <w:r w:rsidRPr="003948EC">
              <w:rPr>
                <w:rFonts w:ascii="Times New Roman" w:hAnsi="Times New Roman" w:cs="Times New Roman"/>
              </w:rPr>
              <w:t xml:space="preserve"> </w:t>
            </w:r>
            <w:r>
              <w:rPr>
                <w:rFonts w:ascii="Times New Roman" w:hAnsi="Times New Roman" w:cs="Times New Roman"/>
              </w:rPr>
              <w:t xml:space="preserve">to primary service </w:t>
            </w:r>
            <w:r>
              <w:rPr>
                <w:rFonts w:ascii="Times New Roman" w:hAnsi="Times New Roman" w:cs="Times New Roman"/>
                <w:b/>
                <w:bCs/>
              </w:rPr>
              <w:t>Fixed</w:t>
            </w:r>
            <w:r w:rsidRPr="003948EC">
              <w:rPr>
                <w:rFonts w:ascii="Times New Roman" w:hAnsi="Times New Roman" w:cs="Times New Roman"/>
                <w:b/>
                <w:bCs/>
              </w:rPr>
              <w:t>-Satellite (</w:t>
            </w:r>
            <w:r>
              <w:rPr>
                <w:rFonts w:ascii="Times New Roman" w:hAnsi="Times New Roman" w:cs="Times New Roman"/>
                <w:b/>
                <w:bCs/>
              </w:rPr>
              <w:t>Earth</w:t>
            </w:r>
            <w:r w:rsidRPr="003948EC">
              <w:rPr>
                <w:rFonts w:ascii="Times New Roman" w:hAnsi="Times New Roman" w:cs="Times New Roman"/>
                <w:b/>
                <w:bCs/>
              </w:rPr>
              <w:t>-to-</w:t>
            </w:r>
            <w:r>
              <w:rPr>
                <w:rFonts w:ascii="Times New Roman" w:hAnsi="Times New Roman" w:cs="Times New Roman"/>
                <w:b/>
                <w:bCs/>
              </w:rPr>
              <w:t>space</w:t>
            </w:r>
            <w:r w:rsidRPr="003948EC">
              <w:rPr>
                <w:rFonts w:ascii="Times New Roman" w:hAnsi="Times New Roman" w:cs="Times New Roman"/>
                <w:b/>
                <w:bCs/>
              </w:rPr>
              <w:t>)</w:t>
            </w:r>
            <w:r>
              <w:rPr>
                <w:rFonts w:ascii="Times New Roman" w:hAnsi="Times New Roman" w:cs="Times New Roman"/>
              </w:rPr>
              <w:t>.</w:t>
            </w:r>
          </w:p>
        </w:tc>
      </w:tr>
      <w:tr w:rsidR="004038EE" w:rsidRPr="00A44063" w14:paraId="1BB22903" w14:textId="77777777" w:rsidTr="00B740E4">
        <w:trPr>
          <w:cantSplit/>
        </w:trPr>
        <w:tc>
          <w:tcPr>
            <w:tcW w:w="439" w:type="dxa"/>
          </w:tcPr>
          <w:p w14:paraId="442EB1D0" w14:textId="0241E100" w:rsidR="004038EE" w:rsidRPr="00A44063" w:rsidRDefault="004038EE" w:rsidP="004038EE">
            <w:pPr>
              <w:rPr>
                <w:rFonts w:ascii="Times New Roman" w:hAnsi="Times New Roman" w:cs="Times New Roman"/>
              </w:rPr>
            </w:pPr>
            <w:r w:rsidRPr="00A44063">
              <w:rPr>
                <w:rFonts w:ascii="Times New Roman" w:hAnsi="Times New Roman" w:cs="Times New Roman"/>
              </w:rPr>
              <w:t>17</w:t>
            </w:r>
          </w:p>
        </w:tc>
        <w:tc>
          <w:tcPr>
            <w:tcW w:w="2675" w:type="dxa"/>
          </w:tcPr>
          <w:p w14:paraId="4E684F7B" w14:textId="3A74E3D7" w:rsidR="004038EE" w:rsidRPr="00A44063" w:rsidRDefault="004038EE" w:rsidP="004038EE">
            <w:pPr>
              <w:rPr>
                <w:rFonts w:ascii="Times New Roman" w:hAnsi="Times New Roman" w:cs="Times New Roman"/>
              </w:rPr>
            </w:pPr>
            <w:r>
              <w:rPr>
                <w:rFonts w:ascii="Times New Roman" w:hAnsi="Times New Roman" w:cs="Times New Roman"/>
              </w:rPr>
              <w:t>31</w:t>
            </w:r>
            <w:r w:rsidRPr="00995E66">
              <w:rPr>
                <w:rFonts w:ascii="Times New Roman" w:hAnsi="Times New Roman" w:cs="Times New Roman"/>
              </w:rPr>
              <w:t xml:space="preserve"> – </w:t>
            </w:r>
            <w:r>
              <w:rPr>
                <w:rFonts w:ascii="Times New Roman" w:hAnsi="Times New Roman" w:cs="Times New Roman"/>
              </w:rPr>
              <w:t>31.3 GHz</w:t>
            </w:r>
          </w:p>
        </w:tc>
        <w:tc>
          <w:tcPr>
            <w:tcW w:w="5902" w:type="dxa"/>
          </w:tcPr>
          <w:p w14:paraId="12BDF023" w14:textId="31558B45"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543B</w:t>
            </w:r>
            <w:r w:rsidRPr="003948EC">
              <w:rPr>
                <w:rFonts w:ascii="Times New Roman" w:hAnsi="Times New Roman" w:cs="Times New Roman"/>
              </w:rPr>
              <w:t xml:space="preserve"> </w:t>
            </w:r>
            <w:r>
              <w:rPr>
                <w:rFonts w:ascii="Times New Roman" w:hAnsi="Times New Roman" w:cs="Times New Roman"/>
              </w:rPr>
              <w:t xml:space="preserve">to primary service </w:t>
            </w:r>
            <w:r>
              <w:rPr>
                <w:rFonts w:ascii="Times New Roman" w:hAnsi="Times New Roman" w:cs="Times New Roman"/>
                <w:b/>
                <w:bCs/>
              </w:rPr>
              <w:t>Fixed</w:t>
            </w:r>
            <w:r>
              <w:rPr>
                <w:rFonts w:ascii="Times New Roman" w:hAnsi="Times New Roman" w:cs="Times New Roman"/>
              </w:rPr>
              <w:t>.</w:t>
            </w:r>
          </w:p>
        </w:tc>
      </w:tr>
      <w:tr w:rsidR="004038EE" w:rsidRPr="00A44063" w14:paraId="382C926E" w14:textId="77777777" w:rsidTr="00B740E4">
        <w:trPr>
          <w:cantSplit/>
        </w:trPr>
        <w:tc>
          <w:tcPr>
            <w:tcW w:w="439" w:type="dxa"/>
          </w:tcPr>
          <w:p w14:paraId="3A507E48" w14:textId="34616A2F" w:rsidR="004038EE" w:rsidRPr="00A44063" w:rsidRDefault="004038EE" w:rsidP="004038EE">
            <w:pPr>
              <w:rPr>
                <w:rFonts w:ascii="Times New Roman" w:hAnsi="Times New Roman" w:cs="Times New Roman"/>
              </w:rPr>
            </w:pPr>
            <w:r w:rsidRPr="00A44063">
              <w:rPr>
                <w:rFonts w:ascii="Times New Roman" w:hAnsi="Times New Roman" w:cs="Times New Roman"/>
              </w:rPr>
              <w:t>18</w:t>
            </w:r>
          </w:p>
        </w:tc>
        <w:tc>
          <w:tcPr>
            <w:tcW w:w="2675" w:type="dxa"/>
          </w:tcPr>
          <w:p w14:paraId="39CC9994" w14:textId="77777777" w:rsidR="004038EE" w:rsidRDefault="004038EE" w:rsidP="004038EE">
            <w:pPr>
              <w:rPr>
                <w:rFonts w:ascii="Times New Roman" w:hAnsi="Times New Roman" w:cs="Times New Roman"/>
              </w:rPr>
            </w:pPr>
            <w:r>
              <w:rPr>
                <w:rFonts w:ascii="Times New Roman" w:hAnsi="Times New Roman" w:cs="Times New Roman"/>
              </w:rPr>
              <w:t>37</w:t>
            </w:r>
            <w:r w:rsidRPr="00995E66">
              <w:rPr>
                <w:rFonts w:ascii="Times New Roman" w:hAnsi="Times New Roman" w:cs="Times New Roman"/>
              </w:rPr>
              <w:t xml:space="preserve"> – </w:t>
            </w:r>
            <w:r>
              <w:rPr>
                <w:rFonts w:ascii="Times New Roman" w:hAnsi="Times New Roman" w:cs="Times New Roman"/>
              </w:rPr>
              <w:t>38 GHz</w:t>
            </w:r>
          </w:p>
          <w:p w14:paraId="3D0960DB" w14:textId="792C8F7D" w:rsidR="004038EE" w:rsidRPr="00A44063" w:rsidRDefault="004038EE" w:rsidP="004038EE">
            <w:pPr>
              <w:rPr>
                <w:rFonts w:ascii="Times New Roman" w:hAnsi="Times New Roman" w:cs="Times New Roman"/>
              </w:rPr>
            </w:pPr>
            <w:r>
              <w:rPr>
                <w:rFonts w:ascii="Times New Roman" w:hAnsi="Times New Roman" w:cs="Times New Roman"/>
              </w:rPr>
              <w:t>42.5</w:t>
            </w:r>
            <w:r w:rsidRPr="00995E66">
              <w:rPr>
                <w:rFonts w:ascii="Times New Roman" w:hAnsi="Times New Roman" w:cs="Times New Roman"/>
              </w:rPr>
              <w:t xml:space="preserve"> – </w:t>
            </w:r>
            <w:r>
              <w:rPr>
                <w:rFonts w:ascii="Times New Roman" w:hAnsi="Times New Roman" w:cs="Times New Roman"/>
              </w:rPr>
              <w:t>43.5 GHz</w:t>
            </w:r>
          </w:p>
        </w:tc>
        <w:tc>
          <w:tcPr>
            <w:tcW w:w="5902" w:type="dxa"/>
          </w:tcPr>
          <w:p w14:paraId="2BD57D16" w14:textId="3D89AE9D"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550B</w:t>
            </w:r>
            <w:r>
              <w:rPr>
                <w:rFonts w:ascii="Times New Roman" w:hAnsi="Times New Roman" w:cs="Times New Roman"/>
              </w:rPr>
              <w:t xml:space="preserve"> to primary service </w:t>
            </w:r>
            <w:r>
              <w:rPr>
                <w:rFonts w:ascii="Times New Roman" w:hAnsi="Times New Roman" w:cs="Times New Roman"/>
                <w:b/>
                <w:bCs/>
              </w:rPr>
              <w:t>Mobile</w:t>
            </w:r>
            <w:r w:rsidRPr="008C0FF2">
              <w:rPr>
                <w:rFonts w:ascii="Times New Roman" w:hAnsi="Times New Roman" w:cs="Times New Roman"/>
                <w:b/>
                <w:bCs/>
              </w:rPr>
              <w:t xml:space="preserve"> except aeronautical mobile</w:t>
            </w:r>
            <w:r w:rsidRPr="008C0FF2">
              <w:rPr>
                <w:rFonts w:ascii="Times New Roman" w:hAnsi="Times New Roman" w:cs="Times New Roman"/>
              </w:rPr>
              <w:t>.</w:t>
            </w:r>
          </w:p>
        </w:tc>
      </w:tr>
      <w:tr w:rsidR="004038EE" w:rsidRPr="00A44063" w14:paraId="501C0C30" w14:textId="77777777" w:rsidTr="00B740E4">
        <w:trPr>
          <w:cantSplit/>
        </w:trPr>
        <w:tc>
          <w:tcPr>
            <w:tcW w:w="439" w:type="dxa"/>
          </w:tcPr>
          <w:p w14:paraId="6574FF4D" w14:textId="183354DC" w:rsidR="004038EE" w:rsidRPr="00A44063" w:rsidRDefault="004038EE" w:rsidP="004038EE">
            <w:pPr>
              <w:rPr>
                <w:rFonts w:ascii="Times New Roman" w:hAnsi="Times New Roman" w:cs="Times New Roman"/>
              </w:rPr>
            </w:pPr>
            <w:r w:rsidRPr="00A44063">
              <w:rPr>
                <w:rFonts w:ascii="Times New Roman" w:hAnsi="Times New Roman" w:cs="Times New Roman"/>
              </w:rPr>
              <w:lastRenderedPageBreak/>
              <w:t>19</w:t>
            </w:r>
          </w:p>
        </w:tc>
        <w:tc>
          <w:tcPr>
            <w:tcW w:w="2675" w:type="dxa"/>
          </w:tcPr>
          <w:p w14:paraId="65FC8EC8" w14:textId="77777777" w:rsidR="004038EE" w:rsidRDefault="004038EE" w:rsidP="004038EE">
            <w:pPr>
              <w:rPr>
                <w:rFonts w:ascii="Times New Roman" w:hAnsi="Times New Roman" w:cs="Times New Roman"/>
              </w:rPr>
            </w:pPr>
            <w:r>
              <w:rPr>
                <w:rFonts w:ascii="Times New Roman" w:hAnsi="Times New Roman" w:cs="Times New Roman"/>
              </w:rPr>
              <w:t>37.5</w:t>
            </w:r>
            <w:r w:rsidRPr="00995E66">
              <w:rPr>
                <w:rFonts w:ascii="Times New Roman" w:hAnsi="Times New Roman" w:cs="Times New Roman"/>
              </w:rPr>
              <w:t xml:space="preserve"> – </w:t>
            </w:r>
            <w:r>
              <w:rPr>
                <w:rFonts w:ascii="Times New Roman" w:hAnsi="Times New Roman" w:cs="Times New Roman"/>
              </w:rPr>
              <w:t>42.5 GHz</w:t>
            </w:r>
          </w:p>
          <w:p w14:paraId="24FE6F04" w14:textId="77777777" w:rsidR="004038EE" w:rsidRDefault="004038EE" w:rsidP="004038EE">
            <w:pPr>
              <w:rPr>
                <w:rFonts w:ascii="Times New Roman" w:hAnsi="Times New Roman" w:cs="Times New Roman"/>
              </w:rPr>
            </w:pPr>
            <w:r>
              <w:rPr>
                <w:rFonts w:ascii="Times New Roman" w:hAnsi="Times New Roman" w:cs="Times New Roman"/>
              </w:rPr>
              <w:t>47.2</w:t>
            </w:r>
            <w:r w:rsidRPr="008C0FF2">
              <w:rPr>
                <w:rFonts w:ascii="Times New Roman" w:hAnsi="Times New Roman" w:cs="Times New Roman"/>
              </w:rPr>
              <w:t xml:space="preserve"> – </w:t>
            </w:r>
            <w:r>
              <w:rPr>
                <w:rFonts w:ascii="Times New Roman" w:hAnsi="Times New Roman" w:cs="Times New Roman"/>
              </w:rPr>
              <w:t>50.2 GHz</w:t>
            </w:r>
          </w:p>
          <w:p w14:paraId="547327B4" w14:textId="4FF5B68E" w:rsidR="004038EE" w:rsidRPr="00A44063" w:rsidRDefault="004038EE" w:rsidP="004038EE">
            <w:pPr>
              <w:rPr>
                <w:rFonts w:ascii="Times New Roman" w:hAnsi="Times New Roman" w:cs="Times New Roman"/>
              </w:rPr>
            </w:pPr>
            <w:r>
              <w:rPr>
                <w:rFonts w:ascii="Times New Roman" w:hAnsi="Times New Roman" w:cs="Times New Roman"/>
              </w:rPr>
              <w:t>50.4</w:t>
            </w:r>
            <w:r w:rsidRPr="008C0FF2">
              <w:rPr>
                <w:rFonts w:ascii="Times New Roman" w:hAnsi="Times New Roman" w:cs="Times New Roman"/>
              </w:rPr>
              <w:t xml:space="preserve"> – </w:t>
            </w:r>
            <w:r>
              <w:rPr>
                <w:rFonts w:ascii="Times New Roman" w:hAnsi="Times New Roman" w:cs="Times New Roman"/>
              </w:rPr>
              <w:t>51.4 GHz</w:t>
            </w:r>
          </w:p>
        </w:tc>
        <w:tc>
          <w:tcPr>
            <w:tcW w:w="5902" w:type="dxa"/>
          </w:tcPr>
          <w:p w14:paraId="60C71275" w14:textId="20695814"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550C</w:t>
            </w:r>
            <w:r w:rsidRPr="003948EC">
              <w:rPr>
                <w:rFonts w:ascii="Times New Roman" w:hAnsi="Times New Roman" w:cs="Times New Roman"/>
              </w:rPr>
              <w:t xml:space="preserve"> </w:t>
            </w:r>
            <w:r>
              <w:rPr>
                <w:rFonts w:ascii="Times New Roman" w:hAnsi="Times New Roman" w:cs="Times New Roman"/>
              </w:rPr>
              <w:t xml:space="preserve">to primary service </w:t>
            </w:r>
            <w:r>
              <w:rPr>
                <w:rFonts w:ascii="Times New Roman" w:hAnsi="Times New Roman" w:cs="Times New Roman"/>
                <w:b/>
                <w:bCs/>
              </w:rPr>
              <w:t>Fixed</w:t>
            </w:r>
            <w:r w:rsidRPr="003948EC">
              <w:rPr>
                <w:rFonts w:ascii="Times New Roman" w:hAnsi="Times New Roman" w:cs="Times New Roman"/>
                <w:b/>
                <w:bCs/>
              </w:rPr>
              <w:t>-Satellite (</w:t>
            </w:r>
            <w:r>
              <w:rPr>
                <w:rFonts w:ascii="Times New Roman" w:hAnsi="Times New Roman" w:cs="Times New Roman"/>
                <w:b/>
                <w:bCs/>
              </w:rPr>
              <w:t>space</w:t>
            </w:r>
            <w:r w:rsidRPr="003948EC">
              <w:rPr>
                <w:rFonts w:ascii="Times New Roman" w:hAnsi="Times New Roman" w:cs="Times New Roman"/>
                <w:b/>
                <w:bCs/>
              </w:rPr>
              <w:t>-to-</w:t>
            </w:r>
            <w:r>
              <w:rPr>
                <w:rFonts w:ascii="Times New Roman" w:hAnsi="Times New Roman" w:cs="Times New Roman"/>
                <w:b/>
                <w:bCs/>
              </w:rPr>
              <w:t>Earth</w:t>
            </w:r>
            <w:r w:rsidRPr="003948EC">
              <w:rPr>
                <w:rFonts w:ascii="Times New Roman" w:hAnsi="Times New Roman" w:cs="Times New Roman"/>
                <w:b/>
                <w:bCs/>
              </w:rPr>
              <w:t>)</w:t>
            </w:r>
            <w:r>
              <w:rPr>
                <w:rFonts w:ascii="Times New Roman" w:hAnsi="Times New Roman" w:cs="Times New Roman"/>
              </w:rPr>
              <w:t>.</w:t>
            </w:r>
          </w:p>
        </w:tc>
      </w:tr>
      <w:tr w:rsidR="004038EE" w:rsidRPr="00A44063" w14:paraId="6E7C1D25" w14:textId="77777777" w:rsidTr="00B740E4">
        <w:trPr>
          <w:cantSplit/>
        </w:trPr>
        <w:tc>
          <w:tcPr>
            <w:tcW w:w="439" w:type="dxa"/>
          </w:tcPr>
          <w:p w14:paraId="3B3D3671" w14:textId="044B46DB" w:rsidR="004038EE" w:rsidRPr="00A44063" w:rsidRDefault="004038EE" w:rsidP="004038EE">
            <w:pPr>
              <w:rPr>
                <w:rFonts w:ascii="Times New Roman" w:hAnsi="Times New Roman" w:cs="Times New Roman"/>
              </w:rPr>
            </w:pPr>
            <w:r w:rsidRPr="00A44063">
              <w:rPr>
                <w:rFonts w:ascii="Times New Roman" w:hAnsi="Times New Roman" w:cs="Times New Roman"/>
              </w:rPr>
              <w:t>20</w:t>
            </w:r>
          </w:p>
        </w:tc>
        <w:tc>
          <w:tcPr>
            <w:tcW w:w="2675" w:type="dxa"/>
          </w:tcPr>
          <w:p w14:paraId="365E5595" w14:textId="0464BFBA" w:rsidR="004038EE" w:rsidRPr="00A44063" w:rsidRDefault="004038EE" w:rsidP="004038EE">
            <w:pPr>
              <w:rPr>
                <w:rFonts w:ascii="Times New Roman" w:hAnsi="Times New Roman" w:cs="Times New Roman"/>
              </w:rPr>
            </w:pPr>
            <w:r w:rsidRPr="008C0FF2">
              <w:rPr>
                <w:rFonts w:ascii="Times New Roman" w:hAnsi="Times New Roman" w:cs="Times New Roman"/>
              </w:rPr>
              <w:t>38 – 39.5</w:t>
            </w:r>
            <w:r>
              <w:rPr>
                <w:rFonts w:ascii="Times New Roman" w:hAnsi="Times New Roman" w:cs="Times New Roman"/>
              </w:rPr>
              <w:t xml:space="preserve"> GHz</w:t>
            </w:r>
          </w:p>
        </w:tc>
        <w:tc>
          <w:tcPr>
            <w:tcW w:w="5902" w:type="dxa"/>
          </w:tcPr>
          <w:p w14:paraId="5C06085F" w14:textId="281BE87C"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550D</w:t>
            </w:r>
            <w:r w:rsidRPr="003948EC">
              <w:rPr>
                <w:rFonts w:ascii="Times New Roman" w:hAnsi="Times New Roman" w:cs="Times New Roman"/>
              </w:rPr>
              <w:t xml:space="preserve"> </w:t>
            </w:r>
            <w:r>
              <w:rPr>
                <w:rFonts w:ascii="Times New Roman" w:hAnsi="Times New Roman" w:cs="Times New Roman"/>
              </w:rPr>
              <w:t xml:space="preserve">to primary service </w:t>
            </w:r>
            <w:r>
              <w:rPr>
                <w:rFonts w:ascii="Times New Roman" w:hAnsi="Times New Roman" w:cs="Times New Roman"/>
                <w:b/>
                <w:bCs/>
              </w:rPr>
              <w:t>Fixed</w:t>
            </w:r>
            <w:r>
              <w:rPr>
                <w:rFonts w:ascii="Times New Roman" w:hAnsi="Times New Roman" w:cs="Times New Roman"/>
              </w:rPr>
              <w:t>.</w:t>
            </w:r>
          </w:p>
        </w:tc>
      </w:tr>
      <w:tr w:rsidR="004038EE" w:rsidRPr="00A44063" w14:paraId="0F2AB318" w14:textId="77777777" w:rsidTr="00B740E4">
        <w:trPr>
          <w:cantSplit/>
        </w:trPr>
        <w:tc>
          <w:tcPr>
            <w:tcW w:w="439" w:type="dxa"/>
          </w:tcPr>
          <w:p w14:paraId="31A55AB9" w14:textId="56E9E53F" w:rsidR="004038EE" w:rsidRPr="00A44063" w:rsidRDefault="004038EE" w:rsidP="004038EE">
            <w:pPr>
              <w:rPr>
                <w:rFonts w:ascii="Times New Roman" w:hAnsi="Times New Roman" w:cs="Times New Roman"/>
              </w:rPr>
            </w:pPr>
            <w:r w:rsidRPr="00A44063">
              <w:rPr>
                <w:rFonts w:ascii="Times New Roman" w:hAnsi="Times New Roman" w:cs="Times New Roman"/>
              </w:rPr>
              <w:t>21</w:t>
            </w:r>
          </w:p>
        </w:tc>
        <w:tc>
          <w:tcPr>
            <w:tcW w:w="2675" w:type="dxa"/>
          </w:tcPr>
          <w:p w14:paraId="2F964114" w14:textId="51B2B370" w:rsidR="004038EE" w:rsidRPr="00A44063" w:rsidRDefault="004038EE" w:rsidP="004038EE">
            <w:pPr>
              <w:rPr>
                <w:rFonts w:ascii="Times New Roman" w:hAnsi="Times New Roman" w:cs="Times New Roman"/>
              </w:rPr>
            </w:pPr>
            <w:r w:rsidRPr="008C0FF2">
              <w:rPr>
                <w:rFonts w:ascii="Times New Roman" w:hAnsi="Times New Roman" w:cs="Times New Roman"/>
              </w:rPr>
              <w:t xml:space="preserve">38 – </w:t>
            </w:r>
            <w:r>
              <w:rPr>
                <w:rFonts w:ascii="Times New Roman" w:hAnsi="Times New Roman" w:cs="Times New Roman"/>
              </w:rPr>
              <w:t>40.5 GHz</w:t>
            </w:r>
          </w:p>
        </w:tc>
        <w:tc>
          <w:tcPr>
            <w:tcW w:w="5902" w:type="dxa"/>
          </w:tcPr>
          <w:p w14:paraId="324B55E3" w14:textId="4F9ABA16"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550B</w:t>
            </w:r>
            <w:r>
              <w:rPr>
                <w:rFonts w:ascii="Times New Roman" w:hAnsi="Times New Roman" w:cs="Times New Roman"/>
              </w:rPr>
              <w:t xml:space="preserve"> to primary service </w:t>
            </w:r>
            <w:r>
              <w:rPr>
                <w:rFonts w:ascii="Times New Roman" w:hAnsi="Times New Roman" w:cs="Times New Roman"/>
                <w:b/>
                <w:bCs/>
              </w:rPr>
              <w:t>Mobile</w:t>
            </w:r>
            <w:r w:rsidRPr="008C0FF2">
              <w:rPr>
                <w:rFonts w:ascii="Times New Roman" w:hAnsi="Times New Roman" w:cs="Times New Roman"/>
              </w:rPr>
              <w:t>.</w:t>
            </w:r>
          </w:p>
        </w:tc>
      </w:tr>
      <w:tr w:rsidR="004038EE" w:rsidRPr="00A44063" w14:paraId="30C18514" w14:textId="77777777" w:rsidTr="00B740E4">
        <w:trPr>
          <w:cantSplit/>
        </w:trPr>
        <w:tc>
          <w:tcPr>
            <w:tcW w:w="439" w:type="dxa"/>
          </w:tcPr>
          <w:p w14:paraId="5D8F7DF9" w14:textId="660C89BC" w:rsidR="004038EE" w:rsidRPr="00A44063" w:rsidRDefault="004038EE" w:rsidP="004038EE">
            <w:pPr>
              <w:rPr>
                <w:rFonts w:ascii="Times New Roman" w:hAnsi="Times New Roman" w:cs="Times New Roman"/>
              </w:rPr>
            </w:pPr>
            <w:r w:rsidRPr="00A44063">
              <w:rPr>
                <w:rFonts w:ascii="Times New Roman" w:hAnsi="Times New Roman" w:cs="Times New Roman"/>
              </w:rPr>
              <w:t>22</w:t>
            </w:r>
          </w:p>
        </w:tc>
        <w:tc>
          <w:tcPr>
            <w:tcW w:w="2675" w:type="dxa"/>
          </w:tcPr>
          <w:p w14:paraId="64E0923F" w14:textId="7DE1B521" w:rsidR="004038EE" w:rsidRPr="00A44063" w:rsidRDefault="004038EE" w:rsidP="004038EE">
            <w:pPr>
              <w:rPr>
                <w:rFonts w:ascii="Times New Roman" w:hAnsi="Times New Roman" w:cs="Times New Roman"/>
              </w:rPr>
            </w:pPr>
            <w:r w:rsidRPr="008C0FF2">
              <w:rPr>
                <w:rFonts w:ascii="Times New Roman" w:hAnsi="Times New Roman" w:cs="Times New Roman"/>
              </w:rPr>
              <w:t>3</w:t>
            </w:r>
            <w:r>
              <w:rPr>
                <w:rFonts w:ascii="Times New Roman" w:hAnsi="Times New Roman" w:cs="Times New Roman"/>
              </w:rPr>
              <w:t>9.5</w:t>
            </w:r>
            <w:r w:rsidRPr="008C0FF2">
              <w:rPr>
                <w:rFonts w:ascii="Times New Roman" w:hAnsi="Times New Roman" w:cs="Times New Roman"/>
              </w:rPr>
              <w:t xml:space="preserve"> – </w:t>
            </w:r>
            <w:r>
              <w:rPr>
                <w:rFonts w:ascii="Times New Roman" w:hAnsi="Times New Roman" w:cs="Times New Roman"/>
              </w:rPr>
              <w:t>40.5 GHz</w:t>
            </w:r>
          </w:p>
        </w:tc>
        <w:tc>
          <w:tcPr>
            <w:tcW w:w="5902" w:type="dxa"/>
          </w:tcPr>
          <w:p w14:paraId="16575E18" w14:textId="56EEBCB5"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550E</w:t>
            </w:r>
            <w:r w:rsidRPr="003948EC">
              <w:rPr>
                <w:rFonts w:ascii="Times New Roman" w:hAnsi="Times New Roman" w:cs="Times New Roman"/>
              </w:rPr>
              <w:t>.</w:t>
            </w:r>
          </w:p>
        </w:tc>
      </w:tr>
      <w:tr w:rsidR="004038EE" w:rsidRPr="00A44063" w14:paraId="0A7A3222" w14:textId="77777777" w:rsidTr="00B740E4">
        <w:trPr>
          <w:cantSplit/>
        </w:trPr>
        <w:tc>
          <w:tcPr>
            <w:tcW w:w="439" w:type="dxa"/>
          </w:tcPr>
          <w:p w14:paraId="58C8A881" w14:textId="0A0CE810" w:rsidR="004038EE" w:rsidRPr="00A44063" w:rsidRDefault="004038EE" w:rsidP="004038EE">
            <w:pPr>
              <w:rPr>
                <w:rFonts w:ascii="Times New Roman" w:hAnsi="Times New Roman" w:cs="Times New Roman"/>
              </w:rPr>
            </w:pPr>
            <w:r w:rsidRPr="00A44063">
              <w:rPr>
                <w:rFonts w:ascii="Times New Roman" w:hAnsi="Times New Roman" w:cs="Times New Roman"/>
              </w:rPr>
              <w:t>23</w:t>
            </w:r>
          </w:p>
        </w:tc>
        <w:tc>
          <w:tcPr>
            <w:tcW w:w="2675" w:type="dxa"/>
          </w:tcPr>
          <w:p w14:paraId="24F541B8" w14:textId="1FCA4033" w:rsidR="004038EE" w:rsidRPr="00A44063" w:rsidRDefault="004038EE" w:rsidP="004038EE">
            <w:pPr>
              <w:rPr>
                <w:rFonts w:ascii="Times New Roman" w:hAnsi="Times New Roman" w:cs="Times New Roman"/>
              </w:rPr>
            </w:pPr>
            <w:r>
              <w:rPr>
                <w:rFonts w:ascii="Times New Roman" w:hAnsi="Times New Roman" w:cs="Times New Roman"/>
              </w:rPr>
              <w:t>40.5</w:t>
            </w:r>
            <w:r w:rsidRPr="008C0FF2">
              <w:rPr>
                <w:rFonts w:ascii="Times New Roman" w:hAnsi="Times New Roman" w:cs="Times New Roman"/>
              </w:rPr>
              <w:t xml:space="preserve"> – </w:t>
            </w:r>
            <w:r>
              <w:rPr>
                <w:rFonts w:ascii="Times New Roman" w:hAnsi="Times New Roman" w:cs="Times New Roman"/>
              </w:rPr>
              <w:t>42.5 GHz</w:t>
            </w:r>
          </w:p>
        </w:tc>
        <w:tc>
          <w:tcPr>
            <w:tcW w:w="5902" w:type="dxa"/>
          </w:tcPr>
          <w:p w14:paraId="2D0DB334" w14:textId="77777777" w:rsidR="004038EE" w:rsidRDefault="004038EE" w:rsidP="004038EE">
            <w:pPr>
              <w:rPr>
                <w:rFonts w:ascii="Times New Roman" w:hAnsi="Times New Roman" w:cs="Times New Roman"/>
              </w:rPr>
            </w:pPr>
            <w:r>
              <w:rPr>
                <w:rFonts w:ascii="Times New Roman" w:hAnsi="Times New Roman" w:cs="Times New Roman"/>
              </w:rPr>
              <w:t xml:space="preserve">Removed secondary service </w:t>
            </w:r>
            <w:r w:rsidRPr="00423BE9">
              <w:rPr>
                <w:rFonts w:ascii="Times New Roman" w:hAnsi="Times New Roman" w:cs="Times New Roman"/>
                <w:b/>
                <w:bCs/>
              </w:rPr>
              <w:t>Mobile</w:t>
            </w:r>
            <w:r>
              <w:rPr>
                <w:rFonts w:ascii="Times New Roman" w:hAnsi="Times New Roman" w:cs="Times New Roman"/>
              </w:rPr>
              <w:t>.</w:t>
            </w:r>
          </w:p>
          <w:p w14:paraId="01A0A118" w14:textId="77777777" w:rsidR="004038EE" w:rsidRDefault="004038EE" w:rsidP="004038EE">
            <w:pPr>
              <w:rPr>
                <w:rFonts w:ascii="Times New Roman" w:hAnsi="Times New Roman" w:cs="Times New Roman"/>
              </w:rPr>
            </w:pPr>
          </w:p>
          <w:p w14:paraId="0A50C8F9" w14:textId="77777777" w:rsidR="004038EE" w:rsidRDefault="004038EE" w:rsidP="004038EE">
            <w:pPr>
              <w:rPr>
                <w:rFonts w:ascii="Times New Roman" w:hAnsi="Times New Roman" w:cs="Times New Roman"/>
              </w:rPr>
            </w:pPr>
            <w:r>
              <w:rPr>
                <w:rFonts w:ascii="Times New Roman" w:hAnsi="Times New Roman" w:cs="Times New Roman"/>
              </w:rPr>
              <w:t xml:space="preserve">Added primary service </w:t>
            </w:r>
            <w:r w:rsidRPr="00423BE9">
              <w:rPr>
                <w:rFonts w:ascii="Times New Roman" w:hAnsi="Times New Roman" w:cs="Times New Roman"/>
                <w:b/>
                <w:bCs/>
              </w:rPr>
              <w:t>Land Mobile</w:t>
            </w:r>
            <w:r>
              <w:rPr>
                <w:rFonts w:ascii="Times New Roman" w:hAnsi="Times New Roman" w:cs="Times New Roman"/>
              </w:rPr>
              <w:t xml:space="preserve"> and corresponding footnote </w:t>
            </w:r>
            <w:r w:rsidRPr="00423BE9">
              <w:rPr>
                <w:rFonts w:ascii="Times New Roman" w:hAnsi="Times New Roman" w:cs="Times New Roman"/>
                <w:b/>
                <w:bCs/>
              </w:rPr>
              <w:t>550B</w:t>
            </w:r>
            <w:r>
              <w:rPr>
                <w:rFonts w:ascii="Times New Roman" w:hAnsi="Times New Roman" w:cs="Times New Roman"/>
              </w:rPr>
              <w:t>.</w:t>
            </w:r>
          </w:p>
          <w:p w14:paraId="583AB539" w14:textId="77777777" w:rsidR="004038EE" w:rsidRDefault="004038EE" w:rsidP="004038EE">
            <w:pPr>
              <w:rPr>
                <w:rFonts w:ascii="Times New Roman" w:hAnsi="Times New Roman" w:cs="Times New Roman"/>
              </w:rPr>
            </w:pPr>
          </w:p>
          <w:p w14:paraId="6FE6F60D" w14:textId="5F473CF6" w:rsidR="004038EE" w:rsidRPr="00A44063" w:rsidRDefault="004038EE" w:rsidP="004038EE">
            <w:pPr>
              <w:rPr>
                <w:rFonts w:ascii="Times New Roman" w:hAnsi="Times New Roman" w:cs="Times New Roman"/>
              </w:rPr>
            </w:pPr>
            <w:r>
              <w:rPr>
                <w:rFonts w:ascii="Times New Roman" w:hAnsi="Times New Roman" w:cs="Times New Roman"/>
              </w:rPr>
              <w:t xml:space="preserve">Added secondary services </w:t>
            </w:r>
            <w:r w:rsidRPr="00423BE9">
              <w:rPr>
                <w:rFonts w:ascii="Times New Roman" w:hAnsi="Times New Roman" w:cs="Times New Roman"/>
                <w:b/>
                <w:bCs/>
              </w:rPr>
              <w:t>Aeronautical mobile</w:t>
            </w:r>
            <w:r>
              <w:rPr>
                <w:rFonts w:ascii="Times New Roman" w:hAnsi="Times New Roman" w:cs="Times New Roman"/>
              </w:rPr>
              <w:t xml:space="preserve"> and </w:t>
            </w:r>
            <w:r w:rsidRPr="00423BE9">
              <w:rPr>
                <w:rFonts w:ascii="Times New Roman" w:hAnsi="Times New Roman" w:cs="Times New Roman"/>
                <w:b/>
                <w:bCs/>
              </w:rPr>
              <w:t>Maritime mobile</w:t>
            </w:r>
            <w:r>
              <w:rPr>
                <w:rFonts w:ascii="Times New Roman" w:hAnsi="Times New Roman" w:cs="Times New Roman"/>
              </w:rPr>
              <w:t>.</w:t>
            </w:r>
          </w:p>
        </w:tc>
      </w:tr>
      <w:tr w:rsidR="004038EE" w:rsidRPr="00A44063" w14:paraId="5E475473" w14:textId="77777777" w:rsidTr="00B740E4">
        <w:trPr>
          <w:cantSplit/>
        </w:trPr>
        <w:tc>
          <w:tcPr>
            <w:tcW w:w="439" w:type="dxa"/>
          </w:tcPr>
          <w:p w14:paraId="0CA5F688" w14:textId="2C2F5D78" w:rsidR="004038EE" w:rsidRPr="00A44063" w:rsidRDefault="004038EE" w:rsidP="004038EE">
            <w:pPr>
              <w:rPr>
                <w:rFonts w:ascii="Times New Roman" w:hAnsi="Times New Roman" w:cs="Times New Roman"/>
              </w:rPr>
            </w:pPr>
            <w:r w:rsidRPr="00A44063">
              <w:rPr>
                <w:rFonts w:ascii="Times New Roman" w:hAnsi="Times New Roman" w:cs="Times New Roman"/>
              </w:rPr>
              <w:t>24</w:t>
            </w:r>
          </w:p>
        </w:tc>
        <w:tc>
          <w:tcPr>
            <w:tcW w:w="2675" w:type="dxa"/>
          </w:tcPr>
          <w:p w14:paraId="55EF81DE" w14:textId="4AFA8514" w:rsidR="004038EE" w:rsidRPr="00A44063" w:rsidRDefault="004038EE" w:rsidP="004038EE">
            <w:pPr>
              <w:rPr>
                <w:rFonts w:ascii="Times New Roman" w:hAnsi="Times New Roman" w:cs="Times New Roman"/>
              </w:rPr>
            </w:pPr>
            <w:r>
              <w:rPr>
                <w:rFonts w:ascii="Times New Roman" w:hAnsi="Times New Roman" w:cs="Times New Roman"/>
              </w:rPr>
              <w:t>47.2</w:t>
            </w:r>
            <w:r w:rsidRPr="008C0FF2">
              <w:rPr>
                <w:rFonts w:ascii="Times New Roman" w:hAnsi="Times New Roman" w:cs="Times New Roman"/>
              </w:rPr>
              <w:t xml:space="preserve"> – </w:t>
            </w:r>
            <w:r>
              <w:rPr>
                <w:rFonts w:ascii="Times New Roman" w:hAnsi="Times New Roman" w:cs="Times New Roman"/>
              </w:rPr>
              <w:t>48.2 GHz</w:t>
            </w:r>
          </w:p>
        </w:tc>
        <w:tc>
          <w:tcPr>
            <w:tcW w:w="5902" w:type="dxa"/>
          </w:tcPr>
          <w:p w14:paraId="6055FFE8" w14:textId="07D036B2"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553B</w:t>
            </w:r>
            <w:r>
              <w:rPr>
                <w:rFonts w:ascii="Times New Roman" w:hAnsi="Times New Roman" w:cs="Times New Roman"/>
              </w:rPr>
              <w:t xml:space="preserve"> to primary service </w:t>
            </w:r>
            <w:r>
              <w:rPr>
                <w:rFonts w:ascii="Times New Roman" w:hAnsi="Times New Roman" w:cs="Times New Roman"/>
                <w:b/>
                <w:bCs/>
              </w:rPr>
              <w:t>Mobile</w:t>
            </w:r>
            <w:r w:rsidRPr="008C0FF2">
              <w:rPr>
                <w:rFonts w:ascii="Times New Roman" w:hAnsi="Times New Roman" w:cs="Times New Roman"/>
              </w:rPr>
              <w:t>.</w:t>
            </w:r>
          </w:p>
        </w:tc>
      </w:tr>
      <w:tr w:rsidR="004038EE" w:rsidRPr="00A44063" w14:paraId="45CE337B" w14:textId="77777777" w:rsidTr="00B740E4">
        <w:trPr>
          <w:cantSplit/>
        </w:trPr>
        <w:tc>
          <w:tcPr>
            <w:tcW w:w="439" w:type="dxa"/>
          </w:tcPr>
          <w:p w14:paraId="0D2FDF15" w14:textId="30218C27" w:rsidR="004038EE" w:rsidRPr="00A44063" w:rsidRDefault="004038EE" w:rsidP="004038EE">
            <w:pPr>
              <w:rPr>
                <w:rFonts w:ascii="Times New Roman" w:hAnsi="Times New Roman" w:cs="Times New Roman"/>
              </w:rPr>
            </w:pPr>
            <w:r w:rsidRPr="00A44063">
              <w:rPr>
                <w:rFonts w:ascii="Times New Roman" w:hAnsi="Times New Roman" w:cs="Times New Roman"/>
              </w:rPr>
              <w:t>25</w:t>
            </w:r>
          </w:p>
        </w:tc>
        <w:tc>
          <w:tcPr>
            <w:tcW w:w="2675" w:type="dxa"/>
          </w:tcPr>
          <w:p w14:paraId="008DDA76" w14:textId="59CF09C1" w:rsidR="004038EE" w:rsidRPr="00A44063" w:rsidRDefault="004038EE" w:rsidP="004038EE">
            <w:pPr>
              <w:rPr>
                <w:rFonts w:ascii="Times New Roman" w:hAnsi="Times New Roman" w:cs="Times New Roman"/>
              </w:rPr>
            </w:pPr>
            <w:r w:rsidRPr="00E02C4A">
              <w:rPr>
                <w:rFonts w:ascii="Times New Roman" w:hAnsi="Times New Roman" w:cs="Times New Roman"/>
              </w:rPr>
              <w:t>51.4 – 52.4</w:t>
            </w:r>
            <w:r>
              <w:rPr>
                <w:rFonts w:ascii="Times New Roman" w:hAnsi="Times New Roman" w:cs="Times New Roman"/>
              </w:rPr>
              <w:t xml:space="preserve"> GHz</w:t>
            </w:r>
          </w:p>
        </w:tc>
        <w:tc>
          <w:tcPr>
            <w:tcW w:w="5902" w:type="dxa"/>
          </w:tcPr>
          <w:p w14:paraId="76B608B4" w14:textId="77777777" w:rsidR="004038EE" w:rsidRDefault="004038EE" w:rsidP="004038EE">
            <w:pPr>
              <w:rPr>
                <w:rFonts w:ascii="Times New Roman" w:hAnsi="Times New Roman" w:cs="Times New Roman"/>
              </w:rPr>
            </w:pPr>
            <w:r>
              <w:rPr>
                <w:rFonts w:ascii="Times New Roman" w:hAnsi="Times New Roman" w:cs="Times New Roman"/>
              </w:rPr>
              <w:t xml:space="preserve">Added primary service </w:t>
            </w:r>
            <w:r>
              <w:rPr>
                <w:rFonts w:ascii="Times New Roman" w:hAnsi="Times New Roman" w:cs="Times New Roman"/>
                <w:b/>
                <w:bCs/>
              </w:rPr>
              <w:t>Fixed-Satellite (Earth-to-space)</w:t>
            </w:r>
            <w:r>
              <w:rPr>
                <w:rFonts w:ascii="Times New Roman" w:hAnsi="Times New Roman" w:cs="Times New Roman"/>
              </w:rPr>
              <w:t xml:space="preserve"> and corresponding footnote </w:t>
            </w:r>
            <w:r w:rsidRPr="00423BE9">
              <w:rPr>
                <w:rFonts w:ascii="Times New Roman" w:hAnsi="Times New Roman" w:cs="Times New Roman"/>
                <w:b/>
                <w:bCs/>
              </w:rPr>
              <w:t>55</w:t>
            </w:r>
            <w:r>
              <w:rPr>
                <w:rFonts w:ascii="Times New Roman" w:hAnsi="Times New Roman" w:cs="Times New Roman"/>
                <w:b/>
                <w:bCs/>
              </w:rPr>
              <w:t>5C</w:t>
            </w:r>
            <w:r>
              <w:rPr>
                <w:rFonts w:ascii="Times New Roman" w:hAnsi="Times New Roman" w:cs="Times New Roman"/>
              </w:rPr>
              <w:t>.</w:t>
            </w:r>
          </w:p>
          <w:p w14:paraId="4078C831" w14:textId="77777777" w:rsidR="004038EE" w:rsidRDefault="004038EE" w:rsidP="004038EE">
            <w:pPr>
              <w:rPr>
                <w:rFonts w:ascii="Times New Roman" w:hAnsi="Times New Roman" w:cs="Times New Roman"/>
              </w:rPr>
            </w:pPr>
          </w:p>
          <w:p w14:paraId="5D028C53" w14:textId="74A4E1BB" w:rsidR="004038EE" w:rsidRPr="00A44063" w:rsidRDefault="004038EE" w:rsidP="004038EE">
            <w:pPr>
              <w:rPr>
                <w:rFonts w:ascii="Times New Roman" w:hAnsi="Times New Roman" w:cs="Times New Roman"/>
              </w:rPr>
            </w:pPr>
            <w:r>
              <w:rPr>
                <w:rFonts w:ascii="Times New Roman" w:hAnsi="Times New Roman" w:cs="Times New Roman"/>
              </w:rPr>
              <w:t xml:space="preserve">Removed footnote </w:t>
            </w:r>
            <w:r>
              <w:rPr>
                <w:rFonts w:ascii="Times New Roman" w:hAnsi="Times New Roman" w:cs="Times New Roman"/>
                <w:b/>
                <w:bCs/>
              </w:rPr>
              <w:t>338A</w:t>
            </w:r>
            <w:r>
              <w:rPr>
                <w:rFonts w:ascii="Times New Roman" w:hAnsi="Times New Roman" w:cs="Times New Roman"/>
              </w:rPr>
              <w:t xml:space="preserve"> from primary service </w:t>
            </w:r>
            <w:r w:rsidRPr="00E02C4A">
              <w:rPr>
                <w:rFonts w:ascii="Times New Roman" w:hAnsi="Times New Roman" w:cs="Times New Roman"/>
                <w:b/>
                <w:bCs/>
              </w:rPr>
              <w:t>Fixed</w:t>
            </w:r>
            <w:r>
              <w:rPr>
                <w:rFonts w:ascii="Times New Roman" w:hAnsi="Times New Roman" w:cs="Times New Roman"/>
                <w:b/>
                <w:bCs/>
              </w:rPr>
              <w:t xml:space="preserve"> </w:t>
            </w:r>
            <w:r w:rsidRPr="003948EC">
              <w:rPr>
                <w:rFonts w:ascii="Times New Roman" w:hAnsi="Times New Roman" w:cs="Times New Roman"/>
              </w:rPr>
              <w:t xml:space="preserve">and added </w:t>
            </w:r>
            <w:r>
              <w:rPr>
                <w:rFonts w:ascii="Times New Roman" w:hAnsi="Times New Roman" w:cs="Times New Roman"/>
              </w:rPr>
              <w:t xml:space="preserve">footnote </w:t>
            </w:r>
            <w:r>
              <w:rPr>
                <w:rFonts w:ascii="Times New Roman" w:hAnsi="Times New Roman" w:cs="Times New Roman"/>
                <w:b/>
                <w:bCs/>
              </w:rPr>
              <w:t>338A</w:t>
            </w:r>
            <w:r>
              <w:rPr>
                <w:rFonts w:ascii="Times New Roman" w:hAnsi="Times New Roman" w:cs="Times New Roman"/>
              </w:rPr>
              <w:t xml:space="preserve"> </w:t>
            </w:r>
            <w:r w:rsidRPr="003948EC">
              <w:rPr>
                <w:rFonts w:ascii="Times New Roman" w:hAnsi="Times New Roman" w:cs="Times New Roman"/>
              </w:rPr>
              <w:t xml:space="preserve">to the entire </w:t>
            </w:r>
            <w:r>
              <w:rPr>
                <w:rFonts w:ascii="Times New Roman" w:hAnsi="Times New Roman" w:cs="Times New Roman"/>
              </w:rPr>
              <w:t xml:space="preserve">frequency </w:t>
            </w:r>
            <w:r w:rsidRPr="003948EC">
              <w:rPr>
                <w:rFonts w:ascii="Times New Roman" w:hAnsi="Times New Roman" w:cs="Times New Roman"/>
              </w:rPr>
              <w:t>range</w:t>
            </w:r>
            <w:r>
              <w:rPr>
                <w:rFonts w:ascii="Times New Roman" w:hAnsi="Times New Roman" w:cs="Times New Roman"/>
              </w:rPr>
              <w:t>.</w:t>
            </w:r>
          </w:p>
        </w:tc>
      </w:tr>
      <w:tr w:rsidR="004038EE" w:rsidRPr="00A44063" w14:paraId="34FF1B09" w14:textId="77777777" w:rsidTr="00B740E4">
        <w:trPr>
          <w:cantSplit/>
        </w:trPr>
        <w:tc>
          <w:tcPr>
            <w:tcW w:w="439" w:type="dxa"/>
          </w:tcPr>
          <w:p w14:paraId="3F5DE282" w14:textId="120A798E" w:rsidR="004038EE" w:rsidRPr="00A44063" w:rsidRDefault="004038EE" w:rsidP="004038EE">
            <w:pPr>
              <w:rPr>
                <w:rFonts w:ascii="Times New Roman" w:hAnsi="Times New Roman" w:cs="Times New Roman"/>
              </w:rPr>
            </w:pPr>
            <w:r w:rsidRPr="00A44063">
              <w:rPr>
                <w:rFonts w:ascii="Times New Roman" w:hAnsi="Times New Roman" w:cs="Times New Roman"/>
              </w:rPr>
              <w:t>26</w:t>
            </w:r>
          </w:p>
        </w:tc>
        <w:tc>
          <w:tcPr>
            <w:tcW w:w="2675" w:type="dxa"/>
          </w:tcPr>
          <w:p w14:paraId="0FC76BC6" w14:textId="7474AC48" w:rsidR="004038EE" w:rsidRPr="00A44063" w:rsidRDefault="004038EE" w:rsidP="004038EE">
            <w:pPr>
              <w:rPr>
                <w:rFonts w:ascii="Times New Roman" w:hAnsi="Times New Roman" w:cs="Times New Roman"/>
              </w:rPr>
            </w:pPr>
            <w:r>
              <w:rPr>
                <w:rFonts w:ascii="Times New Roman" w:hAnsi="Times New Roman" w:cs="Times New Roman"/>
              </w:rPr>
              <w:t xml:space="preserve">66 </w:t>
            </w:r>
            <w:r w:rsidRPr="00E02C4A">
              <w:rPr>
                <w:rFonts w:ascii="Times New Roman" w:hAnsi="Times New Roman" w:cs="Times New Roman"/>
              </w:rPr>
              <w:t xml:space="preserve">– </w:t>
            </w:r>
            <w:r>
              <w:rPr>
                <w:rFonts w:ascii="Times New Roman" w:hAnsi="Times New Roman" w:cs="Times New Roman"/>
              </w:rPr>
              <w:t>71 GHz</w:t>
            </w:r>
          </w:p>
        </w:tc>
        <w:tc>
          <w:tcPr>
            <w:tcW w:w="5902" w:type="dxa"/>
          </w:tcPr>
          <w:p w14:paraId="707E3689" w14:textId="3B022EFB" w:rsidR="004038EE" w:rsidRPr="00A44063" w:rsidRDefault="004038EE" w:rsidP="004038EE">
            <w:pPr>
              <w:rPr>
                <w:rFonts w:ascii="Times New Roman" w:hAnsi="Times New Roman" w:cs="Times New Roman"/>
              </w:rPr>
            </w:pPr>
            <w:r w:rsidRPr="001C0E09">
              <w:rPr>
                <w:rFonts w:ascii="Times New Roman" w:hAnsi="Times New Roman" w:cs="Times New Roman"/>
              </w:rPr>
              <w:t xml:space="preserve">Added footnote </w:t>
            </w:r>
            <w:r>
              <w:rPr>
                <w:rFonts w:ascii="Times New Roman" w:hAnsi="Times New Roman" w:cs="Times New Roman"/>
                <w:b/>
                <w:bCs/>
              </w:rPr>
              <w:t>559AA</w:t>
            </w:r>
            <w:r>
              <w:rPr>
                <w:rFonts w:ascii="Times New Roman" w:hAnsi="Times New Roman" w:cs="Times New Roman"/>
              </w:rPr>
              <w:t xml:space="preserve"> to primary service </w:t>
            </w:r>
            <w:r>
              <w:rPr>
                <w:rFonts w:ascii="Times New Roman" w:hAnsi="Times New Roman" w:cs="Times New Roman"/>
                <w:b/>
                <w:bCs/>
              </w:rPr>
              <w:t>Mobile</w:t>
            </w:r>
            <w:r w:rsidRPr="008C0FF2">
              <w:rPr>
                <w:rFonts w:ascii="Times New Roman" w:hAnsi="Times New Roman" w:cs="Times New Roman"/>
              </w:rPr>
              <w:t>.</w:t>
            </w:r>
          </w:p>
        </w:tc>
      </w:tr>
      <w:tr w:rsidR="004038EE" w:rsidRPr="00A44063" w14:paraId="793A4336" w14:textId="77777777" w:rsidTr="00B740E4">
        <w:trPr>
          <w:cantSplit/>
        </w:trPr>
        <w:tc>
          <w:tcPr>
            <w:tcW w:w="439" w:type="dxa"/>
          </w:tcPr>
          <w:p w14:paraId="5C1AFA50" w14:textId="36E5F7B5" w:rsidR="004038EE" w:rsidRPr="00A44063" w:rsidRDefault="004038EE" w:rsidP="004038EE">
            <w:pPr>
              <w:rPr>
                <w:rFonts w:ascii="Times New Roman" w:hAnsi="Times New Roman" w:cs="Times New Roman"/>
              </w:rPr>
            </w:pPr>
            <w:r w:rsidRPr="00A44063">
              <w:rPr>
                <w:rFonts w:ascii="Times New Roman" w:hAnsi="Times New Roman" w:cs="Times New Roman"/>
              </w:rPr>
              <w:t>27</w:t>
            </w:r>
          </w:p>
        </w:tc>
        <w:tc>
          <w:tcPr>
            <w:tcW w:w="2675" w:type="dxa"/>
          </w:tcPr>
          <w:p w14:paraId="1201A78E" w14:textId="5DD13184" w:rsidR="004038EE" w:rsidRPr="00A44063" w:rsidRDefault="004038EE" w:rsidP="004038EE">
            <w:pPr>
              <w:rPr>
                <w:rFonts w:ascii="Times New Roman" w:hAnsi="Times New Roman" w:cs="Times New Roman"/>
              </w:rPr>
            </w:pPr>
            <w:r w:rsidRPr="00C26B29">
              <w:rPr>
                <w:rFonts w:ascii="Times New Roman" w:hAnsi="Times New Roman" w:cs="Times New Roman"/>
              </w:rPr>
              <w:t>155.5 – 158.5</w:t>
            </w:r>
            <w:r>
              <w:rPr>
                <w:rFonts w:ascii="Times New Roman" w:hAnsi="Times New Roman" w:cs="Times New Roman"/>
              </w:rPr>
              <w:t xml:space="preserve"> GHz</w:t>
            </w:r>
          </w:p>
        </w:tc>
        <w:tc>
          <w:tcPr>
            <w:tcW w:w="5902" w:type="dxa"/>
          </w:tcPr>
          <w:p w14:paraId="3D658918" w14:textId="77777777" w:rsidR="004038EE" w:rsidRDefault="004038EE" w:rsidP="004038EE">
            <w:pPr>
              <w:rPr>
                <w:rFonts w:ascii="Times New Roman" w:hAnsi="Times New Roman" w:cs="Times New Roman"/>
              </w:rPr>
            </w:pPr>
            <w:r>
              <w:rPr>
                <w:rFonts w:ascii="Times New Roman" w:hAnsi="Times New Roman" w:cs="Times New Roman"/>
              </w:rPr>
              <w:t xml:space="preserve">Removed primary service </w:t>
            </w:r>
            <w:r w:rsidRPr="00C26B29">
              <w:rPr>
                <w:rFonts w:ascii="Times New Roman" w:hAnsi="Times New Roman" w:cs="Times New Roman"/>
                <w:b/>
                <w:bCs/>
              </w:rPr>
              <w:t>Earth-Exploration Satellite (passive)</w:t>
            </w:r>
            <w:r>
              <w:rPr>
                <w:rFonts w:ascii="Times New Roman" w:hAnsi="Times New Roman" w:cs="Times New Roman"/>
              </w:rPr>
              <w:t>.</w:t>
            </w:r>
          </w:p>
          <w:p w14:paraId="7B492605" w14:textId="77777777" w:rsidR="004038EE" w:rsidRDefault="004038EE" w:rsidP="004038EE">
            <w:pPr>
              <w:rPr>
                <w:rFonts w:ascii="Times New Roman" w:hAnsi="Times New Roman" w:cs="Times New Roman"/>
              </w:rPr>
            </w:pPr>
          </w:p>
          <w:p w14:paraId="404498E2" w14:textId="77777777" w:rsidR="004038EE" w:rsidRDefault="004038EE" w:rsidP="004038EE">
            <w:pPr>
              <w:rPr>
                <w:rFonts w:ascii="Times New Roman" w:hAnsi="Times New Roman" w:cs="Times New Roman"/>
              </w:rPr>
            </w:pPr>
            <w:r>
              <w:rPr>
                <w:rFonts w:ascii="Times New Roman" w:hAnsi="Times New Roman" w:cs="Times New Roman"/>
              </w:rPr>
              <w:t xml:space="preserve">Removed primary service </w:t>
            </w:r>
            <w:r w:rsidRPr="00C26B29">
              <w:rPr>
                <w:rFonts w:ascii="Times New Roman" w:hAnsi="Times New Roman" w:cs="Times New Roman"/>
                <w:b/>
                <w:bCs/>
              </w:rPr>
              <w:t>Space Research (passive)</w:t>
            </w:r>
            <w:r>
              <w:rPr>
                <w:rFonts w:ascii="Times New Roman" w:hAnsi="Times New Roman" w:cs="Times New Roman"/>
              </w:rPr>
              <w:t xml:space="preserve"> and corresponding footnote </w:t>
            </w:r>
            <w:r w:rsidRPr="00C26B29">
              <w:rPr>
                <w:rFonts w:ascii="Times New Roman" w:hAnsi="Times New Roman" w:cs="Times New Roman"/>
                <w:b/>
                <w:bCs/>
              </w:rPr>
              <w:t>562G</w:t>
            </w:r>
            <w:r>
              <w:rPr>
                <w:rFonts w:ascii="Times New Roman" w:hAnsi="Times New Roman" w:cs="Times New Roman"/>
              </w:rPr>
              <w:t>.</w:t>
            </w:r>
          </w:p>
          <w:p w14:paraId="22A9F4BD" w14:textId="77777777" w:rsidR="004038EE" w:rsidRDefault="004038EE" w:rsidP="004038EE">
            <w:pPr>
              <w:rPr>
                <w:rFonts w:ascii="Times New Roman" w:hAnsi="Times New Roman" w:cs="Times New Roman"/>
              </w:rPr>
            </w:pPr>
          </w:p>
          <w:p w14:paraId="6485B9EA" w14:textId="6D1EB9F1" w:rsidR="004038EE" w:rsidRPr="00A44063" w:rsidRDefault="004038EE" w:rsidP="004038EE">
            <w:pPr>
              <w:rPr>
                <w:rFonts w:ascii="Times New Roman" w:hAnsi="Times New Roman" w:cs="Times New Roman"/>
              </w:rPr>
            </w:pPr>
            <w:r>
              <w:rPr>
                <w:rFonts w:ascii="Times New Roman" w:hAnsi="Times New Roman" w:cs="Times New Roman"/>
              </w:rPr>
              <w:t xml:space="preserve">Removed footnotes </w:t>
            </w:r>
            <w:r w:rsidRPr="00C26B29">
              <w:rPr>
                <w:rFonts w:ascii="Times New Roman" w:hAnsi="Times New Roman" w:cs="Times New Roman"/>
                <w:b/>
                <w:bCs/>
              </w:rPr>
              <w:t>562F</w:t>
            </w:r>
            <w:r>
              <w:rPr>
                <w:rFonts w:ascii="Times New Roman" w:hAnsi="Times New Roman" w:cs="Times New Roman"/>
              </w:rPr>
              <w:t xml:space="preserve"> and </w:t>
            </w:r>
            <w:r w:rsidRPr="00C26B29">
              <w:rPr>
                <w:rFonts w:ascii="Times New Roman" w:hAnsi="Times New Roman" w:cs="Times New Roman"/>
                <w:b/>
                <w:bCs/>
              </w:rPr>
              <w:t>562G</w:t>
            </w:r>
            <w:r>
              <w:rPr>
                <w:rFonts w:ascii="Times New Roman" w:hAnsi="Times New Roman" w:cs="Times New Roman"/>
              </w:rPr>
              <w:t xml:space="preserve">. </w:t>
            </w:r>
          </w:p>
        </w:tc>
      </w:tr>
      <w:tr w:rsidR="004038EE" w:rsidRPr="00A44063" w14:paraId="5EBC1AB9" w14:textId="77777777" w:rsidTr="00B740E4">
        <w:trPr>
          <w:cantSplit/>
        </w:trPr>
        <w:tc>
          <w:tcPr>
            <w:tcW w:w="439" w:type="dxa"/>
          </w:tcPr>
          <w:p w14:paraId="505287CE" w14:textId="2F5C9A4B" w:rsidR="004038EE" w:rsidRPr="00A44063" w:rsidRDefault="004038EE" w:rsidP="004038EE">
            <w:pPr>
              <w:rPr>
                <w:rFonts w:ascii="Times New Roman" w:hAnsi="Times New Roman" w:cs="Times New Roman"/>
              </w:rPr>
            </w:pPr>
            <w:r w:rsidRPr="00A44063">
              <w:rPr>
                <w:rFonts w:ascii="Times New Roman" w:hAnsi="Times New Roman" w:cs="Times New Roman"/>
              </w:rPr>
              <w:t>28</w:t>
            </w:r>
          </w:p>
        </w:tc>
        <w:tc>
          <w:tcPr>
            <w:tcW w:w="2675" w:type="dxa"/>
          </w:tcPr>
          <w:p w14:paraId="0930C926" w14:textId="4ED05719" w:rsidR="004038EE" w:rsidRPr="00A44063" w:rsidRDefault="004038EE" w:rsidP="004038EE">
            <w:pPr>
              <w:rPr>
                <w:rFonts w:ascii="Times New Roman" w:hAnsi="Times New Roman" w:cs="Times New Roman"/>
              </w:rPr>
            </w:pPr>
            <w:r w:rsidRPr="00C26B29">
              <w:rPr>
                <w:rFonts w:ascii="Times New Roman" w:hAnsi="Times New Roman" w:cs="Times New Roman"/>
              </w:rPr>
              <w:t>275 – 3 000</w:t>
            </w:r>
            <w:r>
              <w:rPr>
                <w:rFonts w:ascii="Times New Roman" w:hAnsi="Times New Roman" w:cs="Times New Roman"/>
              </w:rPr>
              <w:t xml:space="preserve"> GHz</w:t>
            </w:r>
          </w:p>
        </w:tc>
        <w:tc>
          <w:tcPr>
            <w:tcW w:w="5902" w:type="dxa"/>
          </w:tcPr>
          <w:p w14:paraId="2FA16C14" w14:textId="29AA405C" w:rsidR="004038EE" w:rsidRPr="00A44063" w:rsidRDefault="004038EE" w:rsidP="004038EE">
            <w:pPr>
              <w:rPr>
                <w:rFonts w:ascii="Times New Roman" w:hAnsi="Times New Roman" w:cs="Times New Roman"/>
              </w:rPr>
            </w:pPr>
            <w:r>
              <w:rPr>
                <w:rFonts w:ascii="Times New Roman" w:hAnsi="Times New Roman" w:cs="Times New Roman"/>
              </w:rPr>
              <w:t xml:space="preserve">Added footnote </w:t>
            </w:r>
            <w:r w:rsidRPr="00C26B29">
              <w:rPr>
                <w:rFonts w:ascii="Times New Roman" w:hAnsi="Times New Roman" w:cs="Times New Roman"/>
                <w:b/>
                <w:bCs/>
              </w:rPr>
              <w:t>564A</w:t>
            </w:r>
            <w:r>
              <w:rPr>
                <w:rFonts w:ascii="Times New Roman" w:hAnsi="Times New Roman" w:cs="Times New Roman"/>
              </w:rPr>
              <w:t xml:space="preserve">. </w:t>
            </w:r>
          </w:p>
        </w:tc>
      </w:tr>
    </w:tbl>
    <w:p w14:paraId="465C112A" w14:textId="77777777" w:rsidR="00A44063" w:rsidRPr="00B17BD1" w:rsidRDefault="00A44063" w:rsidP="00A44063">
      <w:pPr>
        <w:rPr>
          <w:rFonts w:ascii="Times New Roman" w:hAnsi="Times New Roman" w:cs="Times New Roman"/>
        </w:rPr>
      </w:pPr>
    </w:p>
    <w:sectPr w:rsidR="00A44063" w:rsidRPr="00B17BD1" w:rsidSect="00082354">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910C" w14:textId="77777777" w:rsidR="002529F9" w:rsidRDefault="002529F9" w:rsidP="00025ACE">
      <w:pPr>
        <w:spacing w:after="0" w:line="240" w:lineRule="auto"/>
      </w:pPr>
      <w:r>
        <w:separator/>
      </w:r>
    </w:p>
  </w:endnote>
  <w:endnote w:type="continuationSeparator" w:id="0">
    <w:p w14:paraId="67BF983B" w14:textId="77777777" w:rsidR="002529F9" w:rsidRDefault="002529F9" w:rsidP="00025ACE">
      <w:pPr>
        <w:spacing w:after="0" w:line="240" w:lineRule="auto"/>
      </w:pPr>
      <w:r>
        <w:continuationSeparator/>
      </w:r>
    </w:p>
  </w:endnote>
  <w:endnote w:type="continuationNotice" w:id="1">
    <w:p w14:paraId="7DE47191" w14:textId="77777777" w:rsidR="002529F9" w:rsidRDefault="00252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6C26C2" w:rsidRDefault="006C26C2" w:rsidP="00AD3414">
        <w:pPr>
          <w:pStyle w:val="Footer"/>
          <w:pBdr>
            <w:top w:val="single" w:sz="4" w:space="1" w:color="auto"/>
          </w:pBdr>
          <w:jc w:val="center"/>
        </w:pPr>
      </w:p>
      <w:p w14:paraId="7A9CDA51" w14:textId="1D4DD166" w:rsidR="006C26C2" w:rsidRPr="00AD3414" w:rsidRDefault="006C26C2"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Pr>
            <w:rFonts w:ascii="Times New Roman" w:hAnsi="Times New Roman" w:cs="Times New Roman"/>
            <w:i/>
            <w:iCs/>
          </w:rPr>
          <w:t xml:space="preserve"> Australian Radiocommunications Spectrum Plan 2021</w:t>
        </w:r>
      </w:p>
      <w:p w14:paraId="556B0C98" w14:textId="77777777" w:rsidR="006C26C2" w:rsidRDefault="006C26C2">
        <w:pPr>
          <w:pStyle w:val="Footer"/>
          <w:jc w:val="right"/>
        </w:pPr>
      </w:p>
      <w:p w14:paraId="4E36910F" w14:textId="06CF02C2" w:rsidR="006C26C2" w:rsidRPr="00AD3414" w:rsidRDefault="006C26C2">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6C26C2" w:rsidRPr="00AD3414" w:rsidRDefault="006C26C2"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5FE4" w14:textId="77777777" w:rsidR="002529F9" w:rsidRDefault="002529F9" w:rsidP="00025ACE">
      <w:pPr>
        <w:spacing w:after="0" w:line="240" w:lineRule="auto"/>
      </w:pPr>
      <w:r>
        <w:separator/>
      </w:r>
    </w:p>
    <w:p w14:paraId="0A81AAAA" w14:textId="77777777" w:rsidR="002529F9" w:rsidRDefault="002529F9"/>
    <w:p w14:paraId="2B7CE066" w14:textId="77777777" w:rsidR="002529F9" w:rsidRDefault="002529F9" w:rsidP="00025ACE">
      <w:pPr>
        <w:spacing w:after="0" w:line="240" w:lineRule="auto"/>
      </w:pPr>
      <w:r>
        <w:continuationSeparator/>
      </w:r>
    </w:p>
    <w:p w14:paraId="70B97C13" w14:textId="77777777" w:rsidR="002529F9" w:rsidRDefault="002529F9"/>
    <w:p w14:paraId="16D9C8A2" w14:textId="77777777" w:rsidR="002529F9" w:rsidRDefault="002529F9" w:rsidP="00025ACE">
      <w:pPr>
        <w:spacing w:after="0" w:line="240" w:lineRule="auto"/>
      </w:pPr>
      <w:r>
        <w:separator/>
      </w:r>
    </w:p>
    <w:p w14:paraId="3BF2BFB3" w14:textId="77777777" w:rsidR="002529F9" w:rsidRDefault="002529F9"/>
    <w:p w14:paraId="6AB10F7D" w14:textId="77777777" w:rsidR="002529F9" w:rsidRDefault="002529F9" w:rsidP="00025ACE">
      <w:pPr>
        <w:spacing w:after="0" w:line="240" w:lineRule="auto"/>
      </w:pPr>
      <w:r>
        <w:continuationSeparator/>
      </w:r>
    </w:p>
    <w:p w14:paraId="25AC29F8" w14:textId="77777777" w:rsidR="002529F9" w:rsidRDefault="002529F9"/>
    <w:p w14:paraId="58D2D6B9" w14:textId="77777777" w:rsidR="002529F9" w:rsidRDefault="002529F9">
      <w:pPr>
        <w:pStyle w:val="Header"/>
      </w:pPr>
    </w:p>
    <w:p w14:paraId="2B8469EC" w14:textId="77777777" w:rsidR="002529F9" w:rsidRDefault="002529F9"/>
    <w:p w14:paraId="11E06019" w14:textId="77777777" w:rsidR="002529F9" w:rsidRDefault="002529F9">
      <w:pPr>
        <w:pStyle w:val="Header"/>
      </w:pPr>
    </w:p>
    <w:p w14:paraId="67D35EFE" w14:textId="77777777" w:rsidR="002529F9" w:rsidRPr="00AD3414" w:rsidRDefault="002529F9">
      <w:pPr>
        <w:pStyle w:val="Header"/>
        <w:rPr>
          <w:rFonts w:ascii="Times New Roman" w:hAnsi="Times New Roman" w:cs="Times New Roman"/>
        </w:rPr>
      </w:pPr>
    </w:p>
    <w:p w14:paraId="32F03427" w14:textId="77777777" w:rsidR="002529F9" w:rsidRDefault="002529F9"/>
    <w:p w14:paraId="440D9C00" w14:textId="77777777" w:rsidR="002529F9" w:rsidRDefault="002529F9">
      <w:pPr>
        <w:pStyle w:val="Footer"/>
      </w:pPr>
    </w:p>
    <w:p w14:paraId="5926920D" w14:textId="77777777" w:rsidR="002529F9" w:rsidRDefault="002529F9"/>
    <w:sdt>
      <w:sdtPr>
        <w:id w:val="1291319105"/>
        <w:docPartObj>
          <w:docPartGallery w:val="Page Numbers (Bottom of Page)"/>
          <w:docPartUnique/>
        </w:docPartObj>
      </w:sdtPr>
      <w:sdtEndPr>
        <w:rPr>
          <w:i/>
          <w:noProof/>
        </w:rPr>
      </w:sdtEndPr>
      <w:sdtContent>
        <w:p w14:paraId="37BDE5B3" w14:textId="77777777" w:rsidR="002529F9" w:rsidRDefault="002529F9" w:rsidP="00AD3414">
          <w:pPr>
            <w:pStyle w:val="Footer"/>
            <w:pBdr>
              <w:top w:val="single" w:sz="4" w:space="1" w:color="auto"/>
            </w:pBdr>
            <w:jc w:val="center"/>
          </w:pPr>
        </w:p>
        <w:p w14:paraId="0B21C9DD" w14:textId="05E6E656" w:rsidR="002529F9" w:rsidRPr="00AD3414" w:rsidRDefault="002529F9"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837DAB">
            <w:rPr>
              <w:rFonts w:ascii="Times New Roman" w:hAnsi="Times New Roman" w:cs="Times New Roman"/>
              <w:i/>
            </w:rPr>
            <w:t>Radiocommunications</w:t>
          </w:r>
          <w:r>
            <w:rPr>
              <w:rFonts w:ascii="Times New Roman" w:hAnsi="Times New Roman" w:cs="Times New Roman"/>
              <w:i/>
            </w:rPr>
            <w:t xml:space="preserve"> </w:t>
          </w:r>
          <w:r w:rsidR="00837DAB">
            <w:rPr>
              <w:rFonts w:ascii="Times New Roman" w:hAnsi="Times New Roman" w:cs="Times New Roman"/>
              <w:i/>
            </w:rPr>
            <w:t>Unacceptable</w:t>
          </w:r>
          <w:r w:rsidR="00837DAB" w:rsidRPr="00AD3414">
            <w:rPr>
              <w:rFonts w:ascii="Times New Roman" w:hAnsi="Times New Roman" w:cs="Times New Roman"/>
              <w:i/>
            </w:rPr>
            <w:t xml:space="preserve"> Title</w:t>
          </w:r>
          <w:r w:rsidRPr="00AD3414">
            <w:rPr>
              <w:rFonts w:ascii="Times New Roman" w:hAnsi="Times New Roman" w:cs="Times New Roman"/>
              <w:i/>
            </w:rPr>
            <w:t xml:space="preserve"> of instrument, including year of making]</w:t>
          </w:r>
        </w:p>
        <w:p w14:paraId="2A49E1DA" w14:textId="77777777" w:rsidR="002529F9" w:rsidRDefault="002529F9">
          <w:pPr>
            <w:pStyle w:val="Footer"/>
            <w:jc w:val="right"/>
          </w:pPr>
        </w:p>
        <w:p w14:paraId="6F6A355E" w14:textId="77777777" w:rsidR="002529F9" w:rsidRPr="00AD3414" w:rsidRDefault="002529F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588E5ACC" w14:textId="77777777" w:rsidR="002529F9" w:rsidRPr="00AD3414" w:rsidRDefault="002529F9" w:rsidP="00AD3414">
      <w:pPr>
        <w:pStyle w:val="Footer"/>
        <w:jc w:val="center"/>
        <w:rPr>
          <w:rFonts w:ascii="Times New Roman" w:hAnsi="Times New Roman" w:cs="Times New Roman"/>
        </w:rPr>
      </w:pPr>
    </w:p>
  </w:footnote>
  <w:footnote w:type="continuationSeparator" w:id="0">
    <w:p w14:paraId="32E47B61" w14:textId="77777777" w:rsidR="002529F9" w:rsidRDefault="002529F9" w:rsidP="00025ACE">
      <w:pPr>
        <w:spacing w:after="0" w:line="240" w:lineRule="auto"/>
      </w:pPr>
      <w:r>
        <w:continuationSeparator/>
      </w:r>
    </w:p>
  </w:footnote>
  <w:footnote w:type="continuationNotice" w:id="1">
    <w:p w14:paraId="6E21D859" w14:textId="77777777" w:rsidR="002529F9" w:rsidRDefault="00252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6C26C2" w:rsidRDefault="006C26C2">
    <w:pPr>
      <w:pStyle w:val="Header"/>
    </w:pPr>
  </w:p>
  <w:p w14:paraId="1FE48E17" w14:textId="77777777" w:rsidR="006C26C2" w:rsidRPr="00AD3414" w:rsidRDefault="006C26C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4"/>
  </w:num>
  <w:num w:numId="2">
    <w:abstractNumId w:val="10"/>
  </w:num>
  <w:num w:numId="3">
    <w:abstractNumId w:val="3"/>
  </w:num>
  <w:num w:numId="4">
    <w:abstractNumId w:val="7"/>
  </w:num>
  <w:num w:numId="5">
    <w:abstractNumId w:val="6"/>
  </w:num>
  <w:num w:numId="6">
    <w:abstractNumId w:val="2"/>
  </w:num>
  <w:num w:numId="7">
    <w:abstractNumId w:val="5"/>
  </w:num>
  <w:num w:numId="8">
    <w:abstractNumId w:val="14"/>
  </w:num>
  <w:num w:numId="9">
    <w:abstractNumId w:val="3"/>
  </w:num>
  <w:num w:numId="10">
    <w:abstractNumId w:val="5"/>
  </w:num>
  <w:num w:numId="11">
    <w:abstractNumId w:val="7"/>
  </w:num>
  <w:num w:numId="12">
    <w:abstractNumId w:val="6"/>
  </w:num>
  <w:num w:numId="13">
    <w:abstractNumId w:val="14"/>
  </w:num>
  <w:num w:numId="14">
    <w:abstractNumId w:val="3"/>
  </w:num>
  <w:num w:numId="15">
    <w:abstractNumId w:val="5"/>
  </w:num>
  <w:num w:numId="16">
    <w:abstractNumId w:val="7"/>
  </w:num>
  <w:num w:numId="17">
    <w:abstractNumId w:val="6"/>
  </w:num>
  <w:num w:numId="18">
    <w:abstractNumId w:val="4"/>
  </w:num>
  <w:num w:numId="19">
    <w:abstractNumId w:val="13"/>
  </w:num>
  <w:num w:numId="20">
    <w:abstractNumId w:val="16"/>
  </w:num>
  <w:num w:numId="21">
    <w:abstractNumId w:val="0"/>
  </w:num>
  <w:num w:numId="22">
    <w:abstractNumId w:val="8"/>
  </w:num>
  <w:num w:numId="23">
    <w:abstractNumId w:val="1"/>
  </w:num>
  <w:num w:numId="24">
    <w:abstractNumId w:val="12"/>
  </w:num>
  <w:num w:numId="25">
    <w:abstractNumId w:val="11"/>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13987"/>
    <w:rsid w:val="000256ED"/>
    <w:rsid w:val="00025ACE"/>
    <w:rsid w:val="00030D1C"/>
    <w:rsid w:val="00030F14"/>
    <w:rsid w:val="00037F0E"/>
    <w:rsid w:val="00040980"/>
    <w:rsid w:val="00045886"/>
    <w:rsid w:val="00045B15"/>
    <w:rsid w:val="00064C6B"/>
    <w:rsid w:val="00070D91"/>
    <w:rsid w:val="000726C7"/>
    <w:rsid w:val="00074A8D"/>
    <w:rsid w:val="00076879"/>
    <w:rsid w:val="00082354"/>
    <w:rsid w:val="00085AD8"/>
    <w:rsid w:val="00095AB3"/>
    <w:rsid w:val="000A3A94"/>
    <w:rsid w:val="000B0BA7"/>
    <w:rsid w:val="000B33B6"/>
    <w:rsid w:val="000B4B6C"/>
    <w:rsid w:val="000B540E"/>
    <w:rsid w:val="000C6436"/>
    <w:rsid w:val="000D4ECE"/>
    <w:rsid w:val="000E38C9"/>
    <w:rsid w:val="000E6F58"/>
    <w:rsid w:val="000F4600"/>
    <w:rsid w:val="000F5275"/>
    <w:rsid w:val="000F6255"/>
    <w:rsid w:val="000F6E3F"/>
    <w:rsid w:val="00104130"/>
    <w:rsid w:val="00112987"/>
    <w:rsid w:val="0011398E"/>
    <w:rsid w:val="00117351"/>
    <w:rsid w:val="00121B9E"/>
    <w:rsid w:val="00122072"/>
    <w:rsid w:val="00134705"/>
    <w:rsid w:val="00146A0C"/>
    <w:rsid w:val="00155FF9"/>
    <w:rsid w:val="00157528"/>
    <w:rsid w:val="00161C73"/>
    <w:rsid w:val="00171E85"/>
    <w:rsid w:val="00185BDC"/>
    <w:rsid w:val="001B2DAA"/>
    <w:rsid w:val="001B6E99"/>
    <w:rsid w:val="001C0E09"/>
    <w:rsid w:val="001C4BF8"/>
    <w:rsid w:val="001C5421"/>
    <w:rsid w:val="001D5C25"/>
    <w:rsid w:val="001E1172"/>
    <w:rsid w:val="001E343E"/>
    <w:rsid w:val="00212847"/>
    <w:rsid w:val="00216531"/>
    <w:rsid w:val="00223D30"/>
    <w:rsid w:val="00242ADD"/>
    <w:rsid w:val="00246EE2"/>
    <w:rsid w:val="002508F7"/>
    <w:rsid w:val="002529F9"/>
    <w:rsid w:val="0025611A"/>
    <w:rsid w:val="002674E7"/>
    <w:rsid w:val="00287E7A"/>
    <w:rsid w:val="00294854"/>
    <w:rsid w:val="0029763A"/>
    <w:rsid w:val="002A3B76"/>
    <w:rsid w:val="002B6699"/>
    <w:rsid w:val="002C139D"/>
    <w:rsid w:val="002C2256"/>
    <w:rsid w:val="002D040C"/>
    <w:rsid w:val="002E3B2A"/>
    <w:rsid w:val="002F36E0"/>
    <w:rsid w:val="00303F15"/>
    <w:rsid w:val="00310B06"/>
    <w:rsid w:val="00336BB1"/>
    <w:rsid w:val="00341EEB"/>
    <w:rsid w:val="003434D4"/>
    <w:rsid w:val="00345B5A"/>
    <w:rsid w:val="003463BA"/>
    <w:rsid w:val="00363DFC"/>
    <w:rsid w:val="0036752E"/>
    <w:rsid w:val="00370620"/>
    <w:rsid w:val="00375FA7"/>
    <w:rsid w:val="00385EF1"/>
    <w:rsid w:val="003948EC"/>
    <w:rsid w:val="003A3635"/>
    <w:rsid w:val="003A7407"/>
    <w:rsid w:val="003B3D92"/>
    <w:rsid w:val="003B5D9B"/>
    <w:rsid w:val="003C2F82"/>
    <w:rsid w:val="003C44B4"/>
    <w:rsid w:val="003D23F8"/>
    <w:rsid w:val="003D48C6"/>
    <w:rsid w:val="003D5638"/>
    <w:rsid w:val="003D74BE"/>
    <w:rsid w:val="004038EE"/>
    <w:rsid w:val="0041003E"/>
    <w:rsid w:val="00412326"/>
    <w:rsid w:val="00421632"/>
    <w:rsid w:val="00422EA0"/>
    <w:rsid w:val="00423BE9"/>
    <w:rsid w:val="0043037A"/>
    <w:rsid w:val="004362E3"/>
    <w:rsid w:val="00446CB7"/>
    <w:rsid w:val="00450F48"/>
    <w:rsid w:val="0045489F"/>
    <w:rsid w:val="00474889"/>
    <w:rsid w:val="004826DD"/>
    <w:rsid w:val="004971D6"/>
    <w:rsid w:val="004A1064"/>
    <w:rsid w:val="004B7207"/>
    <w:rsid w:val="004C3DBD"/>
    <w:rsid w:val="004C46F8"/>
    <w:rsid w:val="004C58B9"/>
    <w:rsid w:val="004C6D9E"/>
    <w:rsid w:val="004D2843"/>
    <w:rsid w:val="004E790E"/>
    <w:rsid w:val="004F1D39"/>
    <w:rsid w:val="004F52E2"/>
    <w:rsid w:val="004F5CC1"/>
    <w:rsid w:val="0050389F"/>
    <w:rsid w:val="005075D3"/>
    <w:rsid w:val="0052687A"/>
    <w:rsid w:val="00536201"/>
    <w:rsid w:val="005708FF"/>
    <w:rsid w:val="00570974"/>
    <w:rsid w:val="00571505"/>
    <w:rsid w:val="0057545F"/>
    <w:rsid w:val="00585F58"/>
    <w:rsid w:val="00594EFC"/>
    <w:rsid w:val="005958D6"/>
    <w:rsid w:val="005964CF"/>
    <w:rsid w:val="005A490D"/>
    <w:rsid w:val="005A5624"/>
    <w:rsid w:val="005C65EB"/>
    <w:rsid w:val="005F5BE6"/>
    <w:rsid w:val="00603B3F"/>
    <w:rsid w:val="00610643"/>
    <w:rsid w:val="00621840"/>
    <w:rsid w:val="00626C64"/>
    <w:rsid w:val="006311D7"/>
    <w:rsid w:val="00641906"/>
    <w:rsid w:val="00663AF2"/>
    <w:rsid w:val="00664519"/>
    <w:rsid w:val="00670716"/>
    <w:rsid w:val="00671216"/>
    <w:rsid w:val="00681986"/>
    <w:rsid w:val="0068444F"/>
    <w:rsid w:val="0068574A"/>
    <w:rsid w:val="00686F06"/>
    <w:rsid w:val="00687290"/>
    <w:rsid w:val="006940DB"/>
    <w:rsid w:val="00696659"/>
    <w:rsid w:val="006A0BDF"/>
    <w:rsid w:val="006A53BB"/>
    <w:rsid w:val="006C26C2"/>
    <w:rsid w:val="006C59D5"/>
    <w:rsid w:val="006F32BF"/>
    <w:rsid w:val="006F68D2"/>
    <w:rsid w:val="00706F43"/>
    <w:rsid w:val="007265D2"/>
    <w:rsid w:val="00727834"/>
    <w:rsid w:val="0074661C"/>
    <w:rsid w:val="007479DD"/>
    <w:rsid w:val="00750397"/>
    <w:rsid w:val="00753254"/>
    <w:rsid w:val="00766475"/>
    <w:rsid w:val="0077364D"/>
    <w:rsid w:val="00794C5F"/>
    <w:rsid w:val="007A0103"/>
    <w:rsid w:val="007A2277"/>
    <w:rsid w:val="007B57FE"/>
    <w:rsid w:val="007E1EC0"/>
    <w:rsid w:val="007F00DA"/>
    <w:rsid w:val="007F2F5E"/>
    <w:rsid w:val="00805358"/>
    <w:rsid w:val="008070A8"/>
    <w:rsid w:val="00810499"/>
    <w:rsid w:val="0081166D"/>
    <w:rsid w:val="0081203C"/>
    <w:rsid w:val="00815D94"/>
    <w:rsid w:val="00821822"/>
    <w:rsid w:val="00821F3F"/>
    <w:rsid w:val="00830B25"/>
    <w:rsid w:val="00837DAB"/>
    <w:rsid w:val="008441CF"/>
    <w:rsid w:val="0084456C"/>
    <w:rsid w:val="0084470A"/>
    <w:rsid w:val="008610BF"/>
    <w:rsid w:val="008632C8"/>
    <w:rsid w:val="0087707C"/>
    <w:rsid w:val="00881409"/>
    <w:rsid w:val="008976BB"/>
    <w:rsid w:val="008A1FDF"/>
    <w:rsid w:val="008A2AAB"/>
    <w:rsid w:val="008A6361"/>
    <w:rsid w:val="008C0FF2"/>
    <w:rsid w:val="008C1FFD"/>
    <w:rsid w:val="008C4140"/>
    <w:rsid w:val="008C584E"/>
    <w:rsid w:val="008E3483"/>
    <w:rsid w:val="008E3778"/>
    <w:rsid w:val="008F4C58"/>
    <w:rsid w:val="0090572C"/>
    <w:rsid w:val="0091080B"/>
    <w:rsid w:val="009216FD"/>
    <w:rsid w:val="00926833"/>
    <w:rsid w:val="009278D1"/>
    <w:rsid w:val="0094668A"/>
    <w:rsid w:val="009670B7"/>
    <w:rsid w:val="009723D1"/>
    <w:rsid w:val="009732C1"/>
    <w:rsid w:val="00976875"/>
    <w:rsid w:val="00977705"/>
    <w:rsid w:val="0098049C"/>
    <w:rsid w:val="00995E66"/>
    <w:rsid w:val="009A1F56"/>
    <w:rsid w:val="009A7733"/>
    <w:rsid w:val="009C00CA"/>
    <w:rsid w:val="009D228C"/>
    <w:rsid w:val="009D5783"/>
    <w:rsid w:val="009D67A8"/>
    <w:rsid w:val="009E0F03"/>
    <w:rsid w:val="009F3B3B"/>
    <w:rsid w:val="009F7219"/>
    <w:rsid w:val="00A00A58"/>
    <w:rsid w:val="00A07A2F"/>
    <w:rsid w:val="00A213A8"/>
    <w:rsid w:val="00A21F3E"/>
    <w:rsid w:val="00A23E96"/>
    <w:rsid w:val="00A34402"/>
    <w:rsid w:val="00A44063"/>
    <w:rsid w:val="00A64EC4"/>
    <w:rsid w:val="00A7023B"/>
    <w:rsid w:val="00A72849"/>
    <w:rsid w:val="00A731F8"/>
    <w:rsid w:val="00A73FD8"/>
    <w:rsid w:val="00A7426B"/>
    <w:rsid w:val="00A8752D"/>
    <w:rsid w:val="00A903B4"/>
    <w:rsid w:val="00A91EA7"/>
    <w:rsid w:val="00A967B0"/>
    <w:rsid w:val="00AA39D4"/>
    <w:rsid w:val="00AA6088"/>
    <w:rsid w:val="00AB57DA"/>
    <w:rsid w:val="00AB65E7"/>
    <w:rsid w:val="00AD3414"/>
    <w:rsid w:val="00AD500F"/>
    <w:rsid w:val="00AD62CA"/>
    <w:rsid w:val="00AD7E74"/>
    <w:rsid w:val="00AE1ACC"/>
    <w:rsid w:val="00AE2CB4"/>
    <w:rsid w:val="00AE528F"/>
    <w:rsid w:val="00AE6898"/>
    <w:rsid w:val="00AF080D"/>
    <w:rsid w:val="00AF6545"/>
    <w:rsid w:val="00B00FC3"/>
    <w:rsid w:val="00B110A2"/>
    <w:rsid w:val="00B125C6"/>
    <w:rsid w:val="00B17BD1"/>
    <w:rsid w:val="00B414E8"/>
    <w:rsid w:val="00B52584"/>
    <w:rsid w:val="00B52F5E"/>
    <w:rsid w:val="00B665E6"/>
    <w:rsid w:val="00B727F3"/>
    <w:rsid w:val="00B740E4"/>
    <w:rsid w:val="00B848F1"/>
    <w:rsid w:val="00B90F17"/>
    <w:rsid w:val="00B92A7B"/>
    <w:rsid w:val="00B94B30"/>
    <w:rsid w:val="00B96423"/>
    <w:rsid w:val="00BA5F46"/>
    <w:rsid w:val="00BA7D17"/>
    <w:rsid w:val="00BB076E"/>
    <w:rsid w:val="00BB1CF2"/>
    <w:rsid w:val="00BB7A25"/>
    <w:rsid w:val="00BC0A3C"/>
    <w:rsid w:val="00BC5916"/>
    <w:rsid w:val="00BC621F"/>
    <w:rsid w:val="00BC66A2"/>
    <w:rsid w:val="00BD059D"/>
    <w:rsid w:val="00C016EF"/>
    <w:rsid w:val="00C032F0"/>
    <w:rsid w:val="00C03503"/>
    <w:rsid w:val="00C10E3A"/>
    <w:rsid w:val="00C114C5"/>
    <w:rsid w:val="00C14388"/>
    <w:rsid w:val="00C20621"/>
    <w:rsid w:val="00C21933"/>
    <w:rsid w:val="00C26B29"/>
    <w:rsid w:val="00C341AA"/>
    <w:rsid w:val="00C43ACF"/>
    <w:rsid w:val="00C50A48"/>
    <w:rsid w:val="00C52681"/>
    <w:rsid w:val="00C577F4"/>
    <w:rsid w:val="00C57E29"/>
    <w:rsid w:val="00C63E8C"/>
    <w:rsid w:val="00C65546"/>
    <w:rsid w:val="00C659A7"/>
    <w:rsid w:val="00C73E0B"/>
    <w:rsid w:val="00C76FFC"/>
    <w:rsid w:val="00C87F05"/>
    <w:rsid w:val="00C9259F"/>
    <w:rsid w:val="00C937FF"/>
    <w:rsid w:val="00CA3398"/>
    <w:rsid w:val="00CA40FA"/>
    <w:rsid w:val="00CA6926"/>
    <w:rsid w:val="00CA735C"/>
    <w:rsid w:val="00CB3AD5"/>
    <w:rsid w:val="00CD0D86"/>
    <w:rsid w:val="00CD71EB"/>
    <w:rsid w:val="00CE1507"/>
    <w:rsid w:val="00CE3CC8"/>
    <w:rsid w:val="00CE5861"/>
    <w:rsid w:val="00D00D4B"/>
    <w:rsid w:val="00D13D39"/>
    <w:rsid w:val="00D23144"/>
    <w:rsid w:val="00D23BD5"/>
    <w:rsid w:val="00D2518B"/>
    <w:rsid w:val="00D32E4E"/>
    <w:rsid w:val="00D35790"/>
    <w:rsid w:val="00D5385A"/>
    <w:rsid w:val="00D57387"/>
    <w:rsid w:val="00D62819"/>
    <w:rsid w:val="00D83B0D"/>
    <w:rsid w:val="00D91C89"/>
    <w:rsid w:val="00DA0D39"/>
    <w:rsid w:val="00DA57FE"/>
    <w:rsid w:val="00DB4A50"/>
    <w:rsid w:val="00DF2758"/>
    <w:rsid w:val="00DF4035"/>
    <w:rsid w:val="00E02C4A"/>
    <w:rsid w:val="00E13030"/>
    <w:rsid w:val="00E20311"/>
    <w:rsid w:val="00E25ED1"/>
    <w:rsid w:val="00E44D69"/>
    <w:rsid w:val="00E5384B"/>
    <w:rsid w:val="00E833DA"/>
    <w:rsid w:val="00EB0C79"/>
    <w:rsid w:val="00EC2B08"/>
    <w:rsid w:val="00EC47F2"/>
    <w:rsid w:val="00EC54C3"/>
    <w:rsid w:val="00EC76A0"/>
    <w:rsid w:val="00EE5E7F"/>
    <w:rsid w:val="00EF343B"/>
    <w:rsid w:val="00F0264F"/>
    <w:rsid w:val="00F03A76"/>
    <w:rsid w:val="00F33BD8"/>
    <w:rsid w:val="00F406BB"/>
    <w:rsid w:val="00F4414D"/>
    <w:rsid w:val="00F449ED"/>
    <w:rsid w:val="00F57CB2"/>
    <w:rsid w:val="00F675AA"/>
    <w:rsid w:val="00F76781"/>
    <w:rsid w:val="00F76815"/>
    <w:rsid w:val="00FB4437"/>
    <w:rsid w:val="00FB6E15"/>
    <w:rsid w:val="00FB721C"/>
    <w:rsid w:val="00FC0BF3"/>
    <w:rsid w:val="00FC67DA"/>
    <w:rsid w:val="00FC6DD3"/>
    <w:rsid w:val="00FC7211"/>
    <w:rsid w:val="00FD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table" w:styleId="TableGrid">
    <w:name w:val="Table Grid"/>
    <w:basedOn w:val="TableNormal"/>
    <w:uiPriority w:val="39"/>
    <w:rsid w:val="00A4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6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a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UQVA7MFFXVNW-343728570-874</_dlc_DocId>
    <_dlc_DocIdUrl xmlns="04b8ec43-391f-4ce4-8841-d6a482add564">
      <Url>http://collaboration/organisation/auth/Chair/Auth/_layouts/15/DocIdRedir.aspx?ID=UQVA7MFFXVNW-343728570-874</Url>
      <Description>UQVA7MFFXVNW-343728570-874</Description>
    </_dlc_DocIdUrl>
    <Category xmlns="026d8262-4725-4a9c-834e-3f991ab17ffd">(none)</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A86605-F0D1-4C1E-958C-F3C3DDF9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5.xml><?xml version="1.0" encoding="utf-8"?>
<ds:datastoreItem xmlns:ds="http://schemas.openxmlformats.org/officeDocument/2006/customXml" ds:itemID="{CC2D577F-9668-4624-BB74-C7F1CD0D82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3411</Words>
  <Characters>19448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Bridget Kerans</cp:lastModifiedBy>
  <cp:revision>2</cp:revision>
  <cp:lastPrinted>2016-07-25T00:08:00Z</cp:lastPrinted>
  <dcterms:created xsi:type="dcterms:W3CDTF">2021-05-19T04:13:00Z</dcterms:created>
  <dcterms:modified xsi:type="dcterms:W3CDTF">2021-05-19T04:13:00Z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08493b48-6505-41f5-af2d-7033ccbf2765</vt:lpwstr>
  </property>
</Properties>
</file>