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01425" w14:textId="37F91B38" w:rsidR="00A669D7" w:rsidRPr="00F61976" w:rsidRDefault="00A669D7" w:rsidP="00CD57E4">
      <w:pPr>
        <w:keepNext/>
        <w:keepLines/>
        <w:spacing w:before="0"/>
        <w:ind w:right="91"/>
        <w:jc w:val="center"/>
      </w:pPr>
      <w:bookmarkStart w:id="0" w:name="_GoBack"/>
      <w:bookmarkEnd w:id="0"/>
      <w:r w:rsidRPr="00F61976">
        <w:rPr>
          <w:b/>
          <w:u w:val="single"/>
        </w:rPr>
        <w:t xml:space="preserve">EXPLANATORY </w:t>
      </w:r>
      <w:r w:rsidR="00583221" w:rsidRPr="00F61976">
        <w:rPr>
          <w:b/>
          <w:u w:val="single"/>
        </w:rPr>
        <w:t>STATEMENT</w:t>
      </w:r>
    </w:p>
    <w:p w14:paraId="6C81B4D1" w14:textId="77777777" w:rsidR="00A669D7" w:rsidRPr="00F61976" w:rsidRDefault="00A669D7" w:rsidP="00CD57E4">
      <w:pPr>
        <w:pStyle w:val="Heading6"/>
        <w:keepLines/>
        <w:spacing w:before="0"/>
        <w:jc w:val="center"/>
        <w:rPr>
          <w:u w:val="none"/>
        </w:rPr>
      </w:pPr>
    </w:p>
    <w:p w14:paraId="7CDD0ECB" w14:textId="16718CF9" w:rsidR="00583221" w:rsidRPr="00F61976" w:rsidRDefault="00583221" w:rsidP="00CD57E4">
      <w:pPr>
        <w:spacing w:before="0"/>
        <w:ind w:right="40"/>
        <w:jc w:val="center"/>
        <w:rPr>
          <w:szCs w:val="24"/>
        </w:rPr>
      </w:pPr>
      <w:r w:rsidRPr="00F61976">
        <w:rPr>
          <w:szCs w:val="24"/>
        </w:rPr>
        <w:t xml:space="preserve">Issued by the </w:t>
      </w:r>
      <w:r w:rsidR="009F406C" w:rsidRPr="00746A12">
        <w:rPr>
          <w:szCs w:val="24"/>
        </w:rPr>
        <w:t>Minister for Immigration, Citizenship, Migrant Services and Multicultural Affairs</w:t>
      </w:r>
    </w:p>
    <w:p w14:paraId="478D6E9E" w14:textId="77777777" w:rsidR="00583221" w:rsidRPr="00F61976" w:rsidRDefault="00583221" w:rsidP="00CD57E4">
      <w:pPr>
        <w:spacing w:before="0"/>
        <w:ind w:right="40"/>
        <w:jc w:val="center"/>
        <w:rPr>
          <w:szCs w:val="24"/>
        </w:rPr>
      </w:pPr>
    </w:p>
    <w:p w14:paraId="17D97A65" w14:textId="77777777" w:rsidR="00583221" w:rsidRPr="00F61976" w:rsidRDefault="00583221" w:rsidP="00CD57E4">
      <w:pPr>
        <w:spacing w:before="0"/>
        <w:ind w:right="40"/>
        <w:jc w:val="center"/>
        <w:rPr>
          <w:i/>
          <w:szCs w:val="24"/>
        </w:rPr>
      </w:pPr>
      <w:r w:rsidRPr="00F61976">
        <w:rPr>
          <w:i/>
          <w:szCs w:val="24"/>
        </w:rPr>
        <w:t>Migration Act 1958</w:t>
      </w:r>
    </w:p>
    <w:p w14:paraId="71CA89D5" w14:textId="45651899" w:rsidR="00461442" w:rsidRPr="00F61976" w:rsidRDefault="00461442" w:rsidP="00CD57E4">
      <w:pPr>
        <w:spacing w:before="0"/>
        <w:ind w:right="91"/>
        <w:jc w:val="center"/>
        <w:rPr>
          <w:i/>
        </w:rPr>
      </w:pPr>
    </w:p>
    <w:p w14:paraId="6E2ACC40" w14:textId="535AF74D" w:rsidR="00A669D7" w:rsidRPr="00F61976" w:rsidRDefault="00A669D7" w:rsidP="00CD57E4">
      <w:pPr>
        <w:spacing w:before="0"/>
        <w:ind w:right="91"/>
        <w:jc w:val="center"/>
        <w:rPr>
          <w:i/>
        </w:rPr>
      </w:pPr>
      <w:r w:rsidRPr="00F61976">
        <w:rPr>
          <w:i/>
        </w:rPr>
        <w:t xml:space="preserve">Migration </w:t>
      </w:r>
      <w:r w:rsidRPr="00691836">
        <w:rPr>
          <w:i/>
        </w:rPr>
        <w:t xml:space="preserve">Amendment </w:t>
      </w:r>
      <w:r w:rsidR="00B4119A" w:rsidRPr="00691836">
        <w:rPr>
          <w:i/>
        </w:rPr>
        <w:t>(</w:t>
      </w:r>
      <w:r w:rsidR="00171F32" w:rsidRPr="009F406C">
        <w:rPr>
          <w:i/>
        </w:rPr>
        <w:t>Subclass 189 Visas</w:t>
      </w:r>
      <w:r w:rsidR="00B4119A" w:rsidRPr="00691836">
        <w:rPr>
          <w:i/>
        </w:rPr>
        <w:t>)</w:t>
      </w:r>
      <w:r w:rsidR="00B65FC7" w:rsidRPr="00691836">
        <w:rPr>
          <w:i/>
        </w:rPr>
        <w:t xml:space="preserve"> Regulations</w:t>
      </w:r>
      <w:r w:rsidR="00B65FC7">
        <w:rPr>
          <w:i/>
        </w:rPr>
        <w:t xml:space="preserve"> 202</w:t>
      </w:r>
      <w:r w:rsidR="00F0558D">
        <w:rPr>
          <w:i/>
        </w:rPr>
        <w:t>1</w:t>
      </w:r>
    </w:p>
    <w:p w14:paraId="7AEAA80F" w14:textId="77777777" w:rsidR="00A669D7" w:rsidRPr="00F61976" w:rsidRDefault="00A669D7" w:rsidP="00CD57E4">
      <w:pPr>
        <w:keepNext/>
        <w:keepLines/>
        <w:spacing w:before="0"/>
        <w:ind w:right="91"/>
        <w:jc w:val="both"/>
      </w:pPr>
    </w:p>
    <w:p w14:paraId="019E880F" w14:textId="77777777" w:rsidR="00E1669D" w:rsidRDefault="00E1669D" w:rsidP="00CD57E4">
      <w:pPr>
        <w:keepNext/>
        <w:keepLines/>
        <w:spacing w:before="0"/>
        <w:ind w:right="91"/>
        <w:jc w:val="both"/>
      </w:pPr>
    </w:p>
    <w:p w14:paraId="2E1791C4" w14:textId="7A2A7FC6" w:rsidR="00E1669D" w:rsidRDefault="001C500E" w:rsidP="00AB4F33">
      <w:pPr>
        <w:keepNext/>
        <w:keepLines/>
        <w:spacing w:before="0"/>
        <w:ind w:right="91"/>
        <w:jc w:val="both"/>
        <w:rPr>
          <w:szCs w:val="24"/>
        </w:rPr>
      </w:pPr>
      <w:r>
        <w:rPr>
          <w:szCs w:val="24"/>
        </w:rPr>
        <w:t>T</w:t>
      </w:r>
      <w:r w:rsidR="00E1669D">
        <w:rPr>
          <w:szCs w:val="24"/>
        </w:rPr>
        <w:t xml:space="preserve">his instrument </w:t>
      </w:r>
      <w:r w:rsidR="00541929">
        <w:rPr>
          <w:szCs w:val="24"/>
        </w:rPr>
        <w:t xml:space="preserve">amends the </w:t>
      </w:r>
      <w:r w:rsidR="00541929">
        <w:rPr>
          <w:i/>
        </w:rPr>
        <w:t xml:space="preserve">Migration Regulations 1994 </w:t>
      </w:r>
      <w:r w:rsidR="00541929">
        <w:t xml:space="preserve">(the Migration Regulations), </w:t>
      </w:r>
      <w:r w:rsidR="00E1669D">
        <w:rPr>
          <w:szCs w:val="24"/>
        </w:rPr>
        <w:t>t</w:t>
      </w:r>
      <w:r w:rsidR="00D34AD3">
        <w:rPr>
          <w:szCs w:val="24"/>
        </w:rPr>
        <w:t xml:space="preserve">o make it easier for applicants </w:t>
      </w:r>
      <w:r w:rsidR="00E1669D">
        <w:rPr>
          <w:szCs w:val="24"/>
        </w:rPr>
        <w:t xml:space="preserve">for a Subclass 189 (Skilled – Independent) visa in the </w:t>
      </w:r>
      <w:r w:rsidR="00E1669D" w:rsidRPr="003C7471">
        <w:rPr>
          <w:szCs w:val="24"/>
        </w:rPr>
        <w:t>New Zealand stream</w:t>
      </w:r>
      <w:r w:rsidR="00E1669D">
        <w:rPr>
          <w:szCs w:val="24"/>
        </w:rPr>
        <w:t xml:space="preserve"> to satisfy </w:t>
      </w:r>
      <w:r w:rsidR="004E19D1">
        <w:rPr>
          <w:szCs w:val="24"/>
        </w:rPr>
        <w:t xml:space="preserve">the annual income requirement. </w:t>
      </w:r>
      <w:r w:rsidR="00DC3F37" w:rsidRPr="00FE5B74">
        <w:rPr>
          <w:rFonts w:eastAsiaTheme="minorHAnsi" w:cstheme="minorBidi"/>
          <w:szCs w:val="24"/>
          <w:lang w:eastAsia="en-US"/>
        </w:rPr>
        <w:t xml:space="preserve">The New Zealand </w:t>
      </w:r>
      <w:r w:rsidR="00DC3F37">
        <w:rPr>
          <w:rFonts w:eastAsiaTheme="minorHAnsi" w:cstheme="minorBidi"/>
          <w:szCs w:val="24"/>
          <w:lang w:eastAsia="en-US"/>
        </w:rPr>
        <w:t xml:space="preserve">stream of the Subclass 189 </w:t>
      </w:r>
      <w:r w:rsidR="00DC3F37" w:rsidRPr="00FE5B74">
        <w:rPr>
          <w:rFonts w:eastAsiaTheme="minorHAnsi" w:cstheme="minorBidi"/>
          <w:szCs w:val="24"/>
          <w:lang w:eastAsia="en-US"/>
        </w:rPr>
        <w:t xml:space="preserve">visa provides a pathway to </w:t>
      </w:r>
      <w:r w:rsidR="00DC3F37" w:rsidRPr="00FE5B74">
        <w:rPr>
          <w:szCs w:val="24"/>
        </w:rPr>
        <w:t>permanent residence for long-term New Zealand citizen residents who have demonstrated commitment to Australia, and who have made and can continue to make a strong economic contribution to Australia's future.</w:t>
      </w:r>
    </w:p>
    <w:p w14:paraId="4B74CF0F" w14:textId="77777777" w:rsidR="0078364D" w:rsidRDefault="0078364D" w:rsidP="00AB4F33">
      <w:pPr>
        <w:keepNext/>
        <w:keepLines/>
        <w:spacing w:before="0"/>
        <w:ind w:right="91"/>
        <w:jc w:val="both"/>
      </w:pPr>
    </w:p>
    <w:p w14:paraId="593FCA05" w14:textId="77777777" w:rsidR="00E1669D" w:rsidRPr="006C1271" w:rsidRDefault="00E1669D" w:rsidP="00AB4F33">
      <w:pPr>
        <w:keepNext/>
        <w:keepLines/>
        <w:spacing w:before="0"/>
        <w:ind w:right="91"/>
        <w:jc w:val="both"/>
      </w:pPr>
      <w:r w:rsidRPr="006C1271">
        <w:t xml:space="preserve">The </w:t>
      </w:r>
      <w:r w:rsidRPr="006C1271">
        <w:rPr>
          <w:i/>
        </w:rPr>
        <w:t>Migration Act 1958</w:t>
      </w:r>
      <w:r w:rsidRPr="006C1271">
        <w:t xml:space="preserve"> (the Migration Act) is an Act relating to the entry into, and presence in, Australia of aliens, and the departure or deportation from Australia of aliens and certain other persons.</w:t>
      </w:r>
    </w:p>
    <w:p w14:paraId="7F35F608" w14:textId="77777777" w:rsidR="00E1669D" w:rsidRDefault="00E1669D" w:rsidP="00AB4F33">
      <w:pPr>
        <w:spacing w:before="0"/>
        <w:ind w:right="42"/>
        <w:jc w:val="both"/>
        <w:rPr>
          <w:szCs w:val="24"/>
        </w:rPr>
      </w:pPr>
    </w:p>
    <w:p w14:paraId="542C9767" w14:textId="0A15B94F" w:rsidR="00E1669D" w:rsidRDefault="00E1669D" w:rsidP="00AB4F33">
      <w:pPr>
        <w:keepNext/>
        <w:keepLines/>
        <w:spacing w:before="0"/>
        <w:ind w:right="91"/>
        <w:jc w:val="both"/>
      </w:pPr>
      <w:r w:rsidRPr="006C1271">
        <w:t xml:space="preserve">Subsection 504(1) of </w:t>
      </w:r>
      <w:r w:rsidRPr="006C1271">
        <w:rPr>
          <w:iCs/>
        </w:rPr>
        <w:t xml:space="preserve">the </w:t>
      </w:r>
      <w:r w:rsidRPr="006C1271">
        <w:t>Migration Act</w:t>
      </w:r>
      <w:r w:rsidRPr="006C1271">
        <w:rPr>
          <w:i/>
        </w:rPr>
        <w:t xml:space="preserve"> </w:t>
      </w:r>
      <w:r w:rsidRPr="006C1271">
        <w:t>provides that the Governor-General may make regulations, not inconsistent with the Migration Act, prescribing matters required or permitted to be prescribed, or necessary</w:t>
      </w:r>
      <w:r>
        <w:t xml:space="preserve"> or convenient to be prescribed,</w:t>
      </w:r>
      <w:r w:rsidRPr="006C1271">
        <w:t xml:space="preserve"> for carrying out or giving effect to the Migration Ac</w:t>
      </w:r>
      <w:r>
        <w:t xml:space="preserve">t. </w:t>
      </w:r>
    </w:p>
    <w:p w14:paraId="380E3B76" w14:textId="26F16413" w:rsidR="00E1669D" w:rsidRPr="00D03080" w:rsidRDefault="00E1669D" w:rsidP="00AB4F33">
      <w:pPr>
        <w:keepNext/>
        <w:keepLines/>
        <w:spacing w:before="0"/>
        <w:ind w:right="91"/>
        <w:jc w:val="both"/>
      </w:pPr>
    </w:p>
    <w:p w14:paraId="52F5C68B" w14:textId="5B53C4A4" w:rsidR="00E1669D" w:rsidRDefault="00E1669D" w:rsidP="00AB4F33">
      <w:pPr>
        <w:spacing w:before="0"/>
        <w:ind w:right="91"/>
        <w:jc w:val="both"/>
      </w:pPr>
      <w:r>
        <w:rPr>
          <w:szCs w:val="24"/>
        </w:rPr>
        <w:t xml:space="preserve">The </w:t>
      </w:r>
      <w:r w:rsidRPr="002139EC">
        <w:rPr>
          <w:i/>
          <w:szCs w:val="24"/>
        </w:rPr>
        <w:t xml:space="preserve">Migration </w:t>
      </w:r>
      <w:r w:rsidRPr="00653052">
        <w:rPr>
          <w:i/>
          <w:szCs w:val="24"/>
        </w:rPr>
        <w:t>Amendment (</w:t>
      </w:r>
      <w:r w:rsidRPr="00BD3060">
        <w:rPr>
          <w:i/>
          <w:szCs w:val="24"/>
        </w:rPr>
        <w:t>Subclass 189 Visas</w:t>
      </w:r>
      <w:r w:rsidRPr="00691836">
        <w:rPr>
          <w:i/>
          <w:szCs w:val="24"/>
        </w:rPr>
        <w:t>)</w:t>
      </w:r>
      <w:r>
        <w:rPr>
          <w:i/>
          <w:szCs w:val="24"/>
        </w:rPr>
        <w:t xml:space="preserve"> Regulations 2021 </w:t>
      </w:r>
      <w:r w:rsidRPr="002139EC">
        <w:rPr>
          <w:szCs w:val="24"/>
        </w:rPr>
        <w:t>(the Regulations)</w:t>
      </w:r>
      <w:r w:rsidR="00D34AD3">
        <w:rPr>
          <w:szCs w:val="24"/>
        </w:rPr>
        <w:t xml:space="preserve"> </w:t>
      </w:r>
      <w:r>
        <w:rPr>
          <w:szCs w:val="24"/>
        </w:rPr>
        <w:t xml:space="preserve">amend the </w:t>
      </w:r>
      <w:r w:rsidR="00D34AD3">
        <w:rPr>
          <w:szCs w:val="24"/>
        </w:rPr>
        <w:t>Migration Regulations</w:t>
      </w:r>
      <w:r>
        <w:rPr>
          <w:szCs w:val="24"/>
        </w:rPr>
        <w:t xml:space="preserve"> to </w:t>
      </w:r>
      <w:r>
        <w:t xml:space="preserve">remove the requirement that an applicant for a Subclass 189 visa </w:t>
      </w:r>
      <w:r w:rsidR="00FE5B74">
        <w:t xml:space="preserve">in the New Zealand stream </w:t>
      </w:r>
      <w:r>
        <w:t>must have earned an amount no less than the income threshold in the four most recently completed income years in the five years before the application was made</w:t>
      </w:r>
      <w:r w:rsidR="009C3A0C">
        <w:t>.  This requirement is</w:t>
      </w:r>
      <w:r>
        <w:t xml:space="preserve"> replaced with a new requirement that the applicant has earned an amount no less than the income threshold in three income years in the five years </w:t>
      </w:r>
      <w:r w:rsidRPr="00667E46">
        <w:t>immediately before</w:t>
      </w:r>
      <w:r>
        <w:t xml:space="preserve"> they apply for the visa.  One of those income years must be the income year that ended most recently before the date of the application.</w:t>
      </w:r>
    </w:p>
    <w:p w14:paraId="39CEAC12" w14:textId="77777777" w:rsidR="00E1669D" w:rsidRPr="00163298" w:rsidRDefault="00E1669D" w:rsidP="00AB4F33">
      <w:pPr>
        <w:spacing w:before="0"/>
        <w:ind w:right="91"/>
        <w:jc w:val="both"/>
        <w:rPr>
          <w:szCs w:val="24"/>
        </w:rPr>
      </w:pPr>
    </w:p>
    <w:p w14:paraId="48AC05C1" w14:textId="11098004" w:rsidR="00E1669D" w:rsidRDefault="00E1669D" w:rsidP="00AB4F33">
      <w:pPr>
        <w:spacing w:before="0"/>
        <w:ind w:right="91"/>
        <w:jc w:val="both"/>
      </w:pPr>
      <w:r>
        <w:rPr>
          <w:rFonts w:eastAsiaTheme="minorHAnsi" w:cstheme="minorBidi"/>
          <w:szCs w:val="24"/>
          <w:lang w:eastAsia="en-US"/>
        </w:rPr>
        <w:t>Under the current requirements, if an applicant fails</w:t>
      </w:r>
      <w:r w:rsidRPr="00520903">
        <w:rPr>
          <w:rFonts w:eastAsiaTheme="minorHAnsi" w:cstheme="minorBidi"/>
          <w:szCs w:val="24"/>
          <w:lang w:eastAsia="en-US"/>
        </w:rPr>
        <w:t xml:space="preserve"> to reach the income threshold in one of the </w:t>
      </w:r>
      <w:r>
        <w:rPr>
          <w:rFonts w:eastAsiaTheme="minorHAnsi" w:cstheme="minorBidi"/>
          <w:szCs w:val="24"/>
          <w:lang w:eastAsia="en-US"/>
        </w:rPr>
        <w:t xml:space="preserve">four relevant income </w:t>
      </w:r>
      <w:r w:rsidRPr="00520903">
        <w:rPr>
          <w:rFonts w:eastAsiaTheme="minorHAnsi" w:cstheme="minorBidi"/>
          <w:szCs w:val="24"/>
          <w:lang w:eastAsia="en-US"/>
        </w:rPr>
        <w:t>years</w:t>
      </w:r>
      <w:r>
        <w:rPr>
          <w:rFonts w:eastAsiaTheme="minorHAnsi" w:cstheme="minorBidi"/>
          <w:szCs w:val="24"/>
          <w:lang w:eastAsia="en-US"/>
        </w:rPr>
        <w:t>, they must</w:t>
      </w:r>
      <w:r w:rsidRPr="00520903">
        <w:rPr>
          <w:rFonts w:eastAsiaTheme="minorHAnsi" w:cstheme="minorBidi"/>
          <w:szCs w:val="24"/>
          <w:lang w:eastAsia="en-US"/>
        </w:rPr>
        <w:t xml:space="preserve"> </w:t>
      </w:r>
      <w:r>
        <w:rPr>
          <w:rFonts w:eastAsiaTheme="minorHAnsi" w:cstheme="minorBidi"/>
          <w:szCs w:val="24"/>
          <w:lang w:eastAsia="en-US"/>
        </w:rPr>
        <w:t>wait until they</w:t>
      </w:r>
      <w:r w:rsidRPr="00520903">
        <w:rPr>
          <w:rFonts w:eastAsiaTheme="minorHAnsi" w:cstheme="minorBidi"/>
          <w:szCs w:val="24"/>
          <w:lang w:eastAsia="en-US"/>
        </w:rPr>
        <w:t xml:space="preserve"> earn </w:t>
      </w:r>
      <w:r>
        <w:rPr>
          <w:rFonts w:eastAsiaTheme="minorHAnsi" w:cstheme="minorBidi"/>
          <w:szCs w:val="24"/>
          <w:lang w:eastAsia="en-US"/>
        </w:rPr>
        <w:t xml:space="preserve">an income at or </w:t>
      </w:r>
      <w:r w:rsidRPr="00520903">
        <w:rPr>
          <w:rFonts w:eastAsiaTheme="minorHAnsi" w:cstheme="minorBidi"/>
          <w:szCs w:val="24"/>
          <w:lang w:eastAsia="en-US"/>
        </w:rPr>
        <w:t xml:space="preserve">above the </w:t>
      </w:r>
      <w:r>
        <w:rPr>
          <w:rFonts w:eastAsiaTheme="minorHAnsi" w:cstheme="minorBidi"/>
          <w:szCs w:val="24"/>
          <w:lang w:eastAsia="en-US"/>
        </w:rPr>
        <w:t xml:space="preserve">income </w:t>
      </w:r>
      <w:r w:rsidRPr="00520903">
        <w:rPr>
          <w:rFonts w:eastAsiaTheme="minorHAnsi" w:cstheme="minorBidi"/>
          <w:szCs w:val="24"/>
          <w:lang w:eastAsia="en-US"/>
        </w:rPr>
        <w:t xml:space="preserve">threshold for four </w:t>
      </w:r>
      <w:r>
        <w:rPr>
          <w:rFonts w:eastAsiaTheme="minorHAnsi" w:cstheme="minorBidi"/>
          <w:szCs w:val="24"/>
          <w:lang w:eastAsia="en-US"/>
        </w:rPr>
        <w:t xml:space="preserve">consecutive income </w:t>
      </w:r>
      <w:r w:rsidRPr="00520903">
        <w:rPr>
          <w:rFonts w:eastAsiaTheme="minorHAnsi" w:cstheme="minorBidi"/>
          <w:szCs w:val="24"/>
          <w:lang w:eastAsia="en-US"/>
        </w:rPr>
        <w:t xml:space="preserve">years before they are eligible for </w:t>
      </w:r>
      <w:r>
        <w:rPr>
          <w:rFonts w:eastAsiaTheme="minorHAnsi" w:cstheme="minorBidi"/>
          <w:szCs w:val="24"/>
          <w:lang w:eastAsia="en-US"/>
        </w:rPr>
        <w:t xml:space="preserve">a </w:t>
      </w:r>
      <w:r>
        <w:rPr>
          <w:rFonts w:eastAsiaTheme="minorHAnsi" w:cstheme="minorBidi"/>
          <w:szCs w:val="24"/>
          <w:lang w:eastAsia="en-US"/>
        </w:rPr>
        <w:br/>
        <w:t xml:space="preserve">Subclass 189 visa in </w:t>
      </w:r>
      <w:r w:rsidRPr="00520903">
        <w:rPr>
          <w:rFonts w:eastAsiaTheme="minorHAnsi" w:cstheme="minorBidi"/>
          <w:szCs w:val="24"/>
          <w:lang w:eastAsia="en-US"/>
        </w:rPr>
        <w:t xml:space="preserve">the New Zealand </w:t>
      </w:r>
      <w:r>
        <w:rPr>
          <w:rFonts w:eastAsiaTheme="minorHAnsi" w:cstheme="minorBidi"/>
          <w:szCs w:val="24"/>
          <w:lang w:eastAsia="en-US"/>
        </w:rPr>
        <w:t>s</w:t>
      </w:r>
      <w:r w:rsidRPr="00520903">
        <w:rPr>
          <w:rFonts w:eastAsiaTheme="minorHAnsi" w:cstheme="minorBidi"/>
          <w:szCs w:val="24"/>
          <w:lang w:eastAsia="en-US"/>
        </w:rPr>
        <w:t>tream</w:t>
      </w:r>
      <w:r>
        <w:rPr>
          <w:rFonts w:eastAsiaTheme="minorHAnsi" w:cstheme="minorBidi"/>
          <w:szCs w:val="24"/>
          <w:lang w:eastAsia="en-US"/>
        </w:rPr>
        <w:t>, unless claiming an exemption</w:t>
      </w:r>
      <w:r w:rsidRPr="00520903">
        <w:rPr>
          <w:rFonts w:eastAsiaTheme="minorHAnsi" w:cstheme="minorBidi"/>
          <w:szCs w:val="24"/>
          <w:lang w:eastAsia="en-US"/>
        </w:rPr>
        <w:t>.</w:t>
      </w:r>
      <w:r w:rsidR="009C3A0C">
        <w:rPr>
          <w:rFonts w:eastAsiaTheme="minorHAnsi" w:cstheme="minorBidi"/>
          <w:szCs w:val="24"/>
          <w:lang w:eastAsia="en-US"/>
        </w:rPr>
        <w:t xml:space="preserve"> The</w:t>
      </w:r>
      <w:r>
        <w:rPr>
          <w:rFonts w:eastAsiaTheme="minorHAnsi" w:cstheme="minorBidi"/>
          <w:szCs w:val="24"/>
          <w:lang w:eastAsia="en-US"/>
        </w:rPr>
        <w:t xml:space="preserve"> </w:t>
      </w:r>
      <w:r w:rsidR="009C3A0C">
        <w:rPr>
          <w:rFonts w:eastAsiaTheme="minorHAnsi" w:cstheme="minorBidi"/>
          <w:szCs w:val="24"/>
          <w:lang w:eastAsia="en-US"/>
        </w:rPr>
        <w:t xml:space="preserve">amendments </w:t>
      </w:r>
      <w:r>
        <w:rPr>
          <w:rFonts w:eastAsiaTheme="minorHAnsi" w:cstheme="minorBidi"/>
          <w:szCs w:val="24"/>
          <w:lang w:eastAsia="en-US"/>
        </w:rPr>
        <w:t xml:space="preserve">provide flexibility for applicants in these circumstances by lowering the number of years in which the income threshold must be met from four to three and removing the requirement that the income </w:t>
      </w:r>
      <w:r w:rsidR="004E19D1">
        <w:rPr>
          <w:rFonts w:eastAsiaTheme="minorHAnsi" w:cstheme="minorBidi"/>
          <w:szCs w:val="24"/>
          <w:lang w:eastAsia="en-US"/>
        </w:rPr>
        <w:t xml:space="preserve">years </w:t>
      </w:r>
      <w:r>
        <w:rPr>
          <w:rFonts w:eastAsiaTheme="minorHAnsi" w:cstheme="minorBidi"/>
          <w:szCs w:val="24"/>
          <w:lang w:eastAsia="en-US"/>
        </w:rPr>
        <w:t xml:space="preserve">be consecutive (although one of the years must </w:t>
      </w:r>
      <w:r>
        <w:t>be the most recent income year and the three income years must occur in the five years immediately before the visa application is made)</w:t>
      </w:r>
      <w:r>
        <w:rPr>
          <w:rFonts w:eastAsiaTheme="minorHAnsi" w:cstheme="minorBidi"/>
          <w:szCs w:val="24"/>
          <w:lang w:eastAsia="en-US"/>
        </w:rPr>
        <w:t xml:space="preserve">. </w:t>
      </w:r>
      <w:r>
        <w:t>The</w:t>
      </w:r>
      <w:r w:rsidR="009C3A0C">
        <w:t xml:space="preserve"> </w:t>
      </w:r>
      <w:r>
        <w:t>amendments</w:t>
      </w:r>
      <w:r w:rsidR="009C3A0C">
        <w:t xml:space="preserve"> </w:t>
      </w:r>
      <w:r>
        <w:t xml:space="preserve">also provide increased flexibility to applicants whose income has been adversely affected by the COVID-19 pandemic. </w:t>
      </w:r>
    </w:p>
    <w:p w14:paraId="3FD4658C" w14:textId="77777777" w:rsidR="00D34AD3" w:rsidRDefault="00D34AD3" w:rsidP="00AB4F33">
      <w:pPr>
        <w:spacing w:before="100" w:beforeAutospacing="1" w:after="100" w:afterAutospacing="1"/>
        <w:jc w:val="both"/>
        <w:rPr>
          <w:lang w:val="en-US"/>
        </w:rPr>
      </w:pPr>
      <w:r>
        <w:t xml:space="preserve">The matters dealt with in the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be </w:t>
      </w:r>
      <w:r>
        <w:lastRenderedPageBreak/>
        <w:t xml:space="preserve">prescribed in regulations, as can be seen in the authorising provisions listed at </w:t>
      </w:r>
      <w:r>
        <w:rPr>
          <w:u w:val="single"/>
        </w:rPr>
        <w:t>Attachment A</w:t>
      </w:r>
      <w:r>
        <w:t>. These include, for example, subsection 31(3), which provides that the regulations may prescribe criteria for a visa or visas of a specified class.</w:t>
      </w:r>
      <w:r>
        <w:rPr>
          <w:u w:val="single"/>
        </w:rPr>
        <w:t xml:space="preserve"> </w:t>
      </w:r>
    </w:p>
    <w:p w14:paraId="52487E81" w14:textId="77777777" w:rsidR="00D34AD3" w:rsidRDefault="00D34AD3" w:rsidP="00AB4F33">
      <w:pPr>
        <w:spacing w:before="100" w:beforeAutospacing="1" w:after="100" w:afterAutospacing="1"/>
        <w:jc w:val="both"/>
      </w:pPr>
      <w:r>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p>
    <w:p w14:paraId="422A021D" w14:textId="738994DC" w:rsidR="00D34AD3" w:rsidRDefault="00D34AD3" w:rsidP="00AB4F33">
      <w:pPr>
        <w:spacing w:before="0"/>
        <w:jc w:val="both"/>
        <w:rPr>
          <w:rFonts w:eastAsiaTheme="minorEastAsia"/>
        </w:rPr>
      </w:pPr>
      <w:r>
        <w:t xml:space="preserve">A Statement of Compatibility with Human Rights (the Statement) has been completed in accordance with the </w:t>
      </w:r>
      <w:r>
        <w:rPr>
          <w:i/>
          <w:iCs/>
        </w:rPr>
        <w:t>Human Rights (Parliamentary Scrutiny) Act 2011</w:t>
      </w:r>
      <w:r>
        <w:t xml:space="preserve">.  The overall assessment is that the Regulations are compatible with human rights.  A copy of the Statement is at </w:t>
      </w:r>
      <w:r w:rsidR="00D03080" w:rsidRPr="00AB4F33">
        <w:rPr>
          <w:u w:val="single"/>
        </w:rPr>
        <w:t>Attachment A</w:t>
      </w:r>
      <w:r>
        <w:t>.</w:t>
      </w:r>
    </w:p>
    <w:p w14:paraId="609FF7E9" w14:textId="77777777" w:rsidR="00D34AD3" w:rsidRDefault="00D34AD3" w:rsidP="00AB4F33">
      <w:pPr>
        <w:spacing w:before="0"/>
        <w:jc w:val="both"/>
      </w:pPr>
    </w:p>
    <w:p w14:paraId="73F69CA1" w14:textId="12D310D9" w:rsidR="00D34AD3" w:rsidRDefault="00D34AD3" w:rsidP="00AB4F33">
      <w:pPr>
        <w:spacing w:before="0"/>
        <w:jc w:val="both"/>
      </w:pPr>
      <w:r>
        <w:t xml:space="preserve">The Office of Best Practice Regulation (the OBPR) has been consulted in relation to the amendments.  No Regulation Impact Statement is required.  The OBPR consultation reference is </w:t>
      </w:r>
      <w:r w:rsidR="00D03080">
        <w:t>25871.</w:t>
      </w:r>
    </w:p>
    <w:p w14:paraId="2D0AEF59" w14:textId="77777777" w:rsidR="00D34AD3" w:rsidRDefault="00D34AD3" w:rsidP="00AB4F33">
      <w:pPr>
        <w:spacing w:before="0"/>
        <w:ind w:right="91"/>
        <w:jc w:val="both"/>
      </w:pPr>
    </w:p>
    <w:p w14:paraId="26E149FB" w14:textId="18F23D84" w:rsidR="00D03080" w:rsidRPr="00D03080" w:rsidRDefault="00D03080" w:rsidP="00AB4F33">
      <w:pPr>
        <w:spacing w:before="0"/>
        <w:jc w:val="both"/>
        <w:rPr>
          <w:color w:val="000000" w:themeColor="text1"/>
        </w:rPr>
      </w:pPr>
      <w:r w:rsidRPr="00D03080">
        <w:rPr>
          <w:color w:val="000000" w:themeColor="text1"/>
          <w:szCs w:val="24"/>
        </w:rPr>
        <w:t>C</w:t>
      </w:r>
      <w:r w:rsidR="000C5D09">
        <w:rPr>
          <w:color w:val="000000" w:themeColor="text1"/>
        </w:rPr>
        <w:t xml:space="preserve">onsultation was </w:t>
      </w:r>
      <w:r w:rsidRPr="00D03080">
        <w:rPr>
          <w:color w:val="000000" w:themeColor="text1"/>
        </w:rPr>
        <w:t xml:space="preserve">undertaken with </w:t>
      </w:r>
      <w:r w:rsidRPr="00D03080">
        <w:rPr>
          <w:color w:val="000000" w:themeColor="text1"/>
          <w:szCs w:val="24"/>
        </w:rPr>
        <w:t xml:space="preserve">the Department of the Prime Minister and Cabinet, the Department of Foreign Affairs and Trade, the Department of the Treasury and the Department of Finance. </w:t>
      </w:r>
      <w:r w:rsidRPr="00D03080">
        <w:rPr>
          <w:color w:val="000000" w:themeColor="text1"/>
        </w:rPr>
        <w:t xml:space="preserve">This accord with subsection 17(1) of the </w:t>
      </w:r>
      <w:r w:rsidRPr="00D03080">
        <w:rPr>
          <w:i/>
          <w:color w:val="000000" w:themeColor="text1"/>
        </w:rPr>
        <w:t>Legislation Act 2003</w:t>
      </w:r>
      <w:r w:rsidRPr="00D03080">
        <w:rPr>
          <w:color w:val="000000" w:themeColor="text1"/>
        </w:rPr>
        <w:t xml:space="preserve"> (the Legislation Act) which requires that appropriate and reasonably practicable consultation be undertaken.</w:t>
      </w:r>
    </w:p>
    <w:p w14:paraId="725D21C1" w14:textId="4EC590F5" w:rsidR="00D34AD3" w:rsidRPr="00626DDE" w:rsidRDefault="00D34AD3" w:rsidP="00AB4F33">
      <w:pPr>
        <w:spacing w:before="0"/>
        <w:ind w:right="91"/>
        <w:jc w:val="both"/>
        <w:rPr>
          <w:color w:val="000000" w:themeColor="text1"/>
          <w:szCs w:val="24"/>
        </w:rPr>
      </w:pPr>
    </w:p>
    <w:p w14:paraId="4823B913" w14:textId="118ACBAC" w:rsidR="00D03080" w:rsidRPr="00D03080" w:rsidRDefault="00D03080" w:rsidP="00AB4F33">
      <w:pPr>
        <w:tabs>
          <w:tab w:val="left" w:pos="6521"/>
        </w:tabs>
        <w:spacing w:before="0"/>
        <w:ind w:right="91"/>
        <w:jc w:val="both"/>
        <w:rPr>
          <w:color w:val="000000" w:themeColor="text1"/>
        </w:rPr>
      </w:pPr>
      <w:r w:rsidRPr="00D03080">
        <w:rPr>
          <w:color w:val="000000" w:themeColor="text1"/>
        </w:rPr>
        <w:t>The Regulations</w:t>
      </w:r>
      <w:r w:rsidRPr="00D03080">
        <w:rPr>
          <w:color w:val="000000" w:themeColor="text1"/>
          <w:szCs w:val="24"/>
        </w:rPr>
        <w:t xml:space="preserve"> commence on 27 February 2021, </w:t>
      </w:r>
      <w:r w:rsidRPr="00D03080">
        <w:rPr>
          <w:szCs w:val="24"/>
        </w:rPr>
        <w:t>to align with changes to Department of Home Affairs systems,</w:t>
      </w:r>
      <w:r w:rsidRPr="00D03080">
        <w:rPr>
          <w:color w:val="000000" w:themeColor="text1"/>
          <w:szCs w:val="24"/>
        </w:rPr>
        <w:t xml:space="preserve"> </w:t>
      </w:r>
      <w:r w:rsidR="009C3A0C">
        <w:rPr>
          <w:color w:val="000000" w:themeColor="text1"/>
          <w:szCs w:val="24"/>
        </w:rPr>
        <w:t>and</w:t>
      </w:r>
      <w:r w:rsidRPr="00D03080">
        <w:rPr>
          <w:color w:val="000000" w:themeColor="text1"/>
          <w:szCs w:val="24"/>
        </w:rPr>
        <w:t xml:space="preserve"> apply to</w:t>
      </w:r>
      <w:r w:rsidRPr="00D03080">
        <w:rPr>
          <w:color w:val="000000" w:themeColor="text1"/>
        </w:rPr>
        <w:t xml:space="preserve"> applications for a Subclass 189 visa made on or after that date.  </w:t>
      </w:r>
    </w:p>
    <w:p w14:paraId="0A65A771" w14:textId="77777777" w:rsidR="00E1669D" w:rsidRDefault="00E1669D" w:rsidP="00AB4F33">
      <w:pPr>
        <w:spacing w:before="0"/>
        <w:ind w:right="91"/>
        <w:jc w:val="both"/>
      </w:pPr>
    </w:p>
    <w:p w14:paraId="78D543DC" w14:textId="3A71E54E" w:rsidR="00E1669D" w:rsidRPr="00D03080" w:rsidRDefault="00E1669D" w:rsidP="00AB4F33">
      <w:pPr>
        <w:spacing w:before="0"/>
        <w:ind w:right="91"/>
        <w:jc w:val="both"/>
      </w:pPr>
      <w:r w:rsidRPr="00D03080">
        <w:t>Further d</w:t>
      </w:r>
      <w:r w:rsidR="00D03080">
        <w:t>etails of the</w:t>
      </w:r>
      <w:r w:rsidRPr="00D03080">
        <w:t xml:space="preserve"> Regulations are set out in </w:t>
      </w:r>
      <w:r w:rsidRPr="00AB4F33">
        <w:rPr>
          <w:u w:val="single"/>
        </w:rPr>
        <w:t>Attachment</w:t>
      </w:r>
      <w:r w:rsidR="00D03080" w:rsidRPr="00AB4F33">
        <w:rPr>
          <w:u w:val="single"/>
        </w:rPr>
        <w:t xml:space="preserve"> B</w:t>
      </w:r>
      <w:r w:rsidRPr="00D03080">
        <w:t>.</w:t>
      </w:r>
    </w:p>
    <w:p w14:paraId="28993666" w14:textId="77777777" w:rsidR="00E1669D" w:rsidRPr="00D03080" w:rsidRDefault="00E1669D" w:rsidP="00AB4F33">
      <w:pPr>
        <w:spacing w:before="0"/>
        <w:ind w:right="91"/>
        <w:jc w:val="both"/>
      </w:pPr>
    </w:p>
    <w:p w14:paraId="18C8BB0D" w14:textId="578650FA" w:rsidR="00E1669D" w:rsidRPr="00D03080" w:rsidRDefault="00E1669D" w:rsidP="00AB4F33">
      <w:pPr>
        <w:tabs>
          <w:tab w:val="left" w:pos="6521"/>
        </w:tabs>
        <w:spacing w:before="0"/>
        <w:ind w:right="91"/>
        <w:jc w:val="both"/>
      </w:pPr>
      <w:r w:rsidRPr="00D03080">
        <w:t xml:space="preserve">The Migration Act specifies no conditions that need to be satisfied before the power to make </w:t>
      </w:r>
      <w:r w:rsidR="00D03080">
        <w:t>the</w:t>
      </w:r>
      <w:r w:rsidRPr="00D03080">
        <w:t xml:space="preserve"> Regulations may be exercised.</w:t>
      </w:r>
    </w:p>
    <w:p w14:paraId="6E5C524E" w14:textId="13F1768D" w:rsidR="00E1669D" w:rsidRPr="00D34AD3" w:rsidRDefault="00E1669D" w:rsidP="00AB4F33">
      <w:pPr>
        <w:spacing w:before="0"/>
        <w:jc w:val="both"/>
        <w:rPr>
          <w:color w:val="000000" w:themeColor="text1"/>
          <w:highlight w:val="cyan"/>
        </w:rPr>
      </w:pPr>
    </w:p>
    <w:p w14:paraId="66CE628F" w14:textId="60BDCFBF" w:rsidR="00E1669D" w:rsidRPr="00D03080" w:rsidRDefault="00D03080" w:rsidP="00AB4F33">
      <w:pPr>
        <w:tabs>
          <w:tab w:val="left" w:pos="6521"/>
        </w:tabs>
        <w:spacing w:before="0"/>
        <w:ind w:right="521"/>
        <w:jc w:val="both"/>
        <w:rPr>
          <w:szCs w:val="24"/>
        </w:rPr>
      </w:pPr>
      <w:r w:rsidRPr="00D03080">
        <w:rPr>
          <w:szCs w:val="24"/>
        </w:rPr>
        <w:t xml:space="preserve">The </w:t>
      </w:r>
      <w:r w:rsidR="00E1669D" w:rsidRPr="00D03080">
        <w:rPr>
          <w:szCs w:val="24"/>
        </w:rPr>
        <w:t>Regulations</w:t>
      </w:r>
      <w:r w:rsidRPr="00D03080">
        <w:rPr>
          <w:szCs w:val="24"/>
        </w:rPr>
        <w:t xml:space="preserve"> are</w:t>
      </w:r>
      <w:r w:rsidR="00E1669D" w:rsidRPr="00D03080">
        <w:rPr>
          <w:szCs w:val="24"/>
        </w:rPr>
        <w:t xml:space="preserve"> a legislative instrument for the purposes of the Legislation Act. </w:t>
      </w:r>
    </w:p>
    <w:p w14:paraId="16A7FB44" w14:textId="77777777" w:rsidR="00E1669D" w:rsidRPr="00D34AD3" w:rsidRDefault="00E1669D" w:rsidP="00AB4F33">
      <w:pPr>
        <w:tabs>
          <w:tab w:val="left" w:pos="6521"/>
        </w:tabs>
        <w:spacing w:before="0"/>
        <w:ind w:right="521"/>
        <w:jc w:val="both"/>
        <w:rPr>
          <w:highlight w:val="cyan"/>
        </w:rPr>
      </w:pPr>
    </w:p>
    <w:p w14:paraId="6929A69A" w14:textId="2C20E30D" w:rsidR="005506C6" w:rsidRDefault="005506C6" w:rsidP="00AB4F33">
      <w:pPr>
        <w:spacing w:before="120" w:after="120"/>
        <w:jc w:val="both"/>
        <w:rPr>
          <w:color w:val="000000" w:themeColor="text1"/>
        </w:rPr>
      </w:pPr>
    </w:p>
    <w:p w14:paraId="391791D8" w14:textId="36CD63EC" w:rsidR="002B1992" w:rsidRDefault="002B1992" w:rsidP="00AB4F33">
      <w:pPr>
        <w:tabs>
          <w:tab w:val="left" w:pos="6521"/>
        </w:tabs>
        <w:spacing w:before="0"/>
        <w:ind w:right="91"/>
        <w:jc w:val="both"/>
        <w:rPr>
          <w:color w:val="000000" w:themeColor="text1"/>
        </w:rPr>
      </w:pPr>
    </w:p>
    <w:p w14:paraId="69755FEA" w14:textId="77777777" w:rsidR="002B1992" w:rsidRPr="002139EC" w:rsidRDefault="002B1992" w:rsidP="00AB4F33">
      <w:pPr>
        <w:tabs>
          <w:tab w:val="left" w:pos="6521"/>
        </w:tabs>
        <w:spacing w:before="0"/>
        <w:ind w:right="91"/>
        <w:jc w:val="both"/>
        <w:rPr>
          <w:color w:val="000000" w:themeColor="text1"/>
        </w:rPr>
      </w:pPr>
    </w:p>
    <w:p w14:paraId="467AF751" w14:textId="2B641A3B" w:rsidR="00D03080" w:rsidRDefault="00D03080" w:rsidP="00AB4F33">
      <w:pPr>
        <w:spacing w:before="0" w:after="200" w:line="276" w:lineRule="auto"/>
        <w:jc w:val="both"/>
        <w:rPr>
          <w:szCs w:val="24"/>
        </w:rPr>
      </w:pPr>
      <w:r>
        <w:rPr>
          <w:szCs w:val="24"/>
        </w:rPr>
        <w:br w:type="page"/>
      </w:r>
    </w:p>
    <w:p w14:paraId="6E505F63" w14:textId="5C603637" w:rsidR="00B23EE3" w:rsidRDefault="007F0DAD" w:rsidP="00AB4F33">
      <w:pPr>
        <w:tabs>
          <w:tab w:val="left" w:pos="345"/>
        </w:tabs>
        <w:spacing w:before="0"/>
        <w:ind w:left="345" w:right="43"/>
        <w:contextualSpacing/>
        <w:jc w:val="right"/>
        <w:rPr>
          <w:b/>
          <w:szCs w:val="24"/>
          <w:u w:val="single"/>
        </w:rPr>
      </w:pPr>
      <w:r w:rsidRPr="00F61976">
        <w:rPr>
          <w:b/>
          <w:szCs w:val="24"/>
          <w:u w:val="single"/>
        </w:rPr>
        <w:lastRenderedPageBreak/>
        <w:t xml:space="preserve">ATTACHMENT </w:t>
      </w:r>
      <w:r w:rsidR="00FD6389">
        <w:rPr>
          <w:b/>
          <w:szCs w:val="24"/>
          <w:u w:val="single"/>
        </w:rPr>
        <w:t>A</w:t>
      </w:r>
    </w:p>
    <w:p w14:paraId="581B5A49" w14:textId="5242CB26" w:rsidR="00E93D5C" w:rsidRDefault="00E93D5C" w:rsidP="00AB4F33">
      <w:pPr>
        <w:tabs>
          <w:tab w:val="left" w:pos="345"/>
        </w:tabs>
        <w:spacing w:before="0"/>
        <w:ind w:right="43"/>
        <w:contextualSpacing/>
        <w:jc w:val="both"/>
        <w:rPr>
          <w:b/>
          <w:szCs w:val="24"/>
          <w:u w:val="single"/>
        </w:rPr>
      </w:pPr>
    </w:p>
    <w:p w14:paraId="67783F54" w14:textId="77777777" w:rsidR="00FE5B74" w:rsidRPr="00E93D5C" w:rsidRDefault="00FE5B74" w:rsidP="00AB4F33">
      <w:pPr>
        <w:tabs>
          <w:tab w:val="left" w:pos="345"/>
        </w:tabs>
        <w:spacing w:before="0"/>
        <w:ind w:right="43"/>
        <w:contextualSpacing/>
        <w:jc w:val="both"/>
        <w:rPr>
          <w:b/>
          <w:szCs w:val="24"/>
          <w:u w:val="single"/>
        </w:rPr>
      </w:pPr>
    </w:p>
    <w:p w14:paraId="12388838" w14:textId="0A21C82C" w:rsidR="00240FE3" w:rsidRDefault="00240FE3" w:rsidP="00F05FF9">
      <w:pPr>
        <w:pStyle w:val="Heading2"/>
        <w:jc w:val="center"/>
        <w:rPr>
          <w:rFonts w:ascii="Times New Roman" w:eastAsiaTheme="minorHAnsi" w:hAnsi="Times New Roman" w:cstheme="minorBidi"/>
          <w:b/>
          <w:color w:val="auto"/>
          <w:sz w:val="28"/>
          <w:szCs w:val="28"/>
          <w:lang w:eastAsia="en-US"/>
        </w:rPr>
      </w:pPr>
      <w:r>
        <w:rPr>
          <w:rFonts w:ascii="Times New Roman" w:eastAsiaTheme="minorHAnsi" w:hAnsi="Times New Roman" w:cstheme="minorBidi"/>
          <w:b/>
          <w:color w:val="auto"/>
          <w:sz w:val="28"/>
          <w:szCs w:val="28"/>
          <w:lang w:eastAsia="en-US"/>
        </w:rPr>
        <w:t>Statement of Compatibility with Human Rights</w:t>
      </w:r>
    </w:p>
    <w:p w14:paraId="1DCE8631" w14:textId="77777777" w:rsidR="00240FE3" w:rsidRDefault="00240FE3" w:rsidP="00F05FF9">
      <w:pPr>
        <w:spacing w:before="120" w:after="120"/>
        <w:jc w:val="center"/>
        <w:rPr>
          <w:rFonts w:eastAsiaTheme="minorHAnsi" w:cstheme="minorBidi"/>
          <w:szCs w:val="24"/>
          <w:lang w:eastAsia="en-US"/>
        </w:rPr>
      </w:pPr>
      <w:r>
        <w:rPr>
          <w:rFonts w:eastAsiaTheme="minorHAnsi" w:cstheme="minorBidi"/>
          <w:i/>
          <w:szCs w:val="24"/>
          <w:lang w:eastAsia="en-US"/>
        </w:rPr>
        <w:t>Prepared in accordance with Part 3 of the Human Rights (Parliamentary Scrutiny) Act 2011</w:t>
      </w:r>
    </w:p>
    <w:p w14:paraId="16FEC1F9" w14:textId="77777777" w:rsidR="00240FE3" w:rsidRDefault="00240FE3" w:rsidP="00F05FF9">
      <w:pPr>
        <w:spacing w:before="120" w:after="120"/>
        <w:jc w:val="center"/>
        <w:rPr>
          <w:rFonts w:eastAsiaTheme="minorHAnsi" w:cstheme="minorBidi"/>
          <w:b/>
          <w:szCs w:val="24"/>
          <w:lang w:eastAsia="en-US"/>
        </w:rPr>
      </w:pPr>
    </w:p>
    <w:p w14:paraId="46641B77" w14:textId="0C3C0EDB" w:rsidR="00240FE3" w:rsidRDefault="00240FE3" w:rsidP="00F05FF9">
      <w:pPr>
        <w:spacing w:before="120" w:after="120"/>
        <w:jc w:val="center"/>
        <w:rPr>
          <w:rFonts w:eastAsiaTheme="minorHAnsi" w:cstheme="minorBidi"/>
          <w:b/>
          <w:szCs w:val="24"/>
          <w:lang w:eastAsia="en-US"/>
        </w:rPr>
      </w:pPr>
      <w:r>
        <w:rPr>
          <w:rFonts w:eastAsiaTheme="minorHAnsi" w:cstheme="minorBidi"/>
          <w:b/>
          <w:szCs w:val="24"/>
          <w:lang w:eastAsia="en-US"/>
        </w:rPr>
        <w:t>Migration Amendment (Subclass 189 Visas) Regulations 2021</w:t>
      </w:r>
    </w:p>
    <w:p w14:paraId="097E6BF1" w14:textId="77777777" w:rsidR="00240FE3" w:rsidRDefault="00240FE3" w:rsidP="00AB4F33">
      <w:pPr>
        <w:spacing w:before="0" w:after="120"/>
        <w:jc w:val="both"/>
        <w:rPr>
          <w:rFonts w:eastAsiaTheme="minorHAnsi" w:cstheme="minorBidi"/>
          <w:szCs w:val="24"/>
          <w:lang w:eastAsia="en-US"/>
        </w:rPr>
      </w:pPr>
      <w:r>
        <w:rPr>
          <w:rFonts w:eastAsiaTheme="minorHAnsi" w:cstheme="minorBidi"/>
          <w:szCs w:val="24"/>
          <w:lang w:eastAsia="en-US"/>
        </w:rPr>
        <w:t xml:space="preserve">This Disallowable Legislative Instrument is compatible with the human rights and freedoms recognised or declared in the international instruments listed in section 3 of the </w:t>
      </w:r>
      <w:r>
        <w:rPr>
          <w:rFonts w:eastAsiaTheme="minorHAnsi" w:cstheme="minorBidi"/>
          <w:i/>
          <w:szCs w:val="24"/>
          <w:lang w:eastAsia="en-US"/>
        </w:rPr>
        <w:t>Human Rights (Parliamentary Scrutiny) Act 2011</w:t>
      </w:r>
      <w:r>
        <w:rPr>
          <w:rFonts w:eastAsiaTheme="minorHAnsi" w:cstheme="minorBidi"/>
          <w:szCs w:val="24"/>
          <w:lang w:eastAsia="en-US"/>
        </w:rPr>
        <w:t>.</w:t>
      </w:r>
    </w:p>
    <w:p w14:paraId="2620A026" w14:textId="77777777" w:rsidR="00FE5B74" w:rsidRDefault="00FE5B74" w:rsidP="00AB4F33">
      <w:pPr>
        <w:spacing w:before="0" w:after="120"/>
        <w:jc w:val="both"/>
        <w:outlineLvl w:val="2"/>
        <w:rPr>
          <w:rFonts w:eastAsiaTheme="minorHAnsi" w:cstheme="minorBidi"/>
          <w:b/>
          <w:szCs w:val="24"/>
          <w:lang w:eastAsia="en-US"/>
        </w:rPr>
      </w:pPr>
    </w:p>
    <w:p w14:paraId="51FFA982" w14:textId="5C3CDE15" w:rsidR="00240FE3" w:rsidRDefault="00240FE3" w:rsidP="00AB4F33">
      <w:pPr>
        <w:spacing w:before="0" w:after="120"/>
        <w:jc w:val="both"/>
        <w:outlineLvl w:val="2"/>
        <w:rPr>
          <w:rFonts w:eastAsiaTheme="minorHAnsi" w:cstheme="minorBidi"/>
          <w:b/>
          <w:szCs w:val="24"/>
          <w:lang w:eastAsia="en-US"/>
        </w:rPr>
      </w:pPr>
      <w:r>
        <w:rPr>
          <w:rFonts w:eastAsiaTheme="minorHAnsi" w:cstheme="minorBidi"/>
          <w:b/>
          <w:szCs w:val="24"/>
          <w:lang w:eastAsia="en-US"/>
        </w:rPr>
        <w:t>Overview of the Disallowable Legislative Instrument</w:t>
      </w:r>
    </w:p>
    <w:p w14:paraId="5816B977" w14:textId="77777777" w:rsidR="00240FE3" w:rsidRDefault="00240FE3" w:rsidP="00AB4F33">
      <w:pPr>
        <w:spacing w:before="120" w:after="120"/>
        <w:jc w:val="both"/>
        <w:rPr>
          <w:rFonts w:eastAsiaTheme="minorHAnsi" w:cstheme="minorBidi"/>
          <w:szCs w:val="24"/>
          <w:lang w:eastAsia="en-US"/>
        </w:rPr>
      </w:pPr>
      <w:r>
        <w:rPr>
          <w:rFonts w:eastAsiaTheme="minorHAnsi" w:cstheme="minorBidi"/>
          <w:szCs w:val="24"/>
          <w:lang w:eastAsia="en-US"/>
        </w:rPr>
        <w:t>The New Zealand pathway to permanent residence (the pathway) provides a concession to New Zealand citizens who have demonstrated commitment to Australia, and who have made and can continue to make a strong economic contribution to Australia's future. It is delivered as a stream of the subclass 189 (Skilled –Independent) visa.</w:t>
      </w:r>
    </w:p>
    <w:p w14:paraId="7AD5F0E1" w14:textId="77777777" w:rsidR="00240FE3" w:rsidRDefault="00240FE3" w:rsidP="00AB4F33">
      <w:pPr>
        <w:spacing w:before="120" w:after="120"/>
        <w:jc w:val="both"/>
        <w:rPr>
          <w:rFonts w:eastAsiaTheme="minorHAnsi" w:cstheme="minorBidi"/>
          <w:szCs w:val="24"/>
          <w:lang w:eastAsia="en-US"/>
        </w:rPr>
      </w:pPr>
      <w:r>
        <w:rPr>
          <w:rFonts w:eastAsiaTheme="minorHAnsi" w:cstheme="minorBidi"/>
          <w:szCs w:val="24"/>
          <w:lang w:eastAsia="en-US"/>
        </w:rPr>
        <w:t>Prior to this amendment, these applicants were required to have an income at or above a specified threshold (the income threshold) for the four most recently completed income years before the date of their visa application (during</w:t>
      </w:r>
      <w:r>
        <w:t xml:space="preserve"> the </w:t>
      </w:r>
      <w:r>
        <w:rPr>
          <w:rFonts w:eastAsiaTheme="minorHAnsi" w:cstheme="minorBidi"/>
          <w:szCs w:val="24"/>
          <w:lang w:eastAsia="en-US"/>
        </w:rPr>
        <w:t xml:space="preserve">period of </w:t>
      </w:r>
      <w:r>
        <w:t xml:space="preserve">five years </w:t>
      </w:r>
      <w:r>
        <w:rPr>
          <w:rFonts w:eastAsiaTheme="minorHAnsi" w:cstheme="minorBidi"/>
          <w:szCs w:val="24"/>
          <w:lang w:eastAsia="en-US"/>
        </w:rPr>
        <w:t xml:space="preserve">immediately </w:t>
      </w:r>
      <w:r>
        <w:t xml:space="preserve">before </w:t>
      </w:r>
      <w:r>
        <w:rPr>
          <w:rFonts w:eastAsiaTheme="minorHAnsi" w:cstheme="minorBidi"/>
          <w:szCs w:val="24"/>
          <w:lang w:eastAsia="en-US"/>
        </w:rPr>
        <w:t>that date), unless claiming an exemption. In practice, this required applicants to provide evidence of income at or above the threshold for four consecutive years, meaning New Zealanders who otherwise earned at or above the threshold for a majority of those four years but had their income temporarily drop became ineligible. These New Zealanders had to then start again and earn at or above the income threshold for four consecutive years before they were eligible to apply for the pathway.</w:t>
      </w:r>
    </w:p>
    <w:p w14:paraId="7C86E218" w14:textId="77777777" w:rsidR="00240FE3" w:rsidRDefault="00240FE3" w:rsidP="00AB4F33">
      <w:pPr>
        <w:spacing w:before="120" w:after="120"/>
        <w:jc w:val="both"/>
      </w:pPr>
      <w:r>
        <w:rPr>
          <w:rFonts w:eastAsiaTheme="minorHAnsi" w:cstheme="minorBidi"/>
          <w:szCs w:val="24"/>
          <w:lang w:eastAsia="en-US"/>
        </w:rPr>
        <w:t xml:space="preserve">The income requirement is amended to require applicants to demonstrate they had an income at or above the threshold for three income years in the five years immediately before the date the visa application is made. </w:t>
      </w:r>
      <w:r>
        <w:t>One of those income years must be the income year that ended most recently before the date of the application.</w:t>
      </w:r>
    </w:p>
    <w:p w14:paraId="5D9CA462" w14:textId="77777777" w:rsidR="00240FE3" w:rsidRDefault="00240FE3" w:rsidP="00AB4F33">
      <w:pPr>
        <w:spacing w:before="120" w:after="120"/>
        <w:jc w:val="both"/>
        <w:rPr>
          <w:rFonts w:eastAsiaTheme="minorHAnsi" w:cstheme="minorBidi"/>
          <w:szCs w:val="24"/>
          <w:lang w:eastAsia="en-US"/>
        </w:rPr>
      </w:pPr>
      <w:r>
        <w:rPr>
          <w:rFonts w:eastAsiaTheme="minorHAnsi" w:cstheme="minorBidi"/>
          <w:szCs w:val="24"/>
          <w:lang w:eastAsia="en-US"/>
        </w:rPr>
        <w:t xml:space="preserve">The change is intended to benefit New Zealanders who live and work in Australia by providing additional flexibility and reducing the documentation required to be provided with an application, while continuing to meet the policy intent of making the pathway available to New Zealand citizens who have made and continue to make a demonstrated economic contribution to Australia. </w:t>
      </w:r>
    </w:p>
    <w:p w14:paraId="412A18FD" w14:textId="3F078A07" w:rsidR="00FE5B74" w:rsidRDefault="00240FE3" w:rsidP="00E34B5F">
      <w:pPr>
        <w:spacing w:before="120" w:after="120"/>
        <w:jc w:val="both"/>
        <w:rPr>
          <w:rFonts w:eastAsiaTheme="minorHAnsi" w:cstheme="minorBidi"/>
          <w:szCs w:val="24"/>
          <w:lang w:eastAsia="en-US"/>
        </w:rPr>
      </w:pPr>
      <w:r>
        <w:rPr>
          <w:rFonts w:eastAsiaTheme="minorHAnsi" w:cstheme="minorBidi"/>
          <w:szCs w:val="24"/>
          <w:lang w:eastAsia="en-US"/>
        </w:rPr>
        <w:t>The existing income threshold amount remains unchanged.</w:t>
      </w:r>
    </w:p>
    <w:p w14:paraId="1F470CBB" w14:textId="77777777" w:rsidR="00E34B5F" w:rsidRPr="00E34B5F" w:rsidRDefault="00E34B5F" w:rsidP="00E34B5F">
      <w:pPr>
        <w:spacing w:before="120" w:after="120"/>
        <w:jc w:val="both"/>
        <w:rPr>
          <w:rFonts w:eastAsiaTheme="minorHAnsi" w:cstheme="minorBidi"/>
          <w:szCs w:val="24"/>
          <w:lang w:eastAsia="en-US"/>
        </w:rPr>
      </w:pPr>
    </w:p>
    <w:p w14:paraId="0EAFE542" w14:textId="3054D2DC" w:rsidR="00240FE3" w:rsidRDefault="00240FE3" w:rsidP="00AB4F33">
      <w:pPr>
        <w:spacing w:before="0" w:after="120"/>
        <w:jc w:val="both"/>
        <w:outlineLvl w:val="2"/>
        <w:rPr>
          <w:rFonts w:eastAsiaTheme="minorHAnsi" w:cstheme="minorBidi"/>
          <w:b/>
          <w:szCs w:val="24"/>
          <w:lang w:eastAsia="en-US"/>
        </w:rPr>
      </w:pPr>
      <w:r>
        <w:rPr>
          <w:rFonts w:eastAsiaTheme="minorHAnsi" w:cstheme="minorBidi"/>
          <w:b/>
          <w:szCs w:val="24"/>
          <w:lang w:eastAsia="en-US"/>
        </w:rPr>
        <w:t>Human rights implications</w:t>
      </w:r>
    </w:p>
    <w:p w14:paraId="0CFABCC4" w14:textId="77777777" w:rsidR="00240FE3" w:rsidRDefault="00240FE3" w:rsidP="00AB4F33">
      <w:pPr>
        <w:spacing w:before="0" w:after="120"/>
        <w:jc w:val="both"/>
        <w:rPr>
          <w:rFonts w:eastAsiaTheme="minorHAnsi" w:cstheme="minorBidi"/>
          <w:szCs w:val="24"/>
          <w:lang w:eastAsia="en-US"/>
        </w:rPr>
      </w:pPr>
      <w:r>
        <w:rPr>
          <w:rFonts w:eastAsiaTheme="minorHAnsi" w:cstheme="minorBidi"/>
          <w:szCs w:val="24"/>
          <w:lang w:eastAsia="en-US"/>
        </w:rPr>
        <w:t xml:space="preserve">This Disallowable Legislative Instrument may engage the following rights as the amendments apply to New Zealand citizens only: </w:t>
      </w:r>
    </w:p>
    <w:p w14:paraId="0A286FFE" w14:textId="77777777" w:rsidR="00240FE3" w:rsidRDefault="00240FE3" w:rsidP="00AB4F33">
      <w:pPr>
        <w:pStyle w:val="ListParagraph"/>
        <w:numPr>
          <w:ilvl w:val="0"/>
          <w:numId w:val="39"/>
        </w:numPr>
        <w:spacing w:before="0" w:after="120"/>
        <w:jc w:val="both"/>
        <w:rPr>
          <w:rFonts w:eastAsiaTheme="minorHAnsi" w:cstheme="minorBidi"/>
          <w:szCs w:val="24"/>
          <w:lang w:eastAsia="en-US"/>
        </w:rPr>
      </w:pPr>
      <w:r>
        <w:rPr>
          <w:rFonts w:eastAsiaTheme="minorHAnsi" w:cstheme="minorBidi"/>
          <w:szCs w:val="24"/>
          <w:lang w:eastAsia="en-US"/>
        </w:rPr>
        <w:t>The right to equality and non-discrimination under Article 2(1) and Article 26 of the International Covenant on Civil and Political Rights (ICCPR)</w:t>
      </w:r>
    </w:p>
    <w:p w14:paraId="4C5D0D02" w14:textId="77777777" w:rsidR="00240FE3" w:rsidRDefault="00240FE3" w:rsidP="00AB4F33">
      <w:pPr>
        <w:spacing w:before="100" w:beforeAutospacing="1" w:after="100" w:afterAutospacing="1"/>
        <w:jc w:val="both"/>
        <w:rPr>
          <w:szCs w:val="24"/>
        </w:rPr>
      </w:pPr>
      <w:r>
        <w:rPr>
          <w:szCs w:val="24"/>
        </w:rPr>
        <w:t>Article 2(1) of the ICCPR states:</w:t>
      </w:r>
    </w:p>
    <w:p w14:paraId="28C8E63C" w14:textId="77777777" w:rsidR="00240FE3" w:rsidRDefault="00240FE3" w:rsidP="00AB4F33">
      <w:pPr>
        <w:spacing w:before="100" w:beforeAutospacing="1" w:after="100" w:afterAutospacing="1"/>
        <w:jc w:val="both"/>
        <w:rPr>
          <w:i/>
          <w:szCs w:val="24"/>
        </w:rPr>
      </w:pPr>
      <w:r>
        <w:rPr>
          <w:i/>
          <w:szCs w:val="24"/>
        </w:rPr>
        <w:lastRenderedPageBreak/>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14:paraId="3E3563D7" w14:textId="77777777" w:rsidR="00240FE3" w:rsidRDefault="00240FE3" w:rsidP="00AB4F33">
      <w:pPr>
        <w:spacing w:before="0" w:after="120"/>
        <w:jc w:val="both"/>
        <w:rPr>
          <w:rFonts w:eastAsiaTheme="minorHAnsi" w:cstheme="minorBidi"/>
          <w:szCs w:val="24"/>
          <w:lang w:eastAsia="en-US"/>
        </w:rPr>
      </w:pPr>
      <w:r>
        <w:rPr>
          <w:rFonts w:eastAsiaTheme="minorHAnsi" w:cstheme="minorBidi"/>
          <w:szCs w:val="24"/>
          <w:lang w:eastAsia="en-US"/>
        </w:rPr>
        <w:t xml:space="preserve">Article 26 of the ICCPR states: </w:t>
      </w:r>
    </w:p>
    <w:p w14:paraId="2143F2FE" w14:textId="77777777" w:rsidR="00240FE3" w:rsidRDefault="00240FE3" w:rsidP="00AB4F33">
      <w:pPr>
        <w:spacing w:before="100" w:beforeAutospacing="1" w:after="100" w:afterAutospacing="1"/>
        <w:jc w:val="both"/>
        <w:rPr>
          <w:i/>
          <w:szCs w:val="24"/>
        </w:rPr>
      </w:pPr>
      <w:r>
        <w:rPr>
          <w:i/>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CDC37A" w14:textId="77777777" w:rsidR="00240FE3" w:rsidRDefault="00240FE3" w:rsidP="00AB4F33">
      <w:pPr>
        <w:pStyle w:val="CommentText"/>
        <w:jc w:val="both"/>
        <w:rPr>
          <w:sz w:val="24"/>
          <w:szCs w:val="24"/>
        </w:rPr>
      </w:pPr>
      <w:r>
        <w:rPr>
          <w:sz w:val="24"/>
          <w:szCs w:val="24"/>
        </w:rPr>
        <w:t xml:space="preserve">Australia has a special bilateral relationship with New Zealand and, as part of this relationship, has established visa categories that are only available to New Zealand citizens. The </w:t>
      </w:r>
      <w:r>
        <w:rPr>
          <w:i/>
          <w:sz w:val="24"/>
          <w:szCs w:val="24"/>
        </w:rPr>
        <w:t>Migration Amendment (Subclass 189 Visas) Regulations 2021</w:t>
      </w:r>
      <w:r>
        <w:rPr>
          <w:sz w:val="24"/>
          <w:szCs w:val="24"/>
        </w:rPr>
        <w:t xml:space="preserve"> promote this bilateral relationship by easing the income requirements for the existing pathway to permanent residence which is for New Zealand residents only. As such, the instrument may engage Articles 2(1) and 26 of the ICCPR. </w:t>
      </w:r>
    </w:p>
    <w:p w14:paraId="5ED10AEA" w14:textId="77777777" w:rsidR="00240FE3" w:rsidRDefault="00240FE3" w:rsidP="00AB4F33">
      <w:pPr>
        <w:pStyle w:val="CommentText"/>
        <w:jc w:val="both"/>
        <w:rPr>
          <w:sz w:val="24"/>
          <w:szCs w:val="24"/>
        </w:rPr>
      </w:pPr>
      <w:r>
        <w:rPr>
          <w:sz w:val="24"/>
          <w:szCs w:val="24"/>
        </w:rPr>
        <w:t xml:space="preserve">Article 2(1) of ICCPR requires that Australia ensure the rights recognised in the ICCPR extend to all individuals (citizens, residents and non-citizens) within its territory and subject to its jurisdiction. </w:t>
      </w:r>
    </w:p>
    <w:p w14:paraId="149CACEB" w14:textId="77777777" w:rsidR="00240FE3" w:rsidRDefault="00240FE3" w:rsidP="00AB4F33">
      <w:pPr>
        <w:pStyle w:val="CommentText"/>
        <w:jc w:val="both"/>
        <w:rPr>
          <w:sz w:val="24"/>
          <w:szCs w:val="24"/>
        </w:rPr>
      </w:pPr>
      <w:r>
        <w:rPr>
          <w:sz w:val="24"/>
          <w:szCs w:val="24"/>
        </w:rPr>
        <w:t xml:space="preserve">Article 26 requires that all persons are to be treated equally before the law and no law shall discriminate any of the grounds listed in the article. The UN Human Rights Committee in General Comment No. 18 explains that the term ‘discrimination’ as used in the Covenant should be understood to imply any distinction, exclusion, restriction or preference on grounds such as nationality or other status. </w:t>
      </w:r>
    </w:p>
    <w:p w14:paraId="59A27B27" w14:textId="77777777" w:rsidR="00240FE3" w:rsidRDefault="00240FE3" w:rsidP="00AB4F33">
      <w:pPr>
        <w:pStyle w:val="CommentText"/>
        <w:jc w:val="both"/>
        <w:rPr>
          <w:sz w:val="24"/>
          <w:szCs w:val="24"/>
        </w:rPr>
      </w:pPr>
      <w:r>
        <w:rPr>
          <w:sz w:val="24"/>
          <w:szCs w:val="24"/>
        </w:rPr>
        <w:t>The amendment makes it easier for New Zealand residents to access the pathway by amending the income requirement from requiring the applicant to meet the income threshold for four consecutive income years, to requiring the applicant to meet the income threshold for three income years out of the five years before they apply for the visa, including the most recent tax year. This addresses the concern that some New Zealand residents, who were otherwise making a demonstrated economic contribution to Australia, were unable to access the pathway where their income dropped below the relevant threshold in just one year out of the relevant five year period. To the extent that the amendments discriminate because of nationality or other status (income and citizenship), this is necessary, reasonable and proportionate on the basis that it further promotes the existing special bilateral relationship between Australia and New Zealand and recognises the contribution of long-term New Zealand residents whose income may have dropped for one year.</w:t>
      </w:r>
    </w:p>
    <w:p w14:paraId="495B6175" w14:textId="77777777" w:rsidR="00240FE3" w:rsidRDefault="00240FE3" w:rsidP="00AB4F33">
      <w:pPr>
        <w:spacing w:before="0" w:after="120"/>
        <w:jc w:val="both"/>
        <w:rPr>
          <w:rFonts w:eastAsiaTheme="minorHAnsi" w:cstheme="minorBidi"/>
          <w:szCs w:val="24"/>
          <w:lang w:eastAsia="en-US"/>
        </w:rPr>
      </w:pPr>
    </w:p>
    <w:p w14:paraId="51B69A9F" w14:textId="6665A1F0" w:rsidR="00240FE3" w:rsidRDefault="00240FE3" w:rsidP="00F05FF9">
      <w:pPr>
        <w:spacing w:before="0" w:after="200" w:line="276" w:lineRule="auto"/>
        <w:jc w:val="both"/>
        <w:rPr>
          <w:rFonts w:eastAsiaTheme="minorHAnsi" w:cstheme="minorBidi"/>
          <w:b/>
          <w:szCs w:val="24"/>
          <w:lang w:eastAsia="en-US"/>
        </w:rPr>
      </w:pPr>
      <w:r>
        <w:rPr>
          <w:rFonts w:eastAsiaTheme="minorHAnsi" w:cstheme="minorBidi"/>
          <w:b/>
          <w:szCs w:val="24"/>
          <w:lang w:eastAsia="en-US"/>
        </w:rPr>
        <w:t>Conclusion</w:t>
      </w:r>
    </w:p>
    <w:p w14:paraId="6556ACC9" w14:textId="77777777" w:rsidR="00240FE3" w:rsidRDefault="00240FE3" w:rsidP="00AB4F33">
      <w:pPr>
        <w:spacing w:before="0" w:after="120"/>
        <w:jc w:val="both"/>
        <w:rPr>
          <w:rFonts w:eastAsiaTheme="minorHAnsi" w:cstheme="minorBidi"/>
          <w:szCs w:val="24"/>
          <w:lang w:eastAsia="en-US"/>
        </w:rPr>
      </w:pPr>
      <w:r>
        <w:rPr>
          <w:rFonts w:eastAsiaTheme="minorHAnsi" w:cstheme="minorBidi"/>
          <w:szCs w:val="24"/>
          <w:lang w:eastAsia="en-US"/>
        </w:rPr>
        <w:t xml:space="preserve">This Disallowable Legislative Instrument is compatible with human rights because to the extent that it may limit human rights, those limitations are reasonable, necessary and proportionate. </w:t>
      </w:r>
    </w:p>
    <w:p w14:paraId="492F91DB" w14:textId="77777777" w:rsidR="00240FE3" w:rsidRDefault="00240FE3" w:rsidP="00AB4F33">
      <w:pPr>
        <w:spacing w:before="120" w:after="120"/>
        <w:jc w:val="both"/>
        <w:rPr>
          <w:szCs w:val="24"/>
        </w:rPr>
      </w:pPr>
    </w:p>
    <w:p w14:paraId="40FB5B8B" w14:textId="0387BEAF" w:rsidR="00240FE3" w:rsidRDefault="00240FE3" w:rsidP="00F05FF9">
      <w:pPr>
        <w:spacing w:before="120" w:after="120"/>
        <w:jc w:val="center"/>
        <w:rPr>
          <w:szCs w:val="24"/>
        </w:rPr>
      </w:pPr>
      <w:r>
        <w:rPr>
          <w:b/>
          <w:szCs w:val="24"/>
        </w:rPr>
        <w:t>The Hon. Alex Hawke MP, Minister for Immigration, Citizenship, Migrant Services and Multicultural Affairs</w:t>
      </w:r>
    </w:p>
    <w:p w14:paraId="1423EE83" w14:textId="132E40F4" w:rsidR="007F0DAD" w:rsidRDefault="007F0DAD" w:rsidP="00F05FF9">
      <w:pPr>
        <w:spacing w:before="0" w:after="200" w:line="276" w:lineRule="auto"/>
        <w:jc w:val="right"/>
        <w:rPr>
          <w:b/>
          <w:szCs w:val="24"/>
          <w:u w:val="single"/>
        </w:rPr>
      </w:pPr>
      <w:r w:rsidRPr="00F61976">
        <w:rPr>
          <w:b/>
          <w:szCs w:val="24"/>
          <w:u w:val="single"/>
        </w:rPr>
        <w:lastRenderedPageBreak/>
        <w:t xml:space="preserve">ATTACHMENT </w:t>
      </w:r>
      <w:r w:rsidR="00533774">
        <w:rPr>
          <w:b/>
          <w:szCs w:val="24"/>
          <w:u w:val="single"/>
        </w:rPr>
        <w:t>B</w:t>
      </w:r>
    </w:p>
    <w:p w14:paraId="34E9562A" w14:textId="77777777" w:rsidR="001C500E" w:rsidRPr="00F61976" w:rsidRDefault="001C500E" w:rsidP="00AB4F33">
      <w:pPr>
        <w:tabs>
          <w:tab w:val="left" w:pos="345"/>
        </w:tabs>
        <w:spacing w:before="100" w:beforeAutospacing="1"/>
        <w:ind w:right="43"/>
        <w:contextualSpacing/>
        <w:jc w:val="both"/>
        <w:rPr>
          <w:b/>
          <w:szCs w:val="24"/>
          <w:u w:val="single"/>
        </w:rPr>
      </w:pPr>
    </w:p>
    <w:p w14:paraId="62121DF5" w14:textId="7423633B" w:rsidR="001C500E" w:rsidRPr="002D3614" w:rsidRDefault="001C500E" w:rsidP="00AB4F33">
      <w:pPr>
        <w:spacing w:before="0"/>
        <w:ind w:right="40"/>
        <w:jc w:val="both"/>
        <w:rPr>
          <w:b/>
          <w:i/>
          <w:szCs w:val="24"/>
          <w:u w:val="single"/>
        </w:rPr>
      </w:pPr>
      <w:r w:rsidRPr="002D3614">
        <w:rPr>
          <w:b/>
          <w:u w:val="single"/>
        </w:rPr>
        <w:t>Details of the</w:t>
      </w:r>
      <w:r w:rsidR="00D03080">
        <w:rPr>
          <w:b/>
          <w:u w:val="single"/>
        </w:rPr>
        <w:t xml:space="preserve"> </w:t>
      </w:r>
      <w:r w:rsidRPr="002D3614">
        <w:rPr>
          <w:b/>
          <w:i/>
          <w:szCs w:val="24"/>
          <w:u w:val="single"/>
        </w:rPr>
        <w:t>Migration Amendment (</w:t>
      </w:r>
      <w:r w:rsidRPr="002D3614">
        <w:rPr>
          <w:b/>
          <w:i/>
          <w:u w:val="single"/>
        </w:rPr>
        <w:t>Subclass 189 Visas) Regulations</w:t>
      </w:r>
      <w:r w:rsidRPr="002D3614">
        <w:rPr>
          <w:b/>
          <w:i/>
          <w:szCs w:val="24"/>
          <w:u w:val="single"/>
        </w:rPr>
        <w:t xml:space="preserve"> 202</w:t>
      </w:r>
      <w:r>
        <w:rPr>
          <w:b/>
          <w:i/>
          <w:szCs w:val="24"/>
          <w:u w:val="single"/>
        </w:rPr>
        <w:t>1</w:t>
      </w:r>
    </w:p>
    <w:p w14:paraId="6C141FE9" w14:textId="77777777" w:rsidR="001C500E" w:rsidRPr="002F106E" w:rsidRDefault="001C500E" w:rsidP="00AB4F33">
      <w:pPr>
        <w:pStyle w:val="ItemHead"/>
        <w:keepNext w:val="0"/>
        <w:keepLines w:val="0"/>
        <w:widowControl w:val="0"/>
        <w:ind w:left="0" w:firstLine="0"/>
        <w:jc w:val="both"/>
        <w:rPr>
          <w:rFonts w:ascii="Times New Roman" w:hAnsi="Times New Roman"/>
          <w:b w:val="0"/>
          <w:szCs w:val="24"/>
          <w:u w:val="single"/>
        </w:rPr>
      </w:pPr>
      <w:bookmarkStart w:id="1" w:name="_Toc505262124"/>
      <w:bookmarkStart w:id="2" w:name="opcAmSched"/>
      <w:bookmarkStart w:id="3" w:name="opcCurrentFind"/>
      <w:r w:rsidRPr="002F106E">
        <w:rPr>
          <w:rFonts w:ascii="Times New Roman" w:hAnsi="Times New Roman"/>
          <w:b w:val="0"/>
          <w:szCs w:val="24"/>
          <w:u w:val="single"/>
        </w:rPr>
        <w:t>Section 1 – Name</w:t>
      </w:r>
    </w:p>
    <w:p w14:paraId="5B191AAA" w14:textId="74A0ADEA" w:rsidR="001C500E" w:rsidRPr="007000E6" w:rsidRDefault="001C500E" w:rsidP="00AB4F33">
      <w:pPr>
        <w:jc w:val="both"/>
        <w:rPr>
          <w:rFonts w:eastAsia="SimSun"/>
          <w:szCs w:val="24"/>
        </w:rPr>
      </w:pPr>
      <w:r w:rsidRPr="002F106E">
        <w:rPr>
          <w:rFonts w:eastAsia="SimSun"/>
          <w:szCs w:val="24"/>
        </w:rPr>
        <w:t>This section</w:t>
      </w:r>
      <w:r>
        <w:rPr>
          <w:rFonts w:eastAsia="SimSun"/>
          <w:szCs w:val="24"/>
        </w:rPr>
        <w:t xml:space="preserve"> provide</w:t>
      </w:r>
      <w:r w:rsidR="00D308D1">
        <w:rPr>
          <w:rFonts w:eastAsia="SimSun"/>
          <w:szCs w:val="24"/>
        </w:rPr>
        <w:t>s that the name of the instrument</w:t>
      </w:r>
      <w:r w:rsidRPr="007000E6">
        <w:rPr>
          <w:rFonts w:eastAsia="SimSun"/>
          <w:szCs w:val="24"/>
        </w:rPr>
        <w:t xml:space="preserve"> is the </w:t>
      </w:r>
      <w:r w:rsidRPr="007000E6">
        <w:rPr>
          <w:rFonts w:eastAsia="SimSun"/>
          <w:i/>
          <w:szCs w:val="24"/>
        </w:rPr>
        <w:t>Migration Amendment (</w:t>
      </w:r>
      <w:r w:rsidRPr="007000E6">
        <w:rPr>
          <w:i/>
        </w:rPr>
        <w:t>Subclass 189 Visa</w:t>
      </w:r>
      <w:r w:rsidRPr="007000E6">
        <w:rPr>
          <w:rFonts w:eastAsia="SimSun"/>
          <w:i/>
          <w:szCs w:val="24"/>
        </w:rPr>
        <w:t>) Regulations 2021</w:t>
      </w:r>
      <w:r w:rsidR="00D308D1">
        <w:rPr>
          <w:rFonts w:eastAsia="SimSun"/>
          <w:i/>
          <w:szCs w:val="24"/>
        </w:rPr>
        <w:t xml:space="preserve"> </w:t>
      </w:r>
      <w:r w:rsidR="00D308D1" w:rsidRPr="00D308D1">
        <w:rPr>
          <w:rFonts w:eastAsia="SimSun"/>
          <w:szCs w:val="24"/>
        </w:rPr>
        <w:t>(the Regulations)</w:t>
      </w:r>
      <w:r w:rsidRPr="00D308D1">
        <w:rPr>
          <w:rFonts w:eastAsia="SimSun"/>
          <w:szCs w:val="24"/>
        </w:rPr>
        <w:t>.</w:t>
      </w:r>
      <w:r w:rsidRPr="007000E6">
        <w:t xml:space="preserve">  </w:t>
      </w:r>
    </w:p>
    <w:p w14:paraId="6D20D0AF" w14:textId="77777777" w:rsidR="001C500E" w:rsidRPr="007000E6" w:rsidRDefault="001C500E" w:rsidP="00AB4F33">
      <w:pPr>
        <w:jc w:val="both"/>
        <w:rPr>
          <w:szCs w:val="24"/>
          <w:u w:val="single"/>
        </w:rPr>
      </w:pPr>
      <w:r w:rsidRPr="007000E6">
        <w:rPr>
          <w:szCs w:val="24"/>
          <w:u w:val="single"/>
        </w:rPr>
        <w:t>Section 2 – Commencement</w:t>
      </w:r>
    </w:p>
    <w:p w14:paraId="1EF2BD1E" w14:textId="785A519D" w:rsidR="001C500E" w:rsidRPr="007000E6" w:rsidRDefault="001C500E" w:rsidP="00AB4F33">
      <w:pPr>
        <w:jc w:val="both"/>
      </w:pPr>
      <w:r w:rsidRPr="007000E6">
        <w:rPr>
          <w:rFonts w:eastAsia="SimSun"/>
          <w:szCs w:val="24"/>
        </w:rPr>
        <w:t xml:space="preserve">This section </w:t>
      </w:r>
      <w:r w:rsidRPr="007000E6">
        <w:t xml:space="preserve">provides </w:t>
      </w:r>
      <w:r w:rsidR="00D308D1">
        <w:t>for the c</w:t>
      </w:r>
      <w:r w:rsidRPr="007000E6">
        <w:t>ommence</w:t>
      </w:r>
      <w:r w:rsidR="00D308D1">
        <w:t>ment of the instrument.</w:t>
      </w:r>
    </w:p>
    <w:p w14:paraId="614DDEF8" w14:textId="77777777" w:rsidR="001C500E" w:rsidRPr="007000E6" w:rsidRDefault="001C500E" w:rsidP="00AB4F33">
      <w:pPr>
        <w:jc w:val="both"/>
        <w:rPr>
          <w:b/>
          <w:szCs w:val="24"/>
          <w:u w:val="single"/>
        </w:rPr>
      </w:pPr>
      <w:r w:rsidRPr="007000E6">
        <w:rPr>
          <w:szCs w:val="24"/>
          <w:u w:val="single"/>
        </w:rPr>
        <w:t>Section 3 – Authority</w:t>
      </w:r>
    </w:p>
    <w:p w14:paraId="036FBD58" w14:textId="0CF6A0CD" w:rsidR="001C500E" w:rsidRPr="002F106E" w:rsidRDefault="001C500E" w:rsidP="00AB4F33">
      <w:pPr>
        <w:jc w:val="both"/>
        <w:rPr>
          <w:rFonts w:eastAsia="SimSun"/>
          <w:szCs w:val="24"/>
        </w:rPr>
      </w:pPr>
      <w:r w:rsidRPr="007000E6">
        <w:rPr>
          <w:rFonts w:eastAsia="SimSun"/>
          <w:szCs w:val="24"/>
        </w:rPr>
        <w:t xml:space="preserve">This section provides that </w:t>
      </w:r>
      <w:r w:rsidR="00D308D1">
        <w:rPr>
          <w:rFonts w:eastAsia="SimSun"/>
          <w:szCs w:val="24"/>
        </w:rPr>
        <w:t>the instrument is</w:t>
      </w:r>
      <w:r w:rsidRPr="007000E6">
        <w:rPr>
          <w:rFonts w:eastAsia="SimSun"/>
          <w:szCs w:val="24"/>
        </w:rPr>
        <w:t xml:space="preserve"> made</w:t>
      </w:r>
      <w:r w:rsidRPr="002F106E">
        <w:rPr>
          <w:rFonts w:eastAsia="SimSun"/>
          <w:szCs w:val="24"/>
        </w:rPr>
        <w:t xml:space="preserve"> under the </w:t>
      </w:r>
      <w:r w:rsidRPr="002F106E">
        <w:rPr>
          <w:rFonts w:eastAsia="SimSun"/>
          <w:i/>
          <w:szCs w:val="24"/>
        </w:rPr>
        <w:t xml:space="preserve">Migration Act 1958 </w:t>
      </w:r>
      <w:r w:rsidRPr="002F106E">
        <w:rPr>
          <w:rFonts w:eastAsia="SimSun"/>
          <w:szCs w:val="24"/>
        </w:rPr>
        <w:t>(the Migration Act)</w:t>
      </w:r>
      <w:r w:rsidRPr="002F106E">
        <w:rPr>
          <w:rFonts w:eastAsia="SimSun"/>
          <w:i/>
          <w:szCs w:val="24"/>
        </w:rPr>
        <w:t>.</w:t>
      </w:r>
    </w:p>
    <w:p w14:paraId="70BF85FF" w14:textId="77777777" w:rsidR="001C500E" w:rsidRPr="002F106E" w:rsidRDefault="001C500E" w:rsidP="00AB4F33">
      <w:pPr>
        <w:jc w:val="both"/>
        <w:rPr>
          <w:rFonts w:eastAsia="SimSun"/>
          <w:szCs w:val="24"/>
          <w:u w:val="single"/>
        </w:rPr>
      </w:pPr>
      <w:r w:rsidRPr="002F106E">
        <w:rPr>
          <w:rFonts w:eastAsia="SimSun"/>
          <w:szCs w:val="24"/>
          <w:u w:val="single"/>
        </w:rPr>
        <w:t>Section 4 – Schedules</w:t>
      </w:r>
    </w:p>
    <w:p w14:paraId="7E848E34" w14:textId="6E354390" w:rsidR="001C500E" w:rsidRPr="002F106E" w:rsidRDefault="00D308D1" w:rsidP="00AB4F33">
      <w:pPr>
        <w:jc w:val="both"/>
        <w:rPr>
          <w:szCs w:val="24"/>
        </w:rPr>
      </w:pPr>
      <w:r>
        <w:rPr>
          <w:szCs w:val="24"/>
        </w:rPr>
        <w:t>This section</w:t>
      </w:r>
      <w:r w:rsidR="001C500E" w:rsidRPr="002F106E">
        <w:rPr>
          <w:szCs w:val="24"/>
        </w:rPr>
        <w:t xml:space="preserve"> provide</w:t>
      </w:r>
      <w:r>
        <w:rPr>
          <w:szCs w:val="24"/>
        </w:rPr>
        <w:t>s</w:t>
      </w:r>
      <w:r w:rsidR="001C500E" w:rsidRPr="002F106E">
        <w:rPr>
          <w:szCs w:val="24"/>
        </w:rPr>
        <w:t xml:space="preserve"> for how the</w:t>
      </w:r>
      <w:r w:rsidR="001C500E">
        <w:rPr>
          <w:szCs w:val="24"/>
        </w:rPr>
        <w:t xml:space="preserve"> </w:t>
      </w:r>
      <w:r>
        <w:rPr>
          <w:szCs w:val="24"/>
        </w:rPr>
        <w:t>amendments in the Regulations operate.</w:t>
      </w:r>
    </w:p>
    <w:p w14:paraId="3E5069C9" w14:textId="77777777" w:rsidR="001C500E" w:rsidRPr="002D3614" w:rsidRDefault="001C500E" w:rsidP="00AB4F33">
      <w:pPr>
        <w:jc w:val="both"/>
        <w:rPr>
          <w:szCs w:val="24"/>
          <w:u w:val="single"/>
        </w:rPr>
      </w:pPr>
      <w:bookmarkStart w:id="4" w:name="_Toc505262125"/>
      <w:bookmarkEnd w:id="1"/>
      <w:bookmarkEnd w:id="2"/>
      <w:bookmarkEnd w:id="3"/>
      <w:r w:rsidRPr="002D3614">
        <w:rPr>
          <w:szCs w:val="24"/>
          <w:u w:val="single"/>
        </w:rPr>
        <w:t xml:space="preserve">Schedule 1 – Amendments </w:t>
      </w:r>
      <w:bookmarkEnd w:id="4"/>
    </w:p>
    <w:p w14:paraId="2DF71877" w14:textId="77777777" w:rsidR="001C500E" w:rsidRPr="002F106E" w:rsidRDefault="001C500E" w:rsidP="00AB4F33">
      <w:pPr>
        <w:jc w:val="both"/>
        <w:rPr>
          <w:b/>
          <w:i/>
          <w:szCs w:val="24"/>
        </w:rPr>
      </w:pPr>
      <w:bookmarkStart w:id="5" w:name="_Toc505262126"/>
      <w:r w:rsidRPr="002F106E">
        <w:rPr>
          <w:b/>
          <w:i/>
          <w:szCs w:val="24"/>
        </w:rPr>
        <w:t>Migration Regulations 1994</w:t>
      </w:r>
      <w:bookmarkEnd w:id="5"/>
    </w:p>
    <w:p w14:paraId="7B725BE7" w14:textId="77777777" w:rsidR="001C500E" w:rsidRPr="002D3614" w:rsidRDefault="001C500E" w:rsidP="00AB4F33">
      <w:pPr>
        <w:jc w:val="both"/>
        <w:rPr>
          <w:b/>
        </w:rPr>
      </w:pPr>
      <w:r w:rsidRPr="002D3614">
        <w:rPr>
          <w:b/>
        </w:rPr>
        <w:t xml:space="preserve">Item </w:t>
      </w:r>
      <w:r>
        <w:rPr>
          <w:b/>
        </w:rPr>
        <w:t>[</w:t>
      </w:r>
      <w:r w:rsidRPr="002D3614">
        <w:rPr>
          <w:b/>
        </w:rPr>
        <w:t>1</w:t>
      </w:r>
      <w:r>
        <w:rPr>
          <w:b/>
        </w:rPr>
        <w:t>]</w:t>
      </w:r>
      <w:r w:rsidRPr="002D3614">
        <w:rPr>
          <w:b/>
        </w:rPr>
        <w:t xml:space="preserve"> – Subclause 189.232(1) of Schedule 2</w:t>
      </w:r>
    </w:p>
    <w:p w14:paraId="6D3CA27A" w14:textId="4AAC9CFB" w:rsidR="001C500E" w:rsidRPr="002F106E" w:rsidRDefault="001C500E" w:rsidP="00AB4F33">
      <w:pPr>
        <w:jc w:val="both"/>
      </w:pPr>
      <w:r w:rsidRPr="002F106E">
        <w:t xml:space="preserve">This item </w:t>
      </w:r>
      <w:r>
        <w:t>make</w:t>
      </w:r>
      <w:r w:rsidR="00D308D1">
        <w:t>s a</w:t>
      </w:r>
      <w:r w:rsidRPr="002F106E">
        <w:t xml:space="preserve"> technical amendment, consequential to the insertion of new subclause 189.232(1A) by item 3, below. </w:t>
      </w:r>
    </w:p>
    <w:p w14:paraId="4A32225F" w14:textId="77777777" w:rsidR="001C500E" w:rsidRPr="002D3614" w:rsidRDefault="001C500E" w:rsidP="00AB4F33">
      <w:pPr>
        <w:jc w:val="both"/>
        <w:rPr>
          <w:b/>
          <w:szCs w:val="24"/>
        </w:rPr>
      </w:pPr>
      <w:r w:rsidRPr="002D3614">
        <w:rPr>
          <w:b/>
          <w:szCs w:val="24"/>
        </w:rPr>
        <w:t xml:space="preserve">Item </w:t>
      </w:r>
      <w:r>
        <w:rPr>
          <w:b/>
          <w:szCs w:val="24"/>
        </w:rPr>
        <w:t>[</w:t>
      </w:r>
      <w:r w:rsidRPr="002D3614">
        <w:rPr>
          <w:b/>
          <w:szCs w:val="24"/>
        </w:rPr>
        <w:t>2</w:t>
      </w:r>
      <w:r>
        <w:rPr>
          <w:b/>
          <w:szCs w:val="24"/>
        </w:rPr>
        <w:t>]</w:t>
      </w:r>
      <w:r w:rsidRPr="002D3614">
        <w:rPr>
          <w:b/>
          <w:szCs w:val="24"/>
        </w:rPr>
        <w:t xml:space="preserve"> – At the end of </w:t>
      </w:r>
      <w:r>
        <w:rPr>
          <w:b/>
          <w:szCs w:val="24"/>
        </w:rPr>
        <w:t>sub</w:t>
      </w:r>
      <w:r w:rsidRPr="002D3614">
        <w:rPr>
          <w:b/>
          <w:szCs w:val="24"/>
        </w:rPr>
        <w:t>clause 189.232(1) of Schedule 2</w:t>
      </w:r>
    </w:p>
    <w:p w14:paraId="005D80B0" w14:textId="1290A409" w:rsidR="001C500E" w:rsidRPr="00FE5B74" w:rsidRDefault="001A3A4E" w:rsidP="00AB4F33">
      <w:pPr>
        <w:jc w:val="both"/>
      </w:pPr>
      <w:r w:rsidRPr="00FE5B74">
        <w:t>This item</w:t>
      </w:r>
      <w:r w:rsidR="001C500E" w:rsidRPr="00FE5B74">
        <w:t xml:space="preserve"> omit</w:t>
      </w:r>
      <w:r w:rsidRPr="00FE5B74">
        <w:t>s</w:t>
      </w:r>
      <w:r w:rsidR="001C500E" w:rsidRPr="00FE5B74">
        <w:t xml:space="preserve"> the words “the 4 most recently completed income years before the date of the application (during the period of 5 years immediately before that date)” in subclause 189.231(1) of Schedule 2 to the </w:t>
      </w:r>
      <w:r w:rsidR="001C500E" w:rsidRPr="00FE5B74">
        <w:rPr>
          <w:i/>
        </w:rPr>
        <w:t>Migration Regulations 1994</w:t>
      </w:r>
      <w:r w:rsidR="001C500E" w:rsidRPr="00FE5B74">
        <w:t xml:space="preserve"> (Migration Regulations), and substitute the words “3 income years ending during the period of 5 years ending immediately before the date of the application”.</w:t>
      </w:r>
    </w:p>
    <w:p w14:paraId="1E1EA22D" w14:textId="2C63A830" w:rsidR="001C500E" w:rsidRPr="00FE5B74" w:rsidRDefault="001C500E" w:rsidP="00AB4F33">
      <w:pPr>
        <w:jc w:val="both"/>
        <w:rPr>
          <w:rFonts w:eastAsiaTheme="minorHAnsi" w:cstheme="minorBidi"/>
          <w:szCs w:val="24"/>
          <w:lang w:eastAsia="en-US"/>
        </w:rPr>
      </w:pPr>
      <w:r w:rsidRPr="00FE5B74">
        <w:rPr>
          <w:rFonts w:eastAsiaTheme="minorHAnsi" w:cstheme="minorBidi"/>
          <w:szCs w:val="24"/>
          <w:lang w:eastAsia="en-US"/>
        </w:rPr>
        <w:t>The New Zealand stream of the Subclass 189 (Skilled</w:t>
      </w:r>
      <w:r w:rsidRPr="00FE5B74">
        <w:rPr>
          <w:szCs w:val="24"/>
        </w:rPr>
        <w:t xml:space="preserve"> – Independent)</w:t>
      </w:r>
      <w:r w:rsidRPr="00FE5B74">
        <w:rPr>
          <w:rFonts w:eastAsiaTheme="minorHAnsi" w:cstheme="minorBidi"/>
          <w:szCs w:val="24"/>
          <w:lang w:eastAsia="en-US"/>
        </w:rPr>
        <w:t xml:space="preserve"> visa provides a pathway to </w:t>
      </w:r>
      <w:r w:rsidRPr="00FE5B74">
        <w:rPr>
          <w:szCs w:val="24"/>
        </w:rPr>
        <w:t>permanent residence for long-term New Zealand citizen residents who have demonstrated commitment to Australia, and who have made and can continue to make a strong economic contribution to Australia's future.</w:t>
      </w:r>
    </w:p>
    <w:p w14:paraId="184061B5" w14:textId="334401EF" w:rsidR="001C500E" w:rsidRPr="00FE5B74" w:rsidRDefault="001C500E" w:rsidP="00AB4F33">
      <w:pPr>
        <w:jc w:val="both"/>
        <w:rPr>
          <w:rFonts w:eastAsiaTheme="minorHAnsi" w:cstheme="minorBidi"/>
          <w:szCs w:val="24"/>
          <w:lang w:eastAsia="en-US"/>
        </w:rPr>
      </w:pPr>
      <w:r w:rsidRPr="00FE5B74">
        <w:rPr>
          <w:rFonts w:eastAsiaTheme="minorHAnsi" w:cstheme="minorBidi"/>
          <w:szCs w:val="24"/>
          <w:lang w:eastAsia="en-US"/>
        </w:rPr>
        <w:t xml:space="preserve">Subclause 189.232(1) requires that an applicant must have an annual income at or above a specified amount (the income threshold) over a specified number of years, unless the applicant comes within a class of persons who are exempt from this requirement. Currently, the income threshold is required to have been earned in the four most recently completed income years before the date of the application, during the period of five years immediately before that date.  This means that an applicant is required to earn an income of at least the income threshold in four consecutive income years. Failure to reach the income threshold in one of the four income </w:t>
      </w:r>
      <w:r w:rsidRPr="00FE5B74">
        <w:rPr>
          <w:rFonts w:eastAsiaTheme="minorHAnsi" w:cstheme="minorBidi"/>
          <w:szCs w:val="24"/>
          <w:lang w:eastAsia="en-US"/>
        </w:rPr>
        <w:lastRenderedPageBreak/>
        <w:t xml:space="preserve">years before the date of the application means that the applicant must </w:t>
      </w:r>
      <w:r w:rsidR="00DC3F37">
        <w:rPr>
          <w:rFonts w:eastAsiaTheme="minorHAnsi" w:cstheme="minorBidi"/>
          <w:szCs w:val="24"/>
          <w:lang w:eastAsia="en-US"/>
        </w:rPr>
        <w:t xml:space="preserve">wait until they </w:t>
      </w:r>
      <w:r w:rsidRPr="00FE5B74">
        <w:rPr>
          <w:rFonts w:eastAsiaTheme="minorHAnsi" w:cstheme="minorBidi"/>
          <w:szCs w:val="24"/>
          <w:lang w:eastAsia="en-US"/>
        </w:rPr>
        <w:t xml:space="preserve">earn </w:t>
      </w:r>
      <w:r w:rsidR="00DC3F37">
        <w:rPr>
          <w:rFonts w:eastAsiaTheme="minorHAnsi" w:cstheme="minorBidi"/>
          <w:szCs w:val="24"/>
          <w:lang w:eastAsia="en-US"/>
        </w:rPr>
        <w:t xml:space="preserve">an income </w:t>
      </w:r>
      <w:r w:rsidRPr="00FE5B74">
        <w:rPr>
          <w:rFonts w:eastAsiaTheme="minorHAnsi" w:cstheme="minorBidi"/>
          <w:szCs w:val="24"/>
          <w:lang w:eastAsia="en-US"/>
        </w:rPr>
        <w:t xml:space="preserve">at or above the income threshold for four consecutive income years before they are eligible for a Subclass 189 visa in the New Zealand stream. </w:t>
      </w:r>
    </w:p>
    <w:p w14:paraId="78F117F2" w14:textId="4FF11A4F" w:rsidR="001C500E" w:rsidRPr="00FE5B74" w:rsidRDefault="001C500E" w:rsidP="00AB4F33">
      <w:pPr>
        <w:jc w:val="both"/>
      </w:pPr>
      <w:r w:rsidRPr="00FE5B74">
        <w:t>The amendment provide</w:t>
      </w:r>
      <w:r w:rsidR="001A3A4E" w:rsidRPr="00FE5B74">
        <w:t>s</w:t>
      </w:r>
      <w:r w:rsidRPr="00FE5B74">
        <w:t xml:space="preserve"> increased flexibility to applicants by replacing the current income requirement with a requirement that applicants must have earned at least the income threshold for three income years in the five years ending immediately before the date of the application</w:t>
      </w:r>
      <w:r w:rsidR="009C3A0C" w:rsidRPr="00FE5B74">
        <w:t>. This provision is</w:t>
      </w:r>
      <w:r w:rsidRPr="00FE5B74">
        <w:t xml:space="preserve"> subject to subclause 189.232(1A), discussed in further detail below, which requires that one of the income years must be the income year that ended most recently before the date of the application. </w:t>
      </w:r>
    </w:p>
    <w:p w14:paraId="54308BC9" w14:textId="77777777" w:rsidR="001C500E" w:rsidRPr="002D3614" w:rsidRDefault="001C500E" w:rsidP="00AB4F33">
      <w:pPr>
        <w:pStyle w:val="ItemHead"/>
        <w:keepNext w:val="0"/>
        <w:keepLines w:val="0"/>
        <w:widowControl w:val="0"/>
        <w:jc w:val="both"/>
        <w:rPr>
          <w:rFonts w:ascii="Times New Roman" w:hAnsi="Times New Roman"/>
          <w:szCs w:val="24"/>
        </w:rPr>
      </w:pPr>
      <w:r w:rsidRPr="002D3614">
        <w:rPr>
          <w:rFonts w:ascii="Times New Roman" w:hAnsi="Times New Roman"/>
          <w:szCs w:val="24"/>
        </w:rPr>
        <w:t xml:space="preserve">Item </w:t>
      </w:r>
      <w:r>
        <w:rPr>
          <w:rFonts w:ascii="Times New Roman" w:hAnsi="Times New Roman"/>
          <w:szCs w:val="24"/>
        </w:rPr>
        <w:t>[</w:t>
      </w:r>
      <w:r w:rsidRPr="002D3614">
        <w:rPr>
          <w:rFonts w:ascii="Times New Roman" w:hAnsi="Times New Roman"/>
          <w:szCs w:val="24"/>
        </w:rPr>
        <w:t>3</w:t>
      </w:r>
      <w:r>
        <w:rPr>
          <w:rFonts w:ascii="Times New Roman" w:hAnsi="Times New Roman"/>
          <w:szCs w:val="24"/>
        </w:rPr>
        <w:t>]</w:t>
      </w:r>
      <w:r w:rsidRPr="002D3614">
        <w:rPr>
          <w:rFonts w:ascii="Times New Roman" w:hAnsi="Times New Roman"/>
          <w:szCs w:val="24"/>
        </w:rPr>
        <w:t xml:space="preserve"> – After subclause 189.232(1) of Schedule 2</w:t>
      </w:r>
    </w:p>
    <w:p w14:paraId="656F7502" w14:textId="249EF630" w:rsidR="001C500E" w:rsidRDefault="001C500E" w:rsidP="00AB4F33">
      <w:pPr>
        <w:jc w:val="both"/>
      </w:pPr>
      <w:r>
        <w:t>This item insert</w:t>
      </w:r>
      <w:r w:rsidR="001A3A4E">
        <w:t>s</w:t>
      </w:r>
      <w:r>
        <w:t xml:space="preserve"> new subclause 189.232(1A), which provides that “One of the income years must be the income year that ended most recently before the date of the application”. </w:t>
      </w:r>
    </w:p>
    <w:p w14:paraId="7FE8C981" w14:textId="677D712F" w:rsidR="001C500E" w:rsidRDefault="001C500E" w:rsidP="00AB4F33">
      <w:pPr>
        <w:jc w:val="both"/>
      </w:pPr>
      <w:r>
        <w:t xml:space="preserve">The effect of this amendment </w:t>
      </w:r>
      <w:r w:rsidR="001A3A4E">
        <w:t>is</w:t>
      </w:r>
      <w:r>
        <w:t xml:space="preserve"> that the applicant must have earned at or above the threshold in the income year immediately before the date of the application. Failure to reach the income threshold in the income year before the date of the applicati</w:t>
      </w:r>
      <w:r w:rsidR="009C3A0C">
        <w:t>on</w:t>
      </w:r>
      <w:r>
        <w:t xml:space="preserve"> mean</w:t>
      </w:r>
      <w:r w:rsidR="009C3A0C">
        <w:t>s</w:t>
      </w:r>
      <w:r>
        <w:t xml:space="preserve"> that the applicant is ineligible for a Subclass 189 visa in the New Zealand stream. </w:t>
      </w:r>
    </w:p>
    <w:p w14:paraId="20875CC4" w14:textId="77777777" w:rsidR="001C500E" w:rsidRPr="002D3614" w:rsidRDefault="001C500E" w:rsidP="00AB4F33">
      <w:pPr>
        <w:pStyle w:val="ItemHead"/>
        <w:keepNext w:val="0"/>
        <w:keepLines w:val="0"/>
        <w:widowControl w:val="0"/>
        <w:ind w:left="0" w:firstLine="0"/>
        <w:jc w:val="both"/>
        <w:rPr>
          <w:rFonts w:ascii="Times New Roman" w:hAnsi="Times New Roman"/>
          <w:szCs w:val="24"/>
        </w:rPr>
      </w:pPr>
      <w:r w:rsidRPr="002D3614">
        <w:rPr>
          <w:rFonts w:ascii="Times New Roman" w:hAnsi="Times New Roman"/>
          <w:szCs w:val="24"/>
        </w:rPr>
        <w:t xml:space="preserve">Item </w:t>
      </w:r>
      <w:r>
        <w:rPr>
          <w:rFonts w:ascii="Times New Roman" w:hAnsi="Times New Roman"/>
          <w:szCs w:val="24"/>
        </w:rPr>
        <w:t>[</w:t>
      </w:r>
      <w:r w:rsidRPr="002D3614">
        <w:rPr>
          <w:rFonts w:ascii="Times New Roman" w:hAnsi="Times New Roman"/>
          <w:szCs w:val="24"/>
        </w:rPr>
        <w:t>4</w:t>
      </w:r>
      <w:r>
        <w:rPr>
          <w:rFonts w:ascii="Times New Roman" w:hAnsi="Times New Roman"/>
          <w:szCs w:val="24"/>
        </w:rPr>
        <w:t>]</w:t>
      </w:r>
      <w:r w:rsidRPr="002D3614">
        <w:rPr>
          <w:rFonts w:ascii="Times New Roman" w:hAnsi="Times New Roman"/>
          <w:szCs w:val="24"/>
        </w:rPr>
        <w:t xml:space="preserve"> – Subclause 189.233(1) of Schedule 2</w:t>
      </w:r>
    </w:p>
    <w:p w14:paraId="03FE8B45" w14:textId="7B73F445" w:rsidR="001C500E" w:rsidRDefault="001C500E" w:rsidP="00AB4F33">
      <w:pPr>
        <w:jc w:val="both"/>
      </w:pPr>
      <w:r>
        <w:t>This item</w:t>
      </w:r>
      <w:r w:rsidR="001A3A4E">
        <w:t xml:space="preserve"> </w:t>
      </w:r>
      <w:r>
        <w:t>omit</w:t>
      </w:r>
      <w:r w:rsidR="001A3A4E">
        <w:t>s</w:t>
      </w:r>
      <w:r>
        <w:t xml:space="preserve"> the words “4 completed” in subclause 189.233(1) of Schedule 2 to the Migration Regulations, and substitute</w:t>
      </w:r>
      <w:r w:rsidR="00FE5B74">
        <w:t>s</w:t>
      </w:r>
      <w:r>
        <w:t xml:space="preserve"> “3”. </w:t>
      </w:r>
    </w:p>
    <w:p w14:paraId="57319528" w14:textId="4D907D9D" w:rsidR="001C500E" w:rsidRDefault="001A3A4E" w:rsidP="00AB4F33">
      <w:pPr>
        <w:jc w:val="both"/>
      </w:pPr>
      <w:r>
        <w:t>This is</w:t>
      </w:r>
      <w:r w:rsidR="001C500E">
        <w:t xml:space="preserve"> a consequential amendment to align subclause 189.233(1) with the amendments to subclause 189.232, discussed above. </w:t>
      </w:r>
    </w:p>
    <w:p w14:paraId="2433F720" w14:textId="77777777" w:rsidR="001C500E" w:rsidRPr="002D3614" w:rsidRDefault="001C500E" w:rsidP="00AB4F33">
      <w:pPr>
        <w:pStyle w:val="ItemHead"/>
        <w:keepNext w:val="0"/>
        <w:keepLines w:val="0"/>
        <w:widowControl w:val="0"/>
        <w:ind w:left="0" w:firstLine="0"/>
        <w:jc w:val="both"/>
        <w:rPr>
          <w:rFonts w:ascii="Times New Roman" w:hAnsi="Times New Roman"/>
          <w:szCs w:val="24"/>
        </w:rPr>
      </w:pPr>
      <w:r w:rsidRPr="002D3614">
        <w:rPr>
          <w:rFonts w:ascii="Times New Roman" w:hAnsi="Times New Roman"/>
          <w:szCs w:val="24"/>
        </w:rPr>
        <w:t xml:space="preserve">Item </w:t>
      </w:r>
      <w:r>
        <w:rPr>
          <w:rFonts w:ascii="Times New Roman" w:hAnsi="Times New Roman"/>
          <w:szCs w:val="24"/>
        </w:rPr>
        <w:t>[</w:t>
      </w:r>
      <w:r w:rsidRPr="002D3614">
        <w:rPr>
          <w:rFonts w:ascii="Times New Roman" w:hAnsi="Times New Roman"/>
          <w:szCs w:val="24"/>
        </w:rPr>
        <w:t>5</w:t>
      </w:r>
      <w:r>
        <w:rPr>
          <w:rFonts w:ascii="Times New Roman" w:hAnsi="Times New Roman"/>
          <w:szCs w:val="24"/>
        </w:rPr>
        <w:t>]</w:t>
      </w:r>
      <w:r w:rsidRPr="002D3614">
        <w:rPr>
          <w:rFonts w:ascii="Times New Roman" w:hAnsi="Times New Roman"/>
          <w:szCs w:val="24"/>
        </w:rPr>
        <w:t xml:space="preserve"> – In the appropriate position in Schedule 13</w:t>
      </w:r>
    </w:p>
    <w:p w14:paraId="789C470F" w14:textId="781C14E7" w:rsidR="001C500E" w:rsidRPr="00C15462" w:rsidRDefault="001A3A4E" w:rsidP="00AB4F33">
      <w:pPr>
        <w:jc w:val="both"/>
      </w:pPr>
      <w:r>
        <w:t>This item</w:t>
      </w:r>
      <w:r w:rsidR="001C500E">
        <w:t xml:space="preserve"> insert</w:t>
      </w:r>
      <w:r>
        <w:t>s</w:t>
      </w:r>
      <w:r w:rsidR="001C500E" w:rsidRPr="00171F32">
        <w:t xml:space="preserve"> a new Part </w:t>
      </w:r>
      <w:r w:rsidR="001C500E" w:rsidRPr="00BD3060">
        <w:t>9</w:t>
      </w:r>
      <w:r w:rsidR="001C500E">
        <w:t>4</w:t>
      </w:r>
      <w:r w:rsidR="001C500E" w:rsidRPr="00C15462">
        <w:t xml:space="preserve"> (</w:t>
      </w:r>
      <w:r w:rsidR="001C500E" w:rsidRPr="00F37467">
        <w:t xml:space="preserve">Amendments made by the </w:t>
      </w:r>
      <w:r w:rsidR="001C500E" w:rsidRPr="00E60E26">
        <w:rPr>
          <w:i/>
        </w:rPr>
        <w:t>Migration Amendment (Subclass 189 Visas) Regulations 2021</w:t>
      </w:r>
      <w:r w:rsidR="001C500E" w:rsidRPr="00C15462">
        <w:t xml:space="preserve">) in Schedule 13 (Transitional Arrangements) to the </w:t>
      </w:r>
      <w:r w:rsidR="001C500E" w:rsidRPr="00E60E26">
        <w:t>Migration Regulations</w:t>
      </w:r>
      <w:r w:rsidR="001C500E" w:rsidRPr="00C15462">
        <w:t>.  New Part 9</w:t>
      </w:r>
      <w:r w:rsidR="001C500E">
        <w:t>4</w:t>
      </w:r>
      <w:r>
        <w:t xml:space="preserve"> </w:t>
      </w:r>
      <w:r w:rsidR="001C500E">
        <w:t>make</w:t>
      </w:r>
      <w:r>
        <w:t>s</w:t>
      </w:r>
      <w:r w:rsidR="001C500E" w:rsidRPr="00C15462">
        <w:t xml:space="preserve"> transitional and savings provisions in respect of the amendments made by these Regulations.</w:t>
      </w:r>
    </w:p>
    <w:p w14:paraId="1E5F12BF" w14:textId="40194C99" w:rsidR="001C500E" w:rsidRDefault="001C500E" w:rsidP="00AB4F33">
      <w:pPr>
        <w:jc w:val="both"/>
      </w:pPr>
      <w:r w:rsidRPr="00C15462">
        <w:t xml:space="preserve">New Part </w:t>
      </w:r>
      <w:r w:rsidRPr="00BD3060">
        <w:t>9</w:t>
      </w:r>
      <w:r>
        <w:t>4</w:t>
      </w:r>
      <w:r w:rsidR="005C1DE4">
        <w:t xml:space="preserve"> has </w:t>
      </w:r>
      <w:r w:rsidRPr="00C15462">
        <w:t>one clause</w:t>
      </w:r>
      <w:r>
        <w:t>,</w:t>
      </w:r>
      <w:r w:rsidRPr="00C15462">
        <w:t xml:space="preserve"> </w:t>
      </w:r>
      <w:r>
        <w:t>9401</w:t>
      </w:r>
      <w:r w:rsidRPr="00C15462">
        <w:t xml:space="preserve"> – Operation of Schedule 1.  Clause </w:t>
      </w:r>
      <w:r>
        <w:t>9401 provide</w:t>
      </w:r>
      <w:r w:rsidR="001A3A4E">
        <w:t>s</w:t>
      </w:r>
      <w:r>
        <w:t xml:space="preserve"> that the amendments made by Schedule 1 to these Regulations apply in relation to visa applications made on or after 27 February 2021. </w:t>
      </w:r>
    </w:p>
    <w:p w14:paraId="405EEC73" w14:textId="77777777" w:rsidR="001C500E" w:rsidRDefault="001C500E" w:rsidP="00AB4F33">
      <w:pPr>
        <w:spacing w:before="0"/>
        <w:ind w:right="91"/>
        <w:jc w:val="both"/>
      </w:pPr>
    </w:p>
    <w:p w14:paraId="4181E2BE" w14:textId="77777777" w:rsidR="007F0DAD" w:rsidRPr="00F61976" w:rsidRDefault="007F0DAD" w:rsidP="00AB4F33">
      <w:pPr>
        <w:tabs>
          <w:tab w:val="left" w:pos="345"/>
        </w:tabs>
        <w:spacing w:before="100" w:beforeAutospacing="1"/>
        <w:ind w:right="43"/>
        <w:contextualSpacing/>
        <w:jc w:val="both"/>
        <w:rPr>
          <w:b/>
          <w:szCs w:val="24"/>
          <w:u w:val="single"/>
        </w:rPr>
      </w:pPr>
    </w:p>
    <w:sectPr w:rsidR="007F0DAD" w:rsidRPr="00F61976" w:rsidSect="009146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D30F3" w14:textId="77777777" w:rsidR="00C65218" w:rsidRDefault="00C65218" w:rsidP="00A84375">
      <w:pPr>
        <w:spacing w:before="0"/>
      </w:pPr>
      <w:r>
        <w:separator/>
      </w:r>
    </w:p>
  </w:endnote>
  <w:endnote w:type="continuationSeparator" w:id="0">
    <w:p w14:paraId="37D71504" w14:textId="77777777" w:rsidR="00C65218" w:rsidRDefault="00C65218" w:rsidP="00A843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5D99" w14:textId="77777777" w:rsidR="00155ADC" w:rsidRDefault="00155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A6CD7" w14:textId="77777777" w:rsidR="00155ADC" w:rsidRDefault="00155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8545" w14:textId="77777777" w:rsidR="00155ADC" w:rsidRDefault="00155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2D5C8" w14:textId="77777777" w:rsidR="00C65218" w:rsidRDefault="00C65218" w:rsidP="00A84375">
      <w:pPr>
        <w:spacing w:before="0"/>
      </w:pPr>
      <w:r>
        <w:separator/>
      </w:r>
    </w:p>
  </w:footnote>
  <w:footnote w:type="continuationSeparator" w:id="0">
    <w:p w14:paraId="1C5E8C44" w14:textId="77777777" w:rsidR="00C65218" w:rsidRDefault="00C65218" w:rsidP="00A8437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90EEF" w14:textId="77777777" w:rsidR="00155ADC" w:rsidRDefault="00155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220758"/>
      <w:docPartObj>
        <w:docPartGallery w:val="Page Numbers (Top of Page)"/>
        <w:docPartUnique/>
      </w:docPartObj>
    </w:sdtPr>
    <w:sdtEndPr>
      <w:rPr>
        <w:noProof/>
      </w:rPr>
    </w:sdtEndPr>
    <w:sdtContent>
      <w:p w14:paraId="6E423FB4" w14:textId="0BBB4E28" w:rsidR="00914678" w:rsidRDefault="00914678">
        <w:pPr>
          <w:pStyle w:val="Header"/>
          <w:jc w:val="center"/>
        </w:pPr>
        <w:r>
          <w:fldChar w:fldCharType="begin"/>
        </w:r>
        <w:r>
          <w:instrText xml:space="preserve"> PAGE   \* MERGEFORMAT </w:instrText>
        </w:r>
        <w:r>
          <w:fldChar w:fldCharType="separate"/>
        </w:r>
        <w:r w:rsidR="00155ADC">
          <w:rPr>
            <w:noProof/>
          </w:rPr>
          <w:t>6</w:t>
        </w:r>
        <w:r>
          <w:rPr>
            <w:noProof/>
          </w:rPr>
          <w:fldChar w:fldCharType="end"/>
        </w:r>
      </w:p>
    </w:sdtContent>
  </w:sdt>
  <w:p w14:paraId="1EDF2DA7" w14:textId="77777777" w:rsidR="00914678" w:rsidRDefault="00914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AC1E9" w14:textId="77777777" w:rsidR="00155ADC" w:rsidRDefault="00155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505E"/>
    <w:multiLevelType w:val="hybridMultilevel"/>
    <w:tmpl w:val="EDF6AA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FD06D8"/>
    <w:multiLevelType w:val="hybridMultilevel"/>
    <w:tmpl w:val="6CB62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536BC0"/>
    <w:multiLevelType w:val="hybridMultilevel"/>
    <w:tmpl w:val="D5A6C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234032"/>
    <w:multiLevelType w:val="hybridMultilevel"/>
    <w:tmpl w:val="1A78F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7" w15:restartNumberingAfterBreak="0">
    <w:nsid w:val="170375A0"/>
    <w:multiLevelType w:val="hybridMultilevel"/>
    <w:tmpl w:val="A882F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097A41"/>
    <w:multiLevelType w:val="hybridMultilevel"/>
    <w:tmpl w:val="E73A35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8B20C2E"/>
    <w:multiLevelType w:val="hybridMultilevel"/>
    <w:tmpl w:val="DC0440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013E90"/>
    <w:multiLevelType w:val="hybridMultilevel"/>
    <w:tmpl w:val="C5F60D42"/>
    <w:lvl w:ilvl="0" w:tplc="6ECE4FDA">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778"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297F34B3"/>
    <w:multiLevelType w:val="hybridMultilevel"/>
    <w:tmpl w:val="CF0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7372D7"/>
    <w:multiLevelType w:val="hybridMultilevel"/>
    <w:tmpl w:val="072803DC"/>
    <w:lvl w:ilvl="0" w:tplc="8B70C3BA">
      <w:start w:val="1"/>
      <w:numFmt w:val="bullet"/>
      <w:pStyle w:val="Bullet2"/>
      <w:lvlText w:val="–"/>
      <w:lvlJc w:val="left"/>
      <w:pPr>
        <w:ind w:left="644"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C512F3"/>
    <w:multiLevelType w:val="hybridMultilevel"/>
    <w:tmpl w:val="7632D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4C18D8"/>
    <w:multiLevelType w:val="hybridMultilevel"/>
    <w:tmpl w:val="720A7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F2A3A"/>
    <w:multiLevelType w:val="hybridMultilevel"/>
    <w:tmpl w:val="67ACA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795885"/>
    <w:multiLevelType w:val="hybridMultilevel"/>
    <w:tmpl w:val="162E4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4AC39E2"/>
    <w:multiLevelType w:val="hybridMultilevel"/>
    <w:tmpl w:val="8F38C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F03BCE"/>
    <w:multiLevelType w:val="hybridMultilevel"/>
    <w:tmpl w:val="A8869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281BA7"/>
    <w:multiLevelType w:val="hybridMultilevel"/>
    <w:tmpl w:val="0AB0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ED60D9"/>
    <w:multiLevelType w:val="hybridMultilevel"/>
    <w:tmpl w:val="7B7E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4D3DBD"/>
    <w:multiLevelType w:val="hybridMultilevel"/>
    <w:tmpl w:val="66F07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D8E7D39"/>
    <w:multiLevelType w:val="hybridMultilevel"/>
    <w:tmpl w:val="C7300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3798D"/>
    <w:multiLevelType w:val="hybridMultilevel"/>
    <w:tmpl w:val="9E3AAC1E"/>
    <w:lvl w:ilvl="0" w:tplc="8E002262">
      <w:start w:val="1"/>
      <w:numFmt w:val="decimal"/>
      <w:suff w:val="nothing"/>
      <w:lvlText w:val="%1."/>
      <w:lvlJc w:val="left"/>
      <w:pPr>
        <w:ind w:left="360" w:hanging="360"/>
      </w:pPr>
      <w:rPr>
        <w:rFonts w:asciiTheme="minorHAnsi" w:hAnsiTheme="minorHAnsi" w:hint="default"/>
        <w:b w:val="0"/>
        <w:i w:val="0"/>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E726E7"/>
    <w:multiLevelType w:val="hybridMultilevel"/>
    <w:tmpl w:val="FF3A1AC4"/>
    <w:lvl w:ilvl="0" w:tplc="A0E6030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7E09AF"/>
    <w:multiLevelType w:val="hybridMultilevel"/>
    <w:tmpl w:val="ABBAA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F365CF"/>
    <w:multiLevelType w:val="hybridMultilevel"/>
    <w:tmpl w:val="F662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9" w15:restartNumberingAfterBreak="0">
    <w:nsid w:val="68A26E17"/>
    <w:multiLevelType w:val="hybridMultilevel"/>
    <w:tmpl w:val="94FAD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0F6477"/>
    <w:multiLevelType w:val="hybridMultilevel"/>
    <w:tmpl w:val="DC4E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376487"/>
    <w:multiLevelType w:val="hybridMultilevel"/>
    <w:tmpl w:val="B43E2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AC4E02"/>
    <w:multiLevelType w:val="hybridMultilevel"/>
    <w:tmpl w:val="CB589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4472134"/>
    <w:multiLevelType w:val="hybridMultilevel"/>
    <w:tmpl w:val="9C3420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68233FE"/>
    <w:multiLevelType w:val="hybridMultilevel"/>
    <w:tmpl w:val="8BB4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CD6139"/>
    <w:multiLevelType w:val="hybridMultilevel"/>
    <w:tmpl w:val="3476F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6"/>
    <w:lvlOverride w:ilvl="0">
      <w:startOverride w:val="2"/>
    </w:lvlOverride>
  </w:num>
  <w:num w:numId="3">
    <w:abstractNumId w:val="18"/>
  </w:num>
  <w:num w:numId="4">
    <w:abstractNumId w:val="25"/>
  </w:num>
  <w:num w:numId="5">
    <w:abstractNumId w:val="13"/>
  </w:num>
  <w:num w:numId="6">
    <w:abstractNumId w:val="30"/>
  </w:num>
  <w:num w:numId="7">
    <w:abstractNumId w:val="15"/>
  </w:num>
  <w:num w:numId="8">
    <w:abstractNumId w:val="34"/>
  </w:num>
  <w:num w:numId="9">
    <w:abstractNumId w:val="35"/>
  </w:num>
  <w:num w:numId="10">
    <w:abstractNumId w:val="22"/>
  </w:num>
  <w:num w:numId="11">
    <w:abstractNumId w:val="1"/>
  </w:num>
  <w:num w:numId="12">
    <w:abstractNumId w:val="14"/>
  </w:num>
  <w:num w:numId="13">
    <w:abstractNumId w:val="3"/>
  </w:num>
  <w:num w:numId="14">
    <w:abstractNumId w:val="12"/>
  </w:num>
  <w:num w:numId="15">
    <w:abstractNumId w:val="24"/>
  </w:num>
  <w:num w:numId="16">
    <w:abstractNumId w:val="0"/>
  </w:num>
  <w:num w:numId="17">
    <w:abstractNumId w:val="33"/>
  </w:num>
  <w:num w:numId="18">
    <w:abstractNumId w:val="21"/>
  </w:num>
  <w:num w:numId="19">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9"/>
  </w:num>
  <w:num w:numId="22">
    <w:abstractNumId w:val="31"/>
  </w:num>
  <w:num w:numId="23">
    <w:abstractNumId w:val="26"/>
  </w:num>
  <w:num w:numId="24">
    <w:abstractNumId w:val="32"/>
  </w:num>
  <w:num w:numId="25">
    <w:abstractNumId w:val="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5"/>
  </w:num>
  <w:num w:numId="30">
    <w:abstractNumId w:val="9"/>
  </w:num>
  <w:num w:numId="31">
    <w:abstractNumId w:val="27"/>
  </w:num>
  <w:num w:numId="32">
    <w:abstractNumId w:val="7"/>
  </w:num>
  <w:num w:numId="33">
    <w:abstractNumId w:val="10"/>
  </w:num>
  <w:num w:numId="34">
    <w:abstractNumId w:val="19"/>
  </w:num>
  <w:num w:numId="35">
    <w:abstractNumId w:val="8"/>
  </w:num>
  <w:num w:numId="36">
    <w:abstractNumId w:val="16"/>
  </w:num>
  <w:num w:numId="37">
    <w:abstractNumId w:val="17"/>
  </w:num>
  <w:num w:numId="38">
    <w:abstractNumId w:val="2"/>
  </w:num>
  <w:num w:numId="3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7"/>
    <w:rsid w:val="00000BD5"/>
    <w:rsid w:val="00007D77"/>
    <w:rsid w:val="0001178C"/>
    <w:rsid w:val="00012CF0"/>
    <w:rsid w:val="000165F3"/>
    <w:rsid w:val="000240BD"/>
    <w:rsid w:val="0002778D"/>
    <w:rsid w:val="00030D45"/>
    <w:rsid w:val="0003632D"/>
    <w:rsid w:val="00036989"/>
    <w:rsid w:val="00036EE5"/>
    <w:rsid w:val="00040E1D"/>
    <w:rsid w:val="00041B3F"/>
    <w:rsid w:val="0004530D"/>
    <w:rsid w:val="000460DF"/>
    <w:rsid w:val="00051B40"/>
    <w:rsid w:val="000602DD"/>
    <w:rsid w:val="00060DD5"/>
    <w:rsid w:val="00061D4E"/>
    <w:rsid w:val="0006246A"/>
    <w:rsid w:val="000624E0"/>
    <w:rsid w:val="000644A6"/>
    <w:rsid w:val="000652FB"/>
    <w:rsid w:val="00066356"/>
    <w:rsid w:val="000671DF"/>
    <w:rsid w:val="000730FE"/>
    <w:rsid w:val="0007342E"/>
    <w:rsid w:val="000743B2"/>
    <w:rsid w:val="000744C7"/>
    <w:rsid w:val="00074887"/>
    <w:rsid w:val="00075BA4"/>
    <w:rsid w:val="000857C3"/>
    <w:rsid w:val="00085B06"/>
    <w:rsid w:val="0009091F"/>
    <w:rsid w:val="00091086"/>
    <w:rsid w:val="00092501"/>
    <w:rsid w:val="00093390"/>
    <w:rsid w:val="00094983"/>
    <w:rsid w:val="00095743"/>
    <w:rsid w:val="000A28D8"/>
    <w:rsid w:val="000A2D81"/>
    <w:rsid w:val="000A4262"/>
    <w:rsid w:val="000A7C41"/>
    <w:rsid w:val="000B0AC4"/>
    <w:rsid w:val="000B4E5B"/>
    <w:rsid w:val="000B652A"/>
    <w:rsid w:val="000B669D"/>
    <w:rsid w:val="000B7BB9"/>
    <w:rsid w:val="000C0130"/>
    <w:rsid w:val="000C0781"/>
    <w:rsid w:val="000C5D09"/>
    <w:rsid w:val="000C748C"/>
    <w:rsid w:val="000D08C9"/>
    <w:rsid w:val="000D1B33"/>
    <w:rsid w:val="000D349D"/>
    <w:rsid w:val="000D3A9D"/>
    <w:rsid w:val="000D3F31"/>
    <w:rsid w:val="000D49CB"/>
    <w:rsid w:val="000D7E6D"/>
    <w:rsid w:val="000E0843"/>
    <w:rsid w:val="000E0C56"/>
    <w:rsid w:val="000E0DCB"/>
    <w:rsid w:val="000E290B"/>
    <w:rsid w:val="000E2943"/>
    <w:rsid w:val="000E3B08"/>
    <w:rsid w:val="000E3B41"/>
    <w:rsid w:val="000E51C3"/>
    <w:rsid w:val="000E5AC3"/>
    <w:rsid w:val="000E783C"/>
    <w:rsid w:val="000E7DB2"/>
    <w:rsid w:val="000F3023"/>
    <w:rsid w:val="000F3A01"/>
    <w:rsid w:val="000F4908"/>
    <w:rsid w:val="000F5F4A"/>
    <w:rsid w:val="0010771C"/>
    <w:rsid w:val="00107A74"/>
    <w:rsid w:val="0011194F"/>
    <w:rsid w:val="00115931"/>
    <w:rsid w:val="00117A08"/>
    <w:rsid w:val="001227D0"/>
    <w:rsid w:val="0012493B"/>
    <w:rsid w:val="00126517"/>
    <w:rsid w:val="00131BBB"/>
    <w:rsid w:val="00134F0B"/>
    <w:rsid w:val="00135828"/>
    <w:rsid w:val="00135C6A"/>
    <w:rsid w:val="00135E79"/>
    <w:rsid w:val="00136379"/>
    <w:rsid w:val="001426A2"/>
    <w:rsid w:val="00144D83"/>
    <w:rsid w:val="00150D9F"/>
    <w:rsid w:val="00151BE6"/>
    <w:rsid w:val="00153EDE"/>
    <w:rsid w:val="00155ADC"/>
    <w:rsid w:val="00170996"/>
    <w:rsid w:val="00171F32"/>
    <w:rsid w:val="00172815"/>
    <w:rsid w:val="00174092"/>
    <w:rsid w:val="00174523"/>
    <w:rsid w:val="001748F1"/>
    <w:rsid w:val="0017612C"/>
    <w:rsid w:val="00176FE4"/>
    <w:rsid w:val="001773EB"/>
    <w:rsid w:val="001817DF"/>
    <w:rsid w:val="00185101"/>
    <w:rsid w:val="0018579E"/>
    <w:rsid w:val="001864C2"/>
    <w:rsid w:val="00187B7F"/>
    <w:rsid w:val="001923D6"/>
    <w:rsid w:val="00192551"/>
    <w:rsid w:val="00192705"/>
    <w:rsid w:val="00194AED"/>
    <w:rsid w:val="00194BDF"/>
    <w:rsid w:val="001973F3"/>
    <w:rsid w:val="00197927"/>
    <w:rsid w:val="001A2C3E"/>
    <w:rsid w:val="001A3A4E"/>
    <w:rsid w:val="001A595F"/>
    <w:rsid w:val="001B3453"/>
    <w:rsid w:val="001B40E8"/>
    <w:rsid w:val="001B5AFB"/>
    <w:rsid w:val="001B5B9C"/>
    <w:rsid w:val="001B61A3"/>
    <w:rsid w:val="001B721E"/>
    <w:rsid w:val="001C28DC"/>
    <w:rsid w:val="001C2D3A"/>
    <w:rsid w:val="001C45CC"/>
    <w:rsid w:val="001C500E"/>
    <w:rsid w:val="001C5FE0"/>
    <w:rsid w:val="001C7B63"/>
    <w:rsid w:val="001D2909"/>
    <w:rsid w:val="001D44BE"/>
    <w:rsid w:val="001D466E"/>
    <w:rsid w:val="001D4905"/>
    <w:rsid w:val="001D7372"/>
    <w:rsid w:val="001E0177"/>
    <w:rsid w:val="001E0898"/>
    <w:rsid w:val="001E0DAD"/>
    <w:rsid w:val="001E108D"/>
    <w:rsid w:val="001E203C"/>
    <w:rsid w:val="001E2240"/>
    <w:rsid w:val="001E312E"/>
    <w:rsid w:val="001E3C73"/>
    <w:rsid w:val="001E5150"/>
    <w:rsid w:val="001E763A"/>
    <w:rsid w:val="001E79D4"/>
    <w:rsid w:val="001E7DF1"/>
    <w:rsid w:val="002008E2"/>
    <w:rsid w:val="0020327B"/>
    <w:rsid w:val="0020418D"/>
    <w:rsid w:val="00204FAC"/>
    <w:rsid w:val="00205D5D"/>
    <w:rsid w:val="002075CA"/>
    <w:rsid w:val="00210208"/>
    <w:rsid w:val="0021038D"/>
    <w:rsid w:val="00210413"/>
    <w:rsid w:val="00211197"/>
    <w:rsid w:val="002139EC"/>
    <w:rsid w:val="00223455"/>
    <w:rsid w:val="00226FA9"/>
    <w:rsid w:val="00227964"/>
    <w:rsid w:val="00230A59"/>
    <w:rsid w:val="0023151E"/>
    <w:rsid w:val="00233744"/>
    <w:rsid w:val="00240FE3"/>
    <w:rsid w:val="0024393E"/>
    <w:rsid w:val="00243955"/>
    <w:rsid w:val="002441D6"/>
    <w:rsid w:val="00245691"/>
    <w:rsid w:val="00245B50"/>
    <w:rsid w:val="002464CC"/>
    <w:rsid w:val="002473F5"/>
    <w:rsid w:val="002518F9"/>
    <w:rsid w:val="00252C38"/>
    <w:rsid w:val="00260473"/>
    <w:rsid w:val="0026050F"/>
    <w:rsid w:val="0026098A"/>
    <w:rsid w:val="00261EF0"/>
    <w:rsid w:val="00265E5F"/>
    <w:rsid w:val="002678EF"/>
    <w:rsid w:val="00272683"/>
    <w:rsid w:val="0027380D"/>
    <w:rsid w:val="00273E2D"/>
    <w:rsid w:val="00274324"/>
    <w:rsid w:val="0028090C"/>
    <w:rsid w:val="0028118F"/>
    <w:rsid w:val="00282A53"/>
    <w:rsid w:val="00287A8E"/>
    <w:rsid w:val="00292D14"/>
    <w:rsid w:val="00293790"/>
    <w:rsid w:val="002A141E"/>
    <w:rsid w:val="002A2D29"/>
    <w:rsid w:val="002A3A8C"/>
    <w:rsid w:val="002A43EA"/>
    <w:rsid w:val="002A5272"/>
    <w:rsid w:val="002A55E1"/>
    <w:rsid w:val="002A6D48"/>
    <w:rsid w:val="002B1992"/>
    <w:rsid w:val="002B5618"/>
    <w:rsid w:val="002B6DED"/>
    <w:rsid w:val="002D0A80"/>
    <w:rsid w:val="002D5DB8"/>
    <w:rsid w:val="002D743C"/>
    <w:rsid w:val="002D7B42"/>
    <w:rsid w:val="002E100F"/>
    <w:rsid w:val="002E1BDE"/>
    <w:rsid w:val="002E1F0E"/>
    <w:rsid w:val="002E38EA"/>
    <w:rsid w:val="002E4DAA"/>
    <w:rsid w:val="002E5439"/>
    <w:rsid w:val="002F106E"/>
    <w:rsid w:val="002F24E1"/>
    <w:rsid w:val="002F2B56"/>
    <w:rsid w:val="002F68E3"/>
    <w:rsid w:val="002F7437"/>
    <w:rsid w:val="0030170E"/>
    <w:rsid w:val="00301956"/>
    <w:rsid w:val="0030209B"/>
    <w:rsid w:val="00303169"/>
    <w:rsid w:val="0030491B"/>
    <w:rsid w:val="00314826"/>
    <w:rsid w:val="00316AEA"/>
    <w:rsid w:val="0032054F"/>
    <w:rsid w:val="003212A7"/>
    <w:rsid w:val="00330C48"/>
    <w:rsid w:val="003312C1"/>
    <w:rsid w:val="00331A0B"/>
    <w:rsid w:val="00331D5A"/>
    <w:rsid w:val="0033702A"/>
    <w:rsid w:val="003409A9"/>
    <w:rsid w:val="00341C0A"/>
    <w:rsid w:val="00342169"/>
    <w:rsid w:val="00346614"/>
    <w:rsid w:val="00354186"/>
    <w:rsid w:val="003542FB"/>
    <w:rsid w:val="00356DDB"/>
    <w:rsid w:val="00362BBB"/>
    <w:rsid w:val="00363EC8"/>
    <w:rsid w:val="00365F04"/>
    <w:rsid w:val="0037393A"/>
    <w:rsid w:val="00375B01"/>
    <w:rsid w:val="0038289D"/>
    <w:rsid w:val="00386174"/>
    <w:rsid w:val="00390E3D"/>
    <w:rsid w:val="00391802"/>
    <w:rsid w:val="00391F5C"/>
    <w:rsid w:val="00396CC4"/>
    <w:rsid w:val="003A1054"/>
    <w:rsid w:val="003A2A66"/>
    <w:rsid w:val="003A45AD"/>
    <w:rsid w:val="003A55D8"/>
    <w:rsid w:val="003A6667"/>
    <w:rsid w:val="003B01CC"/>
    <w:rsid w:val="003B07F0"/>
    <w:rsid w:val="003C08DC"/>
    <w:rsid w:val="003C10D1"/>
    <w:rsid w:val="003C4EF7"/>
    <w:rsid w:val="003C61B9"/>
    <w:rsid w:val="003C7471"/>
    <w:rsid w:val="003D00B1"/>
    <w:rsid w:val="003D1117"/>
    <w:rsid w:val="003D193A"/>
    <w:rsid w:val="003D1C9C"/>
    <w:rsid w:val="003D1ED8"/>
    <w:rsid w:val="003D2C24"/>
    <w:rsid w:val="003D4346"/>
    <w:rsid w:val="003D4533"/>
    <w:rsid w:val="003D4A97"/>
    <w:rsid w:val="003D50F0"/>
    <w:rsid w:val="003E37C2"/>
    <w:rsid w:val="003E3B61"/>
    <w:rsid w:val="003E4BA3"/>
    <w:rsid w:val="003E60AF"/>
    <w:rsid w:val="003E7242"/>
    <w:rsid w:val="003F163F"/>
    <w:rsid w:val="003F5BBE"/>
    <w:rsid w:val="0040309D"/>
    <w:rsid w:val="0041113D"/>
    <w:rsid w:val="0041198E"/>
    <w:rsid w:val="00415D39"/>
    <w:rsid w:val="00421898"/>
    <w:rsid w:val="00422D61"/>
    <w:rsid w:val="0042323A"/>
    <w:rsid w:val="004233D6"/>
    <w:rsid w:val="00424808"/>
    <w:rsid w:val="00425D70"/>
    <w:rsid w:val="004367AF"/>
    <w:rsid w:val="00442E4F"/>
    <w:rsid w:val="0044536A"/>
    <w:rsid w:val="00447FB8"/>
    <w:rsid w:val="00454403"/>
    <w:rsid w:val="0045615F"/>
    <w:rsid w:val="00456C41"/>
    <w:rsid w:val="004574F6"/>
    <w:rsid w:val="00457980"/>
    <w:rsid w:val="00461442"/>
    <w:rsid w:val="00461B03"/>
    <w:rsid w:val="00462C24"/>
    <w:rsid w:val="00465859"/>
    <w:rsid w:val="004737BC"/>
    <w:rsid w:val="0047497F"/>
    <w:rsid w:val="00475C1E"/>
    <w:rsid w:val="00476349"/>
    <w:rsid w:val="00477D5D"/>
    <w:rsid w:val="00480826"/>
    <w:rsid w:val="004818D4"/>
    <w:rsid w:val="0048655D"/>
    <w:rsid w:val="00487C4D"/>
    <w:rsid w:val="00487FDA"/>
    <w:rsid w:val="00494F19"/>
    <w:rsid w:val="00495D86"/>
    <w:rsid w:val="004A1876"/>
    <w:rsid w:val="004A3DFC"/>
    <w:rsid w:val="004A6E64"/>
    <w:rsid w:val="004B0775"/>
    <w:rsid w:val="004B2DD2"/>
    <w:rsid w:val="004C048C"/>
    <w:rsid w:val="004C2439"/>
    <w:rsid w:val="004C6A94"/>
    <w:rsid w:val="004D1D97"/>
    <w:rsid w:val="004D2404"/>
    <w:rsid w:val="004D493D"/>
    <w:rsid w:val="004D713D"/>
    <w:rsid w:val="004E08A9"/>
    <w:rsid w:val="004E0D4C"/>
    <w:rsid w:val="004E19D1"/>
    <w:rsid w:val="004E2BB2"/>
    <w:rsid w:val="004F6619"/>
    <w:rsid w:val="00503D4C"/>
    <w:rsid w:val="00504900"/>
    <w:rsid w:val="00505B4B"/>
    <w:rsid w:val="00505BBD"/>
    <w:rsid w:val="005070EE"/>
    <w:rsid w:val="00510585"/>
    <w:rsid w:val="00510C41"/>
    <w:rsid w:val="0051149D"/>
    <w:rsid w:val="005161FD"/>
    <w:rsid w:val="00516509"/>
    <w:rsid w:val="00520903"/>
    <w:rsid w:val="00533774"/>
    <w:rsid w:val="00533D47"/>
    <w:rsid w:val="00537A7C"/>
    <w:rsid w:val="00541929"/>
    <w:rsid w:val="005420F3"/>
    <w:rsid w:val="005506C6"/>
    <w:rsid w:val="0055305C"/>
    <w:rsid w:val="00556492"/>
    <w:rsid w:val="00556826"/>
    <w:rsid w:val="005570C1"/>
    <w:rsid w:val="00557DB0"/>
    <w:rsid w:val="00560CE1"/>
    <w:rsid w:val="0056262B"/>
    <w:rsid w:val="00563487"/>
    <w:rsid w:val="00564740"/>
    <w:rsid w:val="00566E5B"/>
    <w:rsid w:val="00570A35"/>
    <w:rsid w:val="00571659"/>
    <w:rsid w:val="00572628"/>
    <w:rsid w:val="00573138"/>
    <w:rsid w:val="00577E7E"/>
    <w:rsid w:val="00580EBA"/>
    <w:rsid w:val="00583221"/>
    <w:rsid w:val="00583AB1"/>
    <w:rsid w:val="00583E48"/>
    <w:rsid w:val="00584635"/>
    <w:rsid w:val="00586706"/>
    <w:rsid w:val="00586FCF"/>
    <w:rsid w:val="0059056E"/>
    <w:rsid w:val="00590F54"/>
    <w:rsid w:val="00591259"/>
    <w:rsid w:val="00591BDD"/>
    <w:rsid w:val="00595596"/>
    <w:rsid w:val="005958AB"/>
    <w:rsid w:val="00597E6C"/>
    <w:rsid w:val="005A07F4"/>
    <w:rsid w:val="005A0909"/>
    <w:rsid w:val="005A64D4"/>
    <w:rsid w:val="005A673D"/>
    <w:rsid w:val="005A6A10"/>
    <w:rsid w:val="005B0132"/>
    <w:rsid w:val="005B15D6"/>
    <w:rsid w:val="005B2C8C"/>
    <w:rsid w:val="005B30EF"/>
    <w:rsid w:val="005B41CC"/>
    <w:rsid w:val="005B43B0"/>
    <w:rsid w:val="005B4477"/>
    <w:rsid w:val="005C01D1"/>
    <w:rsid w:val="005C137B"/>
    <w:rsid w:val="005C1455"/>
    <w:rsid w:val="005C1DE4"/>
    <w:rsid w:val="005C2591"/>
    <w:rsid w:val="005C359C"/>
    <w:rsid w:val="005C3A36"/>
    <w:rsid w:val="005D0032"/>
    <w:rsid w:val="005D257B"/>
    <w:rsid w:val="005D35D6"/>
    <w:rsid w:val="005D4D88"/>
    <w:rsid w:val="005E2CA1"/>
    <w:rsid w:val="005E53BB"/>
    <w:rsid w:val="005E6373"/>
    <w:rsid w:val="005E7337"/>
    <w:rsid w:val="005F1F64"/>
    <w:rsid w:val="005F2164"/>
    <w:rsid w:val="005F34D0"/>
    <w:rsid w:val="005F3F43"/>
    <w:rsid w:val="005F40FC"/>
    <w:rsid w:val="005F4E25"/>
    <w:rsid w:val="005F5244"/>
    <w:rsid w:val="00606966"/>
    <w:rsid w:val="00607800"/>
    <w:rsid w:val="0060791D"/>
    <w:rsid w:val="006161F6"/>
    <w:rsid w:val="00616527"/>
    <w:rsid w:val="0062105A"/>
    <w:rsid w:val="006211DB"/>
    <w:rsid w:val="00626DDE"/>
    <w:rsid w:val="00633DAC"/>
    <w:rsid w:val="00634327"/>
    <w:rsid w:val="00634AEE"/>
    <w:rsid w:val="0064110F"/>
    <w:rsid w:val="00644C7D"/>
    <w:rsid w:val="00645880"/>
    <w:rsid w:val="00647D06"/>
    <w:rsid w:val="00651F1A"/>
    <w:rsid w:val="0065257D"/>
    <w:rsid w:val="006525A1"/>
    <w:rsid w:val="00653052"/>
    <w:rsid w:val="00653202"/>
    <w:rsid w:val="0065370E"/>
    <w:rsid w:val="0065601E"/>
    <w:rsid w:val="006576CF"/>
    <w:rsid w:val="00660E44"/>
    <w:rsid w:val="00661E8E"/>
    <w:rsid w:val="0066293F"/>
    <w:rsid w:val="00663921"/>
    <w:rsid w:val="00663D83"/>
    <w:rsid w:val="00663EFC"/>
    <w:rsid w:val="00666432"/>
    <w:rsid w:val="0067012C"/>
    <w:rsid w:val="006719F4"/>
    <w:rsid w:val="00671BF5"/>
    <w:rsid w:val="0067657C"/>
    <w:rsid w:val="00677A7F"/>
    <w:rsid w:val="006816F8"/>
    <w:rsid w:val="006817B4"/>
    <w:rsid w:val="00682B33"/>
    <w:rsid w:val="00682D15"/>
    <w:rsid w:val="00686195"/>
    <w:rsid w:val="00686807"/>
    <w:rsid w:val="00691836"/>
    <w:rsid w:val="00692A41"/>
    <w:rsid w:val="006937DE"/>
    <w:rsid w:val="0069380A"/>
    <w:rsid w:val="00697B51"/>
    <w:rsid w:val="006B225E"/>
    <w:rsid w:val="006B4090"/>
    <w:rsid w:val="006C064C"/>
    <w:rsid w:val="006C1271"/>
    <w:rsid w:val="006C1D4E"/>
    <w:rsid w:val="006C487A"/>
    <w:rsid w:val="006C71D6"/>
    <w:rsid w:val="006D05F0"/>
    <w:rsid w:val="006D10BC"/>
    <w:rsid w:val="006D11C6"/>
    <w:rsid w:val="006D2C2E"/>
    <w:rsid w:val="006D5569"/>
    <w:rsid w:val="006D6FB7"/>
    <w:rsid w:val="006E6EE4"/>
    <w:rsid w:val="006F0506"/>
    <w:rsid w:val="006F1EAA"/>
    <w:rsid w:val="006F3989"/>
    <w:rsid w:val="006F4101"/>
    <w:rsid w:val="006F5341"/>
    <w:rsid w:val="00701EB2"/>
    <w:rsid w:val="00704CC7"/>
    <w:rsid w:val="00706BFF"/>
    <w:rsid w:val="00710164"/>
    <w:rsid w:val="00712271"/>
    <w:rsid w:val="0071394A"/>
    <w:rsid w:val="00715646"/>
    <w:rsid w:val="00715F17"/>
    <w:rsid w:val="007206DD"/>
    <w:rsid w:val="007242F1"/>
    <w:rsid w:val="0072538C"/>
    <w:rsid w:val="007277E5"/>
    <w:rsid w:val="00727B2F"/>
    <w:rsid w:val="00727FA6"/>
    <w:rsid w:val="00730495"/>
    <w:rsid w:val="00730EAB"/>
    <w:rsid w:val="0073254F"/>
    <w:rsid w:val="00734ACF"/>
    <w:rsid w:val="00736A84"/>
    <w:rsid w:val="00740D65"/>
    <w:rsid w:val="007529EA"/>
    <w:rsid w:val="00752BBA"/>
    <w:rsid w:val="00753493"/>
    <w:rsid w:val="007537CE"/>
    <w:rsid w:val="00754845"/>
    <w:rsid w:val="00756EA6"/>
    <w:rsid w:val="007570F5"/>
    <w:rsid w:val="00763FA2"/>
    <w:rsid w:val="00765192"/>
    <w:rsid w:val="00770503"/>
    <w:rsid w:val="00770541"/>
    <w:rsid w:val="00770F72"/>
    <w:rsid w:val="00771617"/>
    <w:rsid w:val="00772911"/>
    <w:rsid w:val="00774768"/>
    <w:rsid w:val="0078364D"/>
    <w:rsid w:val="0078523A"/>
    <w:rsid w:val="0078695E"/>
    <w:rsid w:val="007921DA"/>
    <w:rsid w:val="00793F3A"/>
    <w:rsid w:val="007A0275"/>
    <w:rsid w:val="007A5624"/>
    <w:rsid w:val="007A5F63"/>
    <w:rsid w:val="007B1939"/>
    <w:rsid w:val="007B627D"/>
    <w:rsid w:val="007C0378"/>
    <w:rsid w:val="007D0FC7"/>
    <w:rsid w:val="007D479C"/>
    <w:rsid w:val="007D4929"/>
    <w:rsid w:val="007E3C22"/>
    <w:rsid w:val="007E5E2D"/>
    <w:rsid w:val="007E5ED1"/>
    <w:rsid w:val="007F0C50"/>
    <w:rsid w:val="007F0DAD"/>
    <w:rsid w:val="007F1F63"/>
    <w:rsid w:val="007F1F74"/>
    <w:rsid w:val="007F1FD2"/>
    <w:rsid w:val="007F2099"/>
    <w:rsid w:val="007F27FE"/>
    <w:rsid w:val="007F6630"/>
    <w:rsid w:val="00812AF8"/>
    <w:rsid w:val="008146D8"/>
    <w:rsid w:val="008210EB"/>
    <w:rsid w:val="00823A27"/>
    <w:rsid w:val="00825F10"/>
    <w:rsid w:val="0082754D"/>
    <w:rsid w:val="008338CC"/>
    <w:rsid w:val="00833EB3"/>
    <w:rsid w:val="00835F7F"/>
    <w:rsid w:val="0083682C"/>
    <w:rsid w:val="0084040E"/>
    <w:rsid w:val="008426AA"/>
    <w:rsid w:val="00842A4D"/>
    <w:rsid w:val="00842EB3"/>
    <w:rsid w:val="008540AC"/>
    <w:rsid w:val="00857A78"/>
    <w:rsid w:val="008603D1"/>
    <w:rsid w:val="008649C8"/>
    <w:rsid w:val="00866CA0"/>
    <w:rsid w:val="008800A1"/>
    <w:rsid w:val="00880E97"/>
    <w:rsid w:val="00881574"/>
    <w:rsid w:val="00887F1D"/>
    <w:rsid w:val="00891DD8"/>
    <w:rsid w:val="0089267F"/>
    <w:rsid w:val="008929B9"/>
    <w:rsid w:val="00894894"/>
    <w:rsid w:val="008A1A06"/>
    <w:rsid w:val="008A2A17"/>
    <w:rsid w:val="008A405D"/>
    <w:rsid w:val="008A52A4"/>
    <w:rsid w:val="008A602C"/>
    <w:rsid w:val="008A615E"/>
    <w:rsid w:val="008A6631"/>
    <w:rsid w:val="008B0011"/>
    <w:rsid w:val="008B7166"/>
    <w:rsid w:val="008B7E1D"/>
    <w:rsid w:val="008C53C6"/>
    <w:rsid w:val="008C576D"/>
    <w:rsid w:val="008C5A8F"/>
    <w:rsid w:val="008C7278"/>
    <w:rsid w:val="008D10B9"/>
    <w:rsid w:val="008D3799"/>
    <w:rsid w:val="008D45B9"/>
    <w:rsid w:val="008D4C6F"/>
    <w:rsid w:val="008D6773"/>
    <w:rsid w:val="008E0848"/>
    <w:rsid w:val="008E24E9"/>
    <w:rsid w:val="008E2823"/>
    <w:rsid w:val="008E2B23"/>
    <w:rsid w:val="008E2C24"/>
    <w:rsid w:val="008E5326"/>
    <w:rsid w:val="008E709C"/>
    <w:rsid w:val="008F0202"/>
    <w:rsid w:val="008F0393"/>
    <w:rsid w:val="008F04F7"/>
    <w:rsid w:val="008F0A55"/>
    <w:rsid w:val="008F66CD"/>
    <w:rsid w:val="008F718E"/>
    <w:rsid w:val="00906580"/>
    <w:rsid w:val="0090785F"/>
    <w:rsid w:val="00907F3D"/>
    <w:rsid w:val="00910DA4"/>
    <w:rsid w:val="00913E91"/>
    <w:rsid w:val="00914678"/>
    <w:rsid w:val="009156BF"/>
    <w:rsid w:val="009173DD"/>
    <w:rsid w:val="00921B9F"/>
    <w:rsid w:val="009229C4"/>
    <w:rsid w:val="00923798"/>
    <w:rsid w:val="009253EF"/>
    <w:rsid w:val="009347A8"/>
    <w:rsid w:val="00934D77"/>
    <w:rsid w:val="009357D3"/>
    <w:rsid w:val="00936C08"/>
    <w:rsid w:val="00937B77"/>
    <w:rsid w:val="00942FE5"/>
    <w:rsid w:val="009434D2"/>
    <w:rsid w:val="0094460B"/>
    <w:rsid w:val="00944EA8"/>
    <w:rsid w:val="009452F1"/>
    <w:rsid w:val="00945FB8"/>
    <w:rsid w:val="00946649"/>
    <w:rsid w:val="00950FC5"/>
    <w:rsid w:val="00956F03"/>
    <w:rsid w:val="009604B9"/>
    <w:rsid w:val="0096109E"/>
    <w:rsid w:val="00964999"/>
    <w:rsid w:val="0096614D"/>
    <w:rsid w:val="00966D89"/>
    <w:rsid w:val="00967283"/>
    <w:rsid w:val="00967EAE"/>
    <w:rsid w:val="00971B2C"/>
    <w:rsid w:val="00976F47"/>
    <w:rsid w:val="0098153A"/>
    <w:rsid w:val="00981F92"/>
    <w:rsid w:val="009866CC"/>
    <w:rsid w:val="00986F6C"/>
    <w:rsid w:val="00990373"/>
    <w:rsid w:val="00990B6E"/>
    <w:rsid w:val="009A1F51"/>
    <w:rsid w:val="009A7362"/>
    <w:rsid w:val="009B058E"/>
    <w:rsid w:val="009B18CC"/>
    <w:rsid w:val="009B4574"/>
    <w:rsid w:val="009B61FF"/>
    <w:rsid w:val="009C2015"/>
    <w:rsid w:val="009C34EC"/>
    <w:rsid w:val="009C3A0C"/>
    <w:rsid w:val="009C42FB"/>
    <w:rsid w:val="009C55B6"/>
    <w:rsid w:val="009C7CE7"/>
    <w:rsid w:val="009D0160"/>
    <w:rsid w:val="009D06FA"/>
    <w:rsid w:val="009D1EE7"/>
    <w:rsid w:val="009D3414"/>
    <w:rsid w:val="009D445C"/>
    <w:rsid w:val="009D5438"/>
    <w:rsid w:val="009E2473"/>
    <w:rsid w:val="009E66DF"/>
    <w:rsid w:val="009E6CEE"/>
    <w:rsid w:val="009F0A42"/>
    <w:rsid w:val="009F1657"/>
    <w:rsid w:val="009F36FE"/>
    <w:rsid w:val="009F406C"/>
    <w:rsid w:val="009F47DC"/>
    <w:rsid w:val="009F511F"/>
    <w:rsid w:val="00A02A66"/>
    <w:rsid w:val="00A03E6D"/>
    <w:rsid w:val="00A05B6C"/>
    <w:rsid w:val="00A13338"/>
    <w:rsid w:val="00A15220"/>
    <w:rsid w:val="00A166D3"/>
    <w:rsid w:val="00A21E2C"/>
    <w:rsid w:val="00A25CBB"/>
    <w:rsid w:val="00A26200"/>
    <w:rsid w:val="00A27A0B"/>
    <w:rsid w:val="00A31671"/>
    <w:rsid w:val="00A33FFF"/>
    <w:rsid w:val="00A36DC2"/>
    <w:rsid w:val="00A41A18"/>
    <w:rsid w:val="00A466DB"/>
    <w:rsid w:val="00A503D9"/>
    <w:rsid w:val="00A50F04"/>
    <w:rsid w:val="00A51FE9"/>
    <w:rsid w:val="00A55B9D"/>
    <w:rsid w:val="00A669C7"/>
    <w:rsid w:val="00A669D7"/>
    <w:rsid w:val="00A74DD7"/>
    <w:rsid w:val="00A76EA3"/>
    <w:rsid w:val="00A7789C"/>
    <w:rsid w:val="00A77925"/>
    <w:rsid w:val="00A77C23"/>
    <w:rsid w:val="00A77E47"/>
    <w:rsid w:val="00A8063E"/>
    <w:rsid w:val="00A809A9"/>
    <w:rsid w:val="00A8207A"/>
    <w:rsid w:val="00A821C7"/>
    <w:rsid w:val="00A84375"/>
    <w:rsid w:val="00A84799"/>
    <w:rsid w:val="00A90015"/>
    <w:rsid w:val="00A906D7"/>
    <w:rsid w:val="00A97A5D"/>
    <w:rsid w:val="00AA0F87"/>
    <w:rsid w:val="00AA122D"/>
    <w:rsid w:val="00AA15CE"/>
    <w:rsid w:val="00AA3AC6"/>
    <w:rsid w:val="00AA3B3E"/>
    <w:rsid w:val="00AA476B"/>
    <w:rsid w:val="00AA55B0"/>
    <w:rsid w:val="00AA5ADF"/>
    <w:rsid w:val="00AA664F"/>
    <w:rsid w:val="00AA676F"/>
    <w:rsid w:val="00AA6D8E"/>
    <w:rsid w:val="00AA7050"/>
    <w:rsid w:val="00AB1722"/>
    <w:rsid w:val="00AB24B1"/>
    <w:rsid w:val="00AB3FB1"/>
    <w:rsid w:val="00AB4F33"/>
    <w:rsid w:val="00AB71E6"/>
    <w:rsid w:val="00AC0600"/>
    <w:rsid w:val="00AC0FB0"/>
    <w:rsid w:val="00AC14EB"/>
    <w:rsid w:val="00AC330C"/>
    <w:rsid w:val="00AD0224"/>
    <w:rsid w:val="00AD4252"/>
    <w:rsid w:val="00AE1535"/>
    <w:rsid w:val="00AE22ED"/>
    <w:rsid w:val="00AE5979"/>
    <w:rsid w:val="00AE7662"/>
    <w:rsid w:val="00AF2355"/>
    <w:rsid w:val="00AF27B2"/>
    <w:rsid w:val="00AF35EA"/>
    <w:rsid w:val="00AF4C86"/>
    <w:rsid w:val="00AF4E59"/>
    <w:rsid w:val="00AF64E3"/>
    <w:rsid w:val="00AF6767"/>
    <w:rsid w:val="00AF7975"/>
    <w:rsid w:val="00B02FA4"/>
    <w:rsid w:val="00B06731"/>
    <w:rsid w:val="00B11560"/>
    <w:rsid w:val="00B1217E"/>
    <w:rsid w:val="00B12E3C"/>
    <w:rsid w:val="00B17022"/>
    <w:rsid w:val="00B206BB"/>
    <w:rsid w:val="00B207D9"/>
    <w:rsid w:val="00B22046"/>
    <w:rsid w:val="00B23E77"/>
    <w:rsid w:val="00B23EE3"/>
    <w:rsid w:val="00B25216"/>
    <w:rsid w:val="00B30318"/>
    <w:rsid w:val="00B30DDA"/>
    <w:rsid w:val="00B31003"/>
    <w:rsid w:val="00B31F72"/>
    <w:rsid w:val="00B33AE4"/>
    <w:rsid w:val="00B33FD7"/>
    <w:rsid w:val="00B34BC1"/>
    <w:rsid w:val="00B34EB2"/>
    <w:rsid w:val="00B34FE6"/>
    <w:rsid w:val="00B361D0"/>
    <w:rsid w:val="00B40428"/>
    <w:rsid w:val="00B4119A"/>
    <w:rsid w:val="00B42494"/>
    <w:rsid w:val="00B42F74"/>
    <w:rsid w:val="00B51E72"/>
    <w:rsid w:val="00B535AB"/>
    <w:rsid w:val="00B53C50"/>
    <w:rsid w:val="00B56640"/>
    <w:rsid w:val="00B572FB"/>
    <w:rsid w:val="00B626EE"/>
    <w:rsid w:val="00B65BF6"/>
    <w:rsid w:val="00B65EDA"/>
    <w:rsid w:val="00B65FC7"/>
    <w:rsid w:val="00B70219"/>
    <w:rsid w:val="00B71669"/>
    <w:rsid w:val="00B74FFB"/>
    <w:rsid w:val="00B81FF9"/>
    <w:rsid w:val="00B83925"/>
    <w:rsid w:val="00B84448"/>
    <w:rsid w:val="00B85689"/>
    <w:rsid w:val="00B94D67"/>
    <w:rsid w:val="00BA3235"/>
    <w:rsid w:val="00BA52E5"/>
    <w:rsid w:val="00BB047F"/>
    <w:rsid w:val="00BB675F"/>
    <w:rsid w:val="00BC0159"/>
    <w:rsid w:val="00BC0D86"/>
    <w:rsid w:val="00BC277D"/>
    <w:rsid w:val="00BC61A3"/>
    <w:rsid w:val="00BC6848"/>
    <w:rsid w:val="00BC7C0C"/>
    <w:rsid w:val="00BD0620"/>
    <w:rsid w:val="00BD3758"/>
    <w:rsid w:val="00BD55B6"/>
    <w:rsid w:val="00BD6172"/>
    <w:rsid w:val="00BE02D2"/>
    <w:rsid w:val="00BE2F2A"/>
    <w:rsid w:val="00BE49A4"/>
    <w:rsid w:val="00BE6976"/>
    <w:rsid w:val="00BE6CF3"/>
    <w:rsid w:val="00BF35E7"/>
    <w:rsid w:val="00BF57A5"/>
    <w:rsid w:val="00BF6A13"/>
    <w:rsid w:val="00BF78AF"/>
    <w:rsid w:val="00C00748"/>
    <w:rsid w:val="00C0142E"/>
    <w:rsid w:val="00C02524"/>
    <w:rsid w:val="00C06304"/>
    <w:rsid w:val="00C14D5D"/>
    <w:rsid w:val="00C15462"/>
    <w:rsid w:val="00C17BA8"/>
    <w:rsid w:val="00C20F36"/>
    <w:rsid w:val="00C2301C"/>
    <w:rsid w:val="00C27EF2"/>
    <w:rsid w:val="00C32E6E"/>
    <w:rsid w:val="00C33F3A"/>
    <w:rsid w:val="00C35662"/>
    <w:rsid w:val="00C375FD"/>
    <w:rsid w:val="00C37A5F"/>
    <w:rsid w:val="00C46679"/>
    <w:rsid w:val="00C501C4"/>
    <w:rsid w:val="00C53C91"/>
    <w:rsid w:val="00C5505A"/>
    <w:rsid w:val="00C55FE8"/>
    <w:rsid w:val="00C649C8"/>
    <w:rsid w:val="00C65218"/>
    <w:rsid w:val="00C65372"/>
    <w:rsid w:val="00C74AB4"/>
    <w:rsid w:val="00C7516C"/>
    <w:rsid w:val="00C75877"/>
    <w:rsid w:val="00C76966"/>
    <w:rsid w:val="00C77B68"/>
    <w:rsid w:val="00C816BC"/>
    <w:rsid w:val="00C8247E"/>
    <w:rsid w:val="00C860DA"/>
    <w:rsid w:val="00C906CE"/>
    <w:rsid w:val="00C91026"/>
    <w:rsid w:val="00C918A5"/>
    <w:rsid w:val="00C96D25"/>
    <w:rsid w:val="00CA03DB"/>
    <w:rsid w:val="00CA0571"/>
    <w:rsid w:val="00CA06FC"/>
    <w:rsid w:val="00CA1D2B"/>
    <w:rsid w:val="00CA4664"/>
    <w:rsid w:val="00CA5108"/>
    <w:rsid w:val="00CA53D4"/>
    <w:rsid w:val="00CA5B4F"/>
    <w:rsid w:val="00CB1190"/>
    <w:rsid w:val="00CB1D12"/>
    <w:rsid w:val="00CB5748"/>
    <w:rsid w:val="00CB7539"/>
    <w:rsid w:val="00CC4C16"/>
    <w:rsid w:val="00CC57CB"/>
    <w:rsid w:val="00CC5D96"/>
    <w:rsid w:val="00CD186D"/>
    <w:rsid w:val="00CD3875"/>
    <w:rsid w:val="00CD57E4"/>
    <w:rsid w:val="00CD67B8"/>
    <w:rsid w:val="00CE036F"/>
    <w:rsid w:val="00CE1DFB"/>
    <w:rsid w:val="00CE1FAD"/>
    <w:rsid w:val="00CE7645"/>
    <w:rsid w:val="00D00115"/>
    <w:rsid w:val="00D02886"/>
    <w:rsid w:val="00D02AAD"/>
    <w:rsid w:val="00D02AC7"/>
    <w:rsid w:val="00D03080"/>
    <w:rsid w:val="00D0521D"/>
    <w:rsid w:val="00D06262"/>
    <w:rsid w:val="00D10B94"/>
    <w:rsid w:val="00D129D7"/>
    <w:rsid w:val="00D14260"/>
    <w:rsid w:val="00D1467E"/>
    <w:rsid w:val="00D147E3"/>
    <w:rsid w:val="00D16CA7"/>
    <w:rsid w:val="00D21277"/>
    <w:rsid w:val="00D21355"/>
    <w:rsid w:val="00D24BF4"/>
    <w:rsid w:val="00D2598D"/>
    <w:rsid w:val="00D25A7E"/>
    <w:rsid w:val="00D27653"/>
    <w:rsid w:val="00D308D1"/>
    <w:rsid w:val="00D31AD8"/>
    <w:rsid w:val="00D3394A"/>
    <w:rsid w:val="00D34AD3"/>
    <w:rsid w:val="00D41E97"/>
    <w:rsid w:val="00D41FD5"/>
    <w:rsid w:val="00D434CE"/>
    <w:rsid w:val="00D455BA"/>
    <w:rsid w:val="00D520C3"/>
    <w:rsid w:val="00D56116"/>
    <w:rsid w:val="00D5674C"/>
    <w:rsid w:val="00D63C2D"/>
    <w:rsid w:val="00D648DC"/>
    <w:rsid w:val="00D65632"/>
    <w:rsid w:val="00D71582"/>
    <w:rsid w:val="00D7300F"/>
    <w:rsid w:val="00D73DBE"/>
    <w:rsid w:val="00D74221"/>
    <w:rsid w:val="00D749C2"/>
    <w:rsid w:val="00D750C4"/>
    <w:rsid w:val="00D753FE"/>
    <w:rsid w:val="00D760B8"/>
    <w:rsid w:val="00D80B13"/>
    <w:rsid w:val="00D8177E"/>
    <w:rsid w:val="00D820D2"/>
    <w:rsid w:val="00D83FE1"/>
    <w:rsid w:val="00D842A4"/>
    <w:rsid w:val="00D85556"/>
    <w:rsid w:val="00D86ECA"/>
    <w:rsid w:val="00D939CA"/>
    <w:rsid w:val="00D9672D"/>
    <w:rsid w:val="00DA21CA"/>
    <w:rsid w:val="00DA31F7"/>
    <w:rsid w:val="00DA4298"/>
    <w:rsid w:val="00DB165D"/>
    <w:rsid w:val="00DB16D8"/>
    <w:rsid w:val="00DB3C52"/>
    <w:rsid w:val="00DB5483"/>
    <w:rsid w:val="00DB77F0"/>
    <w:rsid w:val="00DC3F37"/>
    <w:rsid w:val="00DC4964"/>
    <w:rsid w:val="00DC79C5"/>
    <w:rsid w:val="00DD2138"/>
    <w:rsid w:val="00DD3620"/>
    <w:rsid w:val="00DE1F84"/>
    <w:rsid w:val="00DE312B"/>
    <w:rsid w:val="00DE37FD"/>
    <w:rsid w:val="00DE6F09"/>
    <w:rsid w:val="00DF08A4"/>
    <w:rsid w:val="00DF2A8E"/>
    <w:rsid w:val="00DF387F"/>
    <w:rsid w:val="00DF561D"/>
    <w:rsid w:val="00E00059"/>
    <w:rsid w:val="00E02F2C"/>
    <w:rsid w:val="00E04D7E"/>
    <w:rsid w:val="00E06708"/>
    <w:rsid w:val="00E1080E"/>
    <w:rsid w:val="00E10EE4"/>
    <w:rsid w:val="00E11030"/>
    <w:rsid w:val="00E15504"/>
    <w:rsid w:val="00E15F3A"/>
    <w:rsid w:val="00E1669D"/>
    <w:rsid w:val="00E22C83"/>
    <w:rsid w:val="00E23678"/>
    <w:rsid w:val="00E25309"/>
    <w:rsid w:val="00E27FC4"/>
    <w:rsid w:val="00E30FA8"/>
    <w:rsid w:val="00E32BD8"/>
    <w:rsid w:val="00E34B5F"/>
    <w:rsid w:val="00E35087"/>
    <w:rsid w:val="00E35E1A"/>
    <w:rsid w:val="00E46034"/>
    <w:rsid w:val="00E473B1"/>
    <w:rsid w:val="00E51F29"/>
    <w:rsid w:val="00E57651"/>
    <w:rsid w:val="00E57DDC"/>
    <w:rsid w:val="00E60327"/>
    <w:rsid w:val="00E659F2"/>
    <w:rsid w:val="00E661B9"/>
    <w:rsid w:val="00E664F2"/>
    <w:rsid w:val="00E6689A"/>
    <w:rsid w:val="00E66AB2"/>
    <w:rsid w:val="00E67E71"/>
    <w:rsid w:val="00E71828"/>
    <w:rsid w:val="00E73187"/>
    <w:rsid w:val="00E75EC3"/>
    <w:rsid w:val="00E82291"/>
    <w:rsid w:val="00E84A6B"/>
    <w:rsid w:val="00E87A0B"/>
    <w:rsid w:val="00E924D0"/>
    <w:rsid w:val="00E931A5"/>
    <w:rsid w:val="00E93D5C"/>
    <w:rsid w:val="00E95A13"/>
    <w:rsid w:val="00EA1827"/>
    <w:rsid w:val="00EA7A35"/>
    <w:rsid w:val="00EB050E"/>
    <w:rsid w:val="00EB5A9B"/>
    <w:rsid w:val="00EC6DDD"/>
    <w:rsid w:val="00ED06BF"/>
    <w:rsid w:val="00ED111A"/>
    <w:rsid w:val="00ED74C2"/>
    <w:rsid w:val="00EE03F8"/>
    <w:rsid w:val="00EE0BC7"/>
    <w:rsid w:val="00EE1F44"/>
    <w:rsid w:val="00EE252C"/>
    <w:rsid w:val="00EE479D"/>
    <w:rsid w:val="00EE4B54"/>
    <w:rsid w:val="00EE4BC8"/>
    <w:rsid w:val="00EE5AC6"/>
    <w:rsid w:val="00EF4FA3"/>
    <w:rsid w:val="00EF7D79"/>
    <w:rsid w:val="00F0112F"/>
    <w:rsid w:val="00F01AAC"/>
    <w:rsid w:val="00F02C39"/>
    <w:rsid w:val="00F02E13"/>
    <w:rsid w:val="00F0372F"/>
    <w:rsid w:val="00F0558D"/>
    <w:rsid w:val="00F05B9C"/>
    <w:rsid w:val="00F05FF9"/>
    <w:rsid w:val="00F07242"/>
    <w:rsid w:val="00F10230"/>
    <w:rsid w:val="00F1268E"/>
    <w:rsid w:val="00F151E9"/>
    <w:rsid w:val="00F1687B"/>
    <w:rsid w:val="00F16963"/>
    <w:rsid w:val="00F22960"/>
    <w:rsid w:val="00F24ECB"/>
    <w:rsid w:val="00F25D6E"/>
    <w:rsid w:val="00F2738A"/>
    <w:rsid w:val="00F30CA4"/>
    <w:rsid w:val="00F313AC"/>
    <w:rsid w:val="00F3343E"/>
    <w:rsid w:val="00F33B9E"/>
    <w:rsid w:val="00F37467"/>
    <w:rsid w:val="00F400F0"/>
    <w:rsid w:val="00F40AE7"/>
    <w:rsid w:val="00F421AA"/>
    <w:rsid w:val="00F5247C"/>
    <w:rsid w:val="00F5527D"/>
    <w:rsid w:val="00F56AFF"/>
    <w:rsid w:val="00F57060"/>
    <w:rsid w:val="00F61976"/>
    <w:rsid w:val="00F70E75"/>
    <w:rsid w:val="00F73251"/>
    <w:rsid w:val="00F7473C"/>
    <w:rsid w:val="00F77337"/>
    <w:rsid w:val="00F8068B"/>
    <w:rsid w:val="00F811F7"/>
    <w:rsid w:val="00F81CD7"/>
    <w:rsid w:val="00F87BCC"/>
    <w:rsid w:val="00F915B2"/>
    <w:rsid w:val="00F938CA"/>
    <w:rsid w:val="00F9612C"/>
    <w:rsid w:val="00FA3357"/>
    <w:rsid w:val="00FA5861"/>
    <w:rsid w:val="00FA633A"/>
    <w:rsid w:val="00FB0717"/>
    <w:rsid w:val="00FB0979"/>
    <w:rsid w:val="00FB6BDC"/>
    <w:rsid w:val="00FB6E3F"/>
    <w:rsid w:val="00FB72D1"/>
    <w:rsid w:val="00FB74D9"/>
    <w:rsid w:val="00FC165E"/>
    <w:rsid w:val="00FC530C"/>
    <w:rsid w:val="00FC6121"/>
    <w:rsid w:val="00FD0126"/>
    <w:rsid w:val="00FD0DEA"/>
    <w:rsid w:val="00FD22F2"/>
    <w:rsid w:val="00FD2F91"/>
    <w:rsid w:val="00FD5BEE"/>
    <w:rsid w:val="00FD6389"/>
    <w:rsid w:val="00FE1077"/>
    <w:rsid w:val="00FE235E"/>
    <w:rsid w:val="00FE3ABC"/>
    <w:rsid w:val="00FE596E"/>
    <w:rsid w:val="00FE5A80"/>
    <w:rsid w:val="00FE5B74"/>
    <w:rsid w:val="00FE704B"/>
    <w:rsid w:val="00FF3BC9"/>
    <w:rsid w:val="00FF4083"/>
    <w:rsid w:val="00FF595B"/>
    <w:rsid w:val="00FF5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7F4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A84375"/>
    <w:pPr>
      <w:keepNext/>
      <w:keepLines/>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43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437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A8437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84375"/>
    <w:pPr>
      <w:keepNext/>
      <w:keepLines/>
      <w:spacing w:before="40" w:line="276" w:lineRule="auto"/>
      <w:outlineLvl w:val="4"/>
    </w:pPr>
    <w:rPr>
      <w:rFonts w:asciiTheme="majorHAnsi" w:eastAsiaTheme="majorEastAsia" w:hAnsiTheme="majorHAnsi" w:cstheme="majorBidi"/>
      <w:color w:val="365F91" w:themeColor="accent1" w:themeShade="BF"/>
      <w:szCs w:val="22"/>
      <w:lang w:eastAsia="en-US"/>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A669D7"/>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locked/>
    <w:rsid w:val="00A669D7"/>
    <w:rPr>
      <w:sz w:val="24"/>
    </w:rPr>
  </w:style>
  <w:style w:type="paragraph" w:customStyle="1" w:styleId="DINumberedParagraph">
    <w:name w:val="DI Numbered Paragraph"/>
    <w:basedOn w:val="Normal"/>
    <w:link w:val="DINumberedParagraphChar"/>
    <w:rsid w:val="00A669D7"/>
    <w:pPr>
      <w:numPr>
        <w:numId w:val="2"/>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iPriority w:val="99"/>
    <w:semiHidden/>
    <w:unhideWhenUsed/>
    <w:rsid w:val="002E1F0E"/>
    <w:rPr>
      <w:sz w:val="16"/>
      <w:szCs w:val="16"/>
    </w:rPr>
  </w:style>
  <w:style w:type="paragraph" w:styleId="CommentText">
    <w:name w:val="annotation text"/>
    <w:basedOn w:val="Normal"/>
    <w:link w:val="CommentTextChar"/>
    <w:uiPriority w:val="99"/>
    <w:unhideWhenUsed/>
    <w:rsid w:val="002E1F0E"/>
    <w:rPr>
      <w:sz w:val="20"/>
    </w:rPr>
  </w:style>
  <w:style w:type="character" w:customStyle="1" w:styleId="CommentTextChar">
    <w:name w:val="Comment Text Char"/>
    <w:basedOn w:val="DefaultParagraphFont"/>
    <w:link w:val="CommentText"/>
    <w:uiPriority w:val="99"/>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paragraph" w:customStyle="1" w:styleId="Default">
    <w:name w:val="Default"/>
    <w:rsid w:val="007F0DA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ActHead5">
    <w:name w:val="ActHead 5"/>
    <w:aliases w:val="s"/>
    <w:basedOn w:val="Normal"/>
    <w:next w:val="Normal"/>
    <w:link w:val="ActHead5Char"/>
    <w:qFormat/>
    <w:rsid w:val="007F0DAD"/>
    <w:pPr>
      <w:keepNext/>
      <w:keepLines/>
      <w:spacing w:before="280"/>
      <w:ind w:left="1134" w:hanging="1134"/>
      <w:outlineLvl w:val="4"/>
    </w:pPr>
    <w:rPr>
      <w:b/>
      <w:kern w:val="28"/>
    </w:rPr>
  </w:style>
  <w:style w:type="paragraph" w:customStyle="1" w:styleId="ActHead6">
    <w:name w:val="ActHead 6"/>
    <w:aliases w:val="as"/>
    <w:basedOn w:val="Normal"/>
    <w:next w:val="ActHead7"/>
    <w:qFormat/>
    <w:rsid w:val="007F0DAD"/>
    <w:pPr>
      <w:keepNext/>
      <w:keepLines/>
      <w:spacing w:before="0"/>
      <w:ind w:left="1134" w:hanging="1134"/>
      <w:outlineLvl w:val="5"/>
    </w:pPr>
    <w:rPr>
      <w:rFonts w:ascii="Arial" w:hAnsi="Arial"/>
      <w:b/>
      <w:kern w:val="28"/>
      <w:sz w:val="32"/>
    </w:rPr>
  </w:style>
  <w:style w:type="paragraph" w:customStyle="1" w:styleId="ActHead7">
    <w:name w:val="ActHead 7"/>
    <w:aliases w:val="ap"/>
    <w:basedOn w:val="Normal"/>
    <w:next w:val="ItemHead"/>
    <w:qFormat/>
    <w:rsid w:val="007F0DAD"/>
    <w:pPr>
      <w:keepNext/>
      <w:keepLines/>
      <w:spacing w:before="280"/>
      <w:ind w:left="1134" w:hanging="1134"/>
      <w:outlineLvl w:val="6"/>
    </w:pPr>
    <w:rPr>
      <w:rFonts w:ascii="Arial" w:hAnsi="Arial"/>
      <w:b/>
      <w:kern w:val="28"/>
      <w:sz w:val="28"/>
    </w:rPr>
  </w:style>
  <w:style w:type="paragraph" w:customStyle="1" w:styleId="ActHead9">
    <w:name w:val="ActHead 9"/>
    <w:aliases w:val="aat"/>
    <w:basedOn w:val="Normal"/>
    <w:next w:val="ItemHead"/>
    <w:qFormat/>
    <w:rsid w:val="007F0DAD"/>
    <w:pPr>
      <w:keepNext/>
      <w:keepLines/>
      <w:spacing w:before="280"/>
      <w:ind w:left="1134" w:hanging="1134"/>
      <w:outlineLvl w:val="8"/>
    </w:pPr>
    <w:rPr>
      <w:b/>
      <w:i/>
      <w:kern w:val="28"/>
      <w:sz w:val="28"/>
    </w:rPr>
  </w:style>
  <w:style w:type="character" w:customStyle="1" w:styleId="CharAmPartNo">
    <w:name w:val="CharAmPartNo"/>
    <w:basedOn w:val="DefaultParagraphFont"/>
    <w:qFormat/>
    <w:rsid w:val="007F0DAD"/>
  </w:style>
  <w:style w:type="character" w:customStyle="1" w:styleId="CharAmPartText">
    <w:name w:val="CharAmPartText"/>
    <w:basedOn w:val="DefaultParagraphFont"/>
    <w:qFormat/>
    <w:rsid w:val="007F0DAD"/>
  </w:style>
  <w:style w:type="character" w:customStyle="1" w:styleId="CharAmSchNo">
    <w:name w:val="CharAmSchNo"/>
    <w:basedOn w:val="DefaultParagraphFont"/>
    <w:qFormat/>
    <w:rsid w:val="007F0DAD"/>
  </w:style>
  <w:style w:type="character" w:customStyle="1" w:styleId="CharAmSchText">
    <w:name w:val="CharAmSchText"/>
    <w:basedOn w:val="DefaultParagraphFont"/>
    <w:qFormat/>
    <w:rsid w:val="007F0DAD"/>
  </w:style>
  <w:style w:type="paragraph" w:customStyle="1" w:styleId="ItemHead">
    <w:name w:val="ItemHead"/>
    <w:aliases w:val="ih"/>
    <w:basedOn w:val="Normal"/>
    <w:next w:val="Normal"/>
    <w:rsid w:val="007F0DAD"/>
    <w:pPr>
      <w:keepNext/>
      <w:keepLines/>
      <w:spacing w:before="220"/>
      <w:ind w:left="709" w:hanging="709"/>
    </w:pPr>
    <w:rPr>
      <w:rFonts w:ascii="Arial" w:hAnsi="Arial"/>
      <w:b/>
      <w:kern w:val="28"/>
    </w:rPr>
  </w:style>
  <w:style w:type="character" w:customStyle="1" w:styleId="ActHead5Char">
    <w:name w:val="ActHead 5 Char"/>
    <w:aliases w:val="s Char"/>
    <w:link w:val="ActHead5"/>
    <w:rsid w:val="007F0DAD"/>
    <w:rPr>
      <w:rFonts w:ascii="Times New Roman" w:eastAsia="Times New Roman" w:hAnsi="Times New Roman" w:cs="Times New Roman"/>
      <w:b/>
      <w:kern w:val="28"/>
      <w:sz w:val="24"/>
      <w:szCs w:val="20"/>
      <w:lang w:eastAsia="en-AU"/>
    </w:rPr>
  </w:style>
  <w:style w:type="character" w:styleId="Hyperlink">
    <w:name w:val="Hyperlink"/>
    <w:basedOn w:val="DefaultParagraphFont"/>
    <w:uiPriority w:val="99"/>
    <w:unhideWhenUsed/>
    <w:rsid w:val="009D445C"/>
    <w:rPr>
      <w:strike w:val="0"/>
      <w:dstrike w:val="0"/>
      <w:color w:val="007AC3"/>
      <w:u w:val="none"/>
      <w:effect w:val="none"/>
    </w:rPr>
  </w:style>
  <w:style w:type="paragraph" w:customStyle="1" w:styleId="contentelement-indenttwo1">
    <w:name w:val="contentelement-indenttwo1"/>
    <w:basedOn w:val="Normal"/>
    <w:rsid w:val="002A2D29"/>
    <w:pPr>
      <w:spacing w:after="240"/>
      <w:ind w:left="936"/>
    </w:pPr>
    <w:rPr>
      <w:szCs w:val="24"/>
    </w:rPr>
  </w:style>
  <w:style w:type="paragraph" w:customStyle="1" w:styleId="paragraph">
    <w:name w:val="paragraph"/>
    <w:aliases w:val="a"/>
    <w:basedOn w:val="Normal"/>
    <w:rsid w:val="00DD3620"/>
    <w:pPr>
      <w:tabs>
        <w:tab w:val="right" w:pos="1531"/>
      </w:tabs>
      <w:spacing w:before="40"/>
      <w:ind w:left="1644" w:hanging="1644"/>
    </w:pPr>
    <w:rPr>
      <w:sz w:val="22"/>
    </w:rPr>
  </w:style>
  <w:style w:type="paragraph" w:styleId="NormalWeb">
    <w:name w:val="Normal (Web)"/>
    <w:basedOn w:val="Normal"/>
    <w:uiPriority w:val="99"/>
    <w:unhideWhenUsed/>
    <w:rsid w:val="001A595F"/>
    <w:pPr>
      <w:spacing w:before="100" w:beforeAutospacing="1" w:after="100" w:afterAutospacing="1"/>
    </w:pPr>
    <w:rPr>
      <w:szCs w:val="24"/>
    </w:rPr>
  </w:style>
  <w:style w:type="paragraph" w:customStyle="1" w:styleId="subsection">
    <w:name w:val="subsection"/>
    <w:basedOn w:val="Normal"/>
    <w:rsid w:val="003F163F"/>
    <w:pPr>
      <w:spacing w:before="100" w:beforeAutospacing="1" w:after="100" w:afterAutospacing="1"/>
    </w:pPr>
    <w:rPr>
      <w:szCs w:val="24"/>
    </w:rPr>
  </w:style>
  <w:style w:type="character" w:customStyle="1" w:styleId="Heading1Char">
    <w:name w:val="Heading 1 Char"/>
    <w:basedOn w:val="DefaultParagraphFont"/>
    <w:link w:val="Heading1"/>
    <w:uiPriority w:val="9"/>
    <w:rsid w:val="00A84375"/>
    <w:rPr>
      <w:rFonts w:asciiTheme="majorHAnsi" w:eastAsiaTheme="majorEastAsia" w:hAnsiTheme="majorHAnsi" w:cstheme="majorBidi"/>
      <w:color w:val="365F91" w:themeColor="accent1" w:themeShade="BF"/>
      <w:sz w:val="32"/>
      <w:szCs w:val="32"/>
      <w:lang w:eastAsia="en-AU"/>
    </w:rPr>
  </w:style>
  <w:style w:type="character" w:customStyle="1" w:styleId="Heading2Char">
    <w:name w:val="Heading 2 Char"/>
    <w:basedOn w:val="DefaultParagraphFont"/>
    <w:link w:val="Heading2"/>
    <w:uiPriority w:val="9"/>
    <w:rsid w:val="00A84375"/>
    <w:rPr>
      <w:rFonts w:asciiTheme="majorHAnsi" w:eastAsiaTheme="majorEastAsia" w:hAnsiTheme="majorHAnsi" w:cstheme="majorBidi"/>
      <w:color w:val="365F91" w:themeColor="accent1" w:themeShade="BF"/>
      <w:sz w:val="26"/>
      <w:szCs w:val="26"/>
      <w:lang w:eastAsia="en-AU"/>
    </w:rPr>
  </w:style>
  <w:style w:type="character" w:customStyle="1" w:styleId="Heading3Char">
    <w:name w:val="Heading 3 Char"/>
    <w:basedOn w:val="DefaultParagraphFont"/>
    <w:link w:val="Heading3"/>
    <w:uiPriority w:val="9"/>
    <w:rsid w:val="00A84375"/>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rsid w:val="00A84375"/>
    <w:rPr>
      <w:rFonts w:asciiTheme="majorHAnsi" w:eastAsiaTheme="majorEastAsia" w:hAnsiTheme="majorHAnsi" w:cstheme="majorBidi"/>
      <w:i/>
      <w:iCs/>
      <w:color w:val="365F91" w:themeColor="accent1" w:themeShade="BF"/>
      <w:sz w:val="24"/>
      <w:szCs w:val="20"/>
      <w:lang w:eastAsia="en-AU"/>
    </w:rPr>
  </w:style>
  <w:style w:type="character" w:customStyle="1" w:styleId="Heading5Char">
    <w:name w:val="Heading 5 Char"/>
    <w:basedOn w:val="DefaultParagraphFont"/>
    <w:link w:val="Heading5"/>
    <w:uiPriority w:val="9"/>
    <w:rsid w:val="00A84375"/>
    <w:rPr>
      <w:rFonts w:asciiTheme="majorHAnsi" w:eastAsiaTheme="majorEastAsia" w:hAnsiTheme="majorHAnsi" w:cstheme="majorBidi"/>
      <w:color w:val="365F91" w:themeColor="accent1" w:themeShade="BF"/>
      <w:sz w:val="24"/>
    </w:rPr>
  </w:style>
  <w:style w:type="paragraph" w:customStyle="1" w:styleId="Pa22">
    <w:name w:val="Pa22"/>
    <w:basedOn w:val="Default"/>
    <w:next w:val="Default"/>
    <w:uiPriority w:val="99"/>
    <w:rsid w:val="00A84375"/>
    <w:pPr>
      <w:spacing w:line="191" w:lineRule="atLeast"/>
    </w:pPr>
    <w:rPr>
      <w:rFonts w:ascii="AvantGarde" w:eastAsiaTheme="minorHAnsi" w:hAnsi="AvantGarde" w:cstheme="minorBidi"/>
      <w:color w:val="auto"/>
      <w:lang w:eastAsia="en-US"/>
    </w:rPr>
  </w:style>
  <w:style w:type="paragraph" w:styleId="BodyText">
    <w:name w:val="Body Text"/>
    <w:aliases w:val="Body Text Cab,CAB - Body Text"/>
    <w:link w:val="BodyTextChar"/>
    <w:rsid w:val="00A84375"/>
    <w:pPr>
      <w:spacing w:before="120" w:after="120" w:line="240" w:lineRule="auto"/>
    </w:pPr>
    <w:rPr>
      <w:rFonts w:ascii="Arial" w:hAnsi="Arial"/>
    </w:rPr>
  </w:style>
  <w:style w:type="character" w:customStyle="1" w:styleId="BodyTextChar">
    <w:name w:val="Body Text Char"/>
    <w:aliases w:val="Body Text Cab Char,CAB - Body Text Char"/>
    <w:basedOn w:val="DefaultParagraphFont"/>
    <w:link w:val="BodyText"/>
    <w:rsid w:val="00A84375"/>
    <w:rPr>
      <w:rFonts w:ascii="Arial" w:hAnsi="Arial"/>
    </w:rPr>
  </w:style>
  <w:style w:type="paragraph" w:customStyle="1" w:styleId="CABNETParagraph">
    <w:name w:val="CABNET Paragraph."/>
    <w:basedOn w:val="Normal"/>
    <w:link w:val="CABNETParagraphChar"/>
    <w:uiPriority w:val="98"/>
    <w:qFormat/>
    <w:rsid w:val="00A84375"/>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A84375"/>
    <w:rPr>
      <w:rFonts w:ascii="Arial" w:hAnsi="Arial" w:cstheme="minorHAnsi"/>
    </w:rPr>
  </w:style>
  <w:style w:type="paragraph" w:customStyle="1" w:styleId="BulletList">
    <w:name w:val="Bullet List"/>
    <w:qFormat/>
    <w:rsid w:val="00A84375"/>
    <w:pPr>
      <w:numPr>
        <w:numId w:val="13"/>
      </w:numPr>
      <w:spacing w:after="0" w:line="240" w:lineRule="auto"/>
    </w:pPr>
    <w:rPr>
      <w:rFonts w:ascii="Times New Roman" w:eastAsia="TimesNewRomanPSMT" w:hAnsi="Times New Roman" w:cs="TimesNewRomanPSMT"/>
      <w:color w:val="000000"/>
      <w:sz w:val="24"/>
      <w:szCs w:val="19"/>
      <w:lang w:val="en-GB"/>
    </w:rPr>
  </w:style>
  <w:style w:type="paragraph" w:customStyle="1" w:styleId="Bullet1">
    <w:name w:val="Bullet 1"/>
    <w:basedOn w:val="BulletList"/>
    <w:qFormat/>
    <w:rsid w:val="00A84375"/>
    <w:pPr>
      <w:spacing w:after="200"/>
      <w:ind w:left="284" w:hanging="284"/>
    </w:pPr>
    <w:rPr>
      <w:lang w:val="en-AU"/>
    </w:rPr>
  </w:style>
  <w:style w:type="paragraph" w:customStyle="1" w:styleId="Bullet2">
    <w:name w:val="Bullet 2"/>
    <w:basedOn w:val="Normal"/>
    <w:qFormat/>
    <w:rsid w:val="00A84375"/>
    <w:pPr>
      <w:numPr>
        <w:numId w:val="14"/>
      </w:numPr>
      <w:spacing w:before="0" w:after="200"/>
      <w:ind w:left="567" w:hanging="283"/>
    </w:pPr>
    <w:rPr>
      <w:rFonts w:eastAsiaTheme="minorEastAsia" w:cstheme="minorBidi"/>
      <w:szCs w:val="24"/>
      <w:lang w:eastAsia="en-US"/>
    </w:rPr>
  </w:style>
  <w:style w:type="paragraph" w:styleId="Header">
    <w:name w:val="header"/>
    <w:basedOn w:val="Normal"/>
    <w:link w:val="HeaderChar"/>
    <w:uiPriority w:val="99"/>
    <w:unhideWhenUsed/>
    <w:rsid w:val="00A84375"/>
    <w:pPr>
      <w:tabs>
        <w:tab w:val="center" w:pos="4513"/>
        <w:tab w:val="right" w:pos="9026"/>
      </w:tabs>
      <w:spacing w:before="0"/>
    </w:pPr>
    <w:rPr>
      <w:rFonts w:eastAsiaTheme="minorHAnsi" w:cstheme="minorBidi"/>
      <w:szCs w:val="22"/>
      <w:lang w:eastAsia="en-US"/>
    </w:rPr>
  </w:style>
  <w:style w:type="character" w:customStyle="1" w:styleId="HeaderChar">
    <w:name w:val="Header Char"/>
    <w:basedOn w:val="DefaultParagraphFont"/>
    <w:link w:val="Header"/>
    <w:uiPriority w:val="99"/>
    <w:rsid w:val="00A84375"/>
    <w:rPr>
      <w:rFonts w:ascii="Times New Roman" w:hAnsi="Times New Roman"/>
      <w:sz w:val="24"/>
    </w:rPr>
  </w:style>
  <w:style w:type="paragraph" w:styleId="Footer">
    <w:name w:val="footer"/>
    <w:basedOn w:val="Normal"/>
    <w:link w:val="FooterChar"/>
    <w:uiPriority w:val="99"/>
    <w:unhideWhenUsed/>
    <w:rsid w:val="00A84375"/>
    <w:pPr>
      <w:tabs>
        <w:tab w:val="center" w:pos="4513"/>
        <w:tab w:val="right" w:pos="9026"/>
      </w:tabs>
      <w:spacing w:before="0"/>
    </w:pPr>
    <w:rPr>
      <w:rFonts w:eastAsiaTheme="minorHAnsi" w:cstheme="minorBidi"/>
      <w:szCs w:val="22"/>
      <w:lang w:eastAsia="en-US"/>
    </w:rPr>
  </w:style>
  <w:style w:type="character" w:customStyle="1" w:styleId="FooterChar">
    <w:name w:val="Footer Char"/>
    <w:basedOn w:val="DefaultParagraphFont"/>
    <w:link w:val="Footer"/>
    <w:uiPriority w:val="99"/>
    <w:rsid w:val="00A84375"/>
    <w:rPr>
      <w:rFonts w:ascii="Times New Roman" w:hAnsi="Times New Roman"/>
      <w:sz w:val="24"/>
    </w:rPr>
  </w:style>
  <w:style w:type="character" w:styleId="Strong">
    <w:name w:val="Strong"/>
    <w:basedOn w:val="DefaultParagraphFont"/>
    <w:uiPriority w:val="22"/>
    <w:qFormat/>
    <w:rsid w:val="00A84375"/>
    <w:rPr>
      <w:b/>
      <w:bCs/>
    </w:rPr>
  </w:style>
  <w:style w:type="paragraph" w:styleId="FootnoteText">
    <w:name w:val="footnote text"/>
    <w:basedOn w:val="Normal"/>
    <w:link w:val="FootnoteTextChar"/>
    <w:uiPriority w:val="99"/>
    <w:semiHidden/>
    <w:unhideWhenUsed/>
    <w:rsid w:val="00A84375"/>
    <w:pPr>
      <w:spacing w:before="0"/>
    </w:pPr>
    <w:rPr>
      <w:rFonts w:eastAsiaTheme="minorHAnsi" w:cstheme="minorBidi"/>
      <w:sz w:val="20"/>
      <w:lang w:eastAsia="en-US"/>
    </w:rPr>
  </w:style>
  <w:style w:type="character" w:customStyle="1" w:styleId="FootnoteTextChar">
    <w:name w:val="Footnote Text Char"/>
    <w:basedOn w:val="DefaultParagraphFont"/>
    <w:link w:val="FootnoteText"/>
    <w:uiPriority w:val="99"/>
    <w:semiHidden/>
    <w:rsid w:val="00A84375"/>
    <w:rPr>
      <w:rFonts w:ascii="Times New Roman" w:hAnsi="Times New Roman"/>
      <w:sz w:val="20"/>
      <w:szCs w:val="20"/>
    </w:rPr>
  </w:style>
  <w:style w:type="character" w:styleId="FootnoteReference">
    <w:name w:val="footnote reference"/>
    <w:basedOn w:val="DefaultParagraphFont"/>
    <w:uiPriority w:val="99"/>
    <w:semiHidden/>
    <w:unhideWhenUsed/>
    <w:rsid w:val="00A84375"/>
    <w:rPr>
      <w:vertAlign w:val="superscript"/>
    </w:rPr>
  </w:style>
  <w:style w:type="table" w:styleId="TableGrid">
    <w:name w:val="Table Grid"/>
    <w:basedOn w:val="TableNormal"/>
    <w:uiPriority w:val="59"/>
    <w:rsid w:val="00A84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84375"/>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A84375"/>
    <w:pPr>
      <w:spacing w:before="0" w:after="100" w:line="276" w:lineRule="auto"/>
    </w:pPr>
    <w:rPr>
      <w:rFonts w:eastAsiaTheme="minorHAnsi" w:cstheme="minorBidi"/>
      <w:szCs w:val="22"/>
      <w:lang w:eastAsia="en-US"/>
    </w:rPr>
  </w:style>
  <w:style w:type="paragraph" w:styleId="TOC2">
    <w:name w:val="toc 2"/>
    <w:basedOn w:val="Normal"/>
    <w:next w:val="Normal"/>
    <w:autoRedefine/>
    <w:uiPriority w:val="39"/>
    <w:unhideWhenUsed/>
    <w:rsid w:val="00A84375"/>
    <w:pPr>
      <w:spacing w:before="0" w:after="100" w:line="276" w:lineRule="auto"/>
      <w:ind w:left="240"/>
    </w:pPr>
    <w:rPr>
      <w:rFonts w:eastAsiaTheme="minorHAnsi" w:cstheme="minorBidi"/>
      <w:szCs w:val="22"/>
      <w:lang w:eastAsia="en-US"/>
    </w:rPr>
  </w:style>
  <w:style w:type="paragraph" w:styleId="TOC3">
    <w:name w:val="toc 3"/>
    <w:basedOn w:val="Normal"/>
    <w:next w:val="Normal"/>
    <w:autoRedefine/>
    <w:uiPriority w:val="39"/>
    <w:unhideWhenUsed/>
    <w:rsid w:val="00A84375"/>
    <w:pPr>
      <w:spacing w:before="0" w:after="100" w:line="276" w:lineRule="auto"/>
      <w:ind w:left="480"/>
    </w:pPr>
    <w:rPr>
      <w:rFonts w:eastAsiaTheme="minorHAnsi" w:cstheme="minorBidi"/>
      <w:szCs w:val="22"/>
      <w:lang w:eastAsia="en-US"/>
    </w:rPr>
  </w:style>
  <w:style w:type="paragraph" w:styleId="Revision">
    <w:name w:val="Revision"/>
    <w:hidden/>
    <w:uiPriority w:val="99"/>
    <w:semiHidden/>
    <w:rsid w:val="00A84375"/>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7F1F74"/>
    <w:rPr>
      <w:color w:val="800080" w:themeColor="followedHyperlink"/>
      <w:u w:val="single"/>
    </w:rPr>
  </w:style>
  <w:style w:type="paragraph" w:customStyle="1" w:styleId="BodyText1">
    <w:name w:val="Body Text1"/>
    <w:basedOn w:val="Normal"/>
    <w:link w:val="BodytextChar0"/>
    <w:rsid w:val="000671DF"/>
    <w:rPr>
      <w:rFonts w:ascii="Arial" w:hAnsi="Arial" w:cs="Arial"/>
      <w:szCs w:val="24"/>
    </w:rPr>
  </w:style>
  <w:style w:type="character" w:customStyle="1" w:styleId="BodytextChar0">
    <w:name w:val="Body text Char"/>
    <w:link w:val="BodyText1"/>
    <w:rsid w:val="000671DF"/>
    <w:rPr>
      <w:rFonts w:ascii="Arial" w:eastAsia="Times New Roman"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9972">
      <w:bodyDiv w:val="1"/>
      <w:marLeft w:val="0"/>
      <w:marRight w:val="0"/>
      <w:marTop w:val="0"/>
      <w:marBottom w:val="0"/>
      <w:divBdr>
        <w:top w:val="none" w:sz="0" w:space="0" w:color="auto"/>
        <w:left w:val="none" w:sz="0" w:space="0" w:color="auto"/>
        <w:bottom w:val="none" w:sz="0" w:space="0" w:color="auto"/>
        <w:right w:val="none" w:sz="0" w:space="0" w:color="auto"/>
      </w:divBdr>
      <w:divsChild>
        <w:div w:id="283511705">
          <w:marLeft w:val="0"/>
          <w:marRight w:val="0"/>
          <w:marTop w:val="0"/>
          <w:marBottom w:val="0"/>
          <w:divBdr>
            <w:top w:val="none" w:sz="0" w:space="0" w:color="auto"/>
            <w:left w:val="none" w:sz="0" w:space="0" w:color="auto"/>
            <w:bottom w:val="none" w:sz="0" w:space="0" w:color="auto"/>
            <w:right w:val="none" w:sz="0" w:space="0" w:color="auto"/>
          </w:divBdr>
          <w:divsChild>
            <w:div w:id="677196060">
              <w:marLeft w:val="0"/>
              <w:marRight w:val="0"/>
              <w:marTop w:val="0"/>
              <w:marBottom w:val="0"/>
              <w:divBdr>
                <w:top w:val="none" w:sz="0" w:space="0" w:color="auto"/>
                <w:left w:val="none" w:sz="0" w:space="0" w:color="auto"/>
                <w:bottom w:val="none" w:sz="0" w:space="0" w:color="auto"/>
                <w:right w:val="none" w:sz="0" w:space="0" w:color="auto"/>
              </w:divBdr>
              <w:divsChild>
                <w:div w:id="2088725362">
                  <w:marLeft w:val="0"/>
                  <w:marRight w:val="0"/>
                  <w:marTop w:val="0"/>
                  <w:marBottom w:val="0"/>
                  <w:divBdr>
                    <w:top w:val="none" w:sz="0" w:space="0" w:color="auto"/>
                    <w:left w:val="none" w:sz="0" w:space="0" w:color="auto"/>
                    <w:bottom w:val="none" w:sz="0" w:space="0" w:color="auto"/>
                    <w:right w:val="none" w:sz="0" w:space="0" w:color="auto"/>
                  </w:divBdr>
                  <w:divsChild>
                    <w:div w:id="1743484726">
                      <w:marLeft w:val="0"/>
                      <w:marRight w:val="0"/>
                      <w:marTop w:val="0"/>
                      <w:marBottom w:val="0"/>
                      <w:divBdr>
                        <w:top w:val="none" w:sz="0" w:space="0" w:color="auto"/>
                        <w:left w:val="none" w:sz="0" w:space="0" w:color="auto"/>
                        <w:bottom w:val="none" w:sz="0" w:space="0" w:color="auto"/>
                        <w:right w:val="none" w:sz="0" w:space="0" w:color="auto"/>
                      </w:divBdr>
                      <w:divsChild>
                        <w:div w:id="2147122050">
                          <w:marLeft w:val="0"/>
                          <w:marRight w:val="0"/>
                          <w:marTop w:val="0"/>
                          <w:marBottom w:val="0"/>
                          <w:divBdr>
                            <w:top w:val="none" w:sz="0" w:space="0" w:color="auto"/>
                            <w:left w:val="none" w:sz="0" w:space="0" w:color="auto"/>
                            <w:bottom w:val="none" w:sz="0" w:space="0" w:color="auto"/>
                            <w:right w:val="none" w:sz="0" w:space="0" w:color="auto"/>
                          </w:divBdr>
                          <w:divsChild>
                            <w:div w:id="1798909338">
                              <w:marLeft w:val="0"/>
                              <w:marRight w:val="0"/>
                              <w:marTop w:val="0"/>
                              <w:marBottom w:val="0"/>
                              <w:divBdr>
                                <w:top w:val="none" w:sz="0" w:space="0" w:color="auto"/>
                                <w:left w:val="none" w:sz="0" w:space="0" w:color="auto"/>
                                <w:bottom w:val="none" w:sz="0" w:space="0" w:color="auto"/>
                                <w:right w:val="none" w:sz="0" w:space="0" w:color="auto"/>
                              </w:divBdr>
                              <w:divsChild>
                                <w:div w:id="645815852">
                                  <w:marLeft w:val="0"/>
                                  <w:marRight w:val="0"/>
                                  <w:marTop w:val="0"/>
                                  <w:marBottom w:val="0"/>
                                  <w:divBdr>
                                    <w:top w:val="none" w:sz="0" w:space="0" w:color="auto"/>
                                    <w:left w:val="none" w:sz="0" w:space="0" w:color="auto"/>
                                    <w:bottom w:val="none" w:sz="0" w:space="0" w:color="auto"/>
                                    <w:right w:val="none" w:sz="0" w:space="0" w:color="auto"/>
                                  </w:divBdr>
                                  <w:divsChild>
                                    <w:div w:id="423107937">
                                      <w:marLeft w:val="0"/>
                                      <w:marRight w:val="0"/>
                                      <w:marTop w:val="0"/>
                                      <w:marBottom w:val="0"/>
                                      <w:divBdr>
                                        <w:top w:val="none" w:sz="0" w:space="0" w:color="auto"/>
                                        <w:left w:val="none" w:sz="0" w:space="0" w:color="auto"/>
                                        <w:bottom w:val="none" w:sz="0" w:space="0" w:color="auto"/>
                                        <w:right w:val="none" w:sz="0" w:space="0" w:color="auto"/>
                                      </w:divBdr>
                                      <w:divsChild>
                                        <w:div w:id="745492136">
                                          <w:marLeft w:val="0"/>
                                          <w:marRight w:val="0"/>
                                          <w:marTop w:val="0"/>
                                          <w:marBottom w:val="0"/>
                                          <w:divBdr>
                                            <w:top w:val="none" w:sz="0" w:space="0" w:color="auto"/>
                                            <w:left w:val="none" w:sz="0" w:space="0" w:color="auto"/>
                                            <w:bottom w:val="none" w:sz="0" w:space="0" w:color="auto"/>
                                            <w:right w:val="none" w:sz="0" w:space="0" w:color="auto"/>
                                          </w:divBdr>
                                          <w:divsChild>
                                            <w:div w:id="2121876009">
                                              <w:marLeft w:val="0"/>
                                              <w:marRight w:val="0"/>
                                              <w:marTop w:val="0"/>
                                              <w:marBottom w:val="0"/>
                                              <w:divBdr>
                                                <w:top w:val="none" w:sz="0" w:space="0" w:color="auto"/>
                                                <w:left w:val="none" w:sz="0" w:space="0" w:color="auto"/>
                                                <w:bottom w:val="none" w:sz="0" w:space="0" w:color="auto"/>
                                                <w:right w:val="none" w:sz="0" w:space="0" w:color="auto"/>
                                              </w:divBdr>
                                              <w:divsChild>
                                                <w:div w:id="633371690">
                                                  <w:marLeft w:val="0"/>
                                                  <w:marRight w:val="0"/>
                                                  <w:marTop w:val="0"/>
                                                  <w:marBottom w:val="0"/>
                                                  <w:divBdr>
                                                    <w:top w:val="none" w:sz="0" w:space="0" w:color="auto"/>
                                                    <w:left w:val="none" w:sz="0" w:space="0" w:color="auto"/>
                                                    <w:bottom w:val="none" w:sz="0" w:space="0" w:color="auto"/>
                                                    <w:right w:val="none" w:sz="0" w:space="0" w:color="auto"/>
                                                  </w:divBdr>
                                                  <w:divsChild>
                                                    <w:div w:id="261453520">
                                                      <w:marLeft w:val="0"/>
                                                      <w:marRight w:val="0"/>
                                                      <w:marTop w:val="0"/>
                                                      <w:marBottom w:val="0"/>
                                                      <w:divBdr>
                                                        <w:top w:val="none" w:sz="0" w:space="0" w:color="auto"/>
                                                        <w:left w:val="none" w:sz="0" w:space="0" w:color="auto"/>
                                                        <w:bottom w:val="none" w:sz="0" w:space="0" w:color="auto"/>
                                                        <w:right w:val="none" w:sz="0" w:space="0" w:color="auto"/>
                                                      </w:divBdr>
                                                      <w:divsChild>
                                                        <w:div w:id="3449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891815">
      <w:bodyDiv w:val="1"/>
      <w:marLeft w:val="0"/>
      <w:marRight w:val="0"/>
      <w:marTop w:val="0"/>
      <w:marBottom w:val="0"/>
      <w:divBdr>
        <w:top w:val="none" w:sz="0" w:space="0" w:color="auto"/>
        <w:left w:val="none" w:sz="0" w:space="0" w:color="auto"/>
        <w:bottom w:val="none" w:sz="0" w:space="0" w:color="auto"/>
        <w:right w:val="none" w:sz="0" w:space="0" w:color="auto"/>
      </w:divBdr>
    </w:div>
    <w:div w:id="105008215">
      <w:bodyDiv w:val="1"/>
      <w:marLeft w:val="0"/>
      <w:marRight w:val="0"/>
      <w:marTop w:val="0"/>
      <w:marBottom w:val="0"/>
      <w:divBdr>
        <w:top w:val="none" w:sz="0" w:space="0" w:color="auto"/>
        <w:left w:val="none" w:sz="0" w:space="0" w:color="auto"/>
        <w:bottom w:val="none" w:sz="0" w:space="0" w:color="auto"/>
        <w:right w:val="none" w:sz="0" w:space="0" w:color="auto"/>
      </w:divBdr>
      <w:divsChild>
        <w:div w:id="758209372">
          <w:marLeft w:val="0"/>
          <w:marRight w:val="0"/>
          <w:marTop w:val="0"/>
          <w:marBottom w:val="0"/>
          <w:divBdr>
            <w:top w:val="none" w:sz="0" w:space="0" w:color="auto"/>
            <w:left w:val="none" w:sz="0" w:space="0" w:color="auto"/>
            <w:bottom w:val="none" w:sz="0" w:space="0" w:color="auto"/>
            <w:right w:val="none" w:sz="0" w:space="0" w:color="auto"/>
          </w:divBdr>
          <w:divsChild>
            <w:div w:id="1687975285">
              <w:marLeft w:val="0"/>
              <w:marRight w:val="0"/>
              <w:marTop w:val="0"/>
              <w:marBottom w:val="0"/>
              <w:divBdr>
                <w:top w:val="none" w:sz="0" w:space="0" w:color="auto"/>
                <w:left w:val="none" w:sz="0" w:space="0" w:color="auto"/>
                <w:bottom w:val="none" w:sz="0" w:space="0" w:color="auto"/>
                <w:right w:val="none" w:sz="0" w:space="0" w:color="auto"/>
              </w:divBdr>
              <w:divsChild>
                <w:div w:id="115343729">
                  <w:marLeft w:val="0"/>
                  <w:marRight w:val="0"/>
                  <w:marTop w:val="0"/>
                  <w:marBottom w:val="0"/>
                  <w:divBdr>
                    <w:top w:val="none" w:sz="0" w:space="0" w:color="auto"/>
                    <w:left w:val="none" w:sz="0" w:space="0" w:color="auto"/>
                    <w:bottom w:val="none" w:sz="0" w:space="0" w:color="auto"/>
                    <w:right w:val="none" w:sz="0" w:space="0" w:color="auto"/>
                  </w:divBdr>
                  <w:divsChild>
                    <w:div w:id="1225145945">
                      <w:marLeft w:val="0"/>
                      <w:marRight w:val="0"/>
                      <w:marTop w:val="0"/>
                      <w:marBottom w:val="0"/>
                      <w:divBdr>
                        <w:top w:val="none" w:sz="0" w:space="0" w:color="auto"/>
                        <w:left w:val="none" w:sz="0" w:space="0" w:color="auto"/>
                        <w:bottom w:val="none" w:sz="0" w:space="0" w:color="auto"/>
                        <w:right w:val="none" w:sz="0" w:space="0" w:color="auto"/>
                      </w:divBdr>
                      <w:divsChild>
                        <w:div w:id="1580408562">
                          <w:marLeft w:val="0"/>
                          <w:marRight w:val="0"/>
                          <w:marTop w:val="0"/>
                          <w:marBottom w:val="0"/>
                          <w:divBdr>
                            <w:top w:val="none" w:sz="0" w:space="0" w:color="auto"/>
                            <w:left w:val="none" w:sz="0" w:space="0" w:color="auto"/>
                            <w:bottom w:val="none" w:sz="0" w:space="0" w:color="auto"/>
                            <w:right w:val="none" w:sz="0" w:space="0" w:color="auto"/>
                          </w:divBdr>
                          <w:divsChild>
                            <w:div w:id="751589218">
                              <w:marLeft w:val="0"/>
                              <w:marRight w:val="0"/>
                              <w:marTop w:val="0"/>
                              <w:marBottom w:val="0"/>
                              <w:divBdr>
                                <w:top w:val="none" w:sz="0" w:space="0" w:color="auto"/>
                                <w:left w:val="none" w:sz="0" w:space="0" w:color="auto"/>
                                <w:bottom w:val="none" w:sz="0" w:space="0" w:color="auto"/>
                                <w:right w:val="none" w:sz="0" w:space="0" w:color="auto"/>
                              </w:divBdr>
                              <w:divsChild>
                                <w:div w:id="1399936661">
                                  <w:marLeft w:val="0"/>
                                  <w:marRight w:val="0"/>
                                  <w:marTop w:val="0"/>
                                  <w:marBottom w:val="0"/>
                                  <w:divBdr>
                                    <w:top w:val="none" w:sz="0" w:space="0" w:color="auto"/>
                                    <w:left w:val="none" w:sz="0" w:space="0" w:color="auto"/>
                                    <w:bottom w:val="none" w:sz="0" w:space="0" w:color="auto"/>
                                    <w:right w:val="none" w:sz="0" w:space="0" w:color="auto"/>
                                  </w:divBdr>
                                  <w:divsChild>
                                    <w:div w:id="63843059">
                                      <w:marLeft w:val="0"/>
                                      <w:marRight w:val="0"/>
                                      <w:marTop w:val="0"/>
                                      <w:marBottom w:val="0"/>
                                      <w:divBdr>
                                        <w:top w:val="none" w:sz="0" w:space="0" w:color="auto"/>
                                        <w:left w:val="none" w:sz="0" w:space="0" w:color="auto"/>
                                        <w:bottom w:val="none" w:sz="0" w:space="0" w:color="auto"/>
                                        <w:right w:val="none" w:sz="0" w:space="0" w:color="auto"/>
                                      </w:divBdr>
                                      <w:divsChild>
                                        <w:div w:id="1785953102">
                                          <w:marLeft w:val="0"/>
                                          <w:marRight w:val="0"/>
                                          <w:marTop w:val="0"/>
                                          <w:marBottom w:val="0"/>
                                          <w:divBdr>
                                            <w:top w:val="none" w:sz="0" w:space="0" w:color="auto"/>
                                            <w:left w:val="none" w:sz="0" w:space="0" w:color="auto"/>
                                            <w:bottom w:val="none" w:sz="0" w:space="0" w:color="auto"/>
                                            <w:right w:val="none" w:sz="0" w:space="0" w:color="auto"/>
                                          </w:divBdr>
                                          <w:divsChild>
                                            <w:div w:id="1011298734">
                                              <w:marLeft w:val="0"/>
                                              <w:marRight w:val="0"/>
                                              <w:marTop w:val="0"/>
                                              <w:marBottom w:val="0"/>
                                              <w:divBdr>
                                                <w:top w:val="none" w:sz="0" w:space="0" w:color="auto"/>
                                                <w:left w:val="none" w:sz="0" w:space="0" w:color="auto"/>
                                                <w:bottom w:val="none" w:sz="0" w:space="0" w:color="auto"/>
                                                <w:right w:val="none" w:sz="0" w:space="0" w:color="auto"/>
                                              </w:divBdr>
                                              <w:divsChild>
                                                <w:div w:id="2048215667">
                                                  <w:marLeft w:val="0"/>
                                                  <w:marRight w:val="0"/>
                                                  <w:marTop w:val="0"/>
                                                  <w:marBottom w:val="0"/>
                                                  <w:divBdr>
                                                    <w:top w:val="none" w:sz="0" w:space="0" w:color="auto"/>
                                                    <w:left w:val="none" w:sz="0" w:space="0" w:color="auto"/>
                                                    <w:bottom w:val="none" w:sz="0" w:space="0" w:color="auto"/>
                                                    <w:right w:val="none" w:sz="0" w:space="0" w:color="auto"/>
                                                  </w:divBdr>
                                                  <w:divsChild>
                                                    <w:div w:id="140706249">
                                                      <w:marLeft w:val="0"/>
                                                      <w:marRight w:val="0"/>
                                                      <w:marTop w:val="0"/>
                                                      <w:marBottom w:val="0"/>
                                                      <w:divBdr>
                                                        <w:top w:val="none" w:sz="0" w:space="0" w:color="auto"/>
                                                        <w:left w:val="none" w:sz="0" w:space="0" w:color="auto"/>
                                                        <w:bottom w:val="none" w:sz="0" w:space="0" w:color="auto"/>
                                                        <w:right w:val="none" w:sz="0" w:space="0" w:color="auto"/>
                                                      </w:divBdr>
                                                      <w:divsChild>
                                                        <w:div w:id="12227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5208742">
      <w:bodyDiv w:val="1"/>
      <w:marLeft w:val="0"/>
      <w:marRight w:val="0"/>
      <w:marTop w:val="0"/>
      <w:marBottom w:val="0"/>
      <w:divBdr>
        <w:top w:val="none" w:sz="0" w:space="0" w:color="auto"/>
        <w:left w:val="none" w:sz="0" w:space="0" w:color="auto"/>
        <w:bottom w:val="none" w:sz="0" w:space="0" w:color="auto"/>
        <w:right w:val="none" w:sz="0" w:space="0" w:color="auto"/>
      </w:divBdr>
    </w:div>
    <w:div w:id="698899842">
      <w:bodyDiv w:val="1"/>
      <w:marLeft w:val="0"/>
      <w:marRight w:val="0"/>
      <w:marTop w:val="0"/>
      <w:marBottom w:val="0"/>
      <w:divBdr>
        <w:top w:val="none" w:sz="0" w:space="0" w:color="auto"/>
        <w:left w:val="none" w:sz="0" w:space="0" w:color="auto"/>
        <w:bottom w:val="none" w:sz="0" w:space="0" w:color="auto"/>
        <w:right w:val="none" w:sz="0" w:space="0" w:color="auto"/>
      </w:divBdr>
    </w:div>
    <w:div w:id="760102273">
      <w:bodyDiv w:val="1"/>
      <w:marLeft w:val="0"/>
      <w:marRight w:val="0"/>
      <w:marTop w:val="0"/>
      <w:marBottom w:val="0"/>
      <w:divBdr>
        <w:top w:val="none" w:sz="0" w:space="0" w:color="auto"/>
        <w:left w:val="none" w:sz="0" w:space="0" w:color="auto"/>
        <w:bottom w:val="none" w:sz="0" w:space="0" w:color="auto"/>
        <w:right w:val="none" w:sz="0" w:space="0" w:color="auto"/>
      </w:divBdr>
    </w:div>
    <w:div w:id="810709453">
      <w:bodyDiv w:val="1"/>
      <w:marLeft w:val="0"/>
      <w:marRight w:val="0"/>
      <w:marTop w:val="0"/>
      <w:marBottom w:val="0"/>
      <w:divBdr>
        <w:top w:val="none" w:sz="0" w:space="0" w:color="auto"/>
        <w:left w:val="none" w:sz="0" w:space="0" w:color="auto"/>
        <w:bottom w:val="none" w:sz="0" w:space="0" w:color="auto"/>
        <w:right w:val="none" w:sz="0" w:space="0" w:color="auto"/>
      </w:divBdr>
      <w:divsChild>
        <w:div w:id="1862090624">
          <w:marLeft w:val="0"/>
          <w:marRight w:val="0"/>
          <w:marTop w:val="0"/>
          <w:marBottom w:val="0"/>
          <w:divBdr>
            <w:top w:val="none" w:sz="0" w:space="0" w:color="auto"/>
            <w:left w:val="none" w:sz="0" w:space="0" w:color="auto"/>
            <w:bottom w:val="none" w:sz="0" w:space="0" w:color="auto"/>
            <w:right w:val="none" w:sz="0" w:space="0" w:color="auto"/>
          </w:divBdr>
          <w:divsChild>
            <w:div w:id="1833717238">
              <w:marLeft w:val="0"/>
              <w:marRight w:val="0"/>
              <w:marTop w:val="0"/>
              <w:marBottom w:val="0"/>
              <w:divBdr>
                <w:top w:val="none" w:sz="0" w:space="0" w:color="auto"/>
                <w:left w:val="none" w:sz="0" w:space="0" w:color="auto"/>
                <w:bottom w:val="none" w:sz="0" w:space="0" w:color="auto"/>
                <w:right w:val="none" w:sz="0" w:space="0" w:color="auto"/>
              </w:divBdr>
              <w:divsChild>
                <w:div w:id="2006131070">
                  <w:marLeft w:val="0"/>
                  <w:marRight w:val="0"/>
                  <w:marTop w:val="0"/>
                  <w:marBottom w:val="0"/>
                  <w:divBdr>
                    <w:top w:val="none" w:sz="0" w:space="0" w:color="auto"/>
                    <w:left w:val="none" w:sz="0" w:space="0" w:color="auto"/>
                    <w:bottom w:val="none" w:sz="0" w:space="0" w:color="auto"/>
                    <w:right w:val="none" w:sz="0" w:space="0" w:color="auto"/>
                  </w:divBdr>
                  <w:divsChild>
                    <w:div w:id="1149324723">
                      <w:marLeft w:val="0"/>
                      <w:marRight w:val="0"/>
                      <w:marTop w:val="0"/>
                      <w:marBottom w:val="0"/>
                      <w:divBdr>
                        <w:top w:val="none" w:sz="0" w:space="0" w:color="auto"/>
                        <w:left w:val="none" w:sz="0" w:space="0" w:color="auto"/>
                        <w:bottom w:val="none" w:sz="0" w:space="0" w:color="auto"/>
                        <w:right w:val="none" w:sz="0" w:space="0" w:color="auto"/>
                      </w:divBdr>
                      <w:divsChild>
                        <w:div w:id="1415782824">
                          <w:marLeft w:val="0"/>
                          <w:marRight w:val="0"/>
                          <w:marTop w:val="0"/>
                          <w:marBottom w:val="0"/>
                          <w:divBdr>
                            <w:top w:val="none" w:sz="0" w:space="0" w:color="auto"/>
                            <w:left w:val="none" w:sz="0" w:space="0" w:color="auto"/>
                            <w:bottom w:val="none" w:sz="0" w:space="0" w:color="auto"/>
                            <w:right w:val="none" w:sz="0" w:space="0" w:color="auto"/>
                          </w:divBdr>
                          <w:divsChild>
                            <w:div w:id="291256683">
                              <w:marLeft w:val="0"/>
                              <w:marRight w:val="0"/>
                              <w:marTop w:val="0"/>
                              <w:marBottom w:val="0"/>
                              <w:divBdr>
                                <w:top w:val="none" w:sz="0" w:space="0" w:color="auto"/>
                                <w:left w:val="none" w:sz="0" w:space="0" w:color="auto"/>
                                <w:bottom w:val="none" w:sz="0" w:space="0" w:color="auto"/>
                                <w:right w:val="none" w:sz="0" w:space="0" w:color="auto"/>
                              </w:divBdr>
                              <w:divsChild>
                                <w:div w:id="668936">
                                  <w:marLeft w:val="0"/>
                                  <w:marRight w:val="0"/>
                                  <w:marTop w:val="0"/>
                                  <w:marBottom w:val="0"/>
                                  <w:divBdr>
                                    <w:top w:val="none" w:sz="0" w:space="0" w:color="auto"/>
                                    <w:left w:val="none" w:sz="0" w:space="0" w:color="auto"/>
                                    <w:bottom w:val="none" w:sz="0" w:space="0" w:color="auto"/>
                                    <w:right w:val="none" w:sz="0" w:space="0" w:color="auto"/>
                                  </w:divBdr>
                                  <w:divsChild>
                                    <w:div w:id="1635477758">
                                      <w:marLeft w:val="0"/>
                                      <w:marRight w:val="0"/>
                                      <w:marTop w:val="240"/>
                                      <w:marBottom w:val="0"/>
                                      <w:divBdr>
                                        <w:top w:val="none" w:sz="0" w:space="0" w:color="auto"/>
                                        <w:left w:val="none" w:sz="0" w:space="0" w:color="auto"/>
                                        <w:bottom w:val="none" w:sz="0" w:space="0" w:color="auto"/>
                                        <w:right w:val="none" w:sz="0" w:space="0" w:color="auto"/>
                                      </w:divBdr>
                                      <w:divsChild>
                                        <w:div w:id="226496105">
                                          <w:marLeft w:val="0"/>
                                          <w:marRight w:val="0"/>
                                          <w:marTop w:val="0"/>
                                          <w:marBottom w:val="0"/>
                                          <w:divBdr>
                                            <w:top w:val="none" w:sz="0" w:space="0" w:color="auto"/>
                                            <w:left w:val="none" w:sz="0" w:space="0" w:color="auto"/>
                                            <w:bottom w:val="none" w:sz="0" w:space="0" w:color="auto"/>
                                            <w:right w:val="none" w:sz="0" w:space="0" w:color="auto"/>
                                          </w:divBdr>
                                          <w:divsChild>
                                            <w:div w:id="2342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085032304">
      <w:bodyDiv w:val="1"/>
      <w:marLeft w:val="0"/>
      <w:marRight w:val="0"/>
      <w:marTop w:val="0"/>
      <w:marBottom w:val="0"/>
      <w:divBdr>
        <w:top w:val="none" w:sz="0" w:space="0" w:color="auto"/>
        <w:left w:val="none" w:sz="0" w:space="0" w:color="auto"/>
        <w:bottom w:val="none" w:sz="0" w:space="0" w:color="auto"/>
        <w:right w:val="none" w:sz="0" w:space="0" w:color="auto"/>
      </w:divBdr>
      <w:divsChild>
        <w:div w:id="1725641406">
          <w:marLeft w:val="0"/>
          <w:marRight w:val="0"/>
          <w:marTop w:val="0"/>
          <w:marBottom w:val="0"/>
          <w:divBdr>
            <w:top w:val="none" w:sz="0" w:space="0" w:color="auto"/>
            <w:left w:val="none" w:sz="0" w:space="0" w:color="auto"/>
            <w:bottom w:val="none" w:sz="0" w:space="0" w:color="auto"/>
            <w:right w:val="none" w:sz="0" w:space="0" w:color="auto"/>
          </w:divBdr>
          <w:divsChild>
            <w:div w:id="1742143911">
              <w:marLeft w:val="0"/>
              <w:marRight w:val="0"/>
              <w:marTop w:val="0"/>
              <w:marBottom w:val="0"/>
              <w:divBdr>
                <w:top w:val="none" w:sz="0" w:space="0" w:color="auto"/>
                <w:left w:val="none" w:sz="0" w:space="0" w:color="auto"/>
                <w:bottom w:val="none" w:sz="0" w:space="0" w:color="auto"/>
                <w:right w:val="none" w:sz="0" w:space="0" w:color="auto"/>
              </w:divBdr>
              <w:divsChild>
                <w:div w:id="1532303631">
                  <w:marLeft w:val="0"/>
                  <w:marRight w:val="0"/>
                  <w:marTop w:val="0"/>
                  <w:marBottom w:val="0"/>
                  <w:divBdr>
                    <w:top w:val="none" w:sz="0" w:space="0" w:color="auto"/>
                    <w:left w:val="none" w:sz="0" w:space="0" w:color="auto"/>
                    <w:bottom w:val="none" w:sz="0" w:space="0" w:color="auto"/>
                    <w:right w:val="none" w:sz="0" w:space="0" w:color="auto"/>
                  </w:divBdr>
                  <w:divsChild>
                    <w:div w:id="626358840">
                      <w:marLeft w:val="0"/>
                      <w:marRight w:val="0"/>
                      <w:marTop w:val="0"/>
                      <w:marBottom w:val="0"/>
                      <w:divBdr>
                        <w:top w:val="none" w:sz="0" w:space="0" w:color="auto"/>
                        <w:left w:val="none" w:sz="0" w:space="0" w:color="auto"/>
                        <w:bottom w:val="none" w:sz="0" w:space="0" w:color="auto"/>
                        <w:right w:val="none" w:sz="0" w:space="0" w:color="auto"/>
                      </w:divBdr>
                      <w:divsChild>
                        <w:div w:id="931206296">
                          <w:marLeft w:val="0"/>
                          <w:marRight w:val="0"/>
                          <w:marTop w:val="0"/>
                          <w:marBottom w:val="0"/>
                          <w:divBdr>
                            <w:top w:val="none" w:sz="0" w:space="0" w:color="auto"/>
                            <w:left w:val="none" w:sz="0" w:space="0" w:color="auto"/>
                            <w:bottom w:val="none" w:sz="0" w:space="0" w:color="auto"/>
                            <w:right w:val="none" w:sz="0" w:space="0" w:color="auto"/>
                          </w:divBdr>
                          <w:divsChild>
                            <w:div w:id="1515146750">
                              <w:marLeft w:val="0"/>
                              <w:marRight w:val="0"/>
                              <w:marTop w:val="0"/>
                              <w:marBottom w:val="0"/>
                              <w:divBdr>
                                <w:top w:val="none" w:sz="0" w:space="0" w:color="auto"/>
                                <w:left w:val="none" w:sz="0" w:space="0" w:color="auto"/>
                                <w:bottom w:val="none" w:sz="0" w:space="0" w:color="auto"/>
                                <w:right w:val="none" w:sz="0" w:space="0" w:color="auto"/>
                              </w:divBdr>
                              <w:divsChild>
                                <w:div w:id="1514682044">
                                  <w:marLeft w:val="0"/>
                                  <w:marRight w:val="0"/>
                                  <w:marTop w:val="0"/>
                                  <w:marBottom w:val="0"/>
                                  <w:divBdr>
                                    <w:top w:val="none" w:sz="0" w:space="0" w:color="auto"/>
                                    <w:left w:val="none" w:sz="0" w:space="0" w:color="auto"/>
                                    <w:bottom w:val="none" w:sz="0" w:space="0" w:color="auto"/>
                                    <w:right w:val="none" w:sz="0" w:space="0" w:color="auto"/>
                                  </w:divBdr>
                                  <w:divsChild>
                                    <w:div w:id="899709546">
                                      <w:marLeft w:val="0"/>
                                      <w:marRight w:val="0"/>
                                      <w:marTop w:val="0"/>
                                      <w:marBottom w:val="0"/>
                                      <w:divBdr>
                                        <w:top w:val="none" w:sz="0" w:space="0" w:color="auto"/>
                                        <w:left w:val="none" w:sz="0" w:space="0" w:color="auto"/>
                                        <w:bottom w:val="none" w:sz="0" w:space="0" w:color="auto"/>
                                        <w:right w:val="none" w:sz="0" w:space="0" w:color="auto"/>
                                      </w:divBdr>
                                      <w:divsChild>
                                        <w:div w:id="631058503">
                                          <w:marLeft w:val="0"/>
                                          <w:marRight w:val="0"/>
                                          <w:marTop w:val="0"/>
                                          <w:marBottom w:val="0"/>
                                          <w:divBdr>
                                            <w:top w:val="none" w:sz="0" w:space="0" w:color="auto"/>
                                            <w:left w:val="none" w:sz="0" w:space="0" w:color="auto"/>
                                            <w:bottom w:val="none" w:sz="0" w:space="0" w:color="auto"/>
                                            <w:right w:val="none" w:sz="0" w:space="0" w:color="auto"/>
                                          </w:divBdr>
                                          <w:divsChild>
                                            <w:div w:id="407118067">
                                              <w:marLeft w:val="0"/>
                                              <w:marRight w:val="0"/>
                                              <w:marTop w:val="0"/>
                                              <w:marBottom w:val="0"/>
                                              <w:divBdr>
                                                <w:top w:val="none" w:sz="0" w:space="0" w:color="auto"/>
                                                <w:left w:val="none" w:sz="0" w:space="0" w:color="auto"/>
                                                <w:bottom w:val="none" w:sz="0" w:space="0" w:color="auto"/>
                                                <w:right w:val="none" w:sz="0" w:space="0" w:color="auto"/>
                                              </w:divBdr>
                                              <w:divsChild>
                                                <w:div w:id="483743931">
                                                  <w:marLeft w:val="0"/>
                                                  <w:marRight w:val="0"/>
                                                  <w:marTop w:val="0"/>
                                                  <w:marBottom w:val="0"/>
                                                  <w:divBdr>
                                                    <w:top w:val="none" w:sz="0" w:space="0" w:color="auto"/>
                                                    <w:left w:val="none" w:sz="0" w:space="0" w:color="auto"/>
                                                    <w:bottom w:val="none" w:sz="0" w:space="0" w:color="auto"/>
                                                    <w:right w:val="none" w:sz="0" w:space="0" w:color="auto"/>
                                                  </w:divBdr>
                                                  <w:divsChild>
                                                    <w:div w:id="1047073367">
                                                      <w:marLeft w:val="0"/>
                                                      <w:marRight w:val="0"/>
                                                      <w:marTop w:val="0"/>
                                                      <w:marBottom w:val="0"/>
                                                      <w:divBdr>
                                                        <w:top w:val="none" w:sz="0" w:space="0" w:color="auto"/>
                                                        <w:left w:val="none" w:sz="0" w:space="0" w:color="auto"/>
                                                        <w:bottom w:val="none" w:sz="0" w:space="0" w:color="auto"/>
                                                        <w:right w:val="none" w:sz="0" w:space="0" w:color="auto"/>
                                                      </w:divBdr>
                                                      <w:divsChild>
                                                        <w:div w:id="11814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1283816">
      <w:bodyDiv w:val="1"/>
      <w:marLeft w:val="0"/>
      <w:marRight w:val="0"/>
      <w:marTop w:val="0"/>
      <w:marBottom w:val="0"/>
      <w:divBdr>
        <w:top w:val="none" w:sz="0" w:space="0" w:color="auto"/>
        <w:left w:val="none" w:sz="0" w:space="0" w:color="auto"/>
        <w:bottom w:val="none" w:sz="0" w:space="0" w:color="auto"/>
        <w:right w:val="none" w:sz="0" w:space="0" w:color="auto"/>
      </w:divBdr>
    </w:div>
    <w:div w:id="1341347092">
      <w:bodyDiv w:val="1"/>
      <w:marLeft w:val="0"/>
      <w:marRight w:val="0"/>
      <w:marTop w:val="0"/>
      <w:marBottom w:val="0"/>
      <w:divBdr>
        <w:top w:val="none" w:sz="0" w:space="0" w:color="auto"/>
        <w:left w:val="none" w:sz="0" w:space="0" w:color="auto"/>
        <w:bottom w:val="none" w:sz="0" w:space="0" w:color="auto"/>
        <w:right w:val="none" w:sz="0" w:space="0" w:color="auto"/>
      </w:divBdr>
    </w:div>
    <w:div w:id="1450395092">
      <w:bodyDiv w:val="1"/>
      <w:marLeft w:val="0"/>
      <w:marRight w:val="0"/>
      <w:marTop w:val="0"/>
      <w:marBottom w:val="0"/>
      <w:divBdr>
        <w:top w:val="none" w:sz="0" w:space="0" w:color="auto"/>
        <w:left w:val="none" w:sz="0" w:space="0" w:color="auto"/>
        <w:bottom w:val="none" w:sz="0" w:space="0" w:color="auto"/>
        <w:right w:val="none" w:sz="0" w:space="0" w:color="auto"/>
      </w:divBdr>
    </w:div>
    <w:div w:id="1589344294">
      <w:bodyDiv w:val="1"/>
      <w:marLeft w:val="0"/>
      <w:marRight w:val="0"/>
      <w:marTop w:val="0"/>
      <w:marBottom w:val="0"/>
      <w:divBdr>
        <w:top w:val="none" w:sz="0" w:space="0" w:color="auto"/>
        <w:left w:val="none" w:sz="0" w:space="0" w:color="auto"/>
        <w:bottom w:val="none" w:sz="0" w:space="0" w:color="auto"/>
        <w:right w:val="none" w:sz="0" w:space="0" w:color="auto"/>
      </w:divBdr>
    </w:div>
    <w:div w:id="1760519850">
      <w:bodyDiv w:val="1"/>
      <w:marLeft w:val="0"/>
      <w:marRight w:val="0"/>
      <w:marTop w:val="0"/>
      <w:marBottom w:val="0"/>
      <w:divBdr>
        <w:top w:val="none" w:sz="0" w:space="0" w:color="auto"/>
        <w:left w:val="none" w:sz="0" w:space="0" w:color="auto"/>
        <w:bottom w:val="none" w:sz="0" w:space="0" w:color="auto"/>
        <w:right w:val="none" w:sz="0" w:space="0" w:color="auto"/>
      </w:divBdr>
      <w:divsChild>
        <w:div w:id="377163796">
          <w:marLeft w:val="0"/>
          <w:marRight w:val="0"/>
          <w:marTop w:val="0"/>
          <w:marBottom w:val="0"/>
          <w:divBdr>
            <w:top w:val="none" w:sz="0" w:space="0" w:color="auto"/>
            <w:left w:val="none" w:sz="0" w:space="0" w:color="auto"/>
            <w:bottom w:val="none" w:sz="0" w:space="0" w:color="auto"/>
            <w:right w:val="none" w:sz="0" w:space="0" w:color="auto"/>
          </w:divBdr>
        </w:div>
      </w:divsChild>
    </w:div>
    <w:div w:id="1784422172">
      <w:bodyDiv w:val="1"/>
      <w:marLeft w:val="0"/>
      <w:marRight w:val="0"/>
      <w:marTop w:val="0"/>
      <w:marBottom w:val="0"/>
      <w:divBdr>
        <w:top w:val="none" w:sz="0" w:space="0" w:color="auto"/>
        <w:left w:val="none" w:sz="0" w:space="0" w:color="auto"/>
        <w:bottom w:val="none" w:sz="0" w:space="0" w:color="auto"/>
        <w:right w:val="none" w:sz="0" w:space="0" w:color="auto"/>
      </w:divBdr>
    </w:div>
    <w:div w:id="1793590239">
      <w:bodyDiv w:val="1"/>
      <w:marLeft w:val="0"/>
      <w:marRight w:val="0"/>
      <w:marTop w:val="0"/>
      <w:marBottom w:val="0"/>
      <w:divBdr>
        <w:top w:val="none" w:sz="0" w:space="0" w:color="auto"/>
        <w:left w:val="none" w:sz="0" w:space="0" w:color="auto"/>
        <w:bottom w:val="none" w:sz="0" w:space="0" w:color="auto"/>
        <w:right w:val="none" w:sz="0" w:space="0" w:color="auto"/>
      </w:divBdr>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 w:id="1890608276">
      <w:bodyDiv w:val="1"/>
      <w:marLeft w:val="0"/>
      <w:marRight w:val="0"/>
      <w:marTop w:val="0"/>
      <w:marBottom w:val="0"/>
      <w:divBdr>
        <w:top w:val="none" w:sz="0" w:space="0" w:color="auto"/>
        <w:left w:val="none" w:sz="0" w:space="0" w:color="auto"/>
        <w:bottom w:val="none" w:sz="0" w:space="0" w:color="auto"/>
        <w:right w:val="none" w:sz="0" w:space="0" w:color="auto"/>
      </w:divBdr>
      <w:divsChild>
        <w:div w:id="182086950">
          <w:marLeft w:val="0"/>
          <w:marRight w:val="0"/>
          <w:marTop w:val="0"/>
          <w:marBottom w:val="0"/>
          <w:divBdr>
            <w:top w:val="none" w:sz="0" w:space="0" w:color="auto"/>
            <w:left w:val="none" w:sz="0" w:space="0" w:color="auto"/>
            <w:bottom w:val="none" w:sz="0" w:space="0" w:color="auto"/>
            <w:right w:val="none" w:sz="0" w:space="0" w:color="auto"/>
          </w:divBdr>
          <w:divsChild>
            <w:div w:id="149519702">
              <w:marLeft w:val="0"/>
              <w:marRight w:val="0"/>
              <w:marTop w:val="0"/>
              <w:marBottom w:val="0"/>
              <w:divBdr>
                <w:top w:val="none" w:sz="0" w:space="0" w:color="auto"/>
                <w:left w:val="none" w:sz="0" w:space="0" w:color="auto"/>
                <w:bottom w:val="none" w:sz="0" w:space="0" w:color="auto"/>
                <w:right w:val="none" w:sz="0" w:space="0" w:color="auto"/>
              </w:divBdr>
              <w:divsChild>
                <w:div w:id="630133231">
                  <w:marLeft w:val="0"/>
                  <w:marRight w:val="0"/>
                  <w:marTop w:val="0"/>
                  <w:marBottom w:val="0"/>
                  <w:divBdr>
                    <w:top w:val="none" w:sz="0" w:space="0" w:color="auto"/>
                    <w:left w:val="none" w:sz="0" w:space="0" w:color="auto"/>
                    <w:bottom w:val="none" w:sz="0" w:space="0" w:color="auto"/>
                    <w:right w:val="none" w:sz="0" w:space="0" w:color="auto"/>
                  </w:divBdr>
                  <w:divsChild>
                    <w:div w:id="716315501">
                      <w:marLeft w:val="0"/>
                      <w:marRight w:val="0"/>
                      <w:marTop w:val="0"/>
                      <w:marBottom w:val="0"/>
                      <w:divBdr>
                        <w:top w:val="none" w:sz="0" w:space="0" w:color="auto"/>
                        <w:left w:val="none" w:sz="0" w:space="0" w:color="auto"/>
                        <w:bottom w:val="none" w:sz="0" w:space="0" w:color="auto"/>
                        <w:right w:val="none" w:sz="0" w:space="0" w:color="auto"/>
                      </w:divBdr>
                      <w:divsChild>
                        <w:div w:id="873427527">
                          <w:marLeft w:val="0"/>
                          <w:marRight w:val="0"/>
                          <w:marTop w:val="0"/>
                          <w:marBottom w:val="0"/>
                          <w:divBdr>
                            <w:top w:val="none" w:sz="0" w:space="0" w:color="auto"/>
                            <w:left w:val="none" w:sz="0" w:space="0" w:color="auto"/>
                            <w:bottom w:val="none" w:sz="0" w:space="0" w:color="auto"/>
                            <w:right w:val="none" w:sz="0" w:space="0" w:color="auto"/>
                          </w:divBdr>
                          <w:divsChild>
                            <w:div w:id="601377705">
                              <w:marLeft w:val="0"/>
                              <w:marRight w:val="0"/>
                              <w:marTop w:val="0"/>
                              <w:marBottom w:val="0"/>
                              <w:divBdr>
                                <w:top w:val="none" w:sz="0" w:space="0" w:color="auto"/>
                                <w:left w:val="none" w:sz="0" w:space="0" w:color="auto"/>
                                <w:bottom w:val="none" w:sz="0" w:space="0" w:color="auto"/>
                                <w:right w:val="none" w:sz="0" w:space="0" w:color="auto"/>
                              </w:divBdr>
                              <w:divsChild>
                                <w:div w:id="827091189">
                                  <w:marLeft w:val="0"/>
                                  <w:marRight w:val="0"/>
                                  <w:marTop w:val="0"/>
                                  <w:marBottom w:val="0"/>
                                  <w:divBdr>
                                    <w:top w:val="none" w:sz="0" w:space="0" w:color="auto"/>
                                    <w:left w:val="none" w:sz="0" w:space="0" w:color="auto"/>
                                    <w:bottom w:val="none" w:sz="0" w:space="0" w:color="auto"/>
                                    <w:right w:val="none" w:sz="0" w:space="0" w:color="auto"/>
                                  </w:divBdr>
                                  <w:divsChild>
                                    <w:div w:id="714308925">
                                      <w:marLeft w:val="0"/>
                                      <w:marRight w:val="0"/>
                                      <w:marTop w:val="0"/>
                                      <w:marBottom w:val="0"/>
                                      <w:divBdr>
                                        <w:top w:val="none" w:sz="0" w:space="0" w:color="auto"/>
                                        <w:left w:val="none" w:sz="0" w:space="0" w:color="auto"/>
                                        <w:bottom w:val="none" w:sz="0" w:space="0" w:color="auto"/>
                                        <w:right w:val="none" w:sz="0" w:space="0" w:color="auto"/>
                                      </w:divBdr>
                                      <w:divsChild>
                                        <w:div w:id="1200974610">
                                          <w:marLeft w:val="0"/>
                                          <w:marRight w:val="0"/>
                                          <w:marTop w:val="0"/>
                                          <w:marBottom w:val="0"/>
                                          <w:divBdr>
                                            <w:top w:val="none" w:sz="0" w:space="0" w:color="auto"/>
                                            <w:left w:val="none" w:sz="0" w:space="0" w:color="auto"/>
                                            <w:bottom w:val="none" w:sz="0" w:space="0" w:color="auto"/>
                                            <w:right w:val="none" w:sz="0" w:space="0" w:color="auto"/>
                                          </w:divBdr>
                                          <w:divsChild>
                                            <w:div w:id="667975300">
                                              <w:marLeft w:val="0"/>
                                              <w:marRight w:val="0"/>
                                              <w:marTop w:val="0"/>
                                              <w:marBottom w:val="0"/>
                                              <w:divBdr>
                                                <w:top w:val="none" w:sz="0" w:space="0" w:color="auto"/>
                                                <w:left w:val="none" w:sz="0" w:space="0" w:color="auto"/>
                                                <w:bottom w:val="none" w:sz="0" w:space="0" w:color="auto"/>
                                                <w:right w:val="none" w:sz="0" w:space="0" w:color="auto"/>
                                              </w:divBdr>
                                              <w:divsChild>
                                                <w:div w:id="419135047">
                                                  <w:marLeft w:val="0"/>
                                                  <w:marRight w:val="0"/>
                                                  <w:marTop w:val="0"/>
                                                  <w:marBottom w:val="0"/>
                                                  <w:divBdr>
                                                    <w:top w:val="none" w:sz="0" w:space="0" w:color="auto"/>
                                                    <w:left w:val="none" w:sz="0" w:space="0" w:color="auto"/>
                                                    <w:bottom w:val="none" w:sz="0" w:space="0" w:color="auto"/>
                                                    <w:right w:val="none" w:sz="0" w:space="0" w:color="auto"/>
                                                  </w:divBdr>
                                                  <w:divsChild>
                                                    <w:div w:id="1553736857">
                                                      <w:marLeft w:val="0"/>
                                                      <w:marRight w:val="0"/>
                                                      <w:marTop w:val="0"/>
                                                      <w:marBottom w:val="0"/>
                                                      <w:divBdr>
                                                        <w:top w:val="none" w:sz="0" w:space="0" w:color="auto"/>
                                                        <w:left w:val="none" w:sz="0" w:space="0" w:color="auto"/>
                                                        <w:bottom w:val="none" w:sz="0" w:space="0" w:color="auto"/>
                                                        <w:right w:val="none" w:sz="0" w:space="0" w:color="auto"/>
                                                      </w:divBdr>
                                                      <w:divsChild>
                                                        <w:div w:id="17849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2252292">
      <w:bodyDiv w:val="1"/>
      <w:marLeft w:val="0"/>
      <w:marRight w:val="0"/>
      <w:marTop w:val="0"/>
      <w:marBottom w:val="0"/>
      <w:divBdr>
        <w:top w:val="none" w:sz="0" w:space="0" w:color="auto"/>
        <w:left w:val="none" w:sz="0" w:space="0" w:color="auto"/>
        <w:bottom w:val="none" w:sz="0" w:space="0" w:color="auto"/>
        <w:right w:val="none" w:sz="0" w:space="0" w:color="auto"/>
      </w:divBdr>
    </w:div>
    <w:div w:id="1964801523">
      <w:bodyDiv w:val="1"/>
      <w:marLeft w:val="0"/>
      <w:marRight w:val="0"/>
      <w:marTop w:val="0"/>
      <w:marBottom w:val="0"/>
      <w:divBdr>
        <w:top w:val="none" w:sz="0" w:space="0" w:color="auto"/>
        <w:left w:val="none" w:sz="0" w:space="0" w:color="auto"/>
        <w:bottom w:val="none" w:sz="0" w:space="0" w:color="auto"/>
        <w:right w:val="none" w:sz="0" w:space="0" w:color="auto"/>
      </w:divBdr>
    </w:div>
    <w:div w:id="20335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C48E-F40E-4C25-B8A6-7BAAC5F9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2021-05-28T07:19:00Z</dcterms:created>
  <dcterms:modified xsi:type="dcterms:W3CDTF">2021-05-28T07:19:00Z</dcterms:modified>
</cp:coreProperties>
</file>