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6382" w14:textId="02552CCF" w:rsidR="005C033F" w:rsidRDefault="005C033F" w:rsidP="005C033F">
      <w:pPr>
        <w:pStyle w:val="Heading2"/>
      </w:pPr>
      <w:bookmarkStart w:id="0" w:name="_Toc300933454"/>
      <w:bookmarkStart w:id="1" w:name="_Toc465771740"/>
      <w:bookmarkStart w:id="2" w:name="_Toc479768605"/>
      <w:bookmarkStart w:id="3" w:name="_Toc61291893"/>
      <w:r>
        <w:t>Explanatory Statement</w:t>
      </w:r>
      <w:bookmarkEnd w:id="0"/>
      <w:bookmarkEnd w:id="1"/>
      <w:bookmarkEnd w:id="2"/>
      <w:bookmarkEnd w:id="3"/>
    </w:p>
    <w:p w14:paraId="26BA6383" w14:textId="77777777" w:rsidR="005C033F" w:rsidRPr="00CC479A" w:rsidRDefault="005C033F" w:rsidP="005C033F">
      <w:pPr>
        <w:rPr>
          <w:b/>
          <w:lang w:val="en-AU" w:eastAsia="en-GB" w:bidi="ar-SA"/>
        </w:rPr>
      </w:pPr>
      <w:r w:rsidRPr="00CC479A">
        <w:rPr>
          <w:b/>
          <w:lang w:val="en-AU" w:eastAsia="en-GB" w:bidi="ar-SA"/>
        </w:rPr>
        <w:t>1.</w:t>
      </w:r>
      <w:r w:rsidRPr="00CC479A">
        <w:rPr>
          <w:b/>
          <w:lang w:val="en-AU" w:eastAsia="en-GB" w:bidi="ar-SA"/>
        </w:rPr>
        <w:tab/>
        <w:t>Authority</w:t>
      </w:r>
    </w:p>
    <w:p w14:paraId="26BA6384" w14:textId="77777777" w:rsidR="005C033F" w:rsidRPr="00CC479A" w:rsidRDefault="005C033F" w:rsidP="005C033F">
      <w:pPr>
        <w:rPr>
          <w:lang w:val="en-AU" w:eastAsia="en-GB" w:bidi="ar-SA"/>
        </w:rPr>
      </w:pPr>
    </w:p>
    <w:p w14:paraId="26BA6385" w14:textId="77777777" w:rsidR="005C033F" w:rsidRPr="00653D9D" w:rsidRDefault="005C033F" w:rsidP="005C033F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Section 13 of the </w:t>
      </w:r>
      <w:r w:rsidRPr="00653D9D">
        <w:rPr>
          <w:rFonts w:eastAsia="Calibri" w:cs="Arial"/>
          <w:bCs/>
          <w:i/>
          <w:szCs w:val="22"/>
          <w:lang w:val="en-AU" w:bidi="ar-SA"/>
        </w:rPr>
        <w:t>Food Standards Australia New Zealand Act 1991</w:t>
      </w:r>
      <w:r w:rsidRPr="00653D9D">
        <w:rPr>
          <w:rFonts w:eastAsia="Calibri" w:cs="Arial"/>
          <w:bCs/>
          <w:szCs w:val="22"/>
          <w:lang w:val="en-AU" w:bidi="ar-SA"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653D9D">
        <w:rPr>
          <w:rFonts w:eastAsia="Calibri" w:cs="Arial"/>
          <w:bCs/>
          <w:i/>
          <w:szCs w:val="22"/>
          <w:lang w:val="en-AU" w:bidi="ar-SA"/>
        </w:rPr>
        <w:t>Australia New Zealand Food Standards Code</w:t>
      </w:r>
      <w:r w:rsidRPr="00653D9D">
        <w:rPr>
          <w:rFonts w:eastAsia="Calibri" w:cs="Arial"/>
          <w:bCs/>
          <w:szCs w:val="22"/>
          <w:lang w:val="en-AU" w:bidi="ar-SA"/>
        </w:rPr>
        <w:t xml:space="preserve"> (the Code).</w:t>
      </w:r>
    </w:p>
    <w:p w14:paraId="26BA6386" w14:textId="77777777" w:rsidR="005C033F" w:rsidRPr="00653D9D" w:rsidRDefault="005C033F" w:rsidP="005C033F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14:paraId="26BA6387" w14:textId="315D0C75" w:rsidR="005C033F" w:rsidRPr="00653D9D" w:rsidRDefault="005C033F" w:rsidP="005C033F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>Division 2 of Part 3 of t</w:t>
      </w:r>
      <w:r w:rsidR="00ED6955">
        <w:rPr>
          <w:rFonts w:eastAsia="Calibri" w:cs="Arial"/>
          <w:bCs/>
          <w:szCs w:val="22"/>
          <w:lang w:val="en-AU" w:bidi="ar-SA"/>
        </w:rPr>
        <w:t>a</w:t>
      </w:r>
      <w:r w:rsidRPr="00653D9D">
        <w:rPr>
          <w:rFonts w:eastAsia="Calibri" w:cs="Arial"/>
          <w:bCs/>
          <w:szCs w:val="22"/>
          <w:lang w:val="en-AU" w:bidi="ar-SA"/>
        </w:rPr>
        <w:t xml:space="preserve">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14:paraId="26BA6388" w14:textId="77777777" w:rsidR="005C033F" w:rsidRPr="00653D9D" w:rsidRDefault="005C033F" w:rsidP="005C033F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14:paraId="26BA6389" w14:textId="77777777" w:rsidR="005C033F" w:rsidRPr="00653D9D" w:rsidRDefault="005C033F" w:rsidP="005C033F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The </w:t>
      </w:r>
      <w:r>
        <w:rPr>
          <w:rFonts w:eastAsia="Calibri" w:cs="Arial"/>
          <w:bCs/>
          <w:szCs w:val="22"/>
          <w:lang w:val="en-AU" w:bidi="ar-SA"/>
        </w:rPr>
        <w:t>Authority prepared Proposal P1051</w:t>
      </w:r>
      <w:r w:rsidRPr="00653D9D">
        <w:rPr>
          <w:rFonts w:eastAsia="Calibri" w:cs="Arial"/>
          <w:bCs/>
          <w:szCs w:val="22"/>
          <w:lang w:val="en-AU" w:bidi="ar-SA"/>
        </w:rPr>
        <w:t xml:space="preserve"> to </w:t>
      </w:r>
      <w:r w:rsidRPr="00653D9D">
        <w:rPr>
          <w:lang w:bidi="ar-SA"/>
        </w:rPr>
        <w:t>make a range of minor amendments to the Code</w:t>
      </w:r>
      <w:r>
        <w:rPr>
          <w:lang w:bidi="ar-SA"/>
        </w:rPr>
        <w:t xml:space="preserve">.  </w:t>
      </w:r>
      <w:r w:rsidRPr="00653D9D">
        <w:rPr>
          <w:rFonts w:eastAsia="Calibri" w:cs="Arial"/>
          <w:bCs/>
          <w:szCs w:val="22"/>
          <w:lang w:val="en-AU" w:bidi="ar-SA"/>
        </w:rPr>
        <w:t xml:space="preserve"> The Authority considered the Proposal in accordance with Division 2 of Part 3 and has approved a draft </w:t>
      </w:r>
      <w:r>
        <w:rPr>
          <w:rFonts w:eastAsia="Calibri" w:cs="Arial"/>
          <w:bCs/>
          <w:szCs w:val="22"/>
          <w:lang w:val="en-AU" w:bidi="ar-SA"/>
        </w:rPr>
        <w:t xml:space="preserve">variation </w:t>
      </w:r>
      <w:r w:rsidRPr="0053333C">
        <w:rPr>
          <w:rFonts w:eastAsia="Calibri" w:cs="Arial"/>
          <w:bCs/>
          <w:szCs w:val="22"/>
          <w:lang w:val="en-AU" w:bidi="ar-SA"/>
        </w:rPr>
        <w:t>with amendments.</w:t>
      </w:r>
    </w:p>
    <w:p w14:paraId="26BA638A" w14:textId="77777777" w:rsidR="005C033F" w:rsidRPr="00653D9D" w:rsidRDefault="005C033F" w:rsidP="005C033F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14:paraId="26BA638B" w14:textId="77777777" w:rsidR="005C033F" w:rsidRPr="00653D9D" w:rsidRDefault="005C033F" w:rsidP="005C033F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 xml:space="preserve">Following consideration by the </w:t>
      </w:r>
      <w:r w:rsidRPr="00653D9D">
        <w:rPr>
          <w:rFonts w:cs="Helvetica"/>
          <w:lang w:val="en-AU"/>
        </w:rPr>
        <w:t xml:space="preserve">Australia and New Zealand Ministerial Forum on Food </w:t>
      </w:r>
      <w:r w:rsidRPr="00653D9D">
        <w:rPr>
          <w:rFonts w:cs="Arial"/>
        </w:rPr>
        <w:t>Regulation</w:t>
      </w:r>
      <w:r w:rsidRPr="00653D9D">
        <w:rPr>
          <w:rFonts w:eastAsia="Calibri" w:cs="Arial"/>
          <w:bCs/>
          <w:szCs w:val="22"/>
          <w:lang w:val="en-AU" w:bidi="ar-SA"/>
        </w:rPr>
        <w:t xml:space="preserve">, section 92 of the FSANZ Act stipulates that the Authority must publish a notice about the standard or draft variation of a standard. </w:t>
      </w:r>
    </w:p>
    <w:p w14:paraId="26BA638C" w14:textId="77777777" w:rsidR="005C033F" w:rsidRPr="00653D9D" w:rsidRDefault="005C033F" w:rsidP="005C033F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14:paraId="26BA638D" w14:textId="77777777" w:rsidR="005C033F" w:rsidRPr="00653D9D" w:rsidRDefault="005C033F" w:rsidP="005C033F">
      <w:pPr>
        <w:widowControl/>
        <w:autoSpaceDE w:val="0"/>
        <w:autoSpaceDN w:val="0"/>
        <w:adjustRightInd w:val="0"/>
        <w:rPr>
          <w:rFonts w:eastAsia="Calibri" w:cs="Arial"/>
          <w:szCs w:val="22"/>
          <w:lang w:val="en-AU" w:bidi="ar-SA"/>
        </w:rPr>
      </w:pPr>
      <w:r w:rsidRPr="00653D9D">
        <w:rPr>
          <w:rFonts w:eastAsia="Calibri" w:cs="Arial"/>
          <w:bCs/>
          <w:szCs w:val="22"/>
          <w:lang w:val="en-AU" w:bidi="ar-SA"/>
        </w:rPr>
        <w:t>Section 94 of the FSANZ Act specifies that a</w:t>
      </w:r>
      <w:r w:rsidRPr="00653D9D">
        <w:rPr>
          <w:rFonts w:eastAsia="Calibri" w:cs="Arial"/>
          <w:szCs w:val="22"/>
          <w:lang w:val="en-AU" w:bidi="ar-SA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653D9D">
        <w:rPr>
          <w:rFonts w:eastAsia="Calibri" w:cs="Arial"/>
          <w:i/>
          <w:szCs w:val="22"/>
          <w:lang w:val="en-AU" w:bidi="ar-SA"/>
        </w:rPr>
        <w:t>Legislation Act 2003</w:t>
      </w:r>
      <w:r w:rsidRPr="00653D9D">
        <w:rPr>
          <w:rFonts w:eastAsia="Calibri" w:cs="Arial"/>
          <w:szCs w:val="22"/>
          <w:lang w:val="en-AU" w:bidi="ar-SA"/>
        </w:rPr>
        <w:t>.</w:t>
      </w:r>
    </w:p>
    <w:p w14:paraId="26BA638E" w14:textId="77777777" w:rsidR="005C033F" w:rsidRPr="00117893" w:rsidRDefault="005C033F" w:rsidP="005C033F">
      <w:pPr>
        <w:widowControl/>
        <w:autoSpaceDE w:val="0"/>
        <w:autoSpaceDN w:val="0"/>
        <w:adjustRightInd w:val="0"/>
        <w:rPr>
          <w:rFonts w:eastAsia="Calibri" w:cs="Arial"/>
          <w:bCs/>
          <w:color w:val="FF0000"/>
          <w:szCs w:val="22"/>
          <w:lang w:val="en-AU" w:bidi="ar-SA"/>
        </w:rPr>
      </w:pPr>
    </w:p>
    <w:p w14:paraId="26BA638F" w14:textId="77777777" w:rsidR="005C033F" w:rsidRPr="00B77E23" w:rsidRDefault="005C033F" w:rsidP="005C033F">
      <w:pPr>
        <w:rPr>
          <w:b/>
          <w:lang w:val="en-AU" w:eastAsia="en-GB" w:bidi="ar-SA"/>
        </w:rPr>
      </w:pPr>
      <w:r w:rsidRPr="00B77E23">
        <w:rPr>
          <w:b/>
          <w:lang w:val="en-AU" w:eastAsia="en-GB" w:bidi="ar-SA"/>
        </w:rPr>
        <w:t>2.</w:t>
      </w:r>
      <w:r w:rsidRPr="00B77E23">
        <w:rPr>
          <w:b/>
          <w:lang w:val="en-AU" w:eastAsia="en-GB" w:bidi="ar-SA"/>
        </w:rPr>
        <w:tab/>
        <w:t xml:space="preserve">Purpose </w:t>
      </w:r>
    </w:p>
    <w:p w14:paraId="26BA6390" w14:textId="77777777" w:rsidR="005C033F" w:rsidRPr="00B77E23" w:rsidRDefault="005C033F" w:rsidP="005C033F">
      <w:pPr>
        <w:rPr>
          <w:lang w:val="en-AU" w:eastAsia="en-GB" w:bidi="ar-SA"/>
        </w:rPr>
      </w:pPr>
    </w:p>
    <w:p w14:paraId="26BA6391" w14:textId="77777777" w:rsidR="005C033F" w:rsidRPr="0053333C" w:rsidRDefault="005C033F" w:rsidP="005C033F">
      <w:pPr>
        <w:rPr>
          <w:lang w:val="en-AU" w:eastAsia="en-GB" w:bidi="ar-SA"/>
        </w:rPr>
      </w:pPr>
      <w:r>
        <w:t>M</w:t>
      </w:r>
      <w:r w:rsidRPr="0053333C">
        <w:t>inor typographical and grammatical errors</w:t>
      </w:r>
      <w:r>
        <w:t>,</w:t>
      </w:r>
      <w:r w:rsidRPr="0053333C">
        <w:t xml:space="preserve"> formatting and cross referencing issues are identified in the Code from time</w:t>
      </w:r>
      <w:r w:rsidRPr="0053333C">
        <w:noBreakHyphen/>
        <w:t>to</w:t>
      </w:r>
      <w:r w:rsidRPr="0053333C">
        <w:noBreakHyphen/>
        <w:t>time. References in the Code also become superseded as the documents they refer to are updated. Th</w:t>
      </w:r>
      <w:r>
        <w:t>e Authority approved this variation</w:t>
      </w:r>
      <w:r w:rsidRPr="0053333C">
        <w:t xml:space="preserve"> to resolve</w:t>
      </w:r>
      <w:r>
        <w:t xml:space="preserve"> a number of</w:t>
      </w:r>
      <w:r w:rsidRPr="0053333C">
        <w:t xml:space="preserve"> such issues.</w:t>
      </w:r>
      <w:r w:rsidRPr="0053333C">
        <w:rPr>
          <w:lang w:val="en-AU" w:eastAsia="en-GB" w:bidi="ar-SA"/>
        </w:rPr>
        <w:t xml:space="preserve"> </w:t>
      </w:r>
    </w:p>
    <w:p w14:paraId="26BA6392" w14:textId="77777777" w:rsidR="005C033F" w:rsidRPr="00503F50" w:rsidRDefault="005C033F" w:rsidP="005C033F">
      <w:pPr>
        <w:rPr>
          <w:color w:val="FF0000"/>
          <w:highlight w:val="yellow"/>
        </w:rPr>
      </w:pPr>
    </w:p>
    <w:p w14:paraId="26BA6393" w14:textId="77777777" w:rsidR="005C033F" w:rsidRPr="0053333C" w:rsidRDefault="005C033F" w:rsidP="005C033F">
      <w:pPr>
        <w:rPr>
          <w:b/>
          <w:lang w:val="en-AU" w:eastAsia="en-GB" w:bidi="ar-SA"/>
        </w:rPr>
      </w:pPr>
      <w:r w:rsidRPr="0053333C">
        <w:rPr>
          <w:b/>
          <w:lang w:val="en-AU" w:eastAsia="en-GB" w:bidi="ar-SA"/>
        </w:rPr>
        <w:t>3.</w:t>
      </w:r>
      <w:r w:rsidRPr="0053333C">
        <w:rPr>
          <w:b/>
          <w:lang w:val="en-AU" w:eastAsia="en-GB" w:bidi="ar-SA"/>
        </w:rPr>
        <w:tab/>
        <w:t>Documents incorporated by reference</w:t>
      </w:r>
    </w:p>
    <w:p w14:paraId="26BA6394" w14:textId="77777777" w:rsidR="005C033F" w:rsidRPr="0053333C" w:rsidRDefault="005C033F" w:rsidP="005C033F">
      <w:pPr>
        <w:rPr>
          <w:color w:val="FF0000"/>
          <w:lang w:val="en-AU" w:eastAsia="en-GB" w:bidi="ar-SA"/>
        </w:rPr>
      </w:pPr>
    </w:p>
    <w:p w14:paraId="26BA6395" w14:textId="77777777" w:rsidR="005C033F" w:rsidRPr="0053333C" w:rsidRDefault="005C033F" w:rsidP="005C033F">
      <w:pPr>
        <w:rPr>
          <w:rFonts w:eastAsia="Calibri" w:cs="Arial"/>
          <w:bCs/>
          <w:szCs w:val="22"/>
          <w:lang w:val="en-AU" w:bidi="ar-SA"/>
        </w:rPr>
      </w:pPr>
      <w:r w:rsidRPr="0053333C">
        <w:t>The approved draft variation does not incorporate any documents by reference not already incorporated into the current Code.  It updates the</w:t>
      </w:r>
      <w:r w:rsidRPr="0053333C">
        <w:rPr>
          <w:rFonts w:eastAsia="Calibri" w:cs="Arial"/>
          <w:bCs/>
          <w:szCs w:val="22"/>
          <w:lang w:val="en-AU" w:bidi="ar-SA"/>
        </w:rPr>
        <w:t xml:space="preserve"> following existing references in the Code (see sections </w:t>
      </w:r>
      <w:r>
        <w:rPr>
          <w:rFonts w:eastAsia="Calibri" w:cs="Arial"/>
          <w:bCs/>
          <w:szCs w:val="22"/>
          <w:lang w:val="en-AU" w:bidi="ar-SA"/>
        </w:rPr>
        <w:t>6.3</w:t>
      </w:r>
      <w:r w:rsidRPr="0053333C">
        <w:rPr>
          <w:rFonts w:eastAsia="Calibri" w:cs="Arial"/>
          <w:bCs/>
          <w:szCs w:val="22"/>
          <w:lang w:val="en-AU" w:bidi="ar-SA"/>
        </w:rPr>
        <w:t xml:space="preserve"> below):</w:t>
      </w:r>
    </w:p>
    <w:p w14:paraId="26BA6396" w14:textId="77777777" w:rsidR="005C033F" w:rsidRPr="0053333C" w:rsidRDefault="005C033F" w:rsidP="005C033F">
      <w:pPr>
        <w:widowControl/>
        <w:tabs>
          <w:tab w:val="left" w:pos="5010"/>
        </w:tabs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53333C">
        <w:rPr>
          <w:rFonts w:eastAsia="Calibri" w:cs="Arial"/>
          <w:bCs/>
          <w:szCs w:val="22"/>
          <w:lang w:val="en-AU" w:bidi="ar-SA"/>
        </w:rPr>
        <w:tab/>
      </w:r>
    </w:p>
    <w:p w14:paraId="26BA6397" w14:textId="77777777" w:rsidR="005C033F" w:rsidRPr="0053333C" w:rsidRDefault="005C033F" w:rsidP="005C033F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53333C">
        <w:t>United States Code of Federal Regulations;</w:t>
      </w:r>
    </w:p>
    <w:p w14:paraId="26BA6398" w14:textId="77777777" w:rsidR="005C033F" w:rsidRDefault="005C033F" w:rsidP="005C033F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53333C">
        <w:lastRenderedPageBreak/>
        <w:t>Generally Recognised as Safe (GRAS) lists of flavouring substances published by the Flavour and Extract Manufacturers’ Association of the United States;</w:t>
      </w:r>
    </w:p>
    <w:p w14:paraId="26BA6399" w14:textId="77777777" w:rsidR="005C033F" w:rsidRPr="00961C03" w:rsidRDefault="005C033F" w:rsidP="005C033F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961C03">
        <w:t>Combined Compendium of Food Additive Specifications, FAO JECFA Monographs 1 (2005), Food and Agriculture Organisation of the United Nations, Rome;</w:t>
      </w:r>
    </w:p>
    <w:p w14:paraId="26BA639A" w14:textId="77777777" w:rsidR="005C033F" w:rsidRDefault="005C033F" w:rsidP="005C033F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961C03">
        <w:t>United States Pharmacopeial Convention (2020) Food chemicals codex. 12</w:t>
      </w:r>
      <w:r w:rsidRPr="00961C03">
        <w:rPr>
          <w:vertAlign w:val="superscript"/>
        </w:rPr>
        <w:t>th</w:t>
      </w:r>
      <w:r w:rsidRPr="00961C03">
        <w:t xml:space="preserve"> ed, United States Pharmacopeial Convention, Rockville, MD;</w:t>
      </w:r>
    </w:p>
    <w:p w14:paraId="26BA639B" w14:textId="77777777" w:rsidR="005C033F" w:rsidRDefault="005C033F" w:rsidP="005C033F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961C03">
        <w:t xml:space="preserve">United States Pharmacopeial Convention (2020) United States Pharmacopeia (43) and the National </w:t>
      </w:r>
      <w:r>
        <w:t xml:space="preserve">Formulary (38), (USP 43-NF 38), </w:t>
      </w:r>
      <w:r w:rsidRPr="00961C03">
        <w:t>United States Pharmacopeial Convention, Rockville, MD</w:t>
      </w:r>
      <w:r>
        <w:t>; and</w:t>
      </w:r>
    </w:p>
    <w:p w14:paraId="26BA639C" w14:textId="77777777" w:rsidR="005C033F" w:rsidRPr="00961C03" w:rsidRDefault="005C033F" w:rsidP="005C033F">
      <w:pPr>
        <w:pStyle w:val="ListParagraph"/>
        <w:widowControl/>
        <w:numPr>
          <w:ilvl w:val="0"/>
          <w:numId w:val="14"/>
        </w:numPr>
        <w:tabs>
          <w:tab w:val="left" w:pos="5010"/>
        </w:tabs>
        <w:autoSpaceDE w:val="0"/>
        <w:autoSpaceDN w:val="0"/>
        <w:adjustRightInd w:val="0"/>
      </w:pPr>
      <w:r w:rsidRPr="00961C03">
        <w:t>Specifications and S</w:t>
      </w:r>
      <w:r>
        <w:t>tandards for Food Additives, 9</w:t>
      </w:r>
      <w:r w:rsidRPr="00961C03">
        <w:rPr>
          <w:vertAlign w:val="superscript"/>
        </w:rPr>
        <w:t>th</w:t>
      </w:r>
      <w:r>
        <w:t xml:space="preserve"> Edition (2018</w:t>
      </w:r>
      <w:r w:rsidRPr="00961C03">
        <w:t>), Ministry of Health and Welfare (Japan).</w:t>
      </w:r>
    </w:p>
    <w:p w14:paraId="26BA639D" w14:textId="77777777" w:rsidR="005C033F" w:rsidRPr="00117893" w:rsidRDefault="005C033F" w:rsidP="005C033F">
      <w:pPr>
        <w:tabs>
          <w:tab w:val="left" w:pos="7320"/>
        </w:tabs>
        <w:rPr>
          <w:color w:val="FF0000"/>
          <w:lang w:val="en-AU" w:eastAsia="en-GB" w:bidi="ar-SA"/>
        </w:rPr>
      </w:pPr>
      <w:r w:rsidRPr="00117893">
        <w:rPr>
          <w:color w:val="FF0000"/>
          <w:lang w:val="en-AU" w:eastAsia="en-GB" w:bidi="ar-SA"/>
        </w:rPr>
        <w:tab/>
      </w:r>
    </w:p>
    <w:p w14:paraId="26BA639E" w14:textId="77777777" w:rsidR="005C033F" w:rsidRPr="00B77E23" w:rsidRDefault="005C033F" w:rsidP="005C033F">
      <w:pPr>
        <w:rPr>
          <w:b/>
          <w:lang w:val="en-AU" w:eastAsia="en-GB" w:bidi="ar-SA"/>
        </w:rPr>
      </w:pPr>
      <w:r w:rsidRPr="00B77E23">
        <w:rPr>
          <w:b/>
          <w:lang w:val="en-AU" w:eastAsia="en-GB" w:bidi="ar-SA"/>
        </w:rPr>
        <w:t>4.</w:t>
      </w:r>
      <w:r w:rsidRPr="00B77E23">
        <w:rPr>
          <w:b/>
          <w:lang w:val="en-AU" w:eastAsia="en-GB" w:bidi="ar-SA"/>
        </w:rPr>
        <w:tab/>
        <w:t>Consultation</w:t>
      </w:r>
    </w:p>
    <w:p w14:paraId="26BA639F" w14:textId="77777777" w:rsidR="005C033F" w:rsidRPr="00117893" w:rsidRDefault="005C033F" w:rsidP="005C033F">
      <w:pPr>
        <w:rPr>
          <w:color w:val="FF0000"/>
          <w:lang w:val="en-AU" w:eastAsia="en-GB" w:bidi="ar-SA"/>
        </w:rPr>
      </w:pPr>
    </w:p>
    <w:p w14:paraId="26BA63A0" w14:textId="77777777" w:rsidR="005C033F" w:rsidRDefault="005C033F" w:rsidP="005C033F">
      <w:pPr>
        <w:rPr>
          <w:rFonts w:eastAsia="Calibri" w:cs="Arial"/>
          <w:bCs/>
          <w:szCs w:val="22"/>
          <w:lang w:val="en-AU" w:bidi="ar-SA"/>
        </w:rPr>
      </w:pPr>
      <w:r w:rsidRPr="00B77E23">
        <w:rPr>
          <w:szCs w:val="22"/>
        </w:rPr>
        <w:t xml:space="preserve">In accordance with the procedure in Division 2 of Part 3 of the FSANZ Act, </w:t>
      </w:r>
      <w:r w:rsidRPr="00B77E23">
        <w:rPr>
          <w:rFonts w:eastAsia="Calibri" w:cs="Arial"/>
          <w:bCs/>
          <w:szCs w:val="22"/>
          <w:lang w:val="en-AU" w:bidi="ar-SA"/>
        </w:rPr>
        <w:t>the Authority</w:t>
      </w:r>
      <w:r w:rsidRPr="00B77E23">
        <w:rPr>
          <w:szCs w:val="22"/>
        </w:rPr>
        <w:t xml:space="preserve">’s consideration of Proposal </w:t>
      </w:r>
      <w:r w:rsidRPr="00CC479A">
        <w:rPr>
          <w:rFonts w:eastAsia="Calibri" w:cs="Arial"/>
          <w:bCs/>
          <w:szCs w:val="22"/>
          <w:lang w:val="en-AU" w:bidi="ar-SA"/>
        </w:rPr>
        <w:t>P</w:t>
      </w:r>
      <w:r>
        <w:rPr>
          <w:rFonts w:eastAsia="Calibri" w:cs="Arial"/>
          <w:bCs/>
          <w:szCs w:val="22"/>
          <w:lang w:val="en-AU" w:bidi="ar-SA"/>
        </w:rPr>
        <w:t>1051</w:t>
      </w:r>
      <w:r w:rsidRPr="00B77E23">
        <w:rPr>
          <w:szCs w:val="22"/>
        </w:rPr>
        <w:t xml:space="preserve"> include</w:t>
      </w:r>
      <w:r>
        <w:rPr>
          <w:szCs w:val="22"/>
        </w:rPr>
        <w:t>d</w:t>
      </w:r>
      <w:r w:rsidRPr="00B77E23">
        <w:rPr>
          <w:szCs w:val="22"/>
        </w:rPr>
        <w:t xml:space="preserve"> one round of consultation following an assessment and the preparation of draft variation</w:t>
      </w:r>
      <w:r>
        <w:rPr>
          <w:szCs w:val="22"/>
        </w:rPr>
        <w:t>s to a number of Standards</w:t>
      </w:r>
      <w:r w:rsidRPr="00B77E23">
        <w:rPr>
          <w:szCs w:val="22"/>
        </w:rPr>
        <w:t xml:space="preserve"> and an</w:t>
      </w:r>
      <w:r>
        <w:rPr>
          <w:szCs w:val="22"/>
        </w:rPr>
        <w:t xml:space="preserve"> associated</w:t>
      </w:r>
      <w:r w:rsidRPr="00B77E23">
        <w:rPr>
          <w:szCs w:val="22"/>
        </w:rPr>
        <w:t xml:space="preserve"> assessment summary.</w:t>
      </w:r>
      <w:r>
        <w:rPr>
          <w:szCs w:val="22"/>
        </w:rPr>
        <w:t xml:space="preserve">  </w:t>
      </w:r>
      <w:r w:rsidRPr="00653D9D">
        <w:rPr>
          <w:szCs w:val="22"/>
        </w:rPr>
        <w:t xml:space="preserve">Submissions were called for on </w:t>
      </w:r>
      <w:r>
        <w:rPr>
          <w:szCs w:val="22"/>
        </w:rPr>
        <w:t>3 October 2020</w:t>
      </w:r>
      <w:r w:rsidRPr="00653D9D">
        <w:rPr>
          <w:szCs w:val="22"/>
        </w:rPr>
        <w:t xml:space="preserve"> for a four-week consultation period.</w:t>
      </w:r>
    </w:p>
    <w:p w14:paraId="26BA63A1" w14:textId="77777777" w:rsidR="005C033F" w:rsidRDefault="005C033F" w:rsidP="005C033F">
      <w:pPr>
        <w:rPr>
          <w:rFonts w:eastAsia="Calibri" w:cs="Arial"/>
          <w:bCs/>
          <w:szCs w:val="22"/>
          <w:lang w:val="en-AU" w:bidi="ar-SA"/>
        </w:rPr>
      </w:pPr>
    </w:p>
    <w:p w14:paraId="26BA63A2" w14:textId="77777777" w:rsidR="005C033F" w:rsidRPr="000E20E7" w:rsidRDefault="005C033F" w:rsidP="005C033F">
      <w:pPr>
        <w:widowControl/>
        <w:autoSpaceDE w:val="0"/>
        <w:autoSpaceDN w:val="0"/>
        <w:adjustRightInd w:val="0"/>
        <w:rPr>
          <w:rFonts w:cs="Arial"/>
          <w:szCs w:val="22"/>
        </w:rPr>
      </w:pPr>
      <w:r w:rsidRPr="000E20E7">
        <w:rPr>
          <w:rFonts w:eastAsia="Calibri" w:cs="Arial"/>
          <w:bCs/>
          <w:szCs w:val="22"/>
          <w:lang w:val="en-AU" w:bidi="ar-SA"/>
        </w:rPr>
        <w:t xml:space="preserve">A Regulation Impact Statement was not required because </w:t>
      </w:r>
      <w:r w:rsidRPr="00653D9D">
        <w:rPr>
          <w:rFonts w:eastAsia="Calibri" w:cs="Arial"/>
          <w:bCs/>
          <w:szCs w:val="22"/>
          <w:lang w:val="en-AU" w:bidi="ar-SA"/>
        </w:rPr>
        <w:t xml:space="preserve">the variation is </w:t>
      </w:r>
      <w:r w:rsidRPr="00653D9D">
        <w:t xml:space="preserve">likely to have a minor impact on business and individuals. </w:t>
      </w:r>
    </w:p>
    <w:p w14:paraId="26BA63A3" w14:textId="77777777" w:rsidR="005C033F" w:rsidRPr="00117893" w:rsidRDefault="005C033F" w:rsidP="005C033F">
      <w:pPr>
        <w:widowControl/>
        <w:rPr>
          <w:rFonts w:eastAsiaTheme="minorHAnsi" w:cs="Arial"/>
          <w:b/>
          <w:bCs/>
          <w:color w:val="FF0000"/>
          <w:szCs w:val="22"/>
          <w:lang w:val="en-AU" w:bidi="ar-SA"/>
        </w:rPr>
      </w:pPr>
    </w:p>
    <w:p w14:paraId="26BA63A4" w14:textId="77777777" w:rsidR="005C033F" w:rsidRPr="00B77E23" w:rsidRDefault="005C033F" w:rsidP="005C033F">
      <w:pPr>
        <w:widowControl/>
        <w:rPr>
          <w:rFonts w:eastAsiaTheme="minorHAnsi" w:cs="Arial"/>
          <w:b/>
          <w:bCs/>
          <w:szCs w:val="22"/>
          <w:lang w:val="en-AU" w:bidi="ar-SA"/>
        </w:rPr>
      </w:pPr>
      <w:r w:rsidRPr="00B77E23">
        <w:rPr>
          <w:rFonts w:eastAsiaTheme="minorHAnsi" w:cs="Arial"/>
          <w:b/>
          <w:bCs/>
          <w:szCs w:val="22"/>
          <w:lang w:val="en-AU" w:bidi="ar-SA"/>
        </w:rPr>
        <w:t>5.</w:t>
      </w:r>
      <w:r w:rsidRPr="00B77E23">
        <w:rPr>
          <w:rFonts w:eastAsiaTheme="minorHAnsi" w:cs="Arial"/>
          <w:b/>
          <w:bCs/>
          <w:szCs w:val="22"/>
          <w:lang w:val="en-AU" w:bidi="ar-SA"/>
        </w:rPr>
        <w:tab/>
        <w:t>Statement of compatibility with human rights</w:t>
      </w:r>
    </w:p>
    <w:p w14:paraId="26BA63A5" w14:textId="77777777" w:rsidR="005C033F" w:rsidRPr="00B77E23" w:rsidRDefault="005C033F" w:rsidP="005C033F">
      <w:pPr>
        <w:rPr>
          <w:rFonts w:eastAsiaTheme="minorHAnsi"/>
          <w:lang w:val="en-AU" w:bidi="ar-SA"/>
        </w:rPr>
      </w:pPr>
    </w:p>
    <w:p w14:paraId="26BA63A6" w14:textId="77777777" w:rsidR="005C033F" w:rsidRPr="00B77E23" w:rsidRDefault="005C033F" w:rsidP="005C033F">
      <w:pPr>
        <w:rPr>
          <w:rFonts w:eastAsiaTheme="minorHAnsi"/>
          <w:lang w:val="en-AU" w:bidi="ar-SA"/>
        </w:rPr>
      </w:pPr>
      <w:r w:rsidRPr="00B77E23">
        <w:rPr>
          <w:rFonts w:eastAsiaTheme="minorHAnsi"/>
          <w:lang w:val="en-AU" w:bidi="ar-SA"/>
        </w:rPr>
        <w:t>This instrument is exempt from the requirements for a statement of compatibility with human rights as it is a non-disallowable instrument under section 94 of the FSANZ Act.</w:t>
      </w:r>
    </w:p>
    <w:p w14:paraId="26BA63A7" w14:textId="77777777" w:rsidR="005C033F" w:rsidRPr="00117893" w:rsidRDefault="005C033F" w:rsidP="005C033F">
      <w:pPr>
        <w:rPr>
          <w:rFonts w:eastAsiaTheme="minorHAnsi"/>
          <w:color w:val="FF0000"/>
          <w:lang w:val="en-AU" w:bidi="ar-SA"/>
        </w:rPr>
      </w:pPr>
    </w:p>
    <w:p w14:paraId="26BA63A8" w14:textId="77777777" w:rsidR="005C033F" w:rsidRPr="00B77E23" w:rsidRDefault="005C033F" w:rsidP="005C033F">
      <w:pPr>
        <w:rPr>
          <w:b/>
          <w:lang w:val="en-AU" w:eastAsia="en-GB" w:bidi="ar-SA"/>
        </w:rPr>
      </w:pPr>
      <w:r w:rsidRPr="00B77E23">
        <w:rPr>
          <w:b/>
        </w:rPr>
        <w:t>6.</w:t>
      </w:r>
      <w:r w:rsidRPr="00B77E23">
        <w:rPr>
          <w:b/>
        </w:rPr>
        <w:tab/>
      </w:r>
      <w:r w:rsidRPr="00B77E23">
        <w:rPr>
          <w:b/>
          <w:lang w:val="en-AU" w:eastAsia="en-GB" w:bidi="ar-SA"/>
        </w:rPr>
        <w:t>Variations</w:t>
      </w:r>
    </w:p>
    <w:p w14:paraId="26BA63A9" w14:textId="77777777" w:rsidR="005C033F" w:rsidRPr="00B77E23" w:rsidRDefault="005C033F" w:rsidP="005C033F">
      <w:pPr>
        <w:rPr>
          <w:b/>
        </w:rPr>
      </w:pPr>
    </w:p>
    <w:p w14:paraId="26BA63AA" w14:textId="77777777" w:rsidR="005C033F" w:rsidRPr="00401DCA" w:rsidRDefault="005C033F" w:rsidP="005C033F">
      <w:pPr>
        <w:rPr>
          <w:b/>
        </w:rPr>
      </w:pPr>
      <w:r w:rsidRPr="00401DCA">
        <w:rPr>
          <w:b/>
          <w:i/>
        </w:rPr>
        <w:t>6.1</w:t>
      </w:r>
      <w:r w:rsidRPr="00401DCA">
        <w:rPr>
          <w:b/>
          <w:i/>
        </w:rPr>
        <w:tab/>
      </w:r>
      <w:r w:rsidRPr="00401DCA">
        <w:rPr>
          <w:b/>
          <w:i/>
          <w:szCs w:val="22"/>
        </w:rPr>
        <w:t>Correcting minor errors and omissions</w:t>
      </w:r>
    </w:p>
    <w:p w14:paraId="26BA63AB" w14:textId="77777777" w:rsidR="005C033F" w:rsidRPr="00401DCA" w:rsidRDefault="005C033F" w:rsidP="005C033F">
      <w:pPr>
        <w:rPr>
          <w:color w:val="FF0000"/>
        </w:rPr>
      </w:pPr>
    </w:p>
    <w:p w14:paraId="26BA63AC" w14:textId="77777777" w:rsidR="005C033F" w:rsidRPr="007E11FA" w:rsidRDefault="005C033F" w:rsidP="005C033F">
      <w:r w:rsidRPr="00503F50">
        <w:t xml:space="preserve">Items [3] to [20], </w:t>
      </w:r>
      <w:r>
        <w:t xml:space="preserve">[21], </w:t>
      </w:r>
      <w:r w:rsidRPr="00503F50">
        <w:t>[2</w:t>
      </w:r>
      <w:r>
        <w:t>3</w:t>
      </w:r>
      <w:r w:rsidRPr="00503F50">
        <w:t>], [2</w:t>
      </w:r>
      <w:r>
        <w:t>5</w:t>
      </w:r>
      <w:r w:rsidRPr="00503F50">
        <w:t>] to [2</w:t>
      </w:r>
      <w:r>
        <w:t>8</w:t>
      </w:r>
      <w:r w:rsidRPr="00503F50">
        <w:t>], [3</w:t>
      </w:r>
      <w:r>
        <w:t>1</w:t>
      </w:r>
      <w:r w:rsidRPr="00503F50">
        <w:t>],</w:t>
      </w:r>
      <w:r>
        <w:t xml:space="preserve"> [36], part of [37], [38] to [51], and [54</w:t>
      </w:r>
      <w:r w:rsidRPr="00503F50">
        <w:t xml:space="preserve">] </w:t>
      </w:r>
      <w:r w:rsidRPr="007E11FA">
        <w:t xml:space="preserve">of the </w:t>
      </w:r>
      <w:r>
        <w:t xml:space="preserve">Schedule to the approved </w:t>
      </w:r>
      <w:r w:rsidRPr="007E11FA">
        <w:t xml:space="preserve">draft variation include amendments to correct </w:t>
      </w:r>
      <w:r w:rsidRPr="00435914">
        <w:t>minor errors and omi</w:t>
      </w:r>
      <w:r>
        <w:t xml:space="preserve">ssions to format, text and punctuation, </w:t>
      </w:r>
      <w:r w:rsidRPr="00435914">
        <w:t xml:space="preserve">as well </w:t>
      </w:r>
      <w:r>
        <w:t xml:space="preserve">to </w:t>
      </w:r>
      <w:r w:rsidRPr="00435914">
        <w:t>improv</w:t>
      </w:r>
      <w:r>
        <w:t xml:space="preserve">e the </w:t>
      </w:r>
      <w:r w:rsidRPr="00435914">
        <w:t>clarity of some text</w:t>
      </w:r>
      <w:r w:rsidRPr="007E11FA">
        <w:t xml:space="preserve">. </w:t>
      </w:r>
    </w:p>
    <w:p w14:paraId="26BA63AD" w14:textId="77777777" w:rsidR="005C033F" w:rsidRPr="007E11FA" w:rsidRDefault="005C033F" w:rsidP="005C033F"/>
    <w:p w14:paraId="26BA63AE" w14:textId="77777777" w:rsidR="005C033F" w:rsidRPr="007E11FA" w:rsidRDefault="005C033F" w:rsidP="005C033F">
      <w:pPr>
        <w:rPr>
          <w:b/>
          <w:i/>
          <w:szCs w:val="22"/>
        </w:rPr>
      </w:pPr>
      <w:r w:rsidRPr="007E11FA">
        <w:rPr>
          <w:b/>
          <w:i/>
          <w:szCs w:val="22"/>
        </w:rPr>
        <w:t>6.2</w:t>
      </w:r>
      <w:r w:rsidRPr="007E11FA">
        <w:rPr>
          <w:b/>
          <w:i/>
          <w:szCs w:val="22"/>
        </w:rPr>
        <w:tab/>
        <w:t>Updating references</w:t>
      </w:r>
    </w:p>
    <w:p w14:paraId="26BA63AF" w14:textId="77777777" w:rsidR="005C033F" w:rsidRPr="007E11FA" w:rsidRDefault="005C033F" w:rsidP="005C033F"/>
    <w:p w14:paraId="26BA63B0" w14:textId="77777777" w:rsidR="005C033F" w:rsidRDefault="005C033F" w:rsidP="005C033F">
      <w:r w:rsidRPr="00113F7C">
        <w:t xml:space="preserve">Items </w:t>
      </w:r>
      <w:r>
        <w:rPr>
          <w:lang w:val="en-AU" w:eastAsia="en-GB" w:bidi="ar-SA"/>
        </w:rPr>
        <w:t>[22], [24], [52], [53] and [55</w:t>
      </w:r>
      <w:r w:rsidRPr="00113F7C">
        <w:rPr>
          <w:lang w:val="en-AU" w:eastAsia="en-GB" w:bidi="ar-SA"/>
        </w:rPr>
        <w:t xml:space="preserve">] </w:t>
      </w:r>
      <w:r w:rsidRPr="007E11FA">
        <w:t xml:space="preserve">of the </w:t>
      </w:r>
      <w:r>
        <w:t>Schedule to</w:t>
      </w:r>
      <w:r w:rsidRPr="007E11FA">
        <w:t xml:space="preserve"> the </w:t>
      </w:r>
      <w:r>
        <w:t xml:space="preserve">approved </w:t>
      </w:r>
      <w:r w:rsidRPr="007E11FA">
        <w:t>draft variation include amendments to correct cross</w:t>
      </w:r>
      <w:r>
        <w:t>-</w:t>
      </w:r>
      <w:r w:rsidRPr="00401DCA">
        <w:t>references</w:t>
      </w:r>
      <w:r>
        <w:t xml:space="preserve"> within the Code</w:t>
      </w:r>
      <w:r w:rsidRPr="00401DCA">
        <w:t>.</w:t>
      </w:r>
    </w:p>
    <w:p w14:paraId="26BA63B1" w14:textId="77777777" w:rsidR="005C033F" w:rsidRDefault="005C033F" w:rsidP="005C033F"/>
    <w:p w14:paraId="26BA63B2" w14:textId="77777777" w:rsidR="005C033F" w:rsidRPr="00DE62B6" w:rsidRDefault="005C033F" w:rsidP="005C033F">
      <w:pPr>
        <w:rPr>
          <w:b/>
          <w:i/>
          <w:szCs w:val="22"/>
        </w:rPr>
      </w:pPr>
      <w:r w:rsidRPr="00DE62B6">
        <w:rPr>
          <w:b/>
          <w:i/>
          <w:szCs w:val="22"/>
        </w:rPr>
        <w:t>6.3</w:t>
      </w:r>
      <w:r w:rsidRPr="00DE62B6">
        <w:rPr>
          <w:b/>
          <w:i/>
          <w:szCs w:val="22"/>
        </w:rPr>
        <w:tab/>
        <w:t>Updating material from international sources</w:t>
      </w:r>
    </w:p>
    <w:p w14:paraId="26BA63B3" w14:textId="77777777" w:rsidR="005C033F" w:rsidRPr="00DE62B6" w:rsidRDefault="005C033F" w:rsidP="005C033F"/>
    <w:p w14:paraId="26BA63B5" w14:textId="21B9C935" w:rsidR="00D5526B" w:rsidRPr="003A01FB" w:rsidRDefault="005C033F" w:rsidP="003A01FB">
      <w:r w:rsidRPr="00DE62B6">
        <w:t>Items [1], [2], [2</w:t>
      </w:r>
      <w:r>
        <w:t>9</w:t>
      </w:r>
      <w:r w:rsidRPr="00DE62B6">
        <w:t>]</w:t>
      </w:r>
      <w:r>
        <w:t>,</w:t>
      </w:r>
      <w:r w:rsidRPr="00DE62B6">
        <w:t xml:space="preserve"> [</w:t>
      </w:r>
      <w:r>
        <w:t>30</w:t>
      </w:r>
      <w:r w:rsidRPr="00DE62B6">
        <w:t>], [3</w:t>
      </w:r>
      <w:r>
        <w:t>2</w:t>
      </w:r>
      <w:r w:rsidRPr="00DE62B6">
        <w:t>] to [3</w:t>
      </w:r>
      <w:r>
        <w:t>5</w:t>
      </w:r>
      <w:r w:rsidRPr="00DE62B6">
        <w:t>] and part of [3</w:t>
      </w:r>
      <w:r>
        <w:t>7</w:t>
      </w:r>
      <w:r w:rsidRPr="00DE62B6">
        <w:t>]</w:t>
      </w:r>
      <w:r w:rsidRPr="00DE62B6">
        <w:rPr>
          <w:lang w:val="en-AU" w:eastAsia="en-GB" w:bidi="ar-SA"/>
        </w:rPr>
        <w:t xml:space="preserve"> </w:t>
      </w:r>
      <w:r w:rsidRPr="00DE62B6">
        <w:t>of the Schedule update references to international publications.</w:t>
      </w:r>
      <w:bookmarkStart w:id="4" w:name="_GoBack"/>
      <w:bookmarkEnd w:id="4"/>
    </w:p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A63B8" w14:textId="77777777" w:rsidR="00BB43BF" w:rsidRDefault="00BB43BF" w:rsidP="0068469D">
      <w:r>
        <w:separator/>
      </w:r>
    </w:p>
  </w:endnote>
  <w:endnote w:type="continuationSeparator" w:id="0">
    <w:p w14:paraId="26BA63B9" w14:textId="77777777" w:rsidR="00BB43BF" w:rsidRDefault="00BB43BF" w:rsidP="0068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A63B6" w14:textId="77777777" w:rsidR="00BB43BF" w:rsidRDefault="00BB43BF" w:rsidP="0068469D">
      <w:r>
        <w:separator/>
      </w:r>
    </w:p>
  </w:footnote>
  <w:footnote w:type="continuationSeparator" w:id="0">
    <w:p w14:paraId="26BA63B7" w14:textId="77777777" w:rsidR="00BB43BF" w:rsidRDefault="00BB43BF" w:rsidP="00684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7B95"/>
    <w:multiLevelType w:val="hybridMultilevel"/>
    <w:tmpl w:val="874293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4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9D"/>
    <w:rsid w:val="0000542C"/>
    <w:rsid w:val="00041643"/>
    <w:rsid w:val="000622E7"/>
    <w:rsid w:val="00066854"/>
    <w:rsid w:val="00066D85"/>
    <w:rsid w:val="000A38F8"/>
    <w:rsid w:val="000F2196"/>
    <w:rsid w:val="001310B0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033F"/>
    <w:rsid w:val="005C1996"/>
    <w:rsid w:val="0068469D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B43BF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ED6955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BA6382"/>
  <w15:chartTrackingRefBased/>
  <w15:docId w15:val="{9FCE0DCB-FB09-4001-989E-4C055044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5C033F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5759555f-5bed-45a4-a4c2-4e28e2623455" xsi:nil="true"/>
    <Agenda xmlns="5759555f-5bed-45a4-a4c2-4e28e2623455" xsi:nil="true"/>
    <Attachement xmlns="5759555f-5bed-45a4-a4c2-4e28e2623455">true</Attachement>
    <Hyperlink xmlns="5759555f-5bed-45a4-a4c2-4e28e2623455">
      <Url xsi:nil="true"/>
      <Description xsi:nil="true"/>
    </Hyperlink>
    <Related_x0020_project xmlns="ec50576e-4a27-4780-a1e1-e59563bc70b8" xsi:nil="true"/>
    <TaxCatchAll xmlns="ec50576e-4a27-4780-a1e1-e59563bc70b8">
      <Value>35</Value>
    </TaxCatchAll>
    <Links xmlns="5759555f-5bed-45a4-a4c2-4e28e2623455" xsi:nil="true"/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43bd8487-b9f6-4055-946c-a118d364275d</TermId>
        </TermInfo>
      </Terms>
    </bd06d2da0152468b9236b575a71e0e7c>
    <_dlc_DocId xmlns="5759555f-5bed-45a4-a4c2-4e28e2623455">MMF7YEMDTSDN-199-16491</_dlc_DocId>
    <_dlc_DocIdUrl xmlns="5759555f-5bed-45a4-a4c2-4e28e2623455">
      <Url>http://fsintranet/Sections/pss/_layouts/15/DocIdRedir.aspx?ID=MMF7YEMDTSDN-199-16491</Url>
      <Description>MMF7YEMDTSDN-199-16491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CC10D0F970AB1946B2221A8383DDC535" ma:contentTypeVersion="45" ma:contentTypeDescription="FSANZ Record" ma:contentTypeScope="" ma:versionID="44dafba06524bb1100cbe22170010595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36474ed6af55c1efd9c74e3d285c351e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  <xsd:element ref="ns4:Attachement" minOccurs="0"/>
                <xsd:element ref="ns4:Abstract" minOccurs="0"/>
                <xsd:element ref="ns4:Agenda" minOccurs="0"/>
                <xsd:element ref="ns4:Hyperlink" minOccurs="0"/>
                <xsd:element ref="ns4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ttachement" ma:index="20" nillable="true" ma:displayName="Attachement" ma:default="1" ma:internalName="Attachement">
      <xsd:simpleType>
        <xsd:restriction base="dms:Boolean"/>
      </xsd:simpleType>
    </xsd:element>
    <xsd:element name="Abstract" ma:index="21" nillable="true" ma:displayName="Abstract" ma:internalName="Abstract">
      <xsd:simpleType>
        <xsd:restriction base="dms:Note">
          <xsd:maxLength value="255"/>
        </xsd:restriction>
      </xsd:simpleType>
    </xsd:element>
    <xsd:element name="Agenda" ma:index="22" nillable="true" ma:displayName="Agenda" ma:description="" ma:internalName="Agenda">
      <xsd:simpleType>
        <xsd:restriction base="dms:Note">
          <xsd:maxLength value="255"/>
        </xsd:restriction>
      </xsd:simple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" ma:index="24" nillable="true" ma:displayName="Links" ma:internalName="Link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94BF-B3C2-4679-A46A-2553C2A1C0F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ADF8687-5EB2-415A-8778-7A61275768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BB82E3-CF92-46FA-A330-D01D9B3366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51AC001-6EE4-45BA-9564-2246B7B85AA9}">
  <ds:schemaRefs>
    <ds:schemaRef ds:uri="ec50576e-4a27-4780-a1e1-e59563bc70b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759555f-5bed-45a4-a4c2-4e28e2623455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63DCE3F-4E3F-4857-9ACF-107312656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5759555f-5bed-45a4-a4c2-4e28e2623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64478F6-43D6-4EAC-9CAD-3B37ADE7068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FE3C8E6-B989-440B-BE4C-32D40279CB7A}">
  <ds:schemaRefs>
    <ds:schemaRef ds:uri="http://www.w3.org/2001/XMLSchema"/>
    <ds:schemaRef ds:uri="http://www.boldonjames.com/2008/01/sie/internal/label"/>
  </ds:schemaRefs>
</ds:datastoreItem>
</file>

<file path=customXml/itemProps8.xml><?xml version="1.0" encoding="utf-8"?>
<ds:datastoreItem xmlns:ds="http://schemas.openxmlformats.org/officeDocument/2006/customXml" ds:itemID="{FD6ED59E-F3C4-4996-A4AB-E1DAB2CF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Company>Food Standards Australia New Zealand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Tailee Vecchi</dc:creator>
  <cp:keywords/>
  <dc:description/>
  <cp:lastModifiedBy>RichaJ</cp:lastModifiedBy>
  <cp:revision>4</cp:revision>
  <dcterms:created xsi:type="dcterms:W3CDTF">2021-05-25T00:43:00Z</dcterms:created>
  <dcterms:modified xsi:type="dcterms:W3CDTF">2021-05-28T03:46:00Z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46591ed4-d5cd-4cb4-a34f-b935aa3c6e8b</vt:lpwstr>
  </property>
  <property fmtid="{D5CDD505-2E9C-101B-9397-08002B2CF9AE}" pid="3" name="bjSaver">
    <vt:lpwstr>NIRxwK0u8rEaK3QvQc4OMTjVpAjSnRIZ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0x01010004C4C934AD08B647A78FCADD498BE3190200CC10D0F970AB1946B2221A8383DDC535</vt:lpwstr>
  </property>
  <property fmtid="{D5CDD505-2E9C-101B-9397-08002B2CF9AE}" pid="8" name="_dlc_DocIdItemGuid">
    <vt:lpwstr>36349c3b-d585-4f39-8cb6-43715ef21e2e</vt:lpwstr>
  </property>
  <property fmtid="{D5CDD505-2E9C-101B-9397-08002B2CF9AE}" pid="9" name="DisposalClass">
    <vt:lpwstr/>
  </property>
  <property fmtid="{D5CDD505-2E9C-101B-9397-08002B2CF9AE}" pid="10" name="BCS_">
    <vt:lpwstr>35;#Evaluation|43bd8487-b9f6-4055-946c-a118d364275d</vt:lpwstr>
  </property>
</Properties>
</file>