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03187" w14:textId="4D820F40" w:rsidR="002E3895" w:rsidRDefault="00D45DFF" w:rsidP="00D45DFF">
      <w:pPr>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EXPLANATORY STATEMENT</w:t>
      </w:r>
    </w:p>
    <w:p w14:paraId="6348D119" w14:textId="5272FE30" w:rsidR="00D45DFF" w:rsidRDefault="00D45DFF" w:rsidP="000D0E22">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Issued by the authority of the </w:t>
      </w:r>
      <w:r w:rsidR="00921D42">
        <w:rPr>
          <w:rFonts w:ascii="Times New Roman" w:hAnsi="Times New Roman" w:cs="Times New Roman"/>
          <w:sz w:val="24"/>
          <w:szCs w:val="24"/>
          <w:u w:val="single"/>
        </w:rPr>
        <w:t>Minister for Energy and Emissions Reduction</w:t>
      </w:r>
    </w:p>
    <w:p w14:paraId="7B8A89BD" w14:textId="74ACFCFA" w:rsidR="000D0E22" w:rsidRDefault="00921D42" w:rsidP="000D0E22">
      <w:pPr>
        <w:spacing w:before="240" w:after="240"/>
        <w:jc w:val="center"/>
        <w:rPr>
          <w:rFonts w:ascii="Times New Roman" w:hAnsi="Times New Roman" w:cs="Times New Roman"/>
          <w:i/>
          <w:sz w:val="24"/>
          <w:szCs w:val="24"/>
          <w:u w:val="single"/>
        </w:rPr>
      </w:pPr>
      <w:r>
        <w:rPr>
          <w:rFonts w:ascii="Times New Roman" w:hAnsi="Times New Roman" w:cs="Times New Roman"/>
          <w:i/>
          <w:sz w:val="24"/>
          <w:szCs w:val="24"/>
          <w:u w:val="single"/>
        </w:rPr>
        <w:t>Fuel Quality Standards Act 2000</w:t>
      </w:r>
    </w:p>
    <w:p w14:paraId="0CD319D0" w14:textId="4F04D946" w:rsidR="000D0E22" w:rsidRDefault="00921D42" w:rsidP="000D0E22">
      <w:pPr>
        <w:spacing w:before="240" w:after="240"/>
        <w:jc w:val="center"/>
        <w:rPr>
          <w:rFonts w:ascii="Times New Roman" w:hAnsi="Times New Roman" w:cs="Times New Roman"/>
          <w:i/>
          <w:sz w:val="24"/>
          <w:szCs w:val="24"/>
          <w:u w:val="single"/>
        </w:rPr>
      </w:pPr>
      <w:r>
        <w:rPr>
          <w:rFonts w:ascii="Times New Roman" w:hAnsi="Times New Roman" w:cs="Times New Roman"/>
          <w:i/>
          <w:sz w:val="24"/>
          <w:szCs w:val="24"/>
          <w:u w:val="single"/>
        </w:rPr>
        <w:t>Fuel Quality Standards Amendment (Fees) Regulations 2021</w:t>
      </w:r>
    </w:p>
    <w:p w14:paraId="199207AC" w14:textId="77777777" w:rsidR="000D0E22" w:rsidRDefault="000D0E22" w:rsidP="000D0E22">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5F244F49" w14:textId="77777777" w:rsidR="0056517B" w:rsidRDefault="00C50EB2" w:rsidP="000D100E">
      <w:pPr>
        <w:spacing w:before="120" w:after="120"/>
        <w:rPr>
          <w:rFonts w:ascii="Times New Roman" w:hAnsi="Times New Roman" w:cs="Times New Roman"/>
          <w:sz w:val="24"/>
          <w:szCs w:val="24"/>
        </w:rPr>
      </w:pPr>
      <w:r w:rsidRPr="00C50EB2">
        <w:rPr>
          <w:rFonts w:ascii="Times New Roman" w:hAnsi="Times New Roman" w:cs="Times New Roman"/>
          <w:sz w:val="24"/>
          <w:szCs w:val="24"/>
        </w:rPr>
        <w:t xml:space="preserve">The </w:t>
      </w:r>
      <w:r w:rsidRPr="00C50EB2">
        <w:rPr>
          <w:rFonts w:ascii="Times New Roman" w:hAnsi="Times New Roman" w:cs="Times New Roman"/>
          <w:i/>
          <w:sz w:val="24"/>
          <w:szCs w:val="24"/>
        </w:rPr>
        <w:t xml:space="preserve">Fuel Quality Standards Act 2000 </w:t>
      </w:r>
      <w:r w:rsidRPr="00C50EB2">
        <w:rPr>
          <w:rFonts w:ascii="Times New Roman" w:hAnsi="Times New Roman" w:cs="Times New Roman"/>
          <w:sz w:val="24"/>
          <w:szCs w:val="24"/>
        </w:rPr>
        <w:t>(the Act) provides the legislative framework for regulating the quality</w:t>
      </w:r>
      <w:r w:rsidR="00F7712E">
        <w:rPr>
          <w:rFonts w:ascii="Times New Roman" w:hAnsi="Times New Roman" w:cs="Times New Roman"/>
          <w:sz w:val="24"/>
          <w:szCs w:val="24"/>
        </w:rPr>
        <w:t xml:space="preserve"> of fuel supplied in Australia. </w:t>
      </w:r>
    </w:p>
    <w:p w14:paraId="596922A6" w14:textId="6AF08A7D" w:rsidR="000D100E" w:rsidRDefault="00F7712E" w:rsidP="000D100E">
      <w:pPr>
        <w:spacing w:before="120" w:after="120"/>
        <w:rPr>
          <w:rFonts w:ascii="Times New Roman" w:hAnsi="Times New Roman" w:cs="Times New Roman"/>
          <w:sz w:val="24"/>
          <w:szCs w:val="24"/>
        </w:rPr>
      </w:pPr>
      <w:r>
        <w:rPr>
          <w:rFonts w:ascii="Times New Roman" w:hAnsi="Times New Roman" w:cs="Times New Roman"/>
          <w:sz w:val="24"/>
          <w:szCs w:val="24"/>
        </w:rPr>
        <w:t>The</w:t>
      </w:r>
      <w:r w:rsidR="00C50EB2" w:rsidRPr="00C50EB2">
        <w:rPr>
          <w:rFonts w:ascii="Times New Roman" w:hAnsi="Times New Roman" w:cs="Times New Roman"/>
          <w:sz w:val="24"/>
          <w:szCs w:val="24"/>
        </w:rPr>
        <w:t xml:space="preserve"> </w:t>
      </w:r>
      <w:r w:rsidR="00C50EB2" w:rsidRPr="00C50EB2">
        <w:rPr>
          <w:rFonts w:ascii="Times New Roman" w:hAnsi="Times New Roman" w:cs="Times New Roman"/>
          <w:i/>
          <w:iCs/>
          <w:sz w:val="24"/>
          <w:szCs w:val="24"/>
        </w:rPr>
        <w:t>Fuel Quality Standards Regulations 2019</w:t>
      </w:r>
      <w:r w:rsidR="000D100E">
        <w:rPr>
          <w:rFonts w:ascii="Times New Roman" w:hAnsi="Times New Roman" w:cs="Times New Roman"/>
          <w:sz w:val="24"/>
          <w:szCs w:val="24"/>
        </w:rPr>
        <w:t xml:space="preserve"> (the </w:t>
      </w:r>
      <w:r w:rsidR="003707FF">
        <w:rPr>
          <w:rFonts w:ascii="Times New Roman" w:hAnsi="Times New Roman" w:cs="Times New Roman"/>
          <w:sz w:val="24"/>
          <w:szCs w:val="24"/>
        </w:rPr>
        <w:t xml:space="preserve">Principal </w:t>
      </w:r>
      <w:r w:rsidR="000D100E">
        <w:rPr>
          <w:rFonts w:ascii="Times New Roman" w:hAnsi="Times New Roman" w:cs="Times New Roman"/>
          <w:sz w:val="24"/>
          <w:szCs w:val="24"/>
        </w:rPr>
        <w:t>Regulations)</w:t>
      </w:r>
      <w:r w:rsidR="00C50EB2" w:rsidRPr="00C50EB2">
        <w:rPr>
          <w:rFonts w:ascii="Times New Roman" w:hAnsi="Times New Roman" w:cs="Times New Roman"/>
          <w:sz w:val="24"/>
          <w:szCs w:val="24"/>
        </w:rPr>
        <w:t xml:space="preserve"> provide the administrative detail for a variety of matters</w:t>
      </w:r>
      <w:r w:rsidR="000D100E">
        <w:rPr>
          <w:rFonts w:ascii="Times New Roman" w:hAnsi="Times New Roman" w:cs="Times New Roman"/>
          <w:sz w:val="24"/>
          <w:szCs w:val="24"/>
        </w:rPr>
        <w:t xml:space="preserve"> </w:t>
      </w:r>
      <w:r w:rsidR="005B2E57">
        <w:rPr>
          <w:rFonts w:ascii="Times New Roman" w:hAnsi="Times New Roman" w:cs="Times New Roman"/>
          <w:sz w:val="24"/>
          <w:szCs w:val="24"/>
        </w:rPr>
        <w:t>deal</w:t>
      </w:r>
      <w:r w:rsidR="00930CDA">
        <w:rPr>
          <w:rFonts w:ascii="Times New Roman" w:hAnsi="Times New Roman" w:cs="Times New Roman"/>
          <w:sz w:val="24"/>
          <w:szCs w:val="24"/>
        </w:rPr>
        <w:t>t</w:t>
      </w:r>
      <w:r w:rsidR="005B2E57">
        <w:rPr>
          <w:rFonts w:ascii="Times New Roman" w:hAnsi="Times New Roman" w:cs="Times New Roman"/>
          <w:sz w:val="24"/>
          <w:szCs w:val="24"/>
        </w:rPr>
        <w:t xml:space="preserve"> with </w:t>
      </w:r>
      <w:r w:rsidR="000D100E">
        <w:rPr>
          <w:rFonts w:ascii="Times New Roman" w:hAnsi="Times New Roman" w:cs="Times New Roman"/>
          <w:sz w:val="24"/>
          <w:szCs w:val="24"/>
        </w:rPr>
        <w:t>under the Act</w:t>
      </w:r>
      <w:r w:rsidR="00C50EB2" w:rsidRPr="00C50EB2">
        <w:rPr>
          <w:rFonts w:ascii="Times New Roman" w:hAnsi="Times New Roman" w:cs="Times New Roman"/>
          <w:sz w:val="24"/>
          <w:szCs w:val="24"/>
        </w:rPr>
        <w:t>, including application processes for an approval to vary a fuel standard.</w:t>
      </w:r>
    </w:p>
    <w:p w14:paraId="7E304085" w14:textId="715B7F59" w:rsidR="00921D42" w:rsidRDefault="00921D42" w:rsidP="00547F8D">
      <w:pPr>
        <w:spacing w:before="120" w:after="120"/>
        <w:rPr>
          <w:rFonts w:ascii="Times New Roman" w:hAnsi="Times New Roman" w:cs="Times New Roman"/>
          <w:sz w:val="24"/>
          <w:szCs w:val="24"/>
        </w:rPr>
      </w:pPr>
      <w:r>
        <w:rPr>
          <w:rFonts w:ascii="Times New Roman" w:hAnsi="Times New Roman" w:cs="Times New Roman"/>
          <w:sz w:val="24"/>
          <w:szCs w:val="24"/>
        </w:rPr>
        <w:t xml:space="preserve">The </w:t>
      </w:r>
      <w:r w:rsidR="001A079F">
        <w:rPr>
          <w:rFonts w:ascii="Times New Roman" w:hAnsi="Times New Roman" w:cs="Times New Roman"/>
          <w:sz w:val="24"/>
          <w:szCs w:val="24"/>
        </w:rPr>
        <w:t xml:space="preserve">purpose of the </w:t>
      </w:r>
      <w:r w:rsidRPr="009732E6">
        <w:rPr>
          <w:rFonts w:ascii="Times New Roman" w:hAnsi="Times New Roman" w:cs="Times New Roman"/>
          <w:i/>
          <w:sz w:val="24"/>
          <w:szCs w:val="24"/>
        </w:rPr>
        <w:t>Fuel Quality Standards Amendment (Fees) Regulations 2021</w:t>
      </w:r>
      <w:r w:rsidR="003449DB">
        <w:rPr>
          <w:rFonts w:ascii="Times New Roman" w:hAnsi="Times New Roman" w:cs="Times New Roman"/>
          <w:sz w:val="24"/>
          <w:szCs w:val="24"/>
        </w:rPr>
        <w:t xml:space="preserve"> (the Amendment Regulations)</w:t>
      </w:r>
      <w:r>
        <w:rPr>
          <w:rFonts w:ascii="Times New Roman" w:hAnsi="Times New Roman" w:cs="Times New Roman"/>
          <w:sz w:val="24"/>
          <w:szCs w:val="24"/>
        </w:rPr>
        <w:t xml:space="preserve"> </w:t>
      </w:r>
      <w:r w:rsidR="002A4542">
        <w:rPr>
          <w:rFonts w:ascii="Times New Roman" w:hAnsi="Times New Roman" w:cs="Times New Roman"/>
          <w:sz w:val="24"/>
          <w:szCs w:val="24"/>
        </w:rPr>
        <w:t>is to ensure that applicants for a variation to a fuel standard made under section 13 of the Act no longer pay application fees</w:t>
      </w:r>
      <w:r>
        <w:rPr>
          <w:rFonts w:ascii="Times New Roman" w:hAnsi="Times New Roman" w:cs="Times New Roman"/>
          <w:sz w:val="24"/>
          <w:szCs w:val="24"/>
        </w:rPr>
        <w:t xml:space="preserve">. The amendment is part of a broader package of measures announced in the </w:t>
      </w:r>
      <w:r w:rsidRPr="002F0AF4">
        <w:rPr>
          <w:rFonts w:ascii="Times New Roman" w:hAnsi="Times New Roman" w:cs="Times New Roman"/>
          <w:sz w:val="24"/>
          <w:szCs w:val="24"/>
        </w:rPr>
        <w:t>2020</w:t>
      </w:r>
      <w:r w:rsidR="00641BB0" w:rsidRPr="009732E6">
        <w:rPr>
          <w:rFonts w:ascii="Times New Roman" w:hAnsi="Times New Roman" w:cs="Times New Roman"/>
          <w:sz w:val="24"/>
          <w:szCs w:val="24"/>
        </w:rPr>
        <w:t>-21</w:t>
      </w:r>
      <w:r w:rsidRPr="002F0AF4">
        <w:rPr>
          <w:rFonts w:ascii="Times New Roman" w:hAnsi="Times New Roman" w:cs="Times New Roman"/>
          <w:sz w:val="24"/>
          <w:szCs w:val="24"/>
        </w:rPr>
        <w:t xml:space="preserve"> Budget</w:t>
      </w:r>
      <w:r>
        <w:rPr>
          <w:rFonts w:ascii="Times New Roman" w:hAnsi="Times New Roman" w:cs="Times New Roman"/>
          <w:sz w:val="24"/>
          <w:szCs w:val="24"/>
        </w:rPr>
        <w:t xml:space="preserve"> to improve Australia’s fuel security.  </w:t>
      </w:r>
    </w:p>
    <w:p w14:paraId="300E5C6B" w14:textId="18428E2F" w:rsidR="00625E49" w:rsidRDefault="005B2E57" w:rsidP="00D75FFD">
      <w:pPr>
        <w:spacing w:before="120" w:after="120"/>
        <w:rPr>
          <w:rFonts w:ascii="Times New Roman" w:hAnsi="Times New Roman" w:cs="Times New Roman"/>
          <w:sz w:val="24"/>
          <w:szCs w:val="24"/>
        </w:rPr>
      </w:pPr>
      <w:r>
        <w:rPr>
          <w:rFonts w:ascii="Times New Roman" w:hAnsi="Times New Roman" w:cs="Times New Roman"/>
          <w:sz w:val="24"/>
          <w:szCs w:val="24"/>
        </w:rPr>
        <w:t>U</w:t>
      </w:r>
      <w:r w:rsidR="00921D42">
        <w:rPr>
          <w:rFonts w:ascii="Times New Roman" w:hAnsi="Times New Roman" w:cs="Times New Roman"/>
          <w:sz w:val="24"/>
          <w:szCs w:val="24"/>
        </w:rPr>
        <w:t>nder section 13 of the Act</w:t>
      </w:r>
      <w:r w:rsidR="002A4542">
        <w:rPr>
          <w:rFonts w:ascii="Times New Roman" w:hAnsi="Times New Roman" w:cs="Times New Roman"/>
          <w:sz w:val="24"/>
          <w:szCs w:val="24"/>
        </w:rPr>
        <w:t>,</w:t>
      </w:r>
      <w:r w:rsidR="00921D42">
        <w:rPr>
          <w:rFonts w:ascii="Times New Roman" w:hAnsi="Times New Roman" w:cs="Times New Roman"/>
          <w:sz w:val="24"/>
          <w:szCs w:val="24"/>
        </w:rPr>
        <w:t xml:space="preserve"> the Minister has the authority to approve a variation to a fuel standard.</w:t>
      </w:r>
      <w:r w:rsidR="0056517B" w:rsidRPr="0056517B">
        <w:rPr>
          <w:rFonts w:ascii="Times New Roman" w:hAnsi="Times New Roman" w:cs="Times New Roman"/>
          <w:sz w:val="24"/>
          <w:szCs w:val="24"/>
        </w:rPr>
        <w:t xml:space="preserve"> </w:t>
      </w:r>
      <w:r w:rsidR="00D76AA5">
        <w:rPr>
          <w:rFonts w:ascii="Times New Roman" w:hAnsi="Times New Roman" w:cs="Times New Roman"/>
          <w:sz w:val="24"/>
          <w:szCs w:val="24"/>
        </w:rPr>
        <w:t xml:space="preserve">The Minister can approve a variation to </w:t>
      </w:r>
      <w:r w:rsidR="00A46787">
        <w:rPr>
          <w:rFonts w:ascii="Times New Roman" w:hAnsi="Times New Roman" w:cs="Times New Roman"/>
          <w:sz w:val="24"/>
          <w:szCs w:val="24"/>
        </w:rPr>
        <w:t xml:space="preserve">a </w:t>
      </w:r>
      <w:r w:rsidR="00D76AA5">
        <w:rPr>
          <w:rFonts w:ascii="Times New Roman" w:hAnsi="Times New Roman" w:cs="Times New Roman"/>
          <w:sz w:val="24"/>
          <w:szCs w:val="24"/>
        </w:rPr>
        <w:t xml:space="preserve">fuel standard after an application to do so is received, provided the application is made in accordance with the Principal Regulations (section 14(1) of the Act). </w:t>
      </w:r>
      <w:r w:rsidR="00370830">
        <w:rPr>
          <w:rFonts w:ascii="Times New Roman" w:hAnsi="Times New Roman" w:cs="Times New Roman"/>
          <w:sz w:val="24"/>
          <w:szCs w:val="24"/>
        </w:rPr>
        <w:t xml:space="preserve">Section 14(2) of the Act </w:t>
      </w:r>
      <w:r w:rsidR="00D76AA5">
        <w:rPr>
          <w:rFonts w:ascii="Times New Roman" w:hAnsi="Times New Roman" w:cs="Times New Roman"/>
          <w:sz w:val="24"/>
          <w:szCs w:val="24"/>
        </w:rPr>
        <w:t xml:space="preserve">provides </w:t>
      </w:r>
      <w:r w:rsidR="00370830">
        <w:rPr>
          <w:rFonts w:ascii="Times New Roman" w:hAnsi="Times New Roman" w:cs="Times New Roman"/>
          <w:sz w:val="24"/>
          <w:szCs w:val="24"/>
        </w:rPr>
        <w:t>that an</w:t>
      </w:r>
      <w:r w:rsidR="00370830" w:rsidRPr="00370830">
        <w:t xml:space="preserve"> </w:t>
      </w:r>
      <w:r w:rsidR="00370830" w:rsidRPr="00370830">
        <w:rPr>
          <w:rFonts w:ascii="Times New Roman" w:hAnsi="Times New Roman" w:cs="Times New Roman"/>
          <w:sz w:val="24"/>
          <w:szCs w:val="24"/>
        </w:rPr>
        <w:t>application must be acc</w:t>
      </w:r>
      <w:r w:rsidR="00370830">
        <w:rPr>
          <w:rFonts w:ascii="Times New Roman" w:hAnsi="Times New Roman" w:cs="Times New Roman"/>
          <w:sz w:val="24"/>
          <w:szCs w:val="24"/>
        </w:rPr>
        <w:t xml:space="preserve">ompanied by the application fee if any is </w:t>
      </w:r>
      <w:r w:rsidR="00370830" w:rsidRPr="00370830">
        <w:rPr>
          <w:rFonts w:ascii="Times New Roman" w:hAnsi="Times New Roman" w:cs="Times New Roman"/>
          <w:sz w:val="24"/>
          <w:szCs w:val="24"/>
        </w:rPr>
        <w:t xml:space="preserve">prescribed by the </w:t>
      </w:r>
      <w:r w:rsidR="00625E49">
        <w:rPr>
          <w:rFonts w:ascii="Times New Roman" w:hAnsi="Times New Roman" w:cs="Times New Roman"/>
          <w:sz w:val="24"/>
          <w:szCs w:val="24"/>
        </w:rPr>
        <w:t>Principal R</w:t>
      </w:r>
      <w:r w:rsidR="00370830" w:rsidRPr="00370830">
        <w:rPr>
          <w:rFonts w:ascii="Times New Roman" w:hAnsi="Times New Roman" w:cs="Times New Roman"/>
          <w:sz w:val="24"/>
          <w:szCs w:val="24"/>
        </w:rPr>
        <w:t>egulations.</w:t>
      </w:r>
      <w:r w:rsidR="00370830">
        <w:rPr>
          <w:rFonts w:ascii="Times New Roman" w:hAnsi="Times New Roman" w:cs="Times New Roman"/>
          <w:sz w:val="24"/>
          <w:szCs w:val="24"/>
        </w:rPr>
        <w:t xml:space="preserve"> </w:t>
      </w:r>
      <w:r w:rsidR="0056517B">
        <w:rPr>
          <w:rFonts w:ascii="Times New Roman" w:hAnsi="Times New Roman" w:cs="Times New Roman"/>
          <w:sz w:val="24"/>
          <w:szCs w:val="24"/>
        </w:rPr>
        <w:t xml:space="preserve">Regulation 9 </w:t>
      </w:r>
      <w:r>
        <w:rPr>
          <w:rFonts w:ascii="Times New Roman" w:hAnsi="Times New Roman" w:cs="Times New Roman"/>
          <w:sz w:val="24"/>
          <w:szCs w:val="24"/>
        </w:rPr>
        <w:t xml:space="preserve">of the Principal Regulations </w:t>
      </w:r>
      <w:r w:rsidR="0056517B">
        <w:rPr>
          <w:rFonts w:ascii="Times New Roman" w:hAnsi="Times New Roman" w:cs="Times New Roman"/>
          <w:sz w:val="24"/>
          <w:szCs w:val="24"/>
        </w:rPr>
        <w:t>prescribes a flat application fee of $5,944.</w:t>
      </w:r>
      <w:r w:rsidR="00921D42">
        <w:rPr>
          <w:rFonts w:ascii="Times New Roman" w:hAnsi="Times New Roman" w:cs="Times New Roman"/>
          <w:sz w:val="24"/>
          <w:szCs w:val="24"/>
        </w:rPr>
        <w:t xml:space="preserve"> </w:t>
      </w:r>
    </w:p>
    <w:p w14:paraId="79CAA5B0" w14:textId="25353A9D" w:rsidR="00176597" w:rsidRPr="0072540E" w:rsidRDefault="00625E49" w:rsidP="00D75FFD">
      <w:pPr>
        <w:spacing w:before="120" w:after="120"/>
        <w:rPr>
          <w:rFonts w:ascii="Times New Roman" w:hAnsi="Times New Roman" w:cs="Times New Roman"/>
          <w:sz w:val="24"/>
          <w:szCs w:val="24"/>
        </w:rPr>
      </w:pPr>
      <w:r>
        <w:rPr>
          <w:rFonts w:ascii="Times New Roman" w:hAnsi="Times New Roman" w:cs="Times New Roman"/>
          <w:sz w:val="24"/>
          <w:szCs w:val="24"/>
        </w:rPr>
        <w:t xml:space="preserve">The flat application </w:t>
      </w:r>
      <w:r w:rsidR="002F0AF4">
        <w:rPr>
          <w:rFonts w:ascii="Times New Roman" w:hAnsi="Times New Roman" w:cs="Times New Roman"/>
          <w:sz w:val="24"/>
          <w:szCs w:val="24"/>
        </w:rPr>
        <w:t>fee ha</w:t>
      </w:r>
      <w:r>
        <w:rPr>
          <w:rFonts w:ascii="Times New Roman" w:hAnsi="Times New Roman" w:cs="Times New Roman"/>
          <w:sz w:val="24"/>
          <w:szCs w:val="24"/>
        </w:rPr>
        <w:t xml:space="preserve">s a disproportionate administrative and financial impact on small </w:t>
      </w:r>
      <w:proofErr w:type="gramStart"/>
      <w:r>
        <w:rPr>
          <w:rFonts w:ascii="Times New Roman" w:hAnsi="Times New Roman" w:cs="Times New Roman"/>
          <w:sz w:val="24"/>
          <w:szCs w:val="24"/>
        </w:rPr>
        <w:t>businesses</w:t>
      </w:r>
      <w:proofErr w:type="gramEnd"/>
      <w:r>
        <w:rPr>
          <w:rFonts w:ascii="Times New Roman" w:hAnsi="Times New Roman" w:cs="Times New Roman"/>
          <w:sz w:val="24"/>
          <w:szCs w:val="24"/>
        </w:rPr>
        <w:t xml:space="preserve"> while being of relatively little consequence for large multinational companies. To resolve these disproportionate impacts, t</w:t>
      </w:r>
      <w:r w:rsidR="00921D42">
        <w:rPr>
          <w:rFonts w:ascii="Times New Roman" w:hAnsi="Times New Roman" w:cs="Times New Roman"/>
          <w:sz w:val="24"/>
          <w:szCs w:val="24"/>
        </w:rPr>
        <w:t xml:space="preserve">he </w:t>
      </w:r>
      <w:r w:rsidR="003449DB">
        <w:rPr>
          <w:rFonts w:ascii="Times New Roman" w:hAnsi="Times New Roman" w:cs="Times New Roman"/>
          <w:sz w:val="24"/>
          <w:szCs w:val="24"/>
        </w:rPr>
        <w:t>A</w:t>
      </w:r>
      <w:r w:rsidR="00921D42">
        <w:rPr>
          <w:rFonts w:ascii="Times New Roman" w:hAnsi="Times New Roman" w:cs="Times New Roman"/>
          <w:sz w:val="24"/>
          <w:szCs w:val="24"/>
        </w:rPr>
        <w:t xml:space="preserve">mendment </w:t>
      </w:r>
      <w:r w:rsidR="003449DB">
        <w:rPr>
          <w:rFonts w:ascii="Times New Roman" w:hAnsi="Times New Roman" w:cs="Times New Roman"/>
          <w:sz w:val="24"/>
          <w:szCs w:val="24"/>
        </w:rPr>
        <w:t>R</w:t>
      </w:r>
      <w:r w:rsidR="00921D42">
        <w:rPr>
          <w:rFonts w:ascii="Times New Roman" w:hAnsi="Times New Roman" w:cs="Times New Roman"/>
          <w:sz w:val="24"/>
          <w:szCs w:val="24"/>
        </w:rPr>
        <w:t>egulations remove the application fee</w:t>
      </w:r>
      <w:r>
        <w:rPr>
          <w:rFonts w:ascii="Times New Roman" w:hAnsi="Times New Roman" w:cs="Times New Roman"/>
          <w:sz w:val="24"/>
          <w:szCs w:val="24"/>
        </w:rPr>
        <w:t xml:space="preserve"> prescribed by regulation 9 of the Principal Regulations. Doing so minimises</w:t>
      </w:r>
      <w:r w:rsidR="00921D42">
        <w:rPr>
          <w:rFonts w:ascii="Times New Roman" w:hAnsi="Times New Roman" w:cs="Times New Roman"/>
          <w:sz w:val="24"/>
          <w:szCs w:val="24"/>
        </w:rPr>
        <w:t xml:space="preserve"> the administrative burden </w:t>
      </w:r>
      <w:r w:rsidR="005B2E57">
        <w:rPr>
          <w:rFonts w:ascii="Times New Roman" w:hAnsi="Times New Roman" w:cs="Times New Roman"/>
          <w:sz w:val="24"/>
          <w:szCs w:val="24"/>
        </w:rPr>
        <w:t xml:space="preserve">of </w:t>
      </w:r>
      <w:r w:rsidR="00921D42">
        <w:rPr>
          <w:rFonts w:ascii="Times New Roman" w:hAnsi="Times New Roman" w:cs="Times New Roman"/>
          <w:sz w:val="24"/>
          <w:szCs w:val="24"/>
        </w:rPr>
        <w:t xml:space="preserve">either paying the </w:t>
      </w:r>
      <w:r>
        <w:rPr>
          <w:rFonts w:ascii="Times New Roman" w:hAnsi="Times New Roman" w:cs="Times New Roman"/>
          <w:sz w:val="24"/>
          <w:szCs w:val="24"/>
        </w:rPr>
        <w:t xml:space="preserve">application </w:t>
      </w:r>
      <w:r w:rsidR="00921D42">
        <w:rPr>
          <w:rFonts w:ascii="Times New Roman" w:hAnsi="Times New Roman" w:cs="Times New Roman"/>
          <w:sz w:val="24"/>
          <w:szCs w:val="24"/>
        </w:rPr>
        <w:t>fee</w:t>
      </w:r>
      <w:r>
        <w:rPr>
          <w:rFonts w:ascii="Times New Roman" w:hAnsi="Times New Roman" w:cs="Times New Roman"/>
          <w:sz w:val="24"/>
          <w:szCs w:val="24"/>
        </w:rPr>
        <w:t>,</w:t>
      </w:r>
      <w:r w:rsidR="00921D42">
        <w:rPr>
          <w:rFonts w:ascii="Times New Roman" w:hAnsi="Times New Roman" w:cs="Times New Roman"/>
          <w:sz w:val="24"/>
          <w:szCs w:val="24"/>
        </w:rPr>
        <w:t xml:space="preserve"> or developing a business case to suppo</w:t>
      </w:r>
      <w:r w:rsidR="002A4542">
        <w:rPr>
          <w:rFonts w:ascii="Times New Roman" w:hAnsi="Times New Roman" w:cs="Times New Roman"/>
          <w:sz w:val="24"/>
          <w:szCs w:val="24"/>
        </w:rPr>
        <w:t xml:space="preserve">rt waiving the </w:t>
      </w:r>
      <w:r>
        <w:rPr>
          <w:rFonts w:ascii="Times New Roman" w:hAnsi="Times New Roman" w:cs="Times New Roman"/>
          <w:sz w:val="24"/>
          <w:szCs w:val="24"/>
        </w:rPr>
        <w:t xml:space="preserve">application </w:t>
      </w:r>
      <w:r w:rsidR="002A4542">
        <w:rPr>
          <w:rFonts w:ascii="Times New Roman" w:hAnsi="Times New Roman" w:cs="Times New Roman"/>
          <w:sz w:val="24"/>
          <w:szCs w:val="24"/>
        </w:rPr>
        <w:t xml:space="preserve">fee. </w:t>
      </w:r>
    </w:p>
    <w:p w14:paraId="442F71EF"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lastRenderedPageBreak/>
        <w:t>Authority</w:t>
      </w:r>
    </w:p>
    <w:p w14:paraId="6B32AC32" w14:textId="52EBEC0A" w:rsidR="0072540E" w:rsidRPr="0072540E" w:rsidRDefault="00D75FFD" w:rsidP="00547F8D">
      <w:pPr>
        <w:spacing w:before="120" w:after="120"/>
        <w:rPr>
          <w:rFonts w:ascii="Times New Roman" w:hAnsi="Times New Roman" w:cs="Times New Roman"/>
          <w:sz w:val="24"/>
          <w:szCs w:val="24"/>
        </w:rPr>
      </w:pPr>
      <w:r>
        <w:rPr>
          <w:rFonts w:ascii="Times New Roman" w:hAnsi="Times New Roman" w:cs="Times New Roman"/>
          <w:sz w:val="24"/>
          <w:szCs w:val="24"/>
        </w:rPr>
        <w:t>Section 73</w:t>
      </w:r>
      <w:r w:rsidR="00BB5C0C">
        <w:rPr>
          <w:rFonts w:ascii="Times New Roman" w:hAnsi="Times New Roman" w:cs="Times New Roman"/>
          <w:sz w:val="24"/>
          <w:szCs w:val="24"/>
        </w:rPr>
        <w:t xml:space="preserve"> of the Act provides that the Governor-General may make regulations prescribing matters required or permitted by the Act to be prescribed, or necessary or convenient to be prescribed or carrying out or giving effect to the Act</w:t>
      </w:r>
      <w:r>
        <w:rPr>
          <w:rFonts w:ascii="Times New Roman" w:hAnsi="Times New Roman" w:cs="Times New Roman"/>
          <w:sz w:val="24"/>
          <w:szCs w:val="24"/>
        </w:rPr>
        <w:t xml:space="preserve">.  </w:t>
      </w:r>
    </w:p>
    <w:p w14:paraId="1204FA38"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63FFFA27" w14:textId="65643EBF" w:rsidR="0072540E" w:rsidRPr="0072540E" w:rsidRDefault="00D119F7" w:rsidP="00547F8D">
      <w:pPr>
        <w:spacing w:before="120" w:after="120"/>
        <w:rPr>
          <w:rFonts w:ascii="Times New Roman" w:hAnsi="Times New Roman" w:cs="Times New Roman"/>
          <w:sz w:val="24"/>
          <w:szCs w:val="24"/>
        </w:rPr>
      </w:pPr>
      <w:r>
        <w:rPr>
          <w:rFonts w:ascii="Times New Roman" w:hAnsi="Times New Roman" w:cs="Times New Roman"/>
          <w:sz w:val="24"/>
          <w:szCs w:val="24"/>
        </w:rPr>
        <w:t xml:space="preserve">The </w:t>
      </w:r>
      <w:r w:rsidR="003449DB">
        <w:rPr>
          <w:rFonts w:ascii="Times New Roman" w:hAnsi="Times New Roman" w:cs="Times New Roman"/>
          <w:sz w:val="24"/>
          <w:szCs w:val="24"/>
        </w:rPr>
        <w:t>A</w:t>
      </w:r>
      <w:r>
        <w:rPr>
          <w:rFonts w:ascii="Times New Roman" w:hAnsi="Times New Roman" w:cs="Times New Roman"/>
          <w:sz w:val="24"/>
          <w:szCs w:val="24"/>
        </w:rPr>
        <w:t xml:space="preserve">mendment </w:t>
      </w:r>
      <w:r w:rsidR="003449DB">
        <w:rPr>
          <w:rFonts w:ascii="Times New Roman" w:hAnsi="Times New Roman" w:cs="Times New Roman"/>
          <w:sz w:val="24"/>
          <w:szCs w:val="24"/>
        </w:rPr>
        <w:t xml:space="preserve">Regulations </w:t>
      </w:r>
      <w:r>
        <w:rPr>
          <w:rFonts w:ascii="Times New Roman" w:hAnsi="Times New Roman" w:cs="Times New Roman"/>
          <w:sz w:val="24"/>
          <w:szCs w:val="24"/>
        </w:rPr>
        <w:t>w</w:t>
      </w:r>
      <w:r w:rsidR="003449DB">
        <w:rPr>
          <w:rFonts w:ascii="Times New Roman" w:hAnsi="Times New Roman" w:cs="Times New Roman"/>
          <w:sz w:val="24"/>
          <w:szCs w:val="24"/>
        </w:rPr>
        <w:t>ere</w:t>
      </w:r>
      <w:r>
        <w:rPr>
          <w:rFonts w:ascii="Times New Roman" w:hAnsi="Times New Roman" w:cs="Times New Roman"/>
          <w:sz w:val="24"/>
          <w:szCs w:val="24"/>
        </w:rPr>
        <w:t xml:space="preserve"> developed following extensive stakeholder feedback relating to the administrative and cost impost of the </w:t>
      </w:r>
      <w:r w:rsidR="005B2E57">
        <w:rPr>
          <w:rFonts w:ascii="Times New Roman" w:hAnsi="Times New Roman" w:cs="Times New Roman"/>
          <w:sz w:val="24"/>
          <w:szCs w:val="24"/>
        </w:rPr>
        <w:t xml:space="preserve">application </w:t>
      </w:r>
      <w:r>
        <w:rPr>
          <w:rFonts w:ascii="Times New Roman" w:hAnsi="Times New Roman" w:cs="Times New Roman"/>
          <w:sz w:val="24"/>
          <w:szCs w:val="24"/>
        </w:rPr>
        <w:t xml:space="preserve">fee structure. The financial burden </w:t>
      </w:r>
      <w:r w:rsidR="005B2E57">
        <w:rPr>
          <w:rFonts w:ascii="Times New Roman" w:hAnsi="Times New Roman" w:cs="Times New Roman"/>
          <w:sz w:val="24"/>
          <w:szCs w:val="24"/>
        </w:rPr>
        <w:t>of the application fees w</w:t>
      </w:r>
      <w:r>
        <w:rPr>
          <w:rFonts w:ascii="Times New Roman" w:hAnsi="Times New Roman" w:cs="Times New Roman"/>
          <w:sz w:val="24"/>
          <w:szCs w:val="24"/>
        </w:rPr>
        <w:t xml:space="preserve">as raised by small fuel suppliers, which are often family businesses, as being excessive, time-consuming, and overly complicated to seek to reduce. </w:t>
      </w:r>
    </w:p>
    <w:p w14:paraId="6E2C92C4" w14:textId="77777777" w:rsidR="000D0E22" w:rsidRDefault="000D0E22" w:rsidP="00281EBF">
      <w:pPr>
        <w:keepNext/>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17EB28FC" w14:textId="763995B7" w:rsidR="000D0E22" w:rsidRDefault="00D75FFD" w:rsidP="00DF78AE">
      <w:pPr>
        <w:spacing w:before="120" w:after="120"/>
        <w:rPr>
          <w:rFonts w:ascii="Times New Roman" w:hAnsi="Times New Roman" w:cs="Times New Roman"/>
          <w:b/>
          <w:sz w:val="24"/>
          <w:szCs w:val="24"/>
          <w:u w:val="single"/>
        </w:rPr>
      </w:pPr>
      <w:r>
        <w:rPr>
          <w:rFonts w:ascii="Times New Roman" w:hAnsi="Times New Roman" w:cs="Times New Roman"/>
          <w:sz w:val="24"/>
          <w:szCs w:val="24"/>
        </w:rPr>
        <w:t>The regulatory impact of this amendment was assessed as minor and requiring a short form Regulation Impact Statement which was completed by the Office of Best Practice Regulation (OBPR ID 26199)</w:t>
      </w:r>
      <w:r w:rsidR="006472E0">
        <w:rPr>
          <w:rFonts w:ascii="Times New Roman" w:hAnsi="Times New Roman" w:cs="Times New Roman"/>
          <w:sz w:val="24"/>
          <w:szCs w:val="24"/>
        </w:rPr>
        <w:t>.</w:t>
      </w:r>
    </w:p>
    <w:p w14:paraId="338FF775" w14:textId="77777777" w:rsidR="000D0E22" w:rsidRDefault="000D0E22" w:rsidP="000D0E22">
      <w:pPr>
        <w:spacing w:before="240" w:after="240"/>
        <w:rPr>
          <w:rFonts w:ascii="Times New Roman" w:hAnsi="Times New Roman" w:cs="Times New Roman"/>
          <w:b/>
          <w:sz w:val="24"/>
          <w:szCs w:val="24"/>
          <w:u w:val="single"/>
        </w:rPr>
        <w:sectPr w:rsidR="000D0E22">
          <w:pgSz w:w="11906" w:h="16838"/>
          <w:pgMar w:top="1440" w:right="1440" w:bottom="1440" w:left="1440" w:header="708" w:footer="708" w:gutter="0"/>
          <w:cols w:space="708"/>
          <w:docGrid w:linePitch="360"/>
        </w:sectPr>
      </w:pPr>
    </w:p>
    <w:p w14:paraId="351507EA" w14:textId="509FBF29" w:rsidR="000D0E22" w:rsidRDefault="000D0E22" w:rsidP="000D0E22">
      <w:pPr>
        <w:spacing w:before="240" w:after="240"/>
        <w:rPr>
          <w:rFonts w:ascii="Times New Roman" w:hAnsi="Times New Roman" w:cs="Times New Roman"/>
          <w:b/>
          <w:sz w:val="24"/>
          <w:szCs w:val="24"/>
        </w:rPr>
      </w:pPr>
      <w:r>
        <w:rPr>
          <w:rFonts w:ascii="Times New Roman" w:hAnsi="Times New Roman" w:cs="Times New Roman"/>
          <w:b/>
          <w:sz w:val="24"/>
          <w:szCs w:val="24"/>
          <w:u w:val="single"/>
        </w:rPr>
        <w:lastRenderedPageBreak/>
        <w:t xml:space="preserve">Details of the </w:t>
      </w:r>
      <w:r w:rsidR="00CA26A4" w:rsidRPr="0086590A">
        <w:rPr>
          <w:rFonts w:ascii="Times New Roman" w:hAnsi="Times New Roman" w:cs="Times New Roman"/>
          <w:b/>
          <w:sz w:val="24"/>
          <w:szCs w:val="24"/>
          <w:u w:val="single"/>
        </w:rPr>
        <w:t>Fuel Quality Standards Amendment (Fees) Regulations 2021</w:t>
      </w:r>
    </w:p>
    <w:p w14:paraId="7EC9F454" w14:textId="77777777" w:rsidR="006745C3" w:rsidRPr="00F02C5F" w:rsidRDefault="006745C3" w:rsidP="006745C3">
      <w:pPr>
        <w:spacing w:before="360"/>
        <w:rPr>
          <w:rFonts w:ascii="Times New Roman" w:hAnsi="Times New Roman" w:cs="Times New Roman"/>
          <w:sz w:val="24"/>
          <w:szCs w:val="24"/>
          <w:u w:val="single"/>
        </w:rPr>
      </w:pPr>
      <w:r w:rsidRPr="00F02C5F">
        <w:rPr>
          <w:rFonts w:ascii="Times New Roman" w:hAnsi="Times New Roman" w:cs="Times New Roman"/>
          <w:sz w:val="24"/>
          <w:szCs w:val="24"/>
          <w:u w:val="single"/>
        </w:rPr>
        <w:t>Section 1 – Name of Instrument</w:t>
      </w:r>
    </w:p>
    <w:p w14:paraId="24AF2701" w14:textId="259B0BE8" w:rsidR="006745C3" w:rsidRP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 xml:space="preserve">specifies the name of the </w:t>
      </w:r>
      <w:r w:rsidR="003449DB">
        <w:rPr>
          <w:rFonts w:ascii="Times New Roman" w:hAnsi="Times New Roman" w:cs="Times New Roman"/>
          <w:sz w:val="24"/>
          <w:szCs w:val="24"/>
        </w:rPr>
        <w:t>R</w:t>
      </w:r>
      <w:r w:rsidR="0086590A">
        <w:rPr>
          <w:rFonts w:ascii="Times New Roman" w:hAnsi="Times New Roman" w:cs="Times New Roman"/>
          <w:sz w:val="24"/>
          <w:szCs w:val="24"/>
        </w:rPr>
        <w:t xml:space="preserve">egulations </w:t>
      </w:r>
      <w:r w:rsidRPr="006745C3">
        <w:rPr>
          <w:rFonts w:ascii="Times New Roman" w:hAnsi="Times New Roman" w:cs="Times New Roman"/>
          <w:sz w:val="24"/>
          <w:szCs w:val="24"/>
        </w:rPr>
        <w:t xml:space="preserve">as the </w:t>
      </w:r>
      <w:r w:rsidR="0086590A" w:rsidRPr="00281EBF">
        <w:rPr>
          <w:rFonts w:ascii="Times New Roman" w:hAnsi="Times New Roman" w:cs="Times New Roman"/>
          <w:i/>
          <w:sz w:val="24"/>
          <w:szCs w:val="24"/>
        </w:rPr>
        <w:t>Fuel Quality Standards Amendment (Fees) Regulations 2021</w:t>
      </w:r>
      <w:r w:rsidR="003449DB">
        <w:rPr>
          <w:rFonts w:ascii="Times New Roman" w:hAnsi="Times New Roman" w:cs="Times New Roman"/>
          <w:sz w:val="24"/>
          <w:szCs w:val="24"/>
        </w:rPr>
        <w:t xml:space="preserve"> (</w:t>
      </w:r>
      <w:r w:rsidR="00257B36">
        <w:rPr>
          <w:rFonts w:ascii="Times New Roman" w:hAnsi="Times New Roman" w:cs="Times New Roman"/>
          <w:sz w:val="24"/>
          <w:szCs w:val="24"/>
        </w:rPr>
        <w:t xml:space="preserve">the </w:t>
      </w:r>
      <w:r w:rsidR="003449DB">
        <w:rPr>
          <w:rFonts w:ascii="Times New Roman" w:hAnsi="Times New Roman" w:cs="Times New Roman"/>
          <w:sz w:val="24"/>
          <w:szCs w:val="24"/>
        </w:rPr>
        <w:t>Amendment Regulations)</w:t>
      </w:r>
      <w:r w:rsidRPr="0086590A">
        <w:rPr>
          <w:rFonts w:ascii="Times New Roman" w:hAnsi="Times New Roman" w:cs="Times New Roman"/>
          <w:sz w:val="24"/>
          <w:szCs w:val="24"/>
        </w:rPr>
        <w:t>.</w:t>
      </w:r>
    </w:p>
    <w:p w14:paraId="6E781CAA" w14:textId="77777777" w:rsidR="006745C3" w:rsidRPr="00F02C5F" w:rsidRDefault="006745C3" w:rsidP="006745C3">
      <w:pPr>
        <w:tabs>
          <w:tab w:val="left" w:pos="5220"/>
        </w:tabs>
        <w:spacing w:before="240"/>
        <w:rPr>
          <w:rFonts w:ascii="Times New Roman" w:hAnsi="Times New Roman" w:cs="Times New Roman"/>
          <w:sz w:val="24"/>
          <w:szCs w:val="24"/>
          <w:u w:val="single"/>
        </w:rPr>
      </w:pPr>
      <w:r w:rsidRPr="00F02C5F">
        <w:rPr>
          <w:rFonts w:ascii="Times New Roman" w:hAnsi="Times New Roman" w:cs="Times New Roman"/>
          <w:sz w:val="24"/>
          <w:szCs w:val="24"/>
          <w:u w:val="single"/>
        </w:rPr>
        <w:t>Section 2 – Commencement</w:t>
      </w:r>
    </w:p>
    <w:p w14:paraId="10F094A8" w14:textId="51C819C0" w:rsidR="006745C3" w:rsidRPr="006745C3" w:rsidRDefault="006745C3" w:rsidP="006745C3">
      <w:pPr>
        <w:spacing w:before="240" w:after="100" w:afterAutospacing="1"/>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 xml:space="preserve">provides that the </w:t>
      </w:r>
      <w:r w:rsidR="00B81236">
        <w:rPr>
          <w:rFonts w:ascii="Times New Roman" w:hAnsi="Times New Roman" w:cs="Times New Roman"/>
          <w:sz w:val="24"/>
          <w:szCs w:val="24"/>
        </w:rPr>
        <w:t>A</w:t>
      </w:r>
      <w:r w:rsidR="0086590A">
        <w:rPr>
          <w:rFonts w:ascii="Times New Roman" w:hAnsi="Times New Roman" w:cs="Times New Roman"/>
          <w:sz w:val="24"/>
          <w:szCs w:val="24"/>
        </w:rPr>
        <w:t>mendment</w:t>
      </w:r>
      <w:r w:rsidR="00B81236">
        <w:rPr>
          <w:rFonts w:ascii="Times New Roman" w:hAnsi="Times New Roman" w:cs="Times New Roman"/>
          <w:sz w:val="24"/>
          <w:szCs w:val="24"/>
        </w:rPr>
        <w:t xml:space="preserve"> R</w:t>
      </w:r>
      <w:r w:rsidR="0086590A">
        <w:rPr>
          <w:rFonts w:ascii="Times New Roman" w:hAnsi="Times New Roman" w:cs="Times New Roman"/>
          <w:sz w:val="24"/>
          <w:szCs w:val="24"/>
        </w:rPr>
        <w:t xml:space="preserve">egulations </w:t>
      </w:r>
      <w:r w:rsidRPr="006745C3">
        <w:rPr>
          <w:rFonts w:ascii="Times New Roman" w:hAnsi="Times New Roman" w:cs="Times New Roman"/>
          <w:sz w:val="24"/>
          <w:szCs w:val="24"/>
        </w:rPr>
        <w:t xml:space="preserve">commence on </w:t>
      </w:r>
      <w:r w:rsidR="0086590A">
        <w:rPr>
          <w:rFonts w:ascii="Times New Roman" w:hAnsi="Times New Roman" w:cs="Times New Roman"/>
          <w:color w:val="000000"/>
          <w:sz w:val="24"/>
          <w:szCs w:val="24"/>
        </w:rPr>
        <w:t>1 July 2021.</w:t>
      </w:r>
    </w:p>
    <w:p w14:paraId="78839DE9" w14:textId="77777777" w:rsidR="006745C3" w:rsidRPr="00F02C5F" w:rsidRDefault="006745C3" w:rsidP="006745C3">
      <w:pPr>
        <w:tabs>
          <w:tab w:val="left" w:pos="2610"/>
        </w:tabs>
        <w:spacing w:before="240"/>
        <w:rPr>
          <w:rFonts w:ascii="Times New Roman" w:hAnsi="Times New Roman" w:cs="Times New Roman"/>
          <w:sz w:val="24"/>
          <w:szCs w:val="24"/>
          <w:u w:val="single"/>
        </w:rPr>
      </w:pPr>
      <w:r w:rsidRPr="00F02C5F">
        <w:rPr>
          <w:rFonts w:ascii="Times New Roman" w:hAnsi="Times New Roman" w:cs="Times New Roman"/>
          <w:sz w:val="24"/>
          <w:szCs w:val="24"/>
          <w:u w:val="single"/>
        </w:rPr>
        <w:t>Section 3 – Authority</w:t>
      </w:r>
    </w:p>
    <w:p w14:paraId="6C4DEC47" w14:textId="7AD2FB2B" w:rsid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ection s</w:t>
      </w:r>
      <w:r w:rsidRPr="006745C3">
        <w:rPr>
          <w:rFonts w:ascii="Times New Roman" w:hAnsi="Times New Roman" w:cs="Times New Roman"/>
          <w:sz w:val="24"/>
          <w:szCs w:val="24"/>
        </w:rPr>
        <w:t xml:space="preserve">ets out the provision of the </w:t>
      </w:r>
      <w:r w:rsidR="0086590A">
        <w:rPr>
          <w:rFonts w:ascii="Times New Roman" w:hAnsi="Times New Roman" w:cs="Times New Roman"/>
          <w:i/>
          <w:sz w:val="24"/>
          <w:szCs w:val="24"/>
        </w:rPr>
        <w:t>Fuel Quality Standards Act 2000</w:t>
      </w:r>
      <w:r>
        <w:rPr>
          <w:rFonts w:ascii="Times New Roman" w:hAnsi="Times New Roman" w:cs="Times New Roman"/>
          <w:i/>
          <w:sz w:val="24"/>
          <w:szCs w:val="24"/>
        </w:rPr>
        <w:t xml:space="preserve"> </w:t>
      </w:r>
      <w:r w:rsidRPr="006745C3">
        <w:rPr>
          <w:rFonts w:ascii="Times New Roman" w:hAnsi="Times New Roman" w:cs="Times New Roman"/>
          <w:sz w:val="24"/>
          <w:szCs w:val="24"/>
        </w:rPr>
        <w:t xml:space="preserve">under which the </w:t>
      </w:r>
      <w:r w:rsidR="00B81236">
        <w:rPr>
          <w:rFonts w:ascii="Times New Roman" w:hAnsi="Times New Roman" w:cs="Times New Roman"/>
          <w:sz w:val="24"/>
          <w:szCs w:val="24"/>
        </w:rPr>
        <w:t>A</w:t>
      </w:r>
      <w:r w:rsidR="0086590A">
        <w:rPr>
          <w:rFonts w:ascii="Times New Roman" w:hAnsi="Times New Roman" w:cs="Times New Roman"/>
          <w:sz w:val="24"/>
          <w:szCs w:val="24"/>
        </w:rPr>
        <w:t xml:space="preserve">mendment </w:t>
      </w:r>
      <w:r w:rsidR="00B81236">
        <w:rPr>
          <w:rFonts w:ascii="Times New Roman" w:hAnsi="Times New Roman" w:cs="Times New Roman"/>
          <w:sz w:val="24"/>
          <w:szCs w:val="24"/>
        </w:rPr>
        <w:t>R</w:t>
      </w:r>
      <w:r w:rsidR="0086590A">
        <w:rPr>
          <w:rFonts w:ascii="Times New Roman" w:hAnsi="Times New Roman" w:cs="Times New Roman"/>
          <w:sz w:val="24"/>
          <w:szCs w:val="24"/>
        </w:rPr>
        <w:t>egulations</w:t>
      </w:r>
      <w:r w:rsidRPr="006745C3">
        <w:rPr>
          <w:rFonts w:ascii="Times New Roman" w:hAnsi="Times New Roman" w:cs="Times New Roman"/>
          <w:sz w:val="24"/>
          <w:szCs w:val="24"/>
        </w:rPr>
        <w:t xml:space="preserve"> are made.</w:t>
      </w:r>
    </w:p>
    <w:p w14:paraId="046E4AB8" w14:textId="19873F23" w:rsidR="006745C3" w:rsidRPr="00F02C5F" w:rsidRDefault="006745C3" w:rsidP="006745C3">
      <w:pPr>
        <w:spacing w:before="240"/>
        <w:rPr>
          <w:rFonts w:ascii="Times New Roman" w:hAnsi="Times New Roman" w:cs="Times New Roman"/>
          <w:sz w:val="24"/>
          <w:szCs w:val="24"/>
          <w:u w:val="single"/>
        </w:rPr>
      </w:pPr>
      <w:r w:rsidRPr="00F02C5F">
        <w:rPr>
          <w:rFonts w:ascii="Times New Roman" w:hAnsi="Times New Roman" w:cs="Times New Roman"/>
          <w:sz w:val="24"/>
          <w:szCs w:val="24"/>
          <w:u w:val="single"/>
        </w:rPr>
        <w:t xml:space="preserve">Section 4 – </w:t>
      </w:r>
      <w:r w:rsidR="00EC4CD2" w:rsidRPr="00F02C5F">
        <w:rPr>
          <w:rFonts w:ascii="Times New Roman" w:hAnsi="Times New Roman" w:cs="Times New Roman"/>
          <w:sz w:val="24"/>
          <w:szCs w:val="24"/>
          <w:u w:val="single"/>
        </w:rPr>
        <w:t>Schedules</w:t>
      </w:r>
    </w:p>
    <w:p w14:paraId="1635301D" w14:textId="0C8A9B65" w:rsidR="006745C3" w:rsidRDefault="00B81236" w:rsidP="006745C3">
      <w:pPr>
        <w:spacing w:before="240"/>
        <w:rPr>
          <w:rFonts w:ascii="Times New Roman" w:hAnsi="Times New Roman" w:cs="Times New Roman"/>
          <w:sz w:val="24"/>
          <w:szCs w:val="24"/>
        </w:rPr>
      </w:pPr>
      <w:r w:rsidRPr="00B81236">
        <w:rPr>
          <w:rFonts w:ascii="Times New Roman" w:hAnsi="Times New Roman" w:cs="Times New Roman"/>
          <w:sz w:val="24"/>
          <w:szCs w:val="24"/>
        </w:rPr>
        <w:t>This section is a machinery clause that enables the Schedule to the Amendment Regulations to</w:t>
      </w:r>
      <w:r>
        <w:rPr>
          <w:rFonts w:ascii="Times New Roman" w:hAnsi="Times New Roman" w:cs="Times New Roman"/>
          <w:sz w:val="24"/>
          <w:szCs w:val="24"/>
        </w:rPr>
        <w:t xml:space="preserve"> operate according to its terms</w:t>
      </w:r>
      <w:r w:rsidR="00EC4CD2">
        <w:rPr>
          <w:rFonts w:ascii="Times New Roman" w:hAnsi="Times New Roman" w:cs="Times New Roman"/>
          <w:sz w:val="24"/>
          <w:szCs w:val="24"/>
        </w:rPr>
        <w:t>.</w:t>
      </w:r>
    </w:p>
    <w:p w14:paraId="11839604" w14:textId="7EEA0382" w:rsidR="00366EF0" w:rsidRPr="00F02C5F" w:rsidRDefault="007E08C4" w:rsidP="00366EF0">
      <w:pPr>
        <w:spacing w:before="240" w:after="240"/>
        <w:rPr>
          <w:rFonts w:ascii="Times New Roman" w:hAnsi="Times New Roman" w:cs="Times New Roman"/>
          <w:sz w:val="24"/>
          <w:szCs w:val="24"/>
          <w:u w:val="single"/>
        </w:rPr>
      </w:pPr>
      <w:r w:rsidRPr="00F02C5F">
        <w:rPr>
          <w:rFonts w:ascii="Times New Roman" w:hAnsi="Times New Roman" w:cs="Times New Roman"/>
          <w:sz w:val="24"/>
          <w:szCs w:val="24"/>
          <w:u w:val="single"/>
        </w:rPr>
        <w:t>Schedule 1 – Amendments</w:t>
      </w:r>
    </w:p>
    <w:p w14:paraId="001EC3E4" w14:textId="1A437A92" w:rsidR="006745C3" w:rsidRPr="006745C3" w:rsidRDefault="007E08C4" w:rsidP="006745C3">
      <w:pPr>
        <w:spacing w:before="240"/>
        <w:rPr>
          <w:rFonts w:ascii="Times New Roman" w:hAnsi="Times New Roman" w:cs="Times New Roman"/>
          <w:b/>
          <w:sz w:val="24"/>
          <w:szCs w:val="24"/>
        </w:rPr>
      </w:pPr>
      <w:r>
        <w:rPr>
          <w:rFonts w:ascii="Times New Roman" w:hAnsi="Times New Roman" w:cs="Times New Roman"/>
          <w:b/>
          <w:sz w:val="24"/>
          <w:szCs w:val="24"/>
        </w:rPr>
        <w:t>Item 1 – Section 9, 10 and 11</w:t>
      </w:r>
    </w:p>
    <w:p w14:paraId="54F68F7C" w14:textId="71F4ACBC" w:rsidR="00366EF0" w:rsidRDefault="00EC4CD2">
      <w:pPr>
        <w:spacing w:before="240" w:after="240"/>
        <w:rPr>
          <w:rFonts w:ascii="Times New Roman" w:hAnsi="Times New Roman" w:cs="Times New Roman"/>
          <w:sz w:val="24"/>
          <w:szCs w:val="24"/>
        </w:rPr>
      </w:pPr>
      <w:r>
        <w:rPr>
          <w:rFonts w:ascii="Times New Roman" w:hAnsi="Times New Roman" w:cs="Times New Roman"/>
          <w:sz w:val="24"/>
          <w:szCs w:val="24"/>
        </w:rPr>
        <w:t>Th</w:t>
      </w:r>
      <w:r w:rsidR="007E08C4">
        <w:rPr>
          <w:rFonts w:ascii="Times New Roman" w:hAnsi="Times New Roman" w:cs="Times New Roman"/>
          <w:sz w:val="24"/>
          <w:szCs w:val="24"/>
        </w:rPr>
        <w:t xml:space="preserve">is item repeals </w:t>
      </w:r>
      <w:r w:rsidR="00387B44">
        <w:rPr>
          <w:rFonts w:ascii="Times New Roman" w:hAnsi="Times New Roman" w:cs="Times New Roman"/>
          <w:sz w:val="24"/>
          <w:szCs w:val="24"/>
        </w:rPr>
        <w:t xml:space="preserve">regulations </w:t>
      </w:r>
      <w:r w:rsidR="003707FF">
        <w:rPr>
          <w:rFonts w:ascii="Times New Roman" w:hAnsi="Times New Roman" w:cs="Times New Roman"/>
          <w:sz w:val="24"/>
          <w:szCs w:val="24"/>
        </w:rPr>
        <w:t>9, 10 and 11 of the</w:t>
      </w:r>
      <w:r w:rsidR="003707FF" w:rsidRPr="003707FF">
        <w:rPr>
          <w:rFonts w:ascii="Times New Roman" w:hAnsi="Times New Roman" w:cs="Times New Roman"/>
          <w:i/>
          <w:iCs/>
          <w:sz w:val="24"/>
          <w:szCs w:val="24"/>
        </w:rPr>
        <w:t xml:space="preserve"> </w:t>
      </w:r>
      <w:r w:rsidR="003707FF" w:rsidRPr="00C50EB2">
        <w:rPr>
          <w:rFonts w:ascii="Times New Roman" w:hAnsi="Times New Roman" w:cs="Times New Roman"/>
          <w:i/>
          <w:iCs/>
          <w:sz w:val="24"/>
          <w:szCs w:val="24"/>
        </w:rPr>
        <w:t>Fuel Quality Standards Regulations 2019</w:t>
      </w:r>
      <w:r w:rsidR="003707FF">
        <w:rPr>
          <w:rFonts w:ascii="Times New Roman" w:hAnsi="Times New Roman" w:cs="Times New Roman"/>
          <w:sz w:val="24"/>
          <w:szCs w:val="24"/>
        </w:rPr>
        <w:t xml:space="preserve"> (the Principal Regulations)</w:t>
      </w:r>
      <w:r>
        <w:rPr>
          <w:rFonts w:ascii="Times New Roman" w:hAnsi="Times New Roman" w:cs="Times New Roman"/>
          <w:sz w:val="24"/>
          <w:szCs w:val="24"/>
        </w:rPr>
        <w:t>.</w:t>
      </w:r>
      <w:r w:rsidR="003707FF">
        <w:rPr>
          <w:rFonts w:ascii="Times New Roman" w:hAnsi="Times New Roman" w:cs="Times New Roman"/>
          <w:sz w:val="24"/>
          <w:szCs w:val="24"/>
        </w:rPr>
        <w:t xml:space="preserve"> This</w:t>
      </w:r>
      <w:r w:rsidR="00257B36">
        <w:rPr>
          <w:rFonts w:ascii="Times New Roman" w:hAnsi="Times New Roman" w:cs="Times New Roman"/>
          <w:sz w:val="24"/>
          <w:szCs w:val="24"/>
        </w:rPr>
        <w:t xml:space="preserve"> item</w:t>
      </w:r>
      <w:r w:rsidR="003707FF">
        <w:rPr>
          <w:rFonts w:ascii="Times New Roman" w:hAnsi="Times New Roman" w:cs="Times New Roman"/>
          <w:sz w:val="24"/>
          <w:szCs w:val="24"/>
        </w:rPr>
        <w:t xml:space="preserve"> repeals the requirement to pay the $5,944 </w:t>
      </w:r>
      <w:r w:rsidR="00930CDA">
        <w:rPr>
          <w:rFonts w:ascii="Times New Roman" w:hAnsi="Times New Roman" w:cs="Times New Roman"/>
          <w:sz w:val="24"/>
          <w:szCs w:val="24"/>
        </w:rPr>
        <w:t xml:space="preserve">application </w:t>
      </w:r>
      <w:r w:rsidR="003707FF">
        <w:rPr>
          <w:rFonts w:ascii="Times New Roman" w:hAnsi="Times New Roman" w:cs="Times New Roman"/>
          <w:sz w:val="24"/>
          <w:szCs w:val="24"/>
        </w:rPr>
        <w:t>fee</w:t>
      </w:r>
      <w:r w:rsidR="002668C2" w:rsidRPr="002668C2">
        <w:rPr>
          <w:rFonts w:ascii="Times New Roman" w:hAnsi="Times New Roman" w:cs="Times New Roman"/>
          <w:sz w:val="24"/>
          <w:szCs w:val="24"/>
        </w:rPr>
        <w:t xml:space="preserve"> </w:t>
      </w:r>
      <w:r w:rsidR="00930CDA">
        <w:rPr>
          <w:rFonts w:ascii="Times New Roman" w:hAnsi="Times New Roman" w:cs="Times New Roman"/>
          <w:sz w:val="24"/>
          <w:szCs w:val="24"/>
        </w:rPr>
        <w:t>accompanying an application</w:t>
      </w:r>
      <w:r w:rsidR="002668C2">
        <w:rPr>
          <w:rFonts w:ascii="Times New Roman" w:hAnsi="Times New Roman" w:cs="Times New Roman"/>
          <w:sz w:val="24"/>
          <w:szCs w:val="24"/>
        </w:rPr>
        <w:t xml:space="preserve"> </w:t>
      </w:r>
      <w:r w:rsidR="002668C2" w:rsidRPr="00C50EB2">
        <w:rPr>
          <w:rFonts w:ascii="Times New Roman" w:hAnsi="Times New Roman" w:cs="Times New Roman"/>
          <w:sz w:val="24"/>
          <w:szCs w:val="24"/>
        </w:rPr>
        <w:t>for an a</w:t>
      </w:r>
      <w:r w:rsidR="00370830">
        <w:rPr>
          <w:rFonts w:ascii="Times New Roman" w:hAnsi="Times New Roman" w:cs="Times New Roman"/>
          <w:sz w:val="24"/>
          <w:szCs w:val="24"/>
        </w:rPr>
        <w:t>pproval to vary a fuel standard, set out</w:t>
      </w:r>
      <w:r w:rsidR="00FE7877">
        <w:rPr>
          <w:rFonts w:ascii="Times New Roman" w:hAnsi="Times New Roman" w:cs="Times New Roman"/>
          <w:sz w:val="24"/>
          <w:szCs w:val="24"/>
        </w:rPr>
        <w:t xml:space="preserve"> in regulation </w:t>
      </w:r>
      <w:r w:rsidR="003707FF">
        <w:rPr>
          <w:rFonts w:ascii="Times New Roman" w:hAnsi="Times New Roman" w:cs="Times New Roman"/>
          <w:sz w:val="24"/>
          <w:szCs w:val="24"/>
        </w:rPr>
        <w:t xml:space="preserve">9. Consequently, the item also repeals </w:t>
      </w:r>
      <w:r w:rsidR="00387B44">
        <w:rPr>
          <w:rFonts w:ascii="Times New Roman" w:hAnsi="Times New Roman" w:cs="Times New Roman"/>
          <w:sz w:val="24"/>
          <w:szCs w:val="24"/>
        </w:rPr>
        <w:t>regulations</w:t>
      </w:r>
      <w:r w:rsidR="003707FF">
        <w:rPr>
          <w:rFonts w:ascii="Times New Roman" w:hAnsi="Times New Roman" w:cs="Times New Roman"/>
          <w:sz w:val="24"/>
          <w:szCs w:val="24"/>
        </w:rPr>
        <w:t xml:space="preserve"> 10 and 11, which </w:t>
      </w:r>
      <w:r w:rsidR="00257B36">
        <w:rPr>
          <w:rFonts w:ascii="Times New Roman" w:hAnsi="Times New Roman" w:cs="Times New Roman"/>
          <w:sz w:val="24"/>
          <w:szCs w:val="24"/>
        </w:rPr>
        <w:t>provide</w:t>
      </w:r>
      <w:r w:rsidR="003707FF">
        <w:rPr>
          <w:rFonts w:ascii="Times New Roman" w:hAnsi="Times New Roman" w:cs="Times New Roman"/>
          <w:sz w:val="24"/>
          <w:szCs w:val="24"/>
        </w:rPr>
        <w:t xml:space="preserve"> </w:t>
      </w:r>
      <w:r w:rsidR="00257B36">
        <w:rPr>
          <w:rFonts w:ascii="Times New Roman" w:hAnsi="Times New Roman" w:cs="Times New Roman"/>
          <w:sz w:val="24"/>
          <w:szCs w:val="24"/>
        </w:rPr>
        <w:t>a process</w:t>
      </w:r>
      <w:r w:rsidR="00625E49">
        <w:rPr>
          <w:rFonts w:ascii="Times New Roman" w:hAnsi="Times New Roman" w:cs="Times New Roman"/>
          <w:sz w:val="24"/>
          <w:szCs w:val="24"/>
        </w:rPr>
        <w:t>es</w:t>
      </w:r>
      <w:r w:rsidR="00257B36">
        <w:rPr>
          <w:rFonts w:ascii="Times New Roman" w:hAnsi="Times New Roman" w:cs="Times New Roman"/>
          <w:sz w:val="24"/>
          <w:szCs w:val="24"/>
        </w:rPr>
        <w:t xml:space="preserve"> for </w:t>
      </w:r>
      <w:r w:rsidR="00930CDA">
        <w:rPr>
          <w:rFonts w:ascii="Times New Roman" w:hAnsi="Times New Roman" w:cs="Times New Roman"/>
          <w:sz w:val="24"/>
          <w:szCs w:val="24"/>
        </w:rPr>
        <w:t xml:space="preserve">an application </w:t>
      </w:r>
      <w:r w:rsidR="00257B36">
        <w:rPr>
          <w:rFonts w:ascii="Times New Roman" w:hAnsi="Times New Roman" w:cs="Times New Roman"/>
          <w:sz w:val="24"/>
          <w:szCs w:val="24"/>
        </w:rPr>
        <w:t>fee exemption</w:t>
      </w:r>
      <w:r w:rsidR="00266E73">
        <w:rPr>
          <w:rFonts w:ascii="Times New Roman" w:hAnsi="Times New Roman" w:cs="Times New Roman"/>
          <w:sz w:val="24"/>
          <w:szCs w:val="24"/>
        </w:rPr>
        <w:t xml:space="preserve"> or reduction</w:t>
      </w:r>
      <w:r w:rsidR="00930CDA">
        <w:rPr>
          <w:rFonts w:ascii="Times New Roman" w:hAnsi="Times New Roman" w:cs="Times New Roman"/>
          <w:sz w:val="24"/>
          <w:szCs w:val="24"/>
        </w:rPr>
        <w:t>,</w:t>
      </w:r>
      <w:r w:rsidR="00257B36">
        <w:rPr>
          <w:rFonts w:ascii="Times New Roman" w:hAnsi="Times New Roman" w:cs="Times New Roman"/>
          <w:sz w:val="24"/>
          <w:szCs w:val="24"/>
        </w:rPr>
        <w:t xml:space="preserve"> and</w:t>
      </w:r>
      <w:r w:rsidR="00266E73">
        <w:rPr>
          <w:rFonts w:ascii="Times New Roman" w:hAnsi="Times New Roman" w:cs="Times New Roman"/>
          <w:sz w:val="24"/>
          <w:szCs w:val="24"/>
        </w:rPr>
        <w:t xml:space="preserve"> for</w:t>
      </w:r>
      <w:r w:rsidR="003707FF">
        <w:rPr>
          <w:rFonts w:ascii="Times New Roman" w:hAnsi="Times New Roman" w:cs="Times New Roman"/>
          <w:sz w:val="24"/>
          <w:szCs w:val="24"/>
        </w:rPr>
        <w:t xml:space="preserve"> a</w:t>
      </w:r>
      <w:r w:rsidR="00930CDA">
        <w:rPr>
          <w:rFonts w:ascii="Times New Roman" w:hAnsi="Times New Roman" w:cs="Times New Roman"/>
          <w:sz w:val="24"/>
          <w:szCs w:val="24"/>
        </w:rPr>
        <w:t>n application</w:t>
      </w:r>
      <w:r w:rsidR="003707FF">
        <w:rPr>
          <w:rFonts w:ascii="Times New Roman" w:hAnsi="Times New Roman" w:cs="Times New Roman"/>
          <w:sz w:val="24"/>
          <w:szCs w:val="24"/>
        </w:rPr>
        <w:t xml:space="preserve"> fe</w:t>
      </w:r>
      <w:r w:rsidR="00257B36">
        <w:rPr>
          <w:rFonts w:ascii="Times New Roman" w:hAnsi="Times New Roman" w:cs="Times New Roman"/>
          <w:sz w:val="24"/>
          <w:szCs w:val="24"/>
        </w:rPr>
        <w:t>e refund respectively. These processes are</w:t>
      </w:r>
      <w:r w:rsidR="003707FF">
        <w:rPr>
          <w:rFonts w:ascii="Times New Roman" w:hAnsi="Times New Roman" w:cs="Times New Roman"/>
          <w:sz w:val="24"/>
          <w:szCs w:val="24"/>
        </w:rPr>
        <w:t xml:space="preserve"> no longer required as no </w:t>
      </w:r>
      <w:r w:rsidR="00930CDA">
        <w:rPr>
          <w:rFonts w:ascii="Times New Roman" w:hAnsi="Times New Roman" w:cs="Times New Roman"/>
          <w:sz w:val="24"/>
          <w:szCs w:val="24"/>
        </w:rPr>
        <w:t xml:space="preserve">application </w:t>
      </w:r>
      <w:r w:rsidR="003707FF">
        <w:rPr>
          <w:rFonts w:ascii="Times New Roman" w:hAnsi="Times New Roman" w:cs="Times New Roman"/>
          <w:sz w:val="24"/>
          <w:szCs w:val="24"/>
        </w:rPr>
        <w:t xml:space="preserve">fee is payable.  </w:t>
      </w:r>
    </w:p>
    <w:p w14:paraId="7E1D72EC" w14:textId="3B861360" w:rsidR="003707FF" w:rsidRDefault="003707FF" w:rsidP="000D0E22">
      <w:pPr>
        <w:spacing w:before="240" w:after="240"/>
        <w:rPr>
          <w:rFonts w:ascii="Times New Roman" w:hAnsi="Times New Roman" w:cs="Times New Roman"/>
          <w:b/>
          <w:sz w:val="24"/>
          <w:szCs w:val="24"/>
        </w:rPr>
      </w:pPr>
      <w:r>
        <w:rPr>
          <w:rFonts w:ascii="Times New Roman" w:hAnsi="Times New Roman" w:cs="Times New Roman"/>
          <w:b/>
          <w:sz w:val="24"/>
          <w:szCs w:val="24"/>
        </w:rPr>
        <w:t xml:space="preserve">Item 2 </w:t>
      </w:r>
      <w:r w:rsidR="00FE7877">
        <w:rPr>
          <w:rFonts w:ascii="Times New Roman" w:hAnsi="Times New Roman" w:cs="Times New Roman"/>
          <w:b/>
          <w:sz w:val="24"/>
          <w:szCs w:val="24"/>
        </w:rPr>
        <w:t xml:space="preserve">– </w:t>
      </w:r>
      <w:r w:rsidR="003449DB" w:rsidRPr="003449DB">
        <w:rPr>
          <w:rFonts w:ascii="Times New Roman" w:hAnsi="Times New Roman" w:cs="Times New Roman"/>
          <w:b/>
          <w:sz w:val="24"/>
          <w:szCs w:val="24"/>
        </w:rPr>
        <w:t>In</w:t>
      </w:r>
      <w:r w:rsidR="00FE7877">
        <w:rPr>
          <w:rFonts w:ascii="Times New Roman" w:hAnsi="Times New Roman" w:cs="Times New Roman"/>
          <w:b/>
          <w:sz w:val="24"/>
          <w:szCs w:val="24"/>
        </w:rPr>
        <w:t xml:space="preserve"> </w:t>
      </w:r>
      <w:r w:rsidR="003449DB" w:rsidRPr="003449DB">
        <w:rPr>
          <w:rFonts w:ascii="Times New Roman" w:hAnsi="Times New Roman" w:cs="Times New Roman"/>
          <w:b/>
          <w:sz w:val="24"/>
          <w:szCs w:val="24"/>
        </w:rPr>
        <w:t>the appropriate position in Part 8</w:t>
      </w:r>
    </w:p>
    <w:p w14:paraId="23AB2E2F" w14:textId="138B8456" w:rsidR="00AB0C43" w:rsidRPr="00AB0C43" w:rsidRDefault="00AB0C43" w:rsidP="00AB0C43">
      <w:pPr>
        <w:spacing w:before="240" w:after="240"/>
        <w:rPr>
          <w:rFonts w:ascii="Times New Roman" w:hAnsi="Times New Roman" w:cs="Times New Roman"/>
          <w:sz w:val="24"/>
          <w:szCs w:val="24"/>
        </w:rPr>
        <w:sectPr w:rsidR="00AB0C43" w:rsidRPr="00AB0C43">
          <w:pgSz w:w="11906" w:h="16838"/>
          <w:pgMar w:top="1440" w:right="1440" w:bottom="1440" w:left="1440" w:header="708" w:footer="708" w:gutter="0"/>
          <w:cols w:space="708"/>
          <w:docGrid w:linePitch="360"/>
        </w:sectPr>
      </w:pPr>
      <w:r>
        <w:rPr>
          <w:rFonts w:ascii="Times New Roman" w:hAnsi="Times New Roman" w:cs="Times New Roman"/>
          <w:sz w:val="24"/>
          <w:szCs w:val="24"/>
        </w:rPr>
        <w:lastRenderedPageBreak/>
        <w:t>This item provides a description on how to process application fees made before the commencement date. This ensures the obligations on applicants are not altered retrospectively</w:t>
      </w:r>
      <w:r w:rsidR="009154C3">
        <w:rPr>
          <w:rFonts w:ascii="Times New Roman" w:hAnsi="Times New Roman" w:cs="Times New Roman"/>
          <w:sz w:val="24"/>
          <w:szCs w:val="24"/>
        </w:rPr>
        <w:t xml:space="preserve">. </w:t>
      </w:r>
    </w:p>
    <w:p w14:paraId="683492B3" w14:textId="36F0B464" w:rsidR="003449DB" w:rsidRDefault="00625E49" w:rsidP="003449DB">
      <w:pPr>
        <w:spacing w:before="240" w:after="240"/>
        <w:rPr>
          <w:rFonts w:ascii="Times New Roman" w:hAnsi="Times New Roman" w:cs="Times New Roman"/>
          <w:sz w:val="24"/>
          <w:szCs w:val="24"/>
        </w:rPr>
      </w:pPr>
      <w:r>
        <w:rPr>
          <w:rFonts w:ascii="Times New Roman" w:hAnsi="Times New Roman" w:cs="Times New Roman"/>
          <w:sz w:val="24"/>
          <w:szCs w:val="24"/>
        </w:rPr>
        <w:lastRenderedPageBreak/>
        <w:t>New r</w:t>
      </w:r>
      <w:r w:rsidR="003449DB">
        <w:rPr>
          <w:rFonts w:ascii="Times New Roman" w:hAnsi="Times New Roman" w:cs="Times New Roman"/>
          <w:sz w:val="24"/>
          <w:szCs w:val="24"/>
        </w:rPr>
        <w:t xml:space="preserve">egulation 57 contemplates the treatment of </w:t>
      </w:r>
      <w:r w:rsidR="00930CDA">
        <w:rPr>
          <w:rFonts w:ascii="Times New Roman" w:hAnsi="Times New Roman" w:cs="Times New Roman"/>
          <w:sz w:val="24"/>
          <w:szCs w:val="24"/>
        </w:rPr>
        <w:t xml:space="preserve">application </w:t>
      </w:r>
      <w:r w:rsidR="003449DB">
        <w:rPr>
          <w:rFonts w:ascii="Times New Roman" w:hAnsi="Times New Roman" w:cs="Times New Roman"/>
          <w:sz w:val="24"/>
          <w:szCs w:val="24"/>
        </w:rPr>
        <w:t xml:space="preserve">fees made in respect of applications to vary a fuel standard </w:t>
      </w:r>
      <w:r w:rsidR="00370830">
        <w:rPr>
          <w:rFonts w:ascii="Times New Roman" w:hAnsi="Times New Roman" w:cs="Times New Roman"/>
          <w:sz w:val="24"/>
          <w:szCs w:val="24"/>
        </w:rPr>
        <w:t xml:space="preserve">made </w:t>
      </w:r>
      <w:r w:rsidR="003449DB">
        <w:rPr>
          <w:rFonts w:ascii="Times New Roman" w:hAnsi="Times New Roman" w:cs="Times New Roman"/>
          <w:sz w:val="24"/>
          <w:szCs w:val="24"/>
        </w:rPr>
        <w:t xml:space="preserve">before the </w:t>
      </w:r>
      <w:r w:rsidR="00266E73">
        <w:rPr>
          <w:rFonts w:ascii="Times New Roman" w:hAnsi="Times New Roman" w:cs="Times New Roman"/>
          <w:sz w:val="24"/>
          <w:szCs w:val="24"/>
        </w:rPr>
        <w:t>commencement date</w:t>
      </w:r>
      <w:r w:rsidR="00930CDA">
        <w:rPr>
          <w:rFonts w:ascii="Times New Roman" w:hAnsi="Times New Roman" w:cs="Times New Roman"/>
          <w:sz w:val="24"/>
          <w:szCs w:val="24"/>
        </w:rPr>
        <w:t xml:space="preserve"> of the Amendment Regulations</w:t>
      </w:r>
      <w:r w:rsidR="003449DB">
        <w:rPr>
          <w:rFonts w:ascii="Times New Roman" w:hAnsi="Times New Roman" w:cs="Times New Roman"/>
          <w:sz w:val="24"/>
          <w:szCs w:val="24"/>
        </w:rPr>
        <w:t xml:space="preserve">. </w:t>
      </w:r>
      <w:r w:rsidR="00930CDA">
        <w:rPr>
          <w:rFonts w:ascii="Times New Roman" w:hAnsi="Times New Roman" w:cs="Times New Roman"/>
          <w:sz w:val="24"/>
          <w:szCs w:val="24"/>
        </w:rPr>
        <w:t>New r</w:t>
      </w:r>
      <w:r w:rsidR="00370830">
        <w:rPr>
          <w:rFonts w:ascii="Times New Roman" w:hAnsi="Times New Roman" w:cs="Times New Roman"/>
          <w:sz w:val="24"/>
          <w:szCs w:val="24"/>
        </w:rPr>
        <w:t>egulation 57 states that d</w:t>
      </w:r>
      <w:r w:rsidR="003449DB">
        <w:rPr>
          <w:rFonts w:ascii="Times New Roman" w:hAnsi="Times New Roman" w:cs="Times New Roman"/>
          <w:sz w:val="24"/>
          <w:szCs w:val="24"/>
        </w:rPr>
        <w:t xml:space="preserve">espite </w:t>
      </w:r>
      <w:r w:rsidR="009154C3">
        <w:rPr>
          <w:rFonts w:ascii="Times New Roman" w:hAnsi="Times New Roman" w:cs="Times New Roman"/>
          <w:sz w:val="24"/>
          <w:szCs w:val="24"/>
        </w:rPr>
        <w:t>the repeal of regulations 9, 10 and 11 of the Principal Regulations by i</w:t>
      </w:r>
      <w:r w:rsidR="003449DB">
        <w:rPr>
          <w:rFonts w:ascii="Times New Roman" w:hAnsi="Times New Roman" w:cs="Times New Roman"/>
          <w:sz w:val="24"/>
          <w:szCs w:val="24"/>
        </w:rPr>
        <w:t xml:space="preserve">tem 1 of the Amendment Regulations, regulations 9, 10 and 11 </w:t>
      </w:r>
      <w:r w:rsidR="003449DB" w:rsidRPr="003449DB">
        <w:rPr>
          <w:rFonts w:ascii="Times New Roman" w:hAnsi="Times New Roman" w:cs="Times New Roman"/>
          <w:sz w:val="24"/>
          <w:szCs w:val="24"/>
        </w:rPr>
        <w:t>as in force</w:t>
      </w:r>
      <w:r w:rsidR="00370830">
        <w:rPr>
          <w:rFonts w:ascii="Times New Roman" w:hAnsi="Times New Roman" w:cs="Times New Roman"/>
          <w:sz w:val="24"/>
          <w:szCs w:val="24"/>
        </w:rPr>
        <w:t xml:space="preserve"> immediately before 1 July 2021</w:t>
      </w:r>
      <w:r w:rsidR="00CA7A97">
        <w:rPr>
          <w:rFonts w:ascii="Times New Roman" w:hAnsi="Times New Roman" w:cs="Times New Roman"/>
          <w:sz w:val="24"/>
          <w:szCs w:val="24"/>
        </w:rPr>
        <w:t xml:space="preserve"> will</w:t>
      </w:r>
      <w:r w:rsidR="003449DB" w:rsidRPr="003449DB">
        <w:rPr>
          <w:rFonts w:ascii="Times New Roman" w:hAnsi="Times New Roman" w:cs="Times New Roman"/>
          <w:sz w:val="24"/>
          <w:szCs w:val="24"/>
        </w:rPr>
        <w:t xml:space="preserve"> continue to apply in relation to applications made before 1 July 2021, as if the repeal had not happened.</w:t>
      </w:r>
    </w:p>
    <w:p w14:paraId="1DDBBE9D" w14:textId="77777777" w:rsidR="00AB0C43" w:rsidRDefault="00AB0C43" w:rsidP="00547F8D">
      <w:pPr>
        <w:spacing w:before="360" w:after="120"/>
        <w:jc w:val="center"/>
        <w:rPr>
          <w:rFonts w:ascii="Times New Roman" w:hAnsi="Times New Roman" w:cs="Times New Roman"/>
          <w:sz w:val="24"/>
          <w:szCs w:val="24"/>
        </w:rPr>
      </w:pPr>
    </w:p>
    <w:p w14:paraId="5A8A7562" w14:textId="77777777" w:rsidR="009154C3" w:rsidRDefault="009154C3" w:rsidP="00547F8D">
      <w:pPr>
        <w:spacing w:before="360" w:after="120"/>
        <w:jc w:val="center"/>
        <w:rPr>
          <w:rFonts w:ascii="Times New Roman" w:hAnsi="Times New Roman" w:cs="Times New Roman"/>
          <w:sz w:val="24"/>
          <w:szCs w:val="24"/>
        </w:rPr>
      </w:pPr>
    </w:p>
    <w:p w14:paraId="4BA88E3F" w14:textId="77777777" w:rsidR="009154C3" w:rsidRDefault="009154C3" w:rsidP="00547F8D">
      <w:pPr>
        <w:spacing w:before="360" w:after="120"/>
        <w:jc w:val="center"/>
        <w:rPr>
          <w:rFonts w:ascii="Times New Roman" w:hAnsi="Times New Roman" w:cs="Times New Roman"/>
          <w:sz w:val="24"/>
          <w:szCs w:val="24"/>
        </w:rPr>
      </w:pPr>
    </w:p>
    <w:p w14:paraId="1BC0A262" w14:textId="77777777" w:rsidR="009154C3" w:rsidRDefault="009154C3" w:rsidP="00547F8D">
      <w:pPr>
        <w:spacing w:before="360" w:after="120"/>
        <w:jc w:val="center"/>
        <w:rPr>
          <w:rFonts w:ascii="Times New Roman" w:hAnsi="Times New Roman" w:cs="Times New Roman"/>
          <w:sz w:val="24"/>
          <w:szCs w:val="24"/>
        </w:rPr>
      </w:pPr>
    </w:p>
    <w:p w14:paraId="48224518" w14:textId="77777777" w:rsidR="009154C3" w:rsidRDefault="009154C3" w:rsidP="00547F8D">
      <w:pPr>
        <w:spacing w:before="360" w:after="120"/>
        <w:jc w:val="center"/>
        <w:rPr>
          <w:rFonts w:ascii="Times New Roman" w:hAnsi="Times New Roman" w:cs="Times New Roman"/>
          <w:sz w:val="24"/>
          <w:szCs w:val="24"/>
        </w:rPr>
      </w:pPr>
    </w:p>
    <w:p w14:paraId="65C18C19" w14:textId="77777777" w:rsidR="009154C3" w:rsidRDefault="009154C3" w:rsidP="00547F8D">
      <w:pPr>
        <w:spacing w:before="360" w:after="120"/>
        <w:jc w:val="center"/>
        <w:rPr>
          <w:rFonts w:ascii="Times New Roman" w:hAnsi="Times New Roman" w:cs="Times New Roman"/>
          <w:sz w:val="24"/>
          <w:szCs w:val="24"/>
        </w:rPr>
      </w:pPr>
    </w:p>
    <w:p w14:paraId="4D2887E1" w14:textId="77777777" w:rsidR="009154C3" w:rsidRDefault="009154C3" w:rsidP="00547F8D">
      <w:pPr>
        <w:spacing w:before="360" w:after="120"/>
        <w:jc w:val="center"/>
        <w:rPr>
          <w:rFonts w:ascii="Times New Roman" w:hAnsi="Times New Roman" w:cs="Times New Roman"/>
          <w:sz w:val="24"/>
          <w:szCs w:val="24"/>
        </w:rPr>
      </w:pPr>
    </w:p>
    <w:p w14:paraId="26F192B0" w14:textId="77777777" w:rsidR="009154C3" w:rsidRDefault="009154C3" w:rsidP="00547F8D">
      <w:pPr>
        <w:spacing w:before="360" w:after="120"/>
        <w:jc w:val="center"/>
        <w:rPr>
          <w:rFonts w:ascii="Times New Roman" w:hAnsi="Times New Roman" w:cs="Times New Roman"/>
          <w:sz w:val="24"/>
          <w:szCs w:val="24"/>
        </w:rPr>
      </w:pPr>
    </w:p>
    <w:p w14:paraId="1C953C83" w14:textId="77777777" w:rsidR="009154C3" w:rsidRDefault="009154C3" w:rsidP="00547F8D">
      <w:pPr>
        <w:spacing w:before="360" w:after="120"/>
        <w:jc w:val="center"/>
        <w:rPr>
          <w:rFonts w:ascii="Times New Roman" w:hAnsi="Times New Roman" w:cs="Times New Roman"/>
          <w:sz w:val="24"/>
          <w:szCs w:val="24"/>
        </w:rPr>
      </w:pPr>
    </w:p>
    <w:p w14:paraId="243F2783" w14:textId="77777777" w:rsidR="009154C3" w:rsidRDefault="009154C3" w:rsidP="00547F8D">
      <w:pPr>
        <w:spacing w:before="360" w:after="120"/>
        <w:jc w:val="center"/>
        <w:rPr>
          <w:rFonts w:ascii="Times New Roman" w:hAnsi="Times New Roman" w:cs="Times New Roman"/>
          <w:sz w:val="24"/>
          <w:szCs w:val="24"/>
        </w:rPr>
      </w:pPr>
    </w:p>
    <w:p w14:paraId="25DB8FBA" w14:textId="77777777" w:rsidR="009154C3" w:rsidRDefault="009154C3" w:rsidP="00547F8D">
      <w:pPr>
        <w:spacing w:before="360" w:after="120"/>
        <w:jc w:val="center"/>
        <w:rPr>
          <w:rFonts w:ascii="Times New Roman" w:hAnsi="Times New Roman" w:cs="Times New Roman"/>
          <w:sz w:val="24"/>
          <w:szCs w:val="24"/>
        </w:rPr>
      </w:pPr>
    </w:p>
    <w:p w14:paraId="7325A2D1" w14:textId="77777777" w:rsidR="009154C3" w:rsidRDefault="009154C3" w:rsidP="00547F8D">
      <w:pPr>
        <w:spacing w:before="360" w:after="120"/>
        <w:jc w:val="center"/>
        <w:rPr>
          <w:rFonts w:ascii="Times New Roman" w:hAnsi="Times New Roman" w:cs="Times New Roman"/>
          <w:sz w:val="24"/>
          <w:szCs w:val="24"/>
        </w:rPr>
      </w:pPr>
    </w:p>
    <w:p w14:paraId="05E41A60" w14:textId="77777777" w:rsidR="009154C3" w:rsidRDefault="009154C3" w:rsidP="00547F8D">
      <w:pPr>
        <w:spacing w:before="360" w:after="120"/>
        <w:jc w:val="center"/>
        <w:rPr>
          <w:rFonts w:ascii="Times New Roman" w:hAnsi="Times New Roman" w:cs="Times New Roman"/>
          <w:sz w:val="24"/>
          <w:szCs w:val="24"/>
        </w:rPr>
      </w:pPr>
    </w:p>
    <w:p w14:paraId="1AD47E76" w14:textId="77777777" w:rsidR="009154C3" w:rsidRDefault="009154C3" w:rsidP="00547F8D">
      <w:pPr>
        <w:spacing w:before="360" w:after="120"/>
        <w:jc w:val="center"/>
        <w:rPr>
          <w:rFonts w:ascii="Times New Roman" w:hAnsi="Times New Roman" w:cs="Times New Roman"/>
          <w:sz w:val="24"/>
          <w:szCs w:val="24"/>
        </w:rPr>
      </w:pPr>
    </w:p>
    <w:p w14:paraId="65044770" w14:textId="77777777" w:rsidR="009154C3" w:rsidRDefault="009154C3" w:rsidP="00547F8D">
      <w:pPr>
        <w:spacing w:before="360" w:after="120"/>
        <w:jc w:val="center"/>
        <w:rPr>
          <w:rFonts w:ascii="Times New Roman" w:hAnsi="Times New Roman" w:cs="Times New Roman"/>
          <w:sz w:val="24"/>
          <w:szCs w:val="24"/>
        </w:rPr>
      </w:pPr>
    </w:p>
    <w:p w14:paraId="703573F8" w14:textId="77777777" w:rsidR="009154C3" w:rsidRDefault="009154C3" w:rsidP="00547F8D">
      <w:pPr>
        <w:spacing w:before="360" w:after="120"/>
        <w:jc w:val="center"/>
        <w:rPr>
          <w:rFonts w:ascii="Times New Roman" w:hAnsi="Times New Roman" w:cs="Times New Roman"/>
          <w:sz w:val="24"/>
          <w:szCs w:val="24"/>
        </w:rPr>
      </w:pPr>
    </w:p>
    <w:p w14:paraId="4DAEDA98" w14:textId="77777777" w:rsidR="009154C3" w:rsidRDefault="009154C3" w:rsidP="00547F8D">
      <w:pPr>
        <w:spacing w:before="360" w:after="120"/>
        <w:jc w:val="center"/>
        <w:rPr>
          <w:rFonts w:ascii="Times New Roman" w:hAnsi="Times New Roman" w:cs="Times New Roman"/>
          <w:sz w:val="24"/>
          <w:szCs w:val="24"/>
        </w:rPr>
      </w:pPr>
    </w:p>
    <w:p w14:paraId="2A1B731D" w14:textId="77777777" w:rsidR="00547F8D" w:rsidRPr="00547F8D" w:rsidRDefault="00547F8D" w:rsidP="00547F8D">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t>Statement of Compatibility with Human Rights</w:t>
      </w:r>
    </w:p>
    <w:p w14:paraId="7A1BEF1B"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1CB0DB44" w14:textId="5E347461" w:rsidR="00547F8D" w:rsidRPr="00547F8D" w:rsidRDefault="0086590A" w:rsidP="00547F8D">
      <w:pPr>
        <w:spacing w:before="240" w:after="240"/>
        <w:jc w:val="center"/>
        <w:rPr>
          <w:rFonts w:ascii="Times New Roman" w:hAnsi="Times New Roman" w:cs="Times New Roman"/>
          <w:i/>
          <w:sz w:val="24"/>
          <w:szCs w:val="24"/>
        </w:rPr>
      </w:pPr>
      <w:r>
        <w:rPr>
          <w:rFonts w:ascii="Times New Roman" w:hAnsi="Times New Roman" w:cs="Times New Roman"/>
          <w:i/>
          <w:sz w:val="24"/>
          <w:szCs w:val="24"/>
        </w:rPr>
        <w:t>Fuel Quality Standards Amendment (Fees) Regulations 2021</w:t>
      </w:r>
    </w:p>
    <w:p w14:paraId="47D88E4E" w14:textId="06A740F1"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 xml:space="preserve">This </w:t>
      </w:r>
      <w:r w:rsidR="009154C3">
        <w:rPr>
          <w:rFonts w:ascii="Times New Roman" w:hAnsi="Times New Roman" w:cs="Times New Roman"/>
          <w:sz w:val="24"/>
          <w:szCs w:val="24"/>
        </w:rPr>
        <w:t>Legislative Instrument is</w:t>
      </w:r>
      <w:r w:rsidRPr="00547F8D">
        <w:rPr>
          <w:rFonts w:ascii="Times New Roman" w:hAnsi="Times New Roman" w:cs="Times New Roman"/>
          <w:sz w:val="24"/>
          <w:szCs w:val="24"/>
        </w:rPr>
        <w:t xml:space="preserve">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59D80E91" w14:textId="77777777" w:rsidR="00547F8D" w:rsidRPr="00547F8D" w:rsidRDefault="00547F8D" w:rsidP="00547F8D">
      <w:pPr>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1C1D1903" w14:textId="77777777" w:rsidR="00D103E4" w:rsidRDefault="00D103E4" w:rsidP="00882263">
      <w:pPr>
        <w:spacing w:before="120" w:after="120"/>
        <w:rPr>
          <w:rFonts w:ascii="Times New Roman" w:hAnsi="Times New Roman" w:cs="Times New Roman"/>
          <w:sz w:val="24"/>
          <w:szCs w:val="24"/>
        </w:rPr>
      </w:pPr>
      <w:r>
        <w:rPr>
          <w:rFonts w:ascii="Times New Roman" w:hAnsi="Times New Roman" w:cs="Times New Roman"/>
          <w:sz w:val="24"/>
          <w:szCs w:val="24"/>
        </w:rPr>
        <w:t xml:space="preserve">The </w:t>
      </w:r>
      <w:r w:rsidRPr="00281EBF">
        <w:rPr>
          <w:rFonts w:ascii="Times New Roman" w:hAnsi="Times New Roman" w:cs="Times New Roman"/>
          <w:i/>
          <w:sz w:val="24"/>
          <w:szCs w:val="24"/>
        </w:rPr>
        <w:t xml:space="preserve">Fuel Quality Standards Amendment (Fees) Regulations 2021 </w:t>
      </w:r>
      <w:r w:rsidRPr="00D103E4">
        <w:rPr>
          <w:rFonts w:ascii="Times New Roman" w:hAnsi="Times New Roman" w:cs="Times New Roman"/>
          <w:sz w:val="24"/>
          <w:szCs w:val="24"/>
        </w:rPr>
        <w:t xml:space="preserve">(the Amendment Regulations) are a legislative instrument for the purposes of the </w:t>
      </w:r>
      <w:r w:rsidRPr="00281EBF">
        <w:rPr>
          <w:rFonts w:ascii="Times New Roman" w:hAnsi="Times New Roman" w:cs="Times New Roman"/>
          <w:i/>
          <w:sz w:val="24"/>
          <w:szCs w:val="24"/>
        </w:rPr>
        <w:t>Legislation Act 2003</w:t>
      </w:r>
      <w:r w:rsidRPr="00D103E4">
        <w:rPr>
          <w:rFonts w:ascii="Times New Roman" w:hAnsi="Times New Roman" w:cs="Times New Roman"/>
          <w:sz w:val="24"/>
          <w:szCs w:val="24"/>
        </w:rPr>
        <w:t>.</w:t>
      </w:r>
    </w:p>
    <w:p w14:paraId="50B3AE69" w14:textId="748910C8" w:rsidR="00547F8D" w:rsidRPr="00547F8D" w:rsidRDefault="005D0956" w:rsidP="00882263">
      <w:pPr>
        <w:spacing w:before="120" w:after="120"/>
        <w:rPr>
          <w:rFonts w:ascii="Times New Roman" w:hAnsi="Times New Roman" w:cs="Times New Roman"/>
          <w:sz w:val="24"/>
          <w:szCs w:val="24"/>
        </w:rPr>
      </w:pPr>
      <w:r>
        <w:rPr>
          <w:rFonts w:ascii="Times New Roman" w:hAnsi="Times New Roman" w:cs="Times New Roman"/>
          <w:sz w:val="24"/>
          <w:szCs w:val="24"/>
        </w:rPr>
        <w:t xml:space="preserve">The </w:t>
      </w:r>
      <w:r w:rsidR="00D103E4">
        <w:rPr>
          <w:rFonts w:ascii="Times New Roman" w:hAnsi="Times New Roman" w:cs="Times New Roman"/>
          <w:sz w:val="24"/>
          <w:szCs w:val="24"/>
        </w:rPr>
        <w:t>A</w:t>
      </w:r>
      <w:r>
        <w:rPr>
          <w:rFonts w:ascii="Times New Roman" w:hAnsi="Times New Roman" w:cs="Times New Roman"/>
          <w:sz w:val="24"/>
          <w:szCs w:val="24"/>
        </w:rPr>
        <w:t xml:space="preserve">mendment </w:t>
      </w:r>
      <w:r w:rsidR="00D103E4">
        <w:rPr>
          <w:rFonts w:ascii="Times New Roman" w:hAnsi="Times New Roman" w:cs="Times New Roman"/>
          <w:sz w:val="24"/>
          <w:szCs w:val="24"/>
        </w:rPr>
        <w:t>R</w:t>
      </w:r>
      <w:r>
        <w:rPr>
          <w:rFonts w:ascii="Times New Roman" w:hAnsi="Times New Roman" w:cs="Times New Roman"/>
          <w:sz w:val="24"/>
          <w:szCs w:val="24"/>
        </w:rPr>
        <w:t xml:space="preserve">egulations </w:t>
      </w:r>
      <w:r w:rsidR="00D103E4">
        <w:rPr>
          <w:rFonts w:ascii="Times New Roman" w:hAnsi="Times New Roman" w:cs="Times New Roman"/>
          <w:sz w:val="24"/>
          <w:szCs w:val="24"/>
        </w:rPr>
        <w:t>amend the</w:t>
      </w:r>
      <w:r w:rsidR="00D103E4" w:rsidRPr="00D103E4">
        <w:rPr>
          <w:rFonts w:ascii="Times New Roman" w:hAnsi="Times New Roman" w:cs="Times New Roman"/>
          <w:i/>
          <w:iCs/>
          <w:sz w:val="24"/>
          <w:szCs w:val="24"/>
        </w:rPr>
        <w:t xml:space="preserve"> </w:t>
      </w:r>
      <w:r w:rsidR="00D103E4" w:rsidRPr="00C50EB2">
        <w:rPr>
          <w:rFonts w:ascii="Times New Roman" w:hAnsi="Times New Roman" w:cs="Times New Roman"/>
          <w:i/>
          <w:iCs/>
          <w:sz w:val="24"/>
          <w:szCs w:val="24"/>
        </w:rPr>
        <w:t>Fuel Quality Standards Regulations 2019</w:t>
      </w:r>
      <w:r w:rsidR="00266E73">
        <w:rPr>
          <w:rFonts w:ascii="Times New Roman" w:hAnsi="Times New Roman" w:cs="Times New Roman"/>
          <w:sz w:val="24"/>
          <w:szCs w:val="24"/>
        </w:rPr>
        <w:t xml:space="preserve"> (the Principal Regulations) </w:t>
      </w:r>
      <w:r w:rsidR="00D103E4">
        <w:rPr>
          <w:rFonts w:ascii="Times New Roman" w:hAnsi="Times New Roman" w:cs="Times New Roman"/>
          <w:sz w:val="24"/>
          <w:szCs w:val="24"/>
        </w:rPr>
        <w:t xml:space="preserve">to </w:t>
      </w:r>
      <w:r>
        <w:rPr>
          <w:rFonts w:ascii="Times New Roman" w:hAnsi="Times New Roman" w:cs="Times New Roman"/>
          <w:sz w:val="24"/>
          <w:szCs w:val="24"/>
        </w:rPr>
        <w:t xml:space="preserve">remove fees for applications to vary fuel quality standards made under section </w:t>
      </w:r>
      <w:r w:rsidRPr="00FD6E4D">
        <w:rPr>
          <w:rFonts w:ascii="Times New Roman" w:hAnsi="Times New Roman" w:cs="Times New Roman"/>
          <w:sz w:val="24"/>
          <w:szCs w:val="24"/>
        </w:rPr>
        <w:t>1</w:t>
      </w:r>
      <w:r w:rsidR="00281EBF">
        <w:rPr>
          <w:rFonts w:ascii="Times New Roman" w:hAnsi="Times New Roman" w:cs="Times New Roman"/>
          <w:sz w:val="24"/>
          <w:szCs w:val="24"/>
        </w:rPr>
        <w:t>3</w:t>
      </w:r>
      <w:r w:rsidR="00266E73" w:rsidRPr="00281EBF">
        <w:rPr>
          <w:rFonts w:ascii="Times New Roman" w:hAnsi="Times New Roman" w:cs="Times New Roman"/>
          <w:sz w:val="24"/>
          <w:szCs w:val="24"/>
        </w:rPr>
        <w:t xml:space="preserve"> </w:t>
      </w:r>
      <w:r>
        <w:rPr>
          <w:rFonts w:ascii="Times New Roman" w:hAnsi="Times New Roman" w:cs="Times New Roman"/>
          <w:sz w:val="24"/>
          <w:szCs w:val="24"/>
        </w:rPr>
        <w:t xml:space="preserve">of the </w:t>
      </w:r>
      <w:r w:rsidR="00D103E4">
        <w:rPr>
          <w:rFonts w:ascii="Times New Roman" w:hAnsi="Times New Roman" w:cs="Times New Roman"/>
          <w:i/>
          <w:sz w:val="24"/>
          <w:szCs w:val="24"/>
        </w:rPr>
        <w:t>Fuel Quality Standards Act 2000</w:t>
      </w:r>
      <w:r>
        <w:rPr>
          <w:rFonts w:ascii="Times New Roman" w:hAnsi="Times New Roman" w:cs="Times New Roman"/>
          <w:sz w:val="24"/>
          <w:szCs w:val="24"/>
        </w:rPr>
        <w:t xml:space="preserve">. The </w:t>
      </w:r>
      <w:r w:rsidR="00266E73">
        <w:rPr>
          <w:rFonts w:ascii="Times New Roman" w:hAnsi="Times New Roman" w:cs="Times New Roman"/>
          <w:sz w:val="24"/>
          <w:szCs w:val="24"/>
        </w:rPr>
        <w:t>A</w:t>
      </w:r>
      <w:r>
        <w:rPr>
          <w:rFonts w:ascii="Times New Roman" w:hAnsi="Times New Roman" w:cs="Times New Roman"/>
          <w:sz w:val="24"/>
          <w:szCs w:val="24"/>
        </w:rPr>
        <w:t xml:space="preserve">mendment </w:t>
      </w:r>
      <w:r w:rsidR="00266E73">
        <w:rPr>
          <w:rFonts w:ascii="Times New Roman" w:hAnsi="Times New Roman" w:cs="Times New Roman"/>
          <w:sz w:val="24"/>
          <w:szCs w:val="24"/>
        </w:rPr>
        <w:t>R</w:t>
      </w:r>
      <w:r>
        <w:rPr>
          <w:rFonts w:ascii="Times New Roman" w:hAnsi="Times New Roman" w:cs="Times New Roman"/>
          <w:sz w:val="24"/>
          <w:szCs w:val="24"/>
        </w:rPr>
        <w:t xml:space="preserve">egulations </w:t>
      </w:r>
      <w:r w:rsidR="00266E73">
        <w:rPr>
          <w:rFonts w:ascii="Times New Roman" w:hAnsi="Times New Roman" w:cs="Times New Roman"/>
          <w:sz w:val="24"/>
          <w:szCs w:val="24"/>
        </w:rPr>
        <w:t xml:space="preserve">also amend the Principal </w:t>
      </w:r>
      <w:r w:rsidR="00930CDA">
        <w:rPr>
          <w:rFonts w:ascii="Times New Roman" w:hAnsi="Times New Roman" w:cs="Times New Roman"/>
          <w:sz w:val="24"/>
          <w:szCs w:val="24"/>
        </w:rPr>
        <w:t>R</w:t>
      </w:r>
      <w:r w:rsidR="00266E73">
        <w:rPr>
          <w:rFonts w:ascii="Times New Roman" w:hAnsi="Times New Roman" w:cs="Times New Roman"/>
          <w:sz w:val="24"/>
          <w:szCs w:val="24"/>
        </w:rPr>
        <w:t>egulations,</w:t>
      </w:r>
      <w:r>
        <w:rPr>
          <w:rFonts w:ascii="Times New Roman" w:hAnsi="Times New Roman" w:cs="Times New Roman"/>
          <w:sz w:val="24"/>
          <w:szCs w:val="24"/>
        </w:rPr>
        <w:t xml:space="preserve"> </w:t>
      </w:r>
      <w:r w:rsidR="00266E73">
        <w:rPr>
          <w:rFonts w:ascii="Times New Roman" w:hAnsi="Times New Roman" w:cs="Times New Roman"/>
          <w:sz w:val="24"/>
          <w:szCs w:val="24"/>
        </w:rPr>
        <w:t xml:space="preserve">by </w:t>
      </w:r>
      <w:r>
        <w:rPr>
          <w:rFonts w:ascii="Times New Roman" w:hAnsi="Times New Roman" w:cs="Times New Roman"/>
          <w:sz w:val="24"/>
          <w:szCs w:val="24"/>
        </w:rPr>
        <w:t>remov</w:t>
      </w:r>
      <w:r w:rsidR="00266E73">
        <w:rPr>
          <w:rFonts w:ascii="Times New Roman" w:hAnsi="Times New Roman" w:cs="Times New Roman"/>
          <w:sz w:val="24"/>
          <w:szCs w:val="24"/>
        </w:rPr>
        <w:t>ing</w:t>
      </w:r>
      <w:r>
        <w:rPr>
          <w:rFonts w:ascii="Times New Roman" w:hAnsi="Times New Roman" w:cs="Times New Roman"/>
          <w:sz w:val="24"/>
          <w:szCs w:val="24"/>
        </w:rPr>
        <w:t xml:space="preserve"> regulations related to waiving, reducing, and refunding the application fee, as these are no longer required. </w:t>
      </w:r>
    </w:p>
    <w:p w14:paraId="1836D4E7"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0A9264D5" w14:textId="5489B65A" w:rsidR="00547F8D" w:rsidRPr="00547F8D" w:rsidRDefault="00547F8D" w:rsidP="00547F8D">
      <w:pPr>
        <w:spacing w:before="120" w:after="120"/>
        <w:rPr>
          <w:rFonts w:ascii="Times New Roman" w:hAnsi="Times New Roman" w:cs="Times New Roman"/>
          <w:sz w:val="24"/>
          <w:szCs w:val="24"/>
        </w:rPr>
      </w:pPr>
      <w:r w:rsidRPr="00547F8D">
        <w:rPr>
          <w:rFonts w:ascii="Times New Roman" w:hAnsi="Times New Roman" w:cs="Times New Roman"/>
          <w:sz w:val="24"/>
          <w:szCs w:val="24"/>
        </w:rPr>
        <w:t>Th</w:t>
      </w:r>
      <w:r w:rsidR="00D103E4">
        <w:rPr>
          <w:rFonts w:ascii="Times New Roman" w:hAnsi="Times New Roman" w:cs="Times New Roman"/>
          <w:sz w:val="24"/>
          <w:szCs w:val="24"/>
        </w:rPr>
        <w:t>e</w:t>
      </w:r>
      <w:r w:rsidRPr="00547F8D">
        <w:rPr>
          <w:rFonts w:ascii="Times New Roman" w:hAnsi="Times New Roman" w:cs="Times New Roman"/>
          <w:sz w:val="24"/>
          <w:szCs w:val="24"/>
        </w:rPr>
        <w:t xml:space="preserve"> </w:t>
      </w:r>
      <w:r w:rsidR="00D103E4">
        <w:rPr>
          <w:rFonts w:ascii="Times New Roman" w:hAnsi="Times New Roman" w:cs="Times New Roman"/>
          <w:sz w:val="24"/>
          <w:szCs w:val="24"/>
        </w:rPr>
        <w:t>A</w:t>
      </w:r>
      <w:r w:rsidR="0086590A">
        <w:rPr>
          <w:rFonts w:ascii="Times New Roman" w:hAnsi="Times New Roman" w:cs="Times New Roman"/>
          <w:sz w:val="24"/>
          <w:szCs w:val="24"/>
        </w:rPr>
        <w:t xml:space="preserve">mendment </w:t>
      </w:r>
      <w:r w:rsidR="00D103E4">
        <w:rPr>
          <w:rFonts w:ascii="Times New Roman" w:hAnsi="Times New Roman" w:cs="Times New Roman"/>
          <w:sz w:val="24"/>
          <w:szCs w:val="24"/>
        </w:rPr>
        <w:t>R</w:t>
      </w:r>
      <w:r w:rsidR="0086590A">
        <w:rPr>
          <w:rFonts w:ascii="Times New Roman" w:hAnsi="Times New Roman" w:cs="Times New Roman"/>
          <w:sz w:val="24"/>
          <w:szCs w:val="24"/>
        </w:rPr>
        <w:t>egulation</w:t>
      </w:r>
      <w:r w:rsidR="00D103E4">
        <w:rPr>
          <w:rFonts w:ascii="Times New Roman" w:hAnsi="Times New Roman" w:cs="Times New Roman"/>
          <w:sz w:val="24"/>
          <w:szCs w:val="24"/>
        </w:rPr>
        <w:t>s</w:t>
      </w:r>
      <w:r w:rsidR="00882263">
        <w:rPr>
          <w:rFonts w:ascii="Times New Roman" w:hAnsi="Times New Roman" w:cs="Times New Roman"/>
          <w:sz w:val="24"/>
          <w:szCs w:val="24"/>
        </w:rPr>
        <w:t xml:space="preserve"> do</w:t>
      </w:r>
      <w:r w:rsidRPr="00547F8D">
        <w:rPr>
          <w:rFonts w:ascii="Times New Roman" w:hAnsi="Times New Roman" w:cs="Times New Roman"/>
          <w:sz w:val="24"/>
          <w:szCs w:val="24"/>
        </w:rPr>
        <w:t xml:space="preserve"> not engage any of the applicable rights or freedoms.</w:t>
      </w:r>
    </w:p>
    <w:p w14:paraId="2D32FAB9"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lastRenderedPageBreak/>
        <w:t>Conclusion</w:t>
      </w:r>
    </w:p>
    <w:p w14:paraId="17C95FA7" w14:textId="400A1925" w:rsidR="00547F8D" w:rsidRPr="00547F8D" w:rsidRDefault="009154C3" w:rsidP="00547F8D">
      <w:pPr>
        <w:spacing w:before="120" w:after="120"/>
        <w:rPr>
          <w:rFonts w:ascii="Times New Roman" w:hAnsi="Times New Roman" w:cs="Times New Roman"/>
          <w:sz w:val="24"/>
          <w:szCs w:val="24"/>
        </w:rPr>
      </w:pPr>
      <w:r w:rsidRPr="00547F8D">
        <w:rPr>
          <w:rFonts w:ascii="Times New Roman" w:hAnsi="Times New Roman" w:cs="Times New Roman"/>
          <w:sz w:val="24"/>
          <w:szCs w:val="24"/>
        </w:rPr>
        <w:t>Th</w:t>
      </w:r>
      <w:r>
        <w:rPr>
          <w:rFonts w:ascii="Times New Roman" w:hAnsi="Times New Roman" w:cs="Times New Roman"/>
          <w:sz w:val="24"/>
          <w:szCs w:val="24"/>
        </w:rPr>
        <w:t>e Amendment</w:t>
      </w:r>
      <w:r w:rsidR="0086590A">
        <w:rPr>
          <w:rFonts w:ascii="Times New Roman" w:hAnsi="Times New Roman" w:cs="Times New Roman"/>
          <w:sz w:val="24"/>
          <w:szCs w:val="24"/>
        </w:rPr>
        <w:t xml:space="preserve"> </w:t>
      </w:r>
      <w:r w:rsidR="009D0BA8">
        <w:rPr>
          <w:rFonts w:ascii="Times New Roman" w:hAnsi="Times New Roman" w:cs="Times New Roman"/>
          <w:sz w:val="24"/>
          <w:szCs w:val="24"/>
        </w:rPr>
        <w:t>R</w:t>
      </w:r>
      <w:r w:rsidR="0086590A">
        <w:rPr>
          <w:rFonts w:ascii="Times New Roman" w:hAnsi="Times New Roman" w:cs="Times New Roman"/>
          <w:sz w:val="24"/>
          <w:szCs w:val="24"/>
        </w:rPr>
        <w:t>egulation</w:t>
      </w:r>
      <w:r w:rsidR="00930CDA">
        <w:rPr>
          <w:rFonts w:ascii="Times New Roman" w:hAnsi="Times New Roman" w:cs="Times New Roman"/>
          <w:sz w:val="24"/>
          <w:szCs w:val="24"/>
        </w:rPr>
        <w:t>s are</w:t>
      </w:r>
      <w:r w:rsidR="00547F8D" w:rsidRPr="00547F8D">
        <w:rPr>
          <w:rFonts w:ascii="Times New Roman" w:hAnsi="Times New Roman" w:cs="Times New Roman"/>
          <w:sz w:val="24"/>
          <w:szCs w:val="24"/>
        </w:rPr>
        <w:t xml:space="preserve"> compatible with </w:t>
      </w:r>
      <w:r w:rsidR="00547F8D" w:rsidRPr="00281EBF">
        <w:rPr>
          <w:rFonts w:ascii="Times New Roman" w:hAnsi="Times New Roman" w:cs="Times New Roman"/>
          <w:sz w:val="24"/>
          <w:szCs w:val="24"/>
        </w:rPr>
        <w:t xml:space="preserve">human rights as </w:t>
      </w:r>
      <w:r>
        <w:rPr>
          <w:rFonts w:ascii="Times New Roman" w:hAnsi="Times New Roman" w:cs="Times New Roman"/>
          <w:sz w:val="24"/>
          <w:szCs w:val="24"/>
        </w:rPr>
        <w:t>they</w:t>
      </w:r>
      <w:r w:rsidR="00547F8D" w:rsidRPr="00281EBF">
        <w:rPr>
          <w:rFonts w:ascii="Times New Roman" w:hAnsi="Times New Roman" w:cs="Times New Roman"/>
          <w:sz w:val="24"/>
          <w:szCs w:val="24"/>
        </w:rPr>
        <w:t xml:space="preserve"> does not raise any human rights issues.</w:t>
      </w:r>
    </w:p>
    <w:p w14:paraId="23675858" w14:textId="77777777" w:rsidR="00547F8D" w:rsidRPr="00547F8D" w:rsidRDefault="00547F8D" w:rsidP="00547F8D">
      <w:pPr>
        <w:spacing w:before="120" w:after="120"/>
        <w:jc w:val="center"/>
        <w:rPr>
          <w:rFonts w:ascii="Times New Roman" w:hAnsi="Times New Roman" w:cs="Times New Roman"/>
          <w:sz w:val="24"/>
          <w:szCs w:val="24"/>
        </w:rPr>
      </w:pPr>
    </w:p>
    <w:p w14:paraId="4EB4F72B" w14:textId="615A0D83" w:rsidR="00882263" w:rsidRDefault="00CA26A4" w:rsidP="00547F8D">
      <w:pPr>
        <w:spacing w:before="120" w:after="120"/>
        <w:jc w:val="center"/>
        <w:rPr>
          <w:rFonts w:ascii="Times New Roman" w:hAnsi="Times New Roman" w:cs="Times New Roman"/>
          <w:b/>
          <w:sz w:val="24"/>
          <w:szCs w:val="24"/>
        </w:rPr>
      </w:pPr>
      <w:r>
        <w:rPr>
          <w:rFonts w:ascii="Times New Roman" w:hAnsi="Times New Roman" w:cs="Times New Roman"/>
          <w:b/>
          <w:sz w:val="24"/>
          <w:szCs w:val="24"/>
        </w:rPr>
        <w:t>The Hon Angus Taylor MP</w:t>
      </w:r>
    </w:p>
    <w:p w14:paraId="0F7B063D" w14:textId="191A0B78" w:rsidR="00547F8D" w:rsidRPr="00547F8D" w:rsidRDefault="00CA26A4" w:rsidP="00547F8D">
      <w:pPr>
        <w:spacing w:before="120" w:after="120"/>
        <w:jc w:val="center"/>
        <w:rPr>
          <w:rFonts w:ascii="Times New Roman" w:hAnsi="Times New Roman" w:cs="Times New Roman"/>
          <w:b/>
          <w:sz w:val="24"/>
          <w:szCs w:val="24"/>
        </w:rPr>
      </w:pPr>
      <w:r>
        <w:rPr>
          <w:rFonts w:ascii="Times New Roman" w:hAnsi="Times New Roman" w:cs="Times New Roman"/>
          <w:b/>
          <w:sz w:val="24"/>
          <w:szCs w:val="24"/>
        </w:rPr>
        <w:t>Minister for Energy and Emissions Reduction</w:t>
      </w:r>
    </w:p>
    <w:p w14:paraId="7DAB0EEC" w14:textId="77777777" w:rsidR="006472E0" w:rsidRPr="00547F8D" w:rsidRDefault="006472E0" w:rsidP="00547F8D">
      <w:pPr>
        <w:spacing w:before="240" w:after="240"/>
        <w:rPr>
          <w:rFonts w:ascii="Times New Roman" w:hAnsi="Times New Roman" w:cs="Times New Roman"/>
          <w:b/>
          <w:sz w:val="24"/>
          <w:szCs w:val="24"/>
        </w:rPr>
      </w:pPr>
    </w:p>
    <w:sectPr w:rsidR="006472E0" w:rsidRPr="00547F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9C0BB8"/>
    <w:multiLevelType w:val="multilevel"/>
    <w:tmpl w:val="A0D0E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15240D"/>
    <w:multiLevelType w:val="hybridMultilevel"/>
    <w:tmpl w:val="A43C1D66"/>
    <w:lvl w:ilvl="0" w:tplc="B19ACC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BD"/>
    <w:rsid w:val="00020CC4"/>
    <w:rsid w:val="000D0E22"/>
    <w:rsid w:val="000D100E"/>
    <w:rsid w:val="0013767C"/>
    <w:rsid w:val="00154F6F"/>
    <w:rsid w:val="00176597"/>
    <w:rsid w:val="001A079F"/>
    <w:rsid w:val="001B67BD"/>
    <w:rsid w:val="00252CF8"/>
    <w:rsid w:val="00257B36"/>
    <w:rsid w:val="002668C2"/>
    <w:rsid w:val="00266E73"/>
    <w:rsid w:val="00281EBF"/>
    <w:rsid w:val="002A19C0"/>
    <w:rsid w:val="002A4542"/>
    <w:rsid w:val="002E3895"/>
    <w:rsid w:val="002F0AF4"/>
    <w:rsid w:val="003101D1"/>
    <w:rsid w:val="003449DB"/>
    <w:rsid w:val="00366EF0"/>
    <w:rsid w:val="003707FF"/>
    <w:rsid w:val="00370830"/>
    <w:rsid w:val="00375E5D"/>
    <w:rsid w:val="00387B44"/>
    <w:rsid w:val="00547F8D"/>
    <w:rsid w:val="0056517B"/>
    <w:rsid w:val="005A28D4"/>
    <w:rsid w:val="005B2E57"/>
    <w:rsid w:val="005B38C3"/>
    <w:rsid w:val="005B7CA6"/>
    <w:rsid w:val="005D0956"/>
    <w:rsid w:val="005F53D8"/>
    <w:rsid w:val="00625E49"/>
    <w:rsid w:val="00641BB0"/>
    <w:rsid w:val="006472E0"/>
    <w:rsid w:val="006745C3"/>
    <w:rsid w:val="006B3421"/>
    <w:rsid w:val="0072540E"/>
    <w:rsid w:val="007E08C4"/>
    <w:rsid w:val="0081627B"/>
    <w:rsid w:val="0086590A"/>
    <w:rsid w:val="00882263"/>
    <w:rsid w:val="008C07E8"/>
    <w:rsid w:val="008E5FA5"/>
    <w:rsid w:val="009154C3"/>
    <w:rsid w:val="00921D42"/>
    <w:rsid w:val="00930CDA"/>
    <w:rsid w:val="0097023F"/>
    <w:rsid w:val="009732E6"/>
    <w:rsid w:val="0099172B"/>
    <w:rsid w:val="009D0BA8"/>
    <w:rsid w:val="00A069A2"/>
    <w:rsid w:val="00A46787"/>
    <w:rsid w:val="00AB0C43"/>
    <w:rsid w:val="00AE563E"/>
    <w:rsid w:val="00B2520A"/>
    <w:rsid w:val="00B702C4"/>
    <w:rsid w:val="00B81236"/>
    <w:rsid w:val="00BB5C0C"/>
    <w:rsid w:val="00BF3154"/>
    <w:rsid w:val="00C50EB2"/>
    <w:rsid w:val="00C80566"/>
    <w:rsid w:val="00CA26A4"/>
    <w:rsid w:val="00CA7A97"/>
    <w:rsid w:val="00CC3932"/>
    <w:rsid w:val="00D103E4"/>
    <w:rsid w:val="00D119F7"/>
    <w:rsid w:val="00D45DFF"/>
    <w:rsid w:val="00D75FFD"/>
    <w:rsid w:val="00D76AA5"/>
    <w:rsid w:val="00DF78AE"/>
    <w:rsid w:val="00E01BEC"/>
    <w:rsid w:val="00E755D2"/>
    <w:rsid w:val="00EC4CD2"/>
    <w:rsid w:val="00F02C5F"/>
    <w:rsid w:val="00F05F4B"/>
    <w:rsid w:val="00F5358B"/>
    <w:rsid w:val="00F7712E"/>
    <w:rsid w:val="00F97A5D"/>
    <w:rsid w:val="00FB0A42"/>
    <w:rsid w:val="00FD29F8"/>
    <w:rsid w:val="00FD6E4D"/>
    <w:rsid w:val="00FE78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48AB"/>
  <w15:docId w15:val="{A67DCEC1-9A43-4AF4-8AD9-D5996119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9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52CF8"/>
    <w:rPr>
      <w:sz w:val="16"/>
      <w:szCs w:val="16"/>
    </w:rPr>
  </w:style>
  <w:style w:type="paragraph" w:styleId="CommentText">
    <w:name w:val="annotation text"/>
    <w:basedOn w:val="Normal"/>
    <w:link w:val="CommentTextChar"/>
    <w:uiPriority w:val="99"/>
    <w:semiHidden/>
    <w:unhideWhenUsed/>
    <w:rsid w:val="00252CF8"/>
    <w:pPr>
      <w:spacing w:line="240" w:lineRule="auto"/>
    </w:pPr>
    <w:rPr>
      <w:sz w:val="20"/>
      <w:szCs w:val="20"/>
    </w:rPr>
  </w:style>
  <w:style w:type="character" w:customStyle="1" w:styleId="CommentTextChar">
    <w:name w:val="Comment Text Char"/>
    <w:basedOn w:val="DefaultParagraphFont"/>
    <w:link w:val="CommentText"/>
    <w:uiPriority w:val="99"/>
    <w:semiHidden/>
    <w:rsid w:val="00252CF8"/>
    <w:rPr>
      <w:sz w:val="20"/>
      <w:szCs w:val="20"/>
    </w:rPr>
  </w:style>
  <w:style w:type="paragraph" w:styleId="CommentSubject">
    <w:name w:val="annotation subject"/>
    <w:basedOn w:val="CommentText"/>
    <w:next w:val="CommentText"/>
    <w:link w:val="CommentSubjectChar"/>
    <w:uiPriority w:val="99"/>
    <w:semiHidden/>
    <w:unhideWhenUsed/>
    <w:rsid w:val="00252CF8"/>
    <w:rPr>
      <w:b/>
      <w:bCs/>
    </w:rPr>
  </w:style>
  <w:style w:type="character" w:customStyle="1" w:styleId="CommentSubjectChar">
    <w:name w:val="Comment Subject Char"/>
    <w:basedOn w:val="CommentTextChar"/>
    <w:link w:val="CommentSubject"/>
    <w:uiPriority w:val="99"/>
    <w:semiHidden/>
    <w:rsid w:val="00252CF8"/>
    <w:rPr>
      <w:b/>
      <w:bCs/>
      <w:sz w:val="20"/>
      <w:szCs w:val="20"/>
    </w:rPr>
  </w:style>
  <w:style w:type="paragraph" w:styleId="BalloonText">
    <w:name w:val="Balloon Text"/>
    <w:basedOn w:val="Normal"/>
    <w:link w:val="BalloonTextChar"/>
    <w:uiPriority w:val="99"/>
    <w:semiHidden/>
    <w:unhideWhenUsed/>
    <w:rsid w:val="00252C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CF8"/>
    <w:rPr>
      <w:rFonts w:ascii="Segoe UI" w:hAnsi="Segoe UI" w:cs="Segoe UI"/>
      <w:sz w:val="18"/>
      <w:szCs w:val="18"/>
    </w:rPr>
  </w:style>
  <w:style w:type="character" w:styleId="Hyperlink">
    <w:name w:val="Hyperlink"/>
    <w:basedOn w:val="DefaultParagraphFont"/>
    <w:uiPriority w:val="99"/>
    <w:unhideWhenUsed/>
    <w:rsid w:val="00D103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11190">
      <w:bodyDiv w:val="1"/>
      <w:marLeft w:val="0"/>
      <w:marRight w:val="0"/>
      <w:marTop w:val="0"/>
      <w:marBottom w:val="0"/>
      <w:divBdr>
        <w:top w:val="none" w:sz="0" w:space="0" w:color="auto"/>
        <w:left w:val="none" w:sz="0" w:space="0" w:color="auto"/>
        <w:bottom w:val="none" w:sz="0" w:space="0" w:color="auto"/>
        <w:right w:val="none" w:sz="0" w:space="0" w:color="auto"/>
      </w:divBdr>
      <w:divsChild>
        <w:div w:id="1260681936">
          <w:marLeft w:val="0"/>
          <w:marRight w:val="0"/>
          <w:marTop w:val="0"/>
          <w:marBottom w:val="0"/>
          <w:divBdr>
            <w:top w:val="none" w:sz="0" w:space="0" w:color="auto"/>
            <w:left w:val="none" w:sz="0" w:space="0" w:color="auto"/>
            <w:bottom w:val="none" w:sz="0" w:space="0" w:color="auto"/>
            <w:right w:val="none" w:sz="0" w:space="0" w:color="auto"/>
          </w:divBdr>
          <w:divsChild>
            <w:div w:id="1663393617">
              <w:marLeft w:val="0"/>
              <w:marRight w:val="0"/>
              <w:marTop w:val="0"/>
              <w:marBottom w:val="0"/>
              <w:divBdr>
                <w:top w:val="none" w:sz="0" w:space="0" w:color="auto"/>
                <w:left w:val="none" w:sz="0" w:space="0" w:color="auto"/>
                <w:bottom w:val="none" w:sz="0" w:space="0" w:color="auto"/>
                <w:right w:val="none" w:sz="0" w:space="0" w:color="auto"/>
              </w:divBdr>
              <w:divsChild>
                <w:div w:id="2013675437">
                  <w:marLeft w:val="0"/>
                  <w:marRight w:val="0"/>
                  <w:marTop w:val="0"/>
                  <w:marBottom w:val="0"/>
                  <w:divBdr>
                    <w:top w:val="none" w:sz="0" w:space="0" w:color="auto"/>
                    <w:left w:val="none" w:sz="0" w:space="0" w:color="auto"/>
                    <w:bottom w:val="none" w:sz="0" w:space="0" w:color="auto"/>
                    <w:right w:val="none" w:sz="0" w:space="0" w:color="auto"/>
                  </w:divBdr>
                  <w:divsChild>
                    <w:div w:id="132412180">
                      <w:marLeft w:val="0"/>
                      <w:marRight w:val="0"/>
                      <w:marTop w:val="0"/>
                      <w:marBottom w:val="0"/>
                      <w:divBdr>
                        <w:top w:val="none" w:sz="0" w:space="0" w:color="auto"/>
                        <w:left w:val="none" w:sz="0" w:space="0" w:color="auto"/>
                        <w:bottom w:val="none" w:sz="0" w:space="0" w:color="auto"/>
                        <w:right w:val="none" w:sz="0" w:space="0" w:color="auto"/>
                      </w:divBdr>
                      <w:divsChild>
                        <w:div w:id="1504130676">
                          <w:marLeft w:val="0"/>
                          <w:marRight w:val="0"/>
                          <w:marTop w:val="0"/>
                          <w:marBottom w:val="0"/>
                          <w:divBdr>
                            <w:top w:val="none" w:sz="0" w:space="0" w:color="auto"/>
                            <w:left w:val="none" w:sz="0" w:space="0" w:color="auto"/>
                            <w:bottom w:val="none" w:sz="0" w:space="0" w:color="auto"/>
                            <w:right w:val="none" w:sz="0" w:space="0" w:color="auto"/>
                          </w:divBdr>
                          <w:divsChild>
                            <w:div w:id="1918859451">
                              <w:marLeft w:val="0"/>
                              <w:marRight w:val="0"/>
                              <w:marTop w:val="0"/>
                              <w:marBottom w:val="0"/>
                              <w:divBdr>
                                <w:top w:val="none" w:sz="0" w:space="0" w:color="auto"/>
                                <w:left w:val="none" w:sz="0" w:space="0" w:color="auto"/>
                                <w:bottom w:val="none" w:sz="0" w:space="0" w:color="auto"/>
                                <w:right w:val="none" w:sz="0" w:space="0" w:color="auto"/>
                              </w:divBdr>
                              <w:divsChild>
                                <w:div w:id="488328547">
                                  <w:marLeft w:val="0"/>
                                  <w:marRight w:val="0"/>
                                  <w:marTop w:val="0"/>
                                  <w:marBottom w:val="0"/>
                                  <w:divBdr>
                                    <w:top w:val="none" w:sz="0" w:space="0" w:color="auto"/>
                                    <w:left w:val="none" w:sz="0" w:space="0" w:color="auto"/>
                                    <w:bottom w:val="none" w:sz="0" w:space="0" w:color="auto"/>
                                    <w:right w:val="none" w:sz="0" w:space="0" w:color="auto"/>
                                  </w:divBdr>
                                  <w:divsChild>
                                    <w:div w:id="1507939348">
                                      <w:marLeft w:val="0"/>
                                      <w:marRight w:val="0"/>
                                      <w:marTop w:val="0"/>
                                      <w:marBottom w:val="0"/>
                                      <w:divBdr>
                                        <w:top w:val="none" w:sz="0" w:space="0" w:color="auto"/>
                                        <w:left w:val="none" w:sz="0" w:space="0" w:color="auto"/>
                                        <w:bottom w:val="none" w:sz="0" w:space="0" w:color="auto"/>
                                        <w:right w:val="none" w:sz="0" w:space="0" w:color="auto"/>
                                      </w:divBdr>
                                      <w:divsChild>
                                        <w:div w:id="210771535">
                                          <w:marLeft w:val="0"/>
                                          <w:marRight w:val="0"/>
                                          <w:marTop w:val="0"/>
                                          <w:marBottom w:val="0"/>
                                          <w:divBdr>
                                            <w:top w:val="none" w:sz="0" w:space="0" w:color="auto"/>
                                            <w:left w:val="none" w:sz="0" w:space="0" w:color="auto"/>
                                            <w:bottom w:val="none" w:sz="0" w:space="0" w:color="auto"/>
                                            <w:right w:val="none" w:sz="0" w:space="0" w:color="auto"/>
                                          </w:divBdr>
                                          <w:divsChild>
                                            <w:div w:id="1856504319">
                                              <w:marLeft w:val="0"/>
                                              <w:marRight w:val="0"/>
                                              <w:marTop w:val="0"/>
                                              <w:marBottom w:val="0"/>
                                              <w:divBdr>
                                                <w:top w:val="none" w:sz="0" w:space="0" w:color="auto"/>
                                                <w:left w:val="none" w:sz="0" w:space="0" w:color="auto"/>
                                                <w:bottom w:val="none" w:sz="0" w:space="0" w:color="auto"/>
                                                <w:right w:val="none" w:sz="0" w:space="0" w:color="auto"/>
                                              </w:divBdr>
                                              <w:divsChild>
                                                <w:div w:id="10886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A8864FA-9397-42EF-94D1-91F710615C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942650F57D18B46ABDBB17F78763366" ma:contentTypeVersion="" ma:contentTypeDescription="PDMS Document Site Content Type" ma:contentTypeScope="" ma:versionID="0845553be66c72497793347b7800d4fe">
  <xsd:schema xmlns:xsd="http://www.w3.org/2001/XMLSchema" xmlns:xs="http://www.w3.org/2001/XMLSchema" xmlns:p="http://schemas.microsoft.com/office/2006/metadata/properties" xmlns:ns2="FA8864FA-9397-42EF-94D1-91F710615CDD" targetNamespace="http://schemas.microsoft.com/office/2006/metadata/properties" ma:root="true" ma:fieldsID="61dd69cf4cafcd3c3b26dff34eee4003" ns2:_="">
    <xsd:import namespace="FA8864FA-9397-42EF-94D1-91F710615CD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864FA-9397-42EF-94D1-91F710615CD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4430AB-F790-4F69-9CC3-B848FB82AE26}">
  <ds:schemaRefs>
    <ds:schemaRef ds:uri="http://schemas.microsoft.com/sharepoint/v3/contenttype/forms"/>
  </ds:schemaRefs>
</ds:datastoreItem>
</file>

<file path=customXml/itemProps2.xml><?xml version="1.0" encoding="utf-8"?>
<ds:datastoreItem xmlns:ds="http://schemas.openxmlformats.org/officeDocument/2006/customXml" ds:itemID="{50B8F6E8-8D31-46B9-91F7-B436202A5717}">
  <ds:schemaRefs>
    <ds:schemaRef ds:uri="http://purl.org/dc/elements/1.1/"/>
    <ds:schemaRef ds:uri="http://schemas.microsoft.com/office/2006/metadata/properties"/>
    <ds:schemaRef ds:uri="FA8864FA-9397-42EF-94D1-91F710615CD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9111C33-507F-4729-A4F2-0350CCFFE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864FA-9397-42EF-94D1-91F710615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911</Words>
  <Characters>5198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Lisa</dc:creator>
  <cp:lastModifiedBy>Osborne, Lea</cp:lastModifiedBy>
  <cp:revision>2</cp:revision>
  <dcterms:created xsi:type="dcterms:W3CDTF">2021-06-08T03:55:00Z</dcterms:created>
  <dcterms:modified xsi:type="dcterms:W3CDTF">2021-06-08T03:55:00Z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0x010100266966F133664895A6EE3632470D45F5001942650F57D18B46ABDBB17F78763366</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491;#2021|712d5b50-1b62-44de-9d3e-74234783b265</vt:lpwstr>
  </property>
  <property fmtid="{D5CDD505-2E9C-101B-9397-08002B2CF9AE}" pid="5" name="DocHub_LegalToolPurpose">
    <vt:lpwstr>4832;#Standing Advice|ed74bdb8-e7d0-4e35-8cfa-142834146cc4</vt:lpwstr>
  </property>
  <property fmtid="{D5CDD505-2E9C-101B-9397-08002B2CF9AE}" pid="6" name="DocHub_WorkActivity">
    <vt:lpwstr>275;#Legislation and Regulation|6cbc66f5-f4a2-4565-a58b-d5f2d2ac9bd0</vt:lpwstr>
  </property>
  <property fmtid="{D5CDD505-2E9C-101B-9397-08002B2CF9AE}" pid="7" name="DocHub_Keywords">
    <vt:lpwstr>2523;#Legislative Instrument|8cf09df3-777b-4dbc-bcae-cb8602505de5</vt:lpwstr>
  </property>
  <property fmtid="{D5CDD505-2E9C-101B-9397-08002B2CF9AE}" pid="8" name="DocHub_DocumentType">
    <vt:lpwstr>950;#Explanatory Memorandum|e1baf4eb-cfb1-4562-a99a-5aebab1aca70</vt:lpwstr>
  </property>
  <property fmtid="{D5CDD505-2E9C-101B-9397-08002B2CF9AE}" pid="9" name="DocHub_SecurityClassification">
    <vt:lpwstr>323;#Legal privilege|803d03d9-f24d-497a-bb88-13a7511ff07a</vt:lpwstr>
  </property>
  <property fmtid="{D5CDD505-2E9C-101B-9397-08002B2CF9AE}" pid="10" name="_dlc_DocIdItemGuid">
    <vt:lpwstr>52736cf9-9c50-45e5-8fc4-4b02fff03d5b</vt:lpwstr>
  </property>
  <property fmtid="{D5CDD505-2E9C-101B-9397-08002B2CF9AE}" pid="11" name="DocHub_FuelPolicyWorkTopics">
    <vt:lpwstr>267;#Fuel Legislation|9f029cd3-44de-44ec-a56e-b2079d34d259</vt:lpwstr>
  </property>
  <property fmtid="{D5CDD505-2E9C-101B-9397-08002B2CF9AE}" pid="12" name="DocHub_FuelTypes">
    <vt:lpwstr/>
  </property>
</Properties>
</file>