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629C" w14:textId="77777777"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14:paraId="0840E1B4" w14:textId="77777777" w:rsidR="00146C4C" w:rsidRDefault="001216A1" w:rsidP="00146C4C">
      <w:pPr>
        <w:jc w:val="center"/>
        <w:rPr>
          <w:i/>
          <w:sz w:val="24"/>
        </w:rPr>
      </w:pPr>
      <w:r>
        <w:rPr>
          <w:i/>
          <w:sz w:val="24"/>
        </w:rPr>
        <w:t>Public Governance, Per</w:t>
      </w:r>
      <w:r w:rsidR="00696F69">
        <w:rPr>
          <w:i/>
          <w:sz w:val="24"/>
        </w:rPr>
        <w:t>formance and Accountability Act </w:t>
      </w:r>
      <w:r>
        <w:rPr>
          <w:i/>
          <w:sz w:val="24"/>
        </w:rPr>
        <w:t>2013</w:t>
      </w:r>
    </w:p>
    <w:p w14:paraId="3C1F6093" w14:textId="4493EF8F" w:rsidR="00146C4C" w:rsidRPr="00DE793A" w:rsidRDefault="00C3195A" w:rsidP="00DE793A">
      <w:pPr>
        <w:tabs>
          <w:tab w:val="left" w:pos="284"/>
          <w:tab w:val="left" w:pos="2127"/>
        </w:tabs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 xml:space="preserve">ublic Governance, </w:t>
      </w:r>
      <w:r w:rsidR="009F17EA" w:rsidRPr="001F525C">
        <w:rPr>
          <w:i/>
          <w:sz w:val="24"/>
        </w:rPr>
        <w:t>Performa</w:t>
      </w:r>
      <w:r w:rsidR="00696F69" w:rsidRPr="001F525C">
        <w:rPr>
          <w:i/>
          <w:sz w:val="24"/>
        </w:rPr>
        <w:t>nce and Accountability (Section </w:t>
      </w:r>
      <w:r w:rsidR="009F17EA" w:rsidRPr="001F525C">
        <w:rPr>
          <w:i/>
          <w:sz w:val="24"/>
        </w:rPr>
        <w:t xml:space="preserve">75 Transfers) </w:t>
      </w:r>
      <w:r w:rsidR="00CF5EA7" w:rsidRPr="001F525C">
        <w:rPr>
          <w:i/>
          <w:sz w:val="24"/>
        </w:rPr>
        <w:t xml:space="preserve">Amendment </w:t>
      </w:r>
      <w:r w:rsidR="009F17EA" w:rsidRPr="001F525C">
        <w:rPr>
          <w:i/>
          <w:sz w:val="24"/>
        </w:rPr>
        <w:t>Determination</w:t>
      </w:r>
      <w:bookmarkEnd w:id="0"/>
      <w:bookmarkEnd w:id="1"/>
      <w:r w:rsidR="00146C4C" w:rsidRPr="001F525C">
        <w:rPr>
          <w:i/>
          <w:sz w:val="24"/>
        </w:rPr>
        <w:t xml:space="preserve"> </w:t>
      </w:r>
      <w:r w:rsidR="00A931D6" w:rsidRPr="001F525C">
        <w:rPr>
          <w:i/>
          <w:sz w:val="24"/>
        </w:rPr>
        <w:t>2020</w:t>
      </w:r>
      <w:r w:rsidR="00696F69" w:rsidRPr="001F525C">
        <w:rPr>
          <w:i/>
          <w:sz w:val="24"/>
        </w:rPr>
        <w:noBreakHyphen/>
      </w:r>
      <w:r w:rsidR="00A931D6" w:rsidRPr="001F525C">
        <w:rPr>
          <w:i/>
          <w:sz w:val="24"/>
        </w:rPr>
        <w:t>2021</w:t>
      </w:r>
      <w:r w:rsidR="00CF5EA7" w:rsidRPr="001F525C">
        <w:rPr>
          <w:i/>
          <w:sz w:val="24"/>
        </w:rPr>
        <w:t xml:space="preserve"> (No.</w:t>
      </w:r>
      <w:r w:rsidR="009147A7">
        <w:rPr>
          <w:i/>
          <w:sz w:val="24"/>
        </w:rPr>
        <w:t> </w:t>
      </w:r>
      <w:r w:rsidR="00B81A00">
        <w:rPr>
          <w:i/>
          <w:sz w:val="24"/>
        </w:rPr>
        <w:t>2</w:t>
      </w:r>
      <w:r w:rsidR="00CF5EA7" w:rsidRPr="001F525C">
        <w:rPr>
          <w:i/>
          <w:sz w:val="24"/>
        </w:rPr>
        <w:t>) (</w:t>
      </w:r>
      <w:r w:rsidR="00146C4C" w:rsidRPr="001F525C">
        <w:rPr>
          <w:sz w:val="24"/>
        </w:rPr>
        <w:t xml:space="preserve">the </w:t>
      </w:r>
      <w:r w:rsidR="00CF5EA7" w:rsidRPr="001F525C">
        <w:rPr>
          <w:sz w:val="24"/>
        </w:rPr>
        <w:t xml:space="preserve">amendment </w:t>
      </w:r>
      <w:r w:rsidR="00B57E08" w:rsidRPr="001F525C">
        <w:rPr>
          <w:sz w:val="24"/>
        </w:rPr>
        <w:t>d</w:t>
      </w:r>
      <w:r w:rsidR="00146C4C" w:rsidRPr="001F525C">
        <w:rPr>
          <w:sz w:val="24"/>
        </w:rPr>
        <w:t>etermination)</w:t>
      </w:r>
    </w:p>
    <w:p w14:paraId="242E47BD" w14:textId="77777777" w:rsidR="00146C4C" w:rsidRPr="0067455D" w:rsidRDefault="00146C4C" w:rsidP="00940F9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Purpose of the </w:t>
      </w:r>
      <w:r w:rsidR="00B57E08" w:rsidRPr="0067455D">
        <w:rPr>
          <w:iCs/>
          <w:szCs w:val="22"/>
        </w:rPr>
        <w:t>d</w:t>
      </w:r>
      <w:r w:rsidRPr="0067455D">
        <w:rPr>
          <w:iCs/>
          <w:szCs w:val="22"/>
        </w:rPr>
        <w:t>etermination</w:t>
      </w:r>
    </w:p>
    <w:p w14:paraId="3DB056EC" w14:textId="0F8ED198" w:rsidR="006B7A9D" w:rsidRDefault="00146C4C" w:rsidP="0088640B">
      <w:pPr>
        <w:rPr>
          <w:sz w:val="24"/>
        </w:rPr>
      </w:pPr>
      <w:r w:rsidRPr="001F525C">
        <w:rPr>
          <w:sz w:val="24"/>
        </w:rPr>
        <w:t xml:space="preserve">The </w:t>
      </w:r>
      <w:r w:rsidR="00802D60" w:rsidRPr="001F525C">
        <w:rPr>
          <w:sz w:val="24"/>
        </w:rPr>
        <w:t xml:space="preserve">amendment </w:t>
      </w:r>
      <w:r w:rsidR="00B57E08" w:rsidRPr="001F525C">
        <w:rPr>
          <w:sz w:val="24"/>
        </w:rPr>
        <w:t>d</w:t>
      </w:r>
      <w:r w:rsidRPr="001F525C">
        <w:rPr>
          <w:sz w:val="24"/>
        </w:rPr>
        <w:t>ete</w:t>
      </w:r>
      <w:r w:rsidR="00696F69" w:rsidRPr="001F525C">
        <w:rPr>
          <w:sz w:val="24"/>
        </w:rPr>
        <w:t>rmination</w:t>
      </w:r>
      <w:r w:rsidR="00696F69" w:rsidRPr="0067455D">
        <w:rPr>
          <w:sz w:val="24"/>
        </w:rPr>
        <w:t xml:space="preserve"> is made under section </w:t>
      </w:r>
      <w:r w:rsidR="00B57E08" w:rsidRPr="0067455D">
        <w:rPr>
          <w:sz w:val="24"/>
        </w:rPr>
        <w:t>75</w:t>
      </w:r>
      <w:r w:rsidRPr="0067455D">
        <w:rPr>
          <w:sz w:val="24"/>
        </w:rPr>
        <w:t xml:space="preserve"> of the </w:t>
      </w:r>
      <w:r w:rsidR="00B57E08" w:rsidRPr="0067455D">
        <w:rPr>
          <w:i/>
          <w:sz w:val="24"/>
        </w:rPr>
        <w:t>Public Governance, Per</w:t>
      </w:r>
      <w:r w:rsidR="00696F69" w:rsidRPr="0067455D">
        <w:rPr>
          <w:i/>
          <w:sz w:val="24"/>
        </w:rPr>
        <w:t>formance and Accountability Act </w:t>
      </w:r>
      <w:r w:rsidR="00B57E08" w:rsidRPr="0067455D">
        <w:rPr>
          <w:i/>
          <w:sz w:val="24"/>
        </w:rPr>
        <w:t>2013</w:t>
      </w:r>
      <w:r w:rsidR="00B57E08" w:rsidRPr="0067455D">
        <w:rPr>
          <w:sz w:val="24"/>
        </w:rPr>
        <w:t xml:space="preserve"> </w:t>
      </w:r>
      <w:r w:rsidR="00696F69" w:rsidRPr="0067455D">
        <w:rPr>
          <w:sz w:val="24"/>
        </w:rPr>
        <w:t>(PGPA</w:t>
      </w:r>
      <w:r w:rsidR="00210471">
        <w:rPr>
          <w:sz w:val="24"/>
        </w:rPr>
        <w:t xml:space="preserve"> </w:t>
      </w:r>
      <w:r w:rsidR="00B57E08" w:rsidRPr="0067455D">
        <w:rPr>
          <w:sz w:val="24"/>
        </w:rPr>
        <w:t>Act)</w:t>
      </w:r>
      <w:r w:rsidRPr="0067455D">
        <w:rPr>
          <w:sz w:val="24"/>
        </w:rPr>
        <w:t xml:space="preserve">, to adjust amounts appropriated to </w:t>
      </w:r>
      <w:r w:rsidR="00542A41" w:rsidRPr="0067455D">
        <w:rPr>
          <w:sz w:val="24"/>
        </w:rPr>
        <w:t>non-corporate Commonwealth</w:t>
      </w:r>
      <w:r w:rsidRPr="0067455D">
        <w:rPr>
          <w:sz w:val="24"/>
        </w:rPr>
        <w:t xml:space="preserve"> </w:t>
      </w:r>
      <w:r w:rsidR="00D80EE8" w:rsidRPr="0067455D">
        <w:rPr>
          <w:sz w:val="24"/>
        </w:rPr>
        <w:t>entit</w:t>
      </w:r>
      <w:r w:rsidR="0037012D" w:rsidRPr="0067455D">
        <w:rPr>
          <w:sz w:val="24"/>
        </w:rPr>
        <w:t>ies</w:t>
      </w:r>
      <w:r w:rsidR="003B4CEC" w:rsidRPr="0067455D">
        <w:rPr>
          <w:sz w:val="24"/>
        </w:rPr>
        <w:t xml:space="preserve"> in response </w:t>
      </w:r>
      <w:r w:rsidR="00025C1D" w:rsidRPr="0067455D">
        <w:rPr>
          <w:sz w:val="24"/>
        </w:rPr>
        <w:t xml:space="preserve">to </w:t>
      </w:r>
      <w:r w:rsidR="00780C30">
        <w:rPr>
          <w:sz w:val="24"/>
        </w:rPr>
        <w:t xml:space="preserve">recent </w:t>
      </w:r>
      <w:r w:rsidR="007B5FD1" w:rsidRPr="0042436C">
        <w:rPr>
          <w:sz w:val="24"/>
        </w:rPr>
        <w:t>M</w:t>
      </w:r>
      <w:r w:rsidR="00686CA8" w:rsidRPr="00181F5D">
        <w:rPr>
          <w:sz w:val="24"/>
        </w:rPr>
        <w:t xml:space="preserve">achinery of </w:t>
      </w:r>
      <w:r w:rsidR="007B5FD1" w:rsidRPr="0042436C">
        <w:rPr>
          <w:sz w:val="24"/>
        </w:rPr>
        <w:t>G</w:t>
      </w:r>
      <w:r w:rsidR="00686CA8" w:rsidRPr="00181F5D">
        <w:rPr>
          <w:sz w:val="24"/>
        </w:rPr>
        <w:t>overnment changes</w:t>
      </w:r>
      <w:r w:rsidR="00270DCE" w:rsidRPr="0042436C">
        <w:rPr>
          <w:sz w:val="24"/>
        </w:rPr>
        <w:t>.</w:t>
      </w:r>
    </w:p>
    <w:p w14:paraId="356AD3BA" w14:textId="7EABDC0A" w:rsidR="003539BF" w:rsidRDefault="00643838" w:rsidP="003539BF">
      <w:pPr>
        <w:rPr>
          <w:sz w:val="24"/>
        </w:rPr>
      </w:pPr>
      <w:r>
        <w:rPr>
          <w:sz w:val="24"/>
        </w:rPr>
        <w:t xml:space="preserve">Following the commencement of Schedule 2 of Part 2 of the </w:t>
      </w:r>
      <w:r w:rsidR="00E26BF0" w:rsidRPr="0042436C">
        <w:rPr>
          <w:i/>
          <w:sz w:val="24"/>
        </w:rPr>
        <w:t>Treasury Laws Amendment (2020</w:t>
      </w:r>
      <w:r w:rsidRPr="0042436C">
        <w:rPr>
          <w:i/>
          <w:sz w:val="24"/>
        </w:rPr>
        <w:t> </w:t>
      </w:r>
      <w:r w:rsidR="00E26BF0" w:rsidRPr="0042436C">
        <w:rPr>
          <w:i/>
          <w:sz w:val="24"/>
        </w:rPr>
        <w:t>Measures No.</w:t>
      </w:r>
      <w:r w:rsidRPr="0042436C">
        <w:rPr>
          <w:i/>
          <w:sz w:val="24"/>
        </w:rPr>
        <w:t> </w:t>
      </w:r>
      <w:r w:rsidR="00E26BF0" w:rsidRPr="0042436C">
        <w:rPr>
          <w:i/>
          <w:sz w:val="24"/>
        </w:rPr>
        <w:t>6) Act</w:t>
      </w:r>
      <w:r w:rsidRPr="0042436C">
        <w:rPr>
          <w:i/>
          <w:sz w:val="24"/>
        </w:rPr>
        <w:t> </w:t>
      </w:r>
      <w:r w:rsidR="00E26BF0" w:rsidRPr="0042436C">
        <w:rPr>
          <w:i/>
          <w:sz w:val="24"/>
        </w:rPr>
        <w:t>2020</w:t>
      </w:r>
      <w:r w:rsidR="00E26BF0">
        <w:rPr>
          <w:sz w:val="24"/>
        </w:rPr>
        <w:t xml:space="preserve"> </w:t>
      </w:r>
      <w:r>
        <w:rPr>
          <w:sz w:val="24"/>
        </w:rPr>
        <w:t>on 28 February 2021</w:t>
      </w:r>
      <w:r w:rsidR="007B5FD1">
        <w:rPr>
          <w:sz w:val="24"/>
        </w:rPr>
        <w:t>,</w:t>
      </w:r>
      <w:r>
        <w:rPr>
          <w:sz w:val="24"/>
        </w:rPr>
        <w:t xml:space="preserve"> </w:t>
      </w:r>
      <w:r w:rsidR="006D073D">
        <w:rPr>
          <w:sz w:val="24"/>
        </w:rPr>
        <w:t>the Consumer Data Right</w:t>
      </w:r>
      <w:r w:rsidR="00E81C83">
        <w:rPr>
          <w:sz w:val="24"/>
        </w:rPr>
        <w:t xml:space="preserve"> rules and sectors assessment function transfer</w:t>
      </w:r>
      <w:r w:rsidR="0027796D">
        <w:rPr>
          <w:sz w:val="24"/>
        </w:rPr>
        <w:t>red</w:t>
      </w:r>
      <w:r w:rsidR="00E81C83">
        <w:rPr>
          <w:sz w:val="24"/>
        </w:rPr>
        <w:t xml:space="preserve"> from </w:t>
      </w:r>
      <w:r w:rsidR="0027796D">
        <w:rPr>
          <w:sz w:val="24"/>
        </w:rPr>
        <w:t xml:space="preserve">the </w:t>
      </w:r>
      <w:r w:rsidR="00E81C83">
        <w:rPr>
          <w:sz w:val="24"/>
        </w:rPr>
        <w:t xml:space="preserve">Australian </w:t>
      </w:r>
      <w:r w:rsidR="0027796D">
        <w:rPr>
          <w:sz w:val="24"/>
        </w:rPr>
        <w:t>C</w:t>
      </w:r>
      <w:r w:rsidR="00E81C83">
        <w:rPr>
          <w:sz w:val="24"/>
        </w:rPr>
        <w:t xml:space="preserve">ompetition and Consumer Commission </w:t>
      </w:r>
      <w:r w:rsidR="00A615C0">
        <w:rPr>
          <w:sz w:val="24"/>
        </w:rPr>
        <w:t xml:space="preserve">to </w:t>
      </w:r>
      <w:r w:rsidR="0027796D">
        <w:rPr>
          <w:sz w:val="24"/>
        </w:rPr>
        <w:t xml:space="preserve">the </w:t>
      </w:r>
      <w:r w:rsidR="00A615C0">
        <w:rPr>
          <w:sz w:val="24"/>
        </w:rPr>
        <w:t>Department of the Treasury.</w:t>
      </w:r>
    </w:p>
    <w:p w14:paraId="6CF057DF" w14:textId="21F7EBB0" w:rsidR="00E81C83" w:rsidRDefault="00A137EF" w:rsidP="0088640B">
      <w:pPr>
        <w:rPr>
          <w:sz w:val="24"/>
        </w:rPr>
      </w:pPr>
      <w:r>
        <w:rPr>
          <w:sz w:val="24"/>
        </w:rPr>
        <w:t xml:space="preserve">On </w:t>
      </w:r>
      <w:r w:rsidR="001842E6">
        <w:rPr>
          <w:sz w:val="24"/>
        </w:rPr>
        <w:t>15</w:t>
      </w:r>
      <w:r w:rsidR="0027796D">
        <w:rPr>
          <w:sz w:val="24"/>
        </w:rPr>
        <w:t> </w:t>
      </w:r>
      <w:r w:rsidR="001842E6">
        <w:rPr>
          <w:sz w:val="24"/>
        </w:rPr>
        <w:t>April</w:t>
      </w:r>
      <w:r w:rsidR="0027796D">
        <w:rPr>
          <w:sz w:val="24"/>
        </w:rPr>
        <w:t> </w:t>
      </w:r>
      <w:r w:rsidR="001842E6">
        <w:rPr>
          <w:sz w:val="24"/>
        </w:rPr>
        <w:t xml:space="preserve">2021, </w:t>
      </w:r>
      <w:r w:rsidR="00BF08D0">
        <w:rPr>
          <w:sz w:val="24"/>
        </w:rPr>
        <w:t xml:space="preserve">the </w:t>
      </w:r>
      <w:r w:rsidR="004310C4">
        <w:rPr>
          <w:sz w:val="24"/>
        </w:rPr>
        <w:t xml:space="preserve">Governor-General made </w:t>
      </w:r>
      <w:r w:rsidR="0027796D">
        <w:rPr>
          <w:sz w:val="24"/>
        </w:rPr>
        <w:t>amendment</w:t>
      </w:r>
      <w:r w:rsidR="00D94135">
        <w:rPr>
          <w:sz w:val="24"/>
        </w:rPr>
        <w:t>s</w:t>
      </w:r>
      <w:r w:rsidR="0027796D">
        <w:rPr>
          <w:sz w:val="24"/>
        </w:rPr>
        <w:t xml:space="preserve"> to the</w:t>
      </w:r>
      <w:r w:rsidR="004310C4">
        <w:rPr>
          <w:sz w:val="24"/>
        </w:rPr>
        <w:t xml:space="preserve"> Adminis</w:t>
      </w:r>
      <w:r w:rsidR="006D073D">
        <w:rPr>
          <w:sz w:val="24"/>
        </w:rPr>
        <w:t>trative Arrangements Order</w:t>
      </w:r>
      <w:r w:rsidR="004310C4">
        <w:rPr>
          <w:sz w:val="24"/>
        </w:rPr>
        <w:t xml:space="preserve"> </w:t>
      </w:r>
      <w:r w:rsidR="003C1A61">
        <w:rPr>
          <w:sz w:val="24"/>
        </w:rPr>
        <w:t>made on 18</w:t>
      </w:r>
      <w:r w:rsidR="0027796D">
        <w:rPr>
          <w:sz w:val="24"/>
        </w:rPr>
        <w:t> </w:t>
      </w:r>
      <w:r w:rsidR="003C1A61">
        <w:rPr>
          <w:sz w:val="24"/>
        </w:rPr>
        <w:t>March</w:t>
      </w:r>
      <w:r w:rsidR="0027796D">
        <w:rPr>
          <w:sz w:val="24"/>
        </w:rPr>
        <w:t> </w:t>
      </w:r>
      <w:r w:rsidR="003C1A61">
        <w:rPr>
          <w:sz w:val="24"/>
        </w:rPr>
        <w:t>202</w:t>
      </w:r>
      <w:r w:rsidR="0027796D">
        <w:rPr>
          <w:sz w:val="24"/>
        </w:rPr>
        <w:t>1</w:t>
      </w:r>
      <w:r w:rsidR="003C1A61">
        <w:rPr>
          <w:sz w:val="24"/>
        </w:rPr>
        <w:t xml:space="preserve"> </w:t>
      </w:r>
      <w:r w:rsidR="00D94135">
        <w:rPr>
          <w:sz w:val="24"/>
        </w:rPr>
        <w:t xml:space="preserve">including the </w:t>
      </w:r>
      <w:r w:rsidR="004310C4">
        <w:rPr>
          <w:sz w:val="24"/>
        </w:rPr>
        <w:t xml:space="preserve">transfer </w:t>
      </w:r>
      <w:r w:rsidR="00D94135">
        <w:rPr>
          <w:sz w:val="24"/>
        </w:rPr>
        <w:t xml:space="preserve">of </w:t>
      </w:r>
      <w:r w:rsidR="004310C4">
        <w:rPr>
          <w:sz w:val="24"/>
        </w:rPr>
        <w:t xml:space="preserve">responsibility for small business </w:t>
      </w:r>
      <w:r w:rsidR="00AC13C2">
        <w:rPr>
          <w:sz w:val="24"/>
        </w:rPr>
        <w:t xml:space="preserve">functions </w:t>
      </w:r>
      <w:r w:rsidR="004310C4">
        <w:rPr>
          <w:sz w:val="24"/>
        </w:rPr>
        <w:t xml:space="preserve">from </w:t>
      </w:r>
      <w:r w:rsidR="0027796D">
        <w:rPr>
          <w:sz w:val="24"/>
        </w:rPr>
        <w:t xml:space="preserve">the </w:t>
      </w:r>
      <w:r w:rsidR="004310C4">
        <w:rPr>
          <w:sz w:val="24"/>
        </w:rPr>
        <w:t xml:space="preserve">Industry, Science, Energy and Resources </w:t>
      </w:r>
      <w:r w:rsidR="00BB36F4">
        <w:rPr>
          <w:sz w:val="24"/>
        </w:rPr>
        <w:t xml:space="preserve">portfolio </w:t>
      </w:r>
      <w:r w:rsidR="004310C4">
        <w:rPr>
          <w:sz w:val="24"/>
        </w:rPr>
        <w:t xml:space="preserve">to </w:t>
      </w:r>
      <w:r w:rsidR="0027796D">
        <w:rPr>
          <w:sz w:val="24"/>
        </w:rPr>
        <w:t xml:space="preserve">the </w:t>
      </w:r>
      <w:r w:rsidR="004310C4">
        <w:rPr>
          <w:sz w:val="24"/>
        </w:rPr>
        <w:t>Treasury</w:t>
      </w:r>
      <w:r w:rsidR="00BB36F4">
        <w:rPr>
          <w:sz w:val="24"/>
        </w:rPr>
        <w:t xml:space="preserve"> portfolio</w:t>
      </w:r>
      <w:r w:rsidR="00A615C0">
        <w:rPr>
          <w:sz w:val="24"/>
        </w:rPr>
        <w:t>.</w:t>
      </w:r>
    </w:p>
    <w:p w14:paraId="1CF9DF51" w14:textId="2CD10F62" w:rsidR="003539BF" w:rsidRDefault="007205E6" w:rsidP="003539BF">
      <w:pPr>
        <w:rPr>
          <w:sz w:val="24"/>
        </w:rPr>
      </w:pPr>
      <w:r>
        <w:rPr>
          <w:sz w:val="24"/>
        </w:rPr>
        <w:t>On 15</w:t>
      </w:r>
      <w:r w:rsidR="00D94135">
        <w:rPr>
          <w:sz w:val="24"/>
        </w:rPr>
        <w:t> </w:t>
      </w:r>
      <w:r>
        <w:rPr>
          <w:sz w:val="24"/>
        </w:rPr>
        <w:t>April</w:t>
      </w:r>
      <w:r w:rsidR="00D94135">
        <w:rPr>
          <w:sz w:val="24"/>
        </w:rPr>
        <w:t> </w:t>
      </w:r>
      <w:r>
        <w:rPr>
          <w:sz w:val="24"/>
        </w:rPr>
        <w:t xml:space="preserve">2021, </w:t>
      </w:r>
      <w:r w:rsidR="00BF574E">
        <w:rPr>
          <w:sz w:val="24"/>
        </w:rPr>
        <w:t xml:space="preserve">the Governor-General made </w:t>
      </w:r>
      <w:r w:rsidR="00AC13C2">
        <w:rPr>
          <w:sz w:val="24"/>
        </w:rPr>
        <w:t xml:space="preserve">an order to abolish the Infrastructure and Project Financing Agency </w:t>
      </w:r>
      <w:r w:rsidR="00B220C2">
        <w:rPr>
          <w:sz w:val="24"/>
        </w:rPr>
        <w:t xml:space="preserve">(IPFA) </w:t>
      </w:r>
      <w:r w:rsidR="00AC13C2">
        <w:rPr>
          <w:sz w:val="24"/>
        </w:rPr>
        <w:t xml:space="preserve">as an executive agency commencing from the end of 30 April 2021. </w:t>
      </w:r>
      <w:r w:rsidR="00B220C2">
        <w:rPr>
          <w:sz w:val="24"/>
        </w:rPr>
        <w:t>IPFA will continue as a separately branded activity with</w:t>
      </w:r>
      <w:r w:rsidR="0042436C">
        <w:rPr>
          <w:sz w:val="24"/>
        </w:rPr>
        <w:t>in</w:t>
      </w:r>
      <w:r w:rsidR="00B220C2">
        <w:rPr>
          <w:sz w:val="24"/>
        </w:rPr>
        <w:t xml:space="preserve"> the Department of the Treasury.</w:t>
      </w:r>
    </w:p>
    <w:p w14:paraId="6C7FD428" w14:textId="5985C5B3" w:rsidR="007B5FD1" w:rsidRDefault="007B5FD1" w:rsidP="003539BF">
      <w:pPr>
        <w:rPr>
          <w:sz w:val="24"/>
        </w:rPr>
      </w:pPr>
      <w:r>
        <w:rPr>
          <w:sz w:val="24"/>
        </w:rPr>
        <w:t>The amendment determination modifies the Appropriation Acts to reflect these transfers.</w:t>
      </w:r>
    </w:p>
    <w:p w14:paraId="5C4AE271" w14:textId="77777777" w:rsidR="009147A7" w:rsidRPr="0042436C" w:rsidRDefault="009147A7" w:rsidP="009147A7">
      <w:pPr>
        <w:rPr>
          <w:iCs/>
          <w:sz w:val="24"/>
          <w:szCs w:val="22"/>
        </w:rPr>
      </w:pPr>
      <w:r w:rsidRPr="001F525C">
        <w:rPr>
          <w:iCs/>
          <w:sz w:val="24"/>
          <w:szCs w:val="22"/>
        </w:rPr>
        <w:t xml:space="preserve">The amendment determination results </w:t>
      </w:r>
      <w:r w:rsidRPr="001F525C">
        <w:rPr>
          <w:sz w:val="24"/>
        </w:rPr>
        <w:t>in</w:t>
      </w:r>
      <w:r w:rsidRPr="001F525C">
        <w:rPr>
          <w:iCs/>
          <w:sz w:val="24"/>
          <w:szCs w:val="22"/>
        </w:rPr>
        <w:t xml:space="preserve"> no change to the total amount appropriated by Parliament.</w:t>
      </w:r>
    </w:p>
    <w:p w14:paraId="1AC88B36" w14:textId="77777777" w:rsidR="003048C9" w:rsidRPr="0067455D" w:rsidRDefault="00B42DF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Commencement</w:t>
      </w:r>
    </w:p>
    <w:p w14:paraId="1A915509" w14:textId="06871A48" w:rsidR="003048C9" w:rsidRPr="0067455D" w:rsidRDefault="00ED0889" w:rsidP="0088640B">
      <w:pPr>
        <w:rPr>
          <w:b/>
          <w:sz w:val="24"/>
        </w:rPr>
      </w:pPr>
      <w:r w:rsidRPr="00D6244F">
        <w:rPr>
          <w:sz w:val="24"/>
        </w:rPr>
        <w:t xml:space="preserve">The </w:t>
      </w:r>
      <w:r w:rsidR="00DD748B" w:rsidRPr="00D6244F">
        <w:rPr>
          <w:sz w:val="24"/>
          <w:szCs w:val="24"/>
        </w:rPr>
        <w:t>amendment determination commences on the day after registration.</w:t>
      </w:r>
    </w:p>
    <w:p w14:paraId="5477F982" w14:textId="77777777" w:rsidR="00146C4C" w:rsidRPr="0067455D" w:rsidRDefault="00542A41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Authority for the determination</w:t>
      </w:r>
    </w:p>
    <w:p w14:paraId="19ABD5C2" w14:textId="77777777" w:rsidR="00146C4C" w:rsidRPr="0067455D" w:rsidRDefault="00F9268B" w:rsidP="0088640B">
      <w:pPr>
        <w:rPr>
          <w:sz w:val="24"/>
        </w:rPr>
      </w:pPr>
      <w:r w:rsidRPr="0067455D">
        <w:rPr>
          <w:sz w:val="24"/>
        </w:rPr>
        <w:t>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 enables the Finance Minister to determine that one or more Schedules to one or more Appropriation Acts are </w:t>
      </w:r>
      <w:r w:rsidR="00DD41A1" w:rsidRPr="0067455D">
        <w:rPr>
          <w:sz w:val="24"/>
        </w:rPr>
        <w:t xml:space="preserve">modified </w:t>
      </w:r>
      <w:r w:rsidR="00146C4C" w:rsidRPr="0067455D">
        <w:rPr>
          <w:sz w:val="24"/>
        </w:rPr>
        <w:t xml:space="preserve">in a specified way in relation to the transfer of a function from one </w:t>
      </w:r>
      <w:r w:rsidR="00AA67D7" w:rsidRPr="0067455D">
        <w:rPr>
          <w:sz w:val="24"/>
        </w:rPr>
        <w:t>non-corporate Commonwealth entity</w:t>
      </w:r>
      <w:r w:rsidR="00146C4C" w:rsidRPr="0067455D">
        <w:rPr>
          <w:sz w:val="24"/>
        </w:rPr>
        <w:t xml:space="preserve"> to another.</w:t>
      </w:r>
    </w:p>
    <w:p w14:paraId="70342BAC" w14:textId="6B6BAA0D" w:rsidR="00146C4C" w:rsidRDefault="00F9268B" w:rsidP="0088640B">
      <w:pPr>
        <w:rPr>
          <w:sz w:val="24"/>
        </w:rPr>
      </w:pPr>
      <w:r w:rsidRPr="0067455D">
        <w:rPr>
          <w:sz w:val="24"/>
        </w:rPr>
        <w:t>Under section </w:t>
      </w:r>
      <w:r w:rsidR="00B57E08" w:rsidRPr="0067455D">
        <w:rPr>
          <w:sz w:val="24"/>
        </w:rPr>
        <w:t>107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Act, the Finance Minister has delegated the power to mak</w:t>
      </w:r>
      <w:r w:rsidRPr="0067455D">
        <w:rPr>
          <w:sz w:val="24"/>
        </w:rPr>
        <w:t>e determinations under 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to the Secretary of the Depar</w:t>
      </w:r>
      <w:r w:rsidRPr="0067455D">
        <w:rPr>
          <w:sz w:val="24"/>
        </w:rPr>
        <w:t>tment of Finance. Under section </w:t>
      </w:r>
      <w:r w:rsidR="00B57E08" w:rsidRPr="0067455D">
        <w:rPr>
          <w:sz w:val="24"/>
        </w:rPr>
        <w:t>109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Act, the Secretary has, in turn, sub</w:t>
      </w:r>
      <w:r w:rsidR="00146C4C" w:rsidRPr="0067455D">
        <w:rPr>
          <w:sz w:val="24"/>
        </w:rPr>
        <w:noBreakHyphen/>
        <w:t>delegated this power to certain officials within the Department of Finance, including the official who made th</w:t>
      </w:r>
      <w:r w:rsidR="008B02DC" w:rsidRPr="0067455D">
        <w:rPr>
          <w:sz w:val="24"/>
        </w:rPr>
        <w:t>is</w:t>
      </w:r>
      <w:r w:rsidR="00146C4C" w:rsidRPr="0067455D">
        <w:rPr>
          <w:sz w:val="24"/>
        </w:rPr>
        <w:t xml:space="preserve"> </w:t>
      </w:r>
      <w:r w:rsidR="00B57E08" w:rsidRPr="0067455D">
        <w:rPr>
          <w:sz w:val="24"/>
        </w:rPr>
        <w:t>determination</w:t>
      </w:r>
      <w:r w:rsidR="00146C4C" w:rsidRPr="0067455D">
        <w:rPr>
          <w:sz w:val="24"/>
        </w:rPr>
        <w:t>.</w:t>
      </w:r>
    </w:p>
    <w:p w14:paraId="7149A052" w14:textId="40DF2EA1" w:rsidR="0071174C" w:rsidRPr="0071174C" w:rsidRDefault="0071174C" w:rsidP="0071174C">
      <w:pPr>
        <w:spacing w:before="0"/>
        <w:rPr>
          <w:sz w:val="24"/>
          <w:szCs w:val="24"/>
        </w:rPr>
      </w:pPr>
      <w:r w:rsidRPr="0040199C">
        <w:rPr>
          <w:sz w:val="24"/>
          <w:szCs w:val="24"/>
        </w:rPr>
        <w:t xml:space="preserve">The amendment determination amends the </w:t>
      </w:r>
      <w:r w:rsidRPr="0040199C">
        <w:rPr>
          <w:i/>
          <w:sz w:val="24"/>
          <w:szCs w:val="24"/>
        </w:rPr>
        <w:t xml:space="preserve">Public Governance, Performance and Accountability (Section 75 Transfers) </w:t>
      </w:r>
      <w:r w:rsidR="0040199C" w:rsidRPr="0040199C">
        <w:rPr>
          <w:i/>
          <w:sz w:val="24"/>
          <w:szCs w:val="24"/>
        </w:rPr>
        <w:t>Determination 2020</w:t>
      </w:r>
      <w:r w:rsidRPr="0040199C">
        <w:rPr>
          <w:i/>
          <w:sz w:val="24"/>
          <w:szCs w:val="24"/>
        </w:rPr>
        <w:noBreakHyphen/>
        <w:t>202</w:t>
      </w:r>
      <w:r w:rsidR="0040199C" w:rsidRPr="0040199C">
        <w:rPr>
          <w:i/>
          <w:sz w:val="24"/>
          <w:szCs w:val="24"/>
        </w:rPr>
        <w:t>1</w:t>
      </w:r>
      <w:r w:rsidRPr="0040199C">
        <w:rPr>
          <w:sz w:val="24"/>
          <w:szCs w:val="24"/>
        </w:rPr>
        <w:t xml:space="preserve"> (the Determination), which is a legislative instrument for the purposes of section 8 of the </w:t>
      </w:r>
      <w:r w:rsidRPr="0040199C">
        <w:rPr>
          <w:i/>
          <w:sz w:val="24"/>
          <w:szCs w:val="24"/>
        </w:rPr>
        <w:t>Legislation Act 2003.</w:t>
      </w:r>
    </w:p>
    <w:p w14:paraId="66E955A3" w14:textId="77777777" w:rsidR="00146C4C" w:rsidRPr="0067455D" w:rsidRDefault="00146C4C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Statement of Compatibility with Human Rights</w:t>
      </w:r>
    </w:p>
    <w:p w14:paraId="4E5A7556" w14:textId="06BD4347" w:rsidR="0067455D" w:rsidRPr="0067455D" w:rsidRDefault="00146C4C" w:rsidP="0067455D">
      <w:pPr>
        <w:rPr>
          <w:sz w:val="24"/>
        </w:rPr>
      </w:pPr>
      <w:r w:rsidRPr="0067455D">
        <w:rPr>
          <w:sz w:val="24"/>
        </w:rPr>
        <w:t xml:space="preserve">A Statement of Compatibility with Human Rights is not required </w:t>
      </w:r>
      <w:r w:rsidRPr="0040199C">
        <w:rPr>
          <w:sz w:val="24"/>
        </w:rPr>
        <w:t xml:space="preserve">for the </w:t>
      </w:r>
      <w:r w:rsidR="000655DF" w:rsidRPr="0040199C">
        <w:rPr>
          <w:sz w:val="24"/>
        </w:rPr>
        <w:t xml:space="preserve">amendment </w:t>
      </w:r>
      <w:r w:rsidR="00B57E08" w:rsidRPr="0040199C">
        <w:rPr>
          <w:sz w:val="24"/>
        </w:rPr>
        <w:t>determination</w:t>
      </w:r>
      <w:r w:rsidR="0067455D" w:rsidRPr="0040199C">
        <w:rPr>
          <w:sz w:val="24"/>
        </w:rPr>
        <w:t>.</w:t>
      </w:r>
    </w:p>
    <w:p w14:paraId="50C30A31" w14:textId="3EAD2646" w:rsidR="00B75A14" w:rsidRDefault="000655DF" w:rsidP="0042436C">
      <w:pPr>
        <w:spacing w:before="0"/>
        <w:rPr>
          <w:sz w:val="24"/>
          <w:szCs w:val="24"/>
        </w:rPr>
      </w:pPr>
      <w:r w:rsidRPr="0040199C">
        <w:rPr>
          <w:sz w:val="24"/>
          <w:szCs w:val="24"/>
        </w:rPr>
        <w:t xml:space="preserve">Subsection 9(1) of the </w:t>
      </w:r>
      <w:r w:rsidRPr="0040199C">
        <w:rPr>
          <w:i/>
          <w:sz w:val="24"/>
          <w:szCs w:val="24"/>
        </w:rPr>
        <w:t>Human Rights (Parliamentary Scrutiny) Act 2011</w:t>
      </w:r>
      <w:r w:rsidRPr="0040199C">
        <w:rPr>
          <w:sz w:val="24"/>
          <w:szCs w:val="24"/>
        </w:rPr>
        <w:t xml:space="preserve"> requires a Statement of Compatibility with Human Rights for all legislative instruments subject to disallowance under section 42 of the </w:t>
      </w:r>
      <w:r w:rsidRPr="0040199C">
        <w:rPr>
          <w:i/>
          <w:sz w:val="24"/>
          <w:szCs w:val="24"/>
        </w:rPr>
        <w:t>Legislation Act 2003</w:t>
      </w:r>
      <w:r w:rsidRPr="0040199C">
        <w:rPr>
          <w:sz w:val="24"/>
          <w:szCs w:val="24"/>
        </w:rPr>
        <w:t xml:space="preserve">. A determination, including an amendment determination, under section 75 of the PGPA Act is exempt from disallowance under </w:t>
      </w:r>
      <w:r w:rsidRPr="0040199C">
        <w:rPr>
          <w:sz w:val="24"/>
          <w:szCs w:val="24"/>
        </w:rPr>
        <w:lastRenderedPageBreak/>
        <w:t>subsection 75(7) of the PGPA Act. As such, a Statement of Compatibility with Human Rights is not required.</w:t>
      </w:r>
    </w:p>
    <w:p w14:paraId="7EEFB209" w14:textId="25CAB5C3" w:rsidR="00146C4C" w:rsidRPr="0067455D" w:rsidRDefault="00146C4C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Consultation </w:t>
      </w:r>
    </w:p>
    <w:p w14:paraId="4C8DFC34" w14:textId="693BAB9D" w:rsidR="00146C4C" w:rsidRDefault="00F9268B" w:rsidP="00D126E5">
      <w:pPr>
        <w:rPr>
          <w:sz w:val="24"/>
        </w:rPr>
      </w:pPr>
      <w:r w:rsidRPr="00D126E5">
        <w:rPr>
          <w:sz w:val="24"/>
        </w:rPr>
        <w:t>Consistent with Chapter 3, Part </w:t>
      </w:r>
      <w:r w:rsidR="00602EC2" w:rsidRPr="00D126E5">
        <w:rPr>
          <w:sz w:val="24"/>
        </w:rPr>
        <w:t>1</w:t>
      </w:r>
      <w:r w:rsidR="00146C4C" w:rsidRPr="00D126E5">
        <w:rPr>
          <w:sz w:val="24"/>
        </w:rPr>
        <w:t xml:space="preserve"> of the</w:t>
      </w:r>
      <w:r w:rsidR="00602EC2" w:rsidRPr="00D126E5">
        <w:rPr>
          <w:i/>
          <w:sz w:val="24"/>
        </w:rPr>
        <w:t xml:space="preserve"> Legislation </w:t>
      </w:r>
      <w:r w:rsidRPr="00D126E5">
        <w:rPr>
          <w:i/>
          <w:sz w:val="24"/>
        </w:rPr>
        <w:t>Act </w:t>
      </w:r>
      <w:r w:rsidR="00146C4C" w:rsidRPr="00D126E5">
        <w:rPr>
          <w:i/>
          <w:sz w:val="24"/>
        </w:rPr>
        <w:t>2003</w:t>
      </w:r>
      <w:r w:rsidR="00C36419" w:rsidRPr="00D126E5">
        <w:rPr>
          <w:i/>
          <w:sz w:val="24"/>
        </w:rPr>
        <w:t>,</w:t>
      </w:r>
      <w:r w:rsidR="00C36419" w:rsidRPr="00D126E5">
        <w:rPr>
          <w:sz w:val="24"/>
        </w:rPr>
        <w:t xml:space="preserve"> </w:t>
      </w:r>
      <w:r w:rsidR="00AF0C4C" w:rsidRPr="00D126E5">
        <w:rPr>
          <w:sz w:val="24"/>
        </w:rPr>
        <w:t>the affected entities</w:t>
      </w:r>
      <w:r w:rsidR="00146C4C" w:rsidRPr="00D126E5">
        <w:rPr>
          <w:sz w:val="24"/>
        </w:rPr>
        <w:t xml:space="preserve"> were consulted in the preparation of the </w:t>
      </w:r>
      <w:r w:rsidR="00B57E08" w:rsidRPr="00D126E5">
        <w:rPr>
          <w:sz w:val="24"/>
        </w:rPr>
        <w:t>determination</w:t>
      </w:r>
      <w:r w:rsidR="00A41A34" w:rsidRPr="00D126E5">
        <w:rPr>
          <w:sz w:val="24"/>
        </w:rPr>
        <w:t>.</w:t>
      </w:r>
    </w:p>
    <w:p w14:paraId="31338A84" w14:textId="2155B3AF" w:rsidR="00A166E8" w:rsidRDefault="00A166E8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p w14:paraId="4C4BCC1C" w14:textId="3878419E" w:rsidR="00E95D13" w:rsidRPr="0067455D" w:rsidRDefault="00E95D13" w:rsidP="00AE2177">
      <w:pPr>
        <w:pStyle w:val="Heading3"/>
      </w:pPr>
      <w:r w:rsidRPr="0067455D">
        <w:lastRenderedPageBreak/>
        <w:t>Summary of Modifications</w:t>
      </w:r>
    </w:p>
    <w:p w14:paraId="227FB406" w14:textId="49ECE4D3" w:rsidR="00946695" w:rsidRDefault="00300FBD" w:rsidP="00DF1AC7">
      <w:pPr>
        <w:pStyle w:val="ListParagraph"/>
        <w:numPr>
          <w:ilvl w:val="0"/>
          <w:numId w:val="2"/>
        </w:numPr>
        <w:contextualSpacing w:val="0"/>
        <w:outlineLvl w:val="2"/>
        <w:rPr>
          <w:sz w:val="24"/>
        </w:rPr>
      </w:pPr>
      <w:r w:rsidRPr="009A2528">
        <w:rPr>
          <w:sz w:val="24"/>
        </w:rPr>
        <w:t>Item 1 of the amendment determination</w:t>
      </w:r>
      <w:r w:rsidR="009A2528" w:rsidRPr="009A2528">
        <w:rPr>
          <w:sz w:val="24"/>
        </w:rPr>
        <w:t xml:space="preserve"> </w:t>
      </w:r>
      <w:r w:rsidR="00946695">
        <w:rPr>
          <w:sz w:val="24"/>
        </w:rPr>
        <w:t xml:space="preserve">modifies the definition </w:t>
      </w:r>
      <w:r w:rsidR="00030A5A">
        <w:rPr>
          <w:sz w:val="24"/>
        </w:rPr>
        <w:t>of Appropriation Act in section </w:t>
      </w:r>
      <w:r w:rsidR="00946695">
        <w:rPr>
          <w:sz w:val="24"/>
        </w:rPr>
        <w:t>4 of the Determination to include the four most recent 2020</w:t>
      </w:r>
      <w:r w:rsidR="00946695">
        <w:rPr>
          <w:sz w:val="24"/>
        </w:rPr>
        <w:noBreakHyphen/>
        <w:t>2021 Appropriation Acts.</w:t>
      </w:r>
    </w:p>
    <w:p w14:paraId="388D0C77" w14:textId="609004EE" w:rsidR="00B85994" w:rsidRPr="009A2528" w:rsidRDefault="00A17E38" w:rsidP="00DF1AC7">
      <w:pPr>
        <w:pStyle w:val="ListParagraph"/>
        <w:numPr>
          <w:ilvl w:val="0"/>
          <w:numId w:val="2"/>
        </w:numPr>
        <w:contextualSpacing w:val="0"/>
        <w:outlineLvl w:val="2"/>
        <w:rPr>
          <w:sz w:val="24"/>
        </w:rPr>
      </w:pPr>
      <w:r>
        <w:rPr>
          <w:sz w:val="24"/>
        </w:rPr>
        <w:t>Item</w:t>
      </w:r>
      <w:r w:rsidR="00C04423">
        <w:rPr>
          <w:sz w:val="24"/>
        </w:rPr>
        <w:t> </w:t>
      </w:r>
      <w:r>
        <w:rPr>
          <w:sz w:val="24"/>
        </w:rPr>
        <w:t>2 of the amendment determination adds items</w:t>
      </w:r>
      <w:r w:rsidR="00C04423">
        <w:rPr>
          <w:sz w:val="24"/>
        </w:rPr>
        <w:t> 6 and 7 to</w:t>
      </w:r>
      <w:r w:rsidR="00300FBD" w:rsidRPr="009A2528">
        <w:rPr>
          <w:sz w:val="24"/>
        </w:rPr>
        <w:t xml:space="preserve"> the table in subsection 5(3) of the Determination. The items affect the relevant appropriation items in Schedule 1 to the </w:t>
      </w:r>
      <w:r w:rsidR="00300FBD" w:rsidRPr="009A2528">
        <w:rPr>
          <w:i/>
          <w:sz w:val="24"/>
        </w:rPr>
        <w:t>Supply Act (No. </w:t>
      </w:r>
      <w:r w:rsidR="009A2528">
        <w:rPr>
          <w:i/>
          <w:sz w:val="24"/>
        </w:rPr>
        <w:t>1</w:t>
      </w:r>
      <w:r w:rsidR="00300FBD" w:rsidRPr="009A2528">
        <w:rPr>
          <w:i/>
          <w:sz w:val="24"/>
        </w:rPr>
        <w:t>) 2020</w:t>
      </w:r>
      <w:r w:rsidR="00300FBD" w:rsidRPr="009A2528">
        <w:rPr>
          <w:i/>
          <w:sz w:val="24"/>
        </w:rPr>
        <w:noBreakHyphen/>
        <w:t>2021</w:t>
      </w:r>
      <w:r w:rsidR="00300FBD" w:rsidRPr="009A2528">
        <w:rPr>
          <w:sz w:val="24"/>
        </w:rPr>
        <w:t xml:space="preserve"> in the following way: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300FBD" w:rsidRPr="00300FBD" w14:paraId="083AE8B9" w14:textId="77777777" w:rsidTr="00D95ED1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D34E910" w14:textId="77777777" w:rsidR="00300FBD" w:rsidRPr="00300FBD" w:rsidRDefault="00300FBD" w:rsidP="00300FBD">
            <w:pPr>
              <w:spacing w:before="0" w:after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1DDD345" w14:textId="77777777" w:rsidR="00300FBD" w:rsidRPr="00300FBD" w:rsidRDefault="00300FBD" w:rsidP="00300FBD">
            <w:pPr>
              <w:spacing w:before="0" w:after="0"/>
              <w:rPr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05FECA59" w14:textId="77777777" w:rsidR="00300FBD" w:rsidRPr="00300FBD" w:rsidRDefault="00300FBD" w:rsidP="00300FBD">
            <w:pPr>
              <w:spacing w:before="0" w:after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AA5685D" w14:textId="77777777" w:rsidR="00300FBD" w:rsidRPr="00300FBD" w:rsidRDefault="00300FBD" w:rsidP="00300FBD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Amount previously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56A17BD2" w14:textId="77777777" w:rsidR="00300FBD" w:rsidRPr="00300FBD" w:rsidRDefault="00300FBD" w:rsidP="00300FBD">
            <w:pPr>
              <w:spacing w:before="0"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Amount transferred by the amendment determination</w:t>
            </w:r>
          </w:p>
          <w:p w14:paraId="0C17FE6F" w14:textId="77777777" w:rsidR="00300FBD" w:rsidRPr="00300FBD" w:rsidRDefault="00300FBD" w:rsidP="00300FBD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sz w:val="2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0F88A552" w14:textId="77777777" w:rsidR="00300FBD" w:rsidRPr="00300FBD" w:rsidRDefault="00300FBD" w:rsidP="00300FBD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Amended amount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</w:tr>
      <w:tr w:rsidR="00600894" w:rsidRPr="00300FBD" w14:paraId="09C4B8AE" w14:textId="77777777" w:rsidTr="00D95ED1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6FEC1F2" w14:textId="3A1AB08A" w:rsidR="00600894" w:rsidRPr="009A2528" w:rsidRDefault="00600894" w:rsidP="00600894">
            <w:pPr>
              <w:spacing w:before="0" w:after="0"/>
              <w:rPr>
                <w:sz w:val="20"/>
              </w:rPr>
            </w:pPr>
            <w:r w:rsidRPr="009A2528">
              <w:rPr>
                <w:sz w:val="20"/>
              </w:rPr>
              <w:t>6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663385C" w14:textId="2CF36684" w:rsidR="00600894" w:rsidRPr="00600894" w:rsidRDefault="00600894" w:rsidP="00600894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>Department of Industry, Science, Energy and Resources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2775D3ED" w14:textId="77777777" w:rsidR="00600894" w:rsidRPr="00600894" w:rsidRDefault="00600894" w:rsidP="00600894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E4FEEE8" w14:textId="01A8B115" w:rsidR="00600894" w:rsidRPr="00300FBD" w:rsidRDefault="004F5B9A" w:rsidP="00600894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  <w:r w:rsidR="00600894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B8D22E2" w14:textId="55A9D14B" w:rsidR="00600894" w:rsidRPr="00300FBD" w:rsidRDefault="00600894" w:rsidP="00600894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-1,771,000.00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0800175" w14:textId="6ECF0ECC" w:rsidR="00600894" w:rsidRPr="00600894" w:rsidRDefault="00600894" w:rsidP="00600894">
            <w:pPr>
              <w:spacing w:before="0" w:after="0"/>
              <w:jc w:val="right"/>
              <w:rPr>
                <w:b/>
                <w:sz w:val="20"/>
              </w:rPr>
            </w:pPr>
            <w:r w:rsidRPr="00600894">
              <w:rPr>
                <w:b/>
                <w:color w:val="000000"/>
                <w:sz w:val="20"/>
              </w:rPr>
              <w:t>-1,771,000.00</w:t>
            </w:r>
          </w:p>
        </w:tc>
      </w:tr>
      <w:tr w:rsidR="00600894" w:rsidRPr="00300FBD" w14:paraId="6639BD3F" w14:textId="77777777" w:rsidTr="00D95ED1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AED9026" w14:textId="10B09B44" w:rsidR="00600894" w:rsidRPr="009A2528" w:rsidRDefault="00600894" w:rsidP="00600894">
            <w:pPr>
              <w:spacing w:before="0" w:after="0"/>
              <w:rPr>
                <w:sz w:val="20"/>
              </w:rPr>
            </w:pPr>
            <w:r w:rsidRPr="009A2528">
              <w:rPr>
                <w:sz w:val="20"/>
              </w:rPr>
              <w:t>7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6BFF0B2" w14:textId="624133DA" w:rsidR="00600894" w:rsidRPr="00600894" w:rsidRDefault="00600894" w:rsidP="00600894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 xml:space="preserve">Department of the Treasury 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6C81D645" w14:textId="77777777" w:rsidR="00600894" w:rsidRPr="00600894" w:rsidRDefault="00600894" w:rsidP="00600894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C060DB3" w14:textId="1EA0A535" w:rsidR="00600894" w:rsidRPr="00300FBD" w:rsidRDefault="004F5B9A" w:rsidP="004F5B9A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0.00 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F4876F4" w14:textId="60A49941" w:rsidR="00600894" w:rsidRPr="00300FBD" w:rsidRDefault="00C23177" w:rsidP="00600894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="00600894">
              <w:rPr>
                <w:color w:val="000000"/>
                <w:sz w:val="20"/>
              </w:rPr>
              <w:t>1,771,000.00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A0829D6" w14:textId="5C41B3A0" w:rsidR="00600894" w:rsidRPr="00600894" w:rsidRDefault="00C04423" w:rsidP="00600894">
            <w:pPr>
              <w:spacing w:before="0" w:after="0"/>
              <w:jc w:val="righ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  <w:r w:rsidR="00600894" w:rsidRPr="00600894">
              <w:rPr>
                <w:b/>
                <w:color w:val="000000"/>
                <w:sz w:val="20"/>
              </w:rPr>
              <w:t>1,771,000.00</w:t>
            </w:r>
          </w:p>
        </w:tc>
      </w:tr>
    </w:tbl>
    <w:p w14:paraId="5E90CE55" w14:textId="15B6268D" w:rsidR="006236A7" w:rsidRDefault="006236A7" w:rsidP="00711E08">
      <w:pPr>
        <w:spacing w:before="0"/>
        <w:rPr>
          <w:sz w:val="18"/>
          <w:szCs w:val="24"/>
        </w:rPr>
      </w:pPr>
      <w:r w:rsidRPr="006236A7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p w14:paraId="109A2B15" w14:textId="6F3CE2D5" w:rsidR="008722CB" w:rsidRPr="0042436C" w:rsidRDefault="005A3A38" w:rsidP="00711E08">
      <w:pPr>
        <w:pStyle w:val="ListParagraph"/>
        <w:numPr>
          <w:ilvl w:val="0"/>
          <w:numId w:val="2"/>
        </w:numPr>
        <w:spacing w:before="0"/>
        <w:contextualSpacing w:val="0"/>
        <w:outlineLvl w:val="2"/>
        <w:rPr>
          <w:sz w:val="18"/>
          <w:szCs w:val="24"/>
        </w:rPr>
      </w:pPr>
      <w:r w:rsidRPr="00792DF6">
        <w:rPr>
          <w:sz w:val="24"/>
        </w:rPr>
        <w:t>Item</w:t>
      </w:r>
      <w:r w:rsidR="008722CB">
        <w:rPr>
          <w:sz w:val="24"/>
        </w:rPr>
        <w:t> </w:t>
      </w:r>
      <w:r w:rsidR="00792DF6" w:rsidRPr="00792DF6">
        <w:rPr>
          <w:sz w:val="24"/>
        </w:rPr>
        <w:t>3</w:t>
      </w:r>
      <w:r w:rsidRPr="00792DF6">
        <w:rPr>
          <w:sz w:val="24"/>
        </w:rPr>
        <w:t xml:space="preserve"> of the amendment determination </w:t>
      </w:r>
      <w:r w:rsidR="00792DF6">
        <w:rPr>
          <w:sz w:val="24"/>
        </w:rPr>
        <w:t xml:space="preserve">adds </w:t>
      </w:r>
      <w:r w:rsidR="008722CB">
        <w:rPr>
          <w:sz w:val="24"/>
        </w:rPr>
        <w:t xml:space="preserve">sections 6 and 7 to the Determination which apply to appropriation items in Schedule 2 to the </w:t>
      </w:r>
      <w:r w:rsidR="008722CB" w:rsidRPr="0042436C">
        <w:rPr>
          <w:i/>
          <w:sz w:val="24"/>
        </w:rPr>
        <w:t>Supply Act (No. 2) 2020</w:t>
      </w:r>
      <w:r w:rsidR="008722CB" w:rsidRPr="0042436C">
        <w:rPr>
          <w:i/>
          <w:sz w:val="24"/>
        </w:rPr>
        <w:noBreakHyphen/>
        <w:t>2021</w:t>
      </w:r>
      <w:r w:rsidR="008722CB">
        <w:rPr>
          <w:sz w:val="24"/>
        </w:rPr>
        <w:t xml:space="preserve"> and to appropriation items in Schedule 1 to the </w:t>
      </w:r>
      <w:r w:rsidR="008722CB" w:rsidRPr="0042436C">
        <w:rPr>
          <w:i/>
          <w:sz w:val="24"/>
        </w:rPr>
        <w:t>Appropriation Act (No. 1) 2020</w:t>
      </w:r>
      <w:r w:rsidR="008722CB" w:rsidRPr="0042436C">
        <w:rPr>
          <w:i/>
          <w:sz w:val="24"/>
        </w:rPr>
        <w:noBreakHyphen/>
        <w:t>2021</w:t>
      </w:r>
      <w:r w:rsidR="006D073D">
        <w:rPr>
          <w:i/>
          <w:sz w:val="24"/>
        </w:rPr>
        <w:t>,</w:t>
      </w:r>
      <w:r w:rsidR="008722CB">
        <w:rPr>
          <w:sz w:val="24"/>
        </w:rPr>
        <w:t xml:space="preserve"> respectively.</w:t>
      </w:r>
    </w:p>
    <w:p w14:paraId="42E61328" w14:textId="7267E49D" w:rsidR="00C95620" w:rsidRPr="00181F5D" w:rsidRDefault="002F1E0F" w:rsidP="0042436C">
      <w:pPr>
        <w:pStyle w:val="ListParagraph"/>
        <w:numPr>
          <w:ilvl w:val="0"/>
          <w:numId w:val="2"/>
        </w:numPr>
        <w:spacing w:before="0"/>
        <w:contextualSpacing w:val="0"/>
        <w:outlineLvl w:val="2"/>
        <w:rPr>
          <w:sz w:val="24"/>
        </w:rPr>
      </w:pPr>
      <w:r w:rsidRPr="00181F5D">
        <w:rPr>
          <w:sz w:val="24"/>
        </w:rPr>
        <w:t>The table at subsection</w:t>
      </w:r>
      <w:r w:rsidR="008722CB" w:rsidRPr="0042436C">
        <w:rPr>
          <w:sz w:val="24"/>
        </w:rPr>
        <w:t> </w:t>
      </w:r>
      <w:r w:rsidR="00C95620" w:rsidRPr="0042436C">
        <w:rPr>
          <w:sz w:val="24"/>
        </w:rPr>
        <w:t>6(</w:t>
      </w:r>
      <w:r w:rsidR="008722CB" w:rsidRPr="0042436C">
        <w:rPr>
          <w:sz w:val="24"/>
        </w:rPr>
        <w:t>2</w:t>
      </w:r>
      <w:r w:rsidR="00C95620" w:rsidRPr="0042436C">
        <w:rPr>
          <w:sz w:val="24"/>
        </w:rPr>
        <w:t xml:space="preserve">) </w:t>
      </w:r>
      <w:r w:rsidR="008722CB" w:rsidRPr="0042436C">
        <w:rPr>
          <w:sz w:val="24"/>
        </w:rPr>
        <w:t xml:space="preserve">affects </w:t>
      </w:r>
      <w:r w:rsidR="00C95620" w:rsidRPr="0042436C">
        <w:rPr>
          <w:sz w:val="24"/>
        </w:rPr>
        <w:t>relevant appropriation items in Schedule</w:t>
      </w:r>
      <w:r w:rsidR="008722CB">
        <w:rPr>
          <w:sz w:val="24"/>
        </w:rPr>
        <w:t> 2</w:t>
      </w:r>
      <w:r w:rsidR="00C95620" w:rsidRPr="00181F5D">
        <w:rPr>
          <w:sz w:val="24"/>
        </w:rPr>
        <w:t xml:space="preserve"> to the</w:t>
      </w:r>
      <w:r w:rsidR="008722CB">
        <w:rPr>
          <w:sz w:val="24"/>
        </w:rPr>
        <w:t xml:space="preserve"> </w:t>
      </w:r>
      <w:r w:rsidR="008722CB" w:rsidRPr="0042436C">
        <w:rPr>
          <w:i/>
          <w:sz w:val="24"/>
        </w:rPr>
        <w:t>Supply Act (No. 2) 2020</w:t>
      </w:r>
      <w:r w:rsidR="008722CB" w:rsidRPr="0042436C">
        <w:rPr>
          <w:i/>
          <w:sz w:val="24"/>
        </w:rPr>
        <w:noBreakHyphen/>
        <w:t>2021</w:t>
      </w:r>
      <w:r w:rsidR="008722CB">
        <w:rPr>
          <w:sz w:val="24"/>
        </w:rPr>
        <w:t xml:space="preserve"> in the following way: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BB0743" w:rsidRPr="00300FBD" w14:paraId="2659EBFA" w14:textId="77777777" w:rsidTr="00D95ED1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07D8895" w14:textId="77777777" w:rsidR="00BB0743" w:rsidRPr="00300FBD" w:rsidRDefault="00BB0743" w:rsidP="00BB0743">
            <w:pPr>
              <w:spacing w:before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3AED7633" w14:textId="77777777" w:rsidR="00BB0743" w:rsidRPr="00300FBD" w:rsidRDefault="00BB0743" w:rsidP="00BB0743">
            <w:pPr>
              <w:spacing w:before="0"/>
              <w:rPr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42DC539A" w14:textId="77777777" w:rsidR="00BB0743" w:rsidRPr="00300FBD" w:rsidRDefault="00BB0743" w:rsidP="00BB0743">
            <w:pPr>
              <w:spacing w:before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98002F4" w14:textId="77777777" w:rsidR="00BB0743" w:rsidRPr="00300FBD" w:rsidRDefault="00BB0743" w:rsidP="00BB0743">
            <w:pPr>
              <w:spacing w:before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Amount previously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5EFE1378" w14:textId="77777777" w:rsidR="00BB0743" w:rsidRPr="00300FBD" w:rsidRDefault="00BB0743" w:rsidP="00BB0743">
            <w:pPr>
              <w:spacing w:before="0"/>
              <w:jc w:val="center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Amount transferred by the amendment determination</w:t>
            </w:r>
          </w:p>
          <w:p w14:paraId="543DD1B6" w14:textId="77777777" w:rsidR="00BB0743" w:rsidRPr="00300FBD" w:rsidRDefault="00BB0743" w:rsidP="00BB0743">
            <w:pPr>
              <w:spacing w:before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sz w:val="2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62A31B44" w14:textId="77777777" w:rsidR="00BB0743" w:rsidRPr="00300FBD" w:rsidRDefault="00BB0743" w:rsidP="00BB0743">
            <w:pPr>
              <w:spacing w:before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Amended amount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</w:tr>
      <w:tr w:rsidR="00503014" w:rsidRPr="00300FBD" w14:paraId="630115E4" w14:textId="77777777" w:rsidTr="00D95ED1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2BE9B5A" w14:textId="154283C1" w:rsidR="00503014" w:rsidRPr="009A2528" w:rsidRDefault="00503014" w:rsidP="0050301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55ABB1D" w14:textId="77777777" w:rsidR="00503014" w:rsidRPr="00600894" w:rsidRDefault="00503014" w:rsidP="00503014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>Department of Industry, Science, Energy and Resources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44C92532" w14:textId="16BA53BF" w:rsidR="00503014" w:rsidRPr="00600894" w:rsidRDefault="00C92D38" w:rsidP="0050301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Other d</w:t>
            </w:r>
            <w:r w:rsidR="00503014" w:rsidRPr="00600894">
              <w:rPr>
                <w:sz w:val="20"/>
              </w:rPr>
              <w:t>epartmental item</w:t>
            </w:r>
            <w:r>
              <w:rPr>
                <w:sz w:val="20"/>
              </w:rPr>
              <w:t xml:space="preserve"> (Equity Injections)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3A4CAF3" w14:textId="44CA6365" w:rsidR="00503014" w:rsidRPr="00300FBD" w:rsidRDefault="004F5B9A" w:rsidP="004F5B9A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0.00 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40AB9AD" w14:textId="363A6C2A" w:rsidR="00503014" w:rsidRPr="00300FBD" w:rsidRDefault="00503014" w:rsidP="00503014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-237,000.00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A81DCD0" w14:textId="11DE909A" w:rsidR="00503014" w:rsidRPr="00503014" w:rsidRDefault="00503014" w:rsidP="00503014">
            <w:pPr>
              <w:spacing w:before="0" w:after="0"/>
              <w:jc w:val="right"/>
              <w:rPr>
                <w:b/>
                <w:sz w:val="20"/>
              </w:rPr>
            </w:pPr>
            <w:r w:rsidRPr="00503014">
              <w:rPr>
                <w:b/>
                <w:color w:val="000000"/>
                <w:sz w:val="20"/>
              </w:rPr>
              <w:t>-237,000.00</w:t>
            </w:r>
          </w:p>
        </w:tc>
      </w:tr>
      <w:tr w:rsidR="00503014" w:rsidRPr="00300FBD" w14:paraId="36FE481A" w14:textId="77777777" w:rsidTr="00D95ED1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BB1AF42" w14:textId="0124732B" w:rsidR="00503014" w:rsidRPr="009A2528" w:rsidRDefault="00503014" w:rsidP="0050301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A9D523E" w14:textId="77777777" w:rsidR="00503014" w:rsidRPr="00600894" w:rsidRDefault="00503014" w:rsidP="00503014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 xml:space="preserve">Department of the Treasury 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7068D123" w14:textId="052B91D8" w:rsidR="00503014" w:rsidRPr="00600894" w:rsidRDefault="00C92D38" w:rsidP="0050301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Other d</w:t>
            </w:r>
            <w:r w:rsidR="00503014" w:rsidRPr="00600894">
              <w:rPr>
                <w:sz w:val="20"/>
              </w:rPr>
              <w:t>epartmental item</w:t>
            </w:r>
            <w:r>
              <w:rPr>
                <w:sz w:val="20"/>
              </w:rPr>
              <w:t xml:space="preserve"> (Equity Injections)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02C29E6" w14:textId="68D4A181" w:rsidR="00503014" w:rsidRPr="00300FBD" w:rsidRDefault="004F5B9A" w:rsidP="004F5B9A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0.00 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9500B89" w14:textId="6795DA8B" w:rsidR="00503014" w:rsidRPr="00300FBD" w:rsidRDefault="00C92D38" w:rsidP="00503014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="00503014">
              <w:rPr>
                <w:color w:val="000000"/>
                <w:sz w:val="20"/>
              </w:rPr>
              <w:t>237,000.00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ED75C57" w14:textId="7AEDEE0B" w:rsidR="00503014" w:rsidRPr="00503014" w:rsidRDefault="00C92D38" w:rsidP="00503014">
            <w:pPr>
              <w:spacing w:before="0" w:after="0"/>
              <w:jc w:val="righ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  <w:r w:rsidR="00503014" w:rsidRPr="00503014">
              <w:rPr>
                <w:b/>
                <w:color w:val="000000"/>
                <w:sz w:val="20"/>
              </w:rPr>
              <w:t>237,000.00</w:t>
            </w:r>
          </w:p>
        </w:tc>
      </w:tr>
    </w:tbl>
    <w:p w14:paraId="3C060F37" w14:textId="77777777" w:rsidR="00642FBF" w:rsidRDefault="00642FBF" w:rsidP="00642FBF">
      <w:pPr>
        <w:spacing w:before="0"/>
        <w:rPr>
          <w:sz w:val="18"/>
          <w:szCs w:val="24"/>
        </w:rPr>
      </w:pPr>
      <w:r w:rsidRPr="006236A7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p w14:paraId="53667320" w14:textId="77777777" w:rsidR="00D8358E" w:rsidRDefault="00D8358E" w:rsidP="00D8358E">
      <w:pPr>
        <w:pStyle w:val="ListParagraph"/>
        <w:numPr>
          <w:ilvl w:val="0"/>
          <w:numId w:val="2"/>
        </w:numPr>
        <w:spacing w:before="0"/>
        <w:contextualSpacing w:val="0"/>
        <w:outlineLvl w:val="2"/>
        <w:rPr>
          <w:sz w:val="24"/>
        </w:rPr>
      </w:pPr>
      <w:r w:rsidRPr="00181F5D">
        <w:rPr>
          <w:sz w:val="24"/>
        </w:rPr>
        <w:t>The table at subsection 7</w:t>
      </w:r>
      <w:r w:rsidRPr="0042436C">
        <w:rPr>
          <w:sz w:val="24"/>
        </w:rPr>
        <w:t xml:space="preserve">(2) affects relevant appropriation items in Schedule 1 to the </w:t>
      </w:r>
      <w:r w:rsidRPr="0042436C">
        <w:rPr>
          <w:i/>
          <w:sz w:val="24"/>
        </w:rPr>
        <w:t>Appropriation Act (No. 1) 2020</w:t>
      </w:r>
      <w:r w:rsidRPr="0042436C">
        <w:rPr>
          <w:i/>
          <w:sz w:val="24"/>
        </w:rPr>
        <w:noBreakHyphen/>
        <w:t>2021</w:t>
      </w:r>
      <w:r w:rsidRPr="00181F5D">
        <w:rPr>
          <w:sz w:val="24"/>
        </w:rPr>
        <w:t xml:space="preserve"> in the following way:</w:t>
      </w:r>
    </w:p>
    <w:p w14:paraId="7E22B772" w14:textId="77777777" w:rsidR="00D8358E" w:rsidRDefault="00D8358E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p w14:paraId="23C54DCC" w14:textId="20D15DF0" w:rsidR="006D069B" w:rsidRDefault="006D069B" w:rsidP="002468FE">
      <w:pPr>
        <w:pStyle w:val="ListParagraph"/>
        <w:spacing w:before="0"/>
        <w:ind w:left="357"/>
        <w:contextualSpacing w:val="0"/>
        <w:outlineLvl w:val="2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2468FE" w:rsidRPr="00300FBD" w14:paraId="2C1B11C2" w14:textId="77777777" w:rsidTr="00D95ED1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03120AA1" w14:textId="77777777" w:rsidR="002468FE" w:rsidRPr="00300FBD" w:rsidRDefault="002468FE" w:rsidP="002468FE">
            <w:pPr>
              <w:spacing w:before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662E6D58" w14:textId="77777777" w:rsidR="002468FE" w:rsidRPr="00300FBD" w:rsidRDefault="002468FE" w:rsidP="002468FE">
            <w:pPr>
              <w:spacing w:before="0"/>
              <w:rPr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E25C548" w14:textId="77777777" w:rsidR="002468FE" w:rsidRPr="00300FBD" w:rsidRDefault="002468FE" w:rsidP="002468FE">
            <w:pPr>
              <w:spacing w:before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2A0E0C63" w14:textId="77777777" w:rsidR="002468FE" w:rsidRPr="00300FBD" w:rsidRDefault="002468FE" w:rsidP="002468FE">
            <w:pPr>
              <w:spacing w:before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Amount previously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77FDF266" w14:textId="77777777" w:rsidR="002468FE" w:rsidRPr="00300FBD" w:rsidRDefault="002468FE" w:rsidP="002468FE">
            <w:pPr>
              <w:spacing w:before="0"/>
              <w:jc w:val="center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Amount transferred by the amendment determination</w:t>
            </w:r>
          </w:p>
          <w:p w14:paraId="64493B59" w14:textId="77777777" w:rsidR="002468FE" w:rsidRPr="00300FBD" w:rsidRDefault="002468FE" w:rsidP="002468FE">
            <w:pPr>
              <w:spacing w:before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sz w:val="2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6876AEC1" w14:textId="77777777" w:rsidR="002468FE" w:rsidRPr="00300FBD" w:rsidRDefault="002468FE" w:rsidP="002468FE">
            <w:pPr>
              <w:spacing w:before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Amended amount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</w:tr>
      <w:tr w:rsidR="00AA6768" w:rsidRPr="00503014" w14:paraId="30050540" w14:textId="77777777" w:rsidTr="00D95ED1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5850BAE" w14:textId="77777777" w:rsidR="00AA6768" w:rsidRPr="009A2528" w:rsidRDefault="00AA6768" w:rsidP="00AA6768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C1DE1A2" w14:textId="77777777" w:rsidR="00AA6768" w:rsidRPr="00600894" w:rsidRDefault="00AA6768" w:rsidP="00AA6768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>Department of Industry, Science, Energy and Resources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165F25F" w14:textId="5237AB1E" w:rsidR="00AA6768" w:rsidRPr="00600894" w:rsidRDefault="00AA6768" w:rsidP="00AA6768">
            <w:pPr>
              <w:pStyle w:val="Tabletext"/>
              <w:rPr>
                <w:sz w:val="20"/>
                <w:lang w:eastAsia="en-US"/>
              </w:rPr>
            </w:pPr>
            <w:r w:rsidRPr="00520AA2">
              <w:rPr>
                <w:sz w:val="20"/>
                <w:lang w:eastAsia="en-US"/>
              </w:rPr>
              <w:t>Administered item, Outcome 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F0FFD5A" w14:textId="6F574434" w:rsidR="00AA6768" w:rsidRPr="00300FBD" w:rsidRDefault="00390341" w:rsidP="00181F5D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377538B" w14:textId="10AB5F58" w:rsidR="00AA6768" w:rsidRPr="00300FBD" w:rsidRDefault="00AA6768" w:rsidP="00AA6768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-4,762,000.00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3CCB9EA" w14:textId="19757E80" w:rsidR="00AA6768" w:rsidRPr="00AA6768" w:rsidRDefault="00AA6768" w:rsidP="00AA6768">
            <w:pPr>
              <w:spacing w:before="0" w:after="0"/>
              <w:jc w:val="right"/>
              <w:rPr>
                <w:b/>
                <w:sz w:val="20"/>
              </w:rPr>
            </w:pPr>
            <w:r w:rsidRPr="00AA6768">
              <w:rPr>
                <w:b/>
                <w:color w:val="000000"/>
                <w:sz w:val="20"/>
              </w:rPr>
              <w:t>-4,762,000.00</w:t>
            </w:r>
          </w:p>
        </w:tc>
      </w:tr>
      <w:tr w:rsidR="00AA6768" w:rsidRPr="00503014" w14:paraId="75F5D573" w14:textId="77777777" w:rsidTr="00D95ED1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BA7276A" w14:textId="77777777" w:rsidR="00AA6768" w:rsidRPr="009A2528" w:rsidRDefault="00AA6768" w:rsidP="00AA6768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69FEC11" w14:textId="77777777" w:rsidR="00AA6768" w:rsidRPr="00600894" w:rsidRDefault="00AA6768" w:rsidP="00AA6768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 xml:space="preserve">Department of the Treasury 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20302ADC" w14:textId="10A1B8BE" w:rsidR="00AA6768" w:rsidRPr="00600894" w:rsidRDefault="00AA6768" w:rsidP="00AA6768">
            <w:pPr>
              <w:spacing w:before="0" w:after="0"/>
              <w:rPr>
                <w:sz w:val="20"/>
              </w:rPr>
            </w:pPr>
            <w:r w:rsidRPr="00520AA2">
              <w:rPr>
                <w:sz w:val="20"/>
              </w:rPr>
              <w:t>Administered item, Outcome 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2E8F5DD" w14:textId="17B5C44D" w:rsidR="00AA6768" w:rsidRPr="00390341" w:rsidRDefault="000A00A8" w:rsidP="00AA6768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E2D051C" w14:textId="07792C7C" w:rsidR="00AA6768" w:rsidRPr="00300FBD" w:rsidRDefault="000A00A8" w:rsidP="00AA6768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="00AA6768">
              <w:rPr>
                <w:color w:val="000000"/>
                <w:sz w:val="20"/>
              </w:rPr>
              <w:t>4,762,000.00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029FDAE" w14:textId="4343498A" w:rsidR="00AA6768" w:rsidRPr="00AA6768" w:rsidRDefault="000A00A8" w:rsidP="00AA6768">
            <w:pPr>
              <w:spacing w:before="0" w:after="0"/>
              <w:jc w:val="righ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  <w:r w:rsidR="00AA6768" w:rsidRPr="00AA6768">
              <w:rPr>
                <w:b/>
                <w:color w:val="000000"/>
                <w:sz w:val="20"/>
              </w:rPr>
              <w:t>4,762,000.00</w:t>
            </w:r>
          </w:p>
        </w:tc>
      </w:tr>
      <w:tr w:rsidR="00AA6768" w:rsidRPr="00503014" w14:paraId="25377DCE" w14:textId="77777777" w:rsidTr="00D95ED1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D73B422" w14:textId="7AE348F9" w:rsidR="00AA6768" w:rsidRDefault="00AA6768" w:rsidP="00AA6768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AD24E8B" w14:textId="61BC93D5" w:rsidR="00AA6768" w:rsidRPr="00600894" w:rsidRDefault="00AA6768" w:rsidP="00AA6768">
            <w:pPr>
              <w:spacing w:before="0" w:after="0"/>
              <w:rPr>
                <w:sz w:val="20"/>
              </w:rPr>
            </w:pPr>
            <w:r w:rsidRPr="00520AA2">
              <w:rPr>
                <w:sz w:val="20"/>
              </w:rPr>
              <w:t>Australian Competition and Consumer Commission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11C34A9" w14:textId="1A80391C" w:rsidR="00AA6768" w:rsidRPr="00600894" w:rsidRDefault="00AA6768" w:rsidP="00AA6768">
            <w:pPr>
              <w:spacing w:before="0" w:after="0"/>
              <w:rPr>
                <w:sz w:val="20"/>
              </w:rPr>
            </w:pPr>
            <w:r w:rsidRPr="00520AA2">
              <w:rPr>
                <w:sz w:val="20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21D357F" w14:textId="1B8421FE" w:rsidR="00AA6768" w:rsidRDefault="000A00A8" w:rsidP="00AA6768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59A3DF4" w14:textId="600EE4B8" w:rsidR="00AA6768" w:rsidRDefault="00AA6768" w:rsidP="00AA6768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-3,438,378.20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94773EF" w14:textId="3669512C" w:rsidR="00AA6768" w:rsidRPr="00AA6768" w:rsidRDefault="00AA6768" w:rsidP="00AA6768">
            <w:pPr>
              <w:spacing w:before="0" w:after="0"/>
              <w:jc w:val="right"/>
              <w:rPr>
                <w:b/>
                <w:color w:val="000000"/>
                <w:sz w:val="20"/>
              </w:rPr>
            </w:pPr>
            <w:r w:rsidRPr="00AA6768">
              <w:rPr>
                <w:b/>
                <w:color w:val="000000"/>
                <w:sz w:val="20"/>
              </w:rPr>
              <w:t>-3,438,378.20</w:t>
            </w:r>
          </w:p>
        </w:tc>
      </w:tr>
      <w:tr w:rsidR="00AA6768" w:rsidRPr="00503014" w14:paraId="6494300B" w14:textId="77777777" w:rsidTr="00D95ED1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29329B3" w14:textId="7C737DAD" w:rsidR="00AA6768" w:rsidRDefault="00AA6768" w:rsidP="00AA6768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2B39A90" w14:textId="441B9BC6" w:rsidR="00AA6768" w:rsidRPr="00600894" w:rsidRDefault="00AA6768" w:rsidP="00AA6768">
            <w:pPr>
              <w:spacing w:before="0" w:after="0"/>
              <w:rPr>
                <w:sz w:val="20"/>
              </w:rPr>
            </w:pPr>
            <w:r w:rsidRPr="00520AA2">
              <w:rPr>
                <w:sz w:val="20"/>
              </w:rPr>
              <w:t>Infrastructure and Project Financing Agency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F3D3466" w14:textId="7233C209" w:rsidR="00AA6768" w:rsidRPr="00600894" w:rsidRDefault="00AA6768" w:rsidP="00AA6768">
            <w:pPr>
              <w:spacing w:before="0" w:after="0"/>
              <w:rPr>
                <w:sz w:val="20"/>
              </w:rPr>
            </w:pPr>
            <w:r w:rsidRPr="00520AA2">
              <w:rPr>
                <w:sz w:val="20"/>
              </w:rPr>
              <w:t xml:space="preserve">Departmental item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A0FD55E" w14:textId="3718CD57" w:rsidR="00AA6768" w:rsidRDefault="000A00A8" w:rsidP="00AA6768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C79465A" w14:textId="38C00185" w:rsidR="00AA6768" w:rsidRDefault="00AA6768" w:rsidP="00AA6768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-1,578,665.87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38C9DF3" w14:textId="39072010" w:rsidR="00AA6768" w:rsidRPr="00AA6768" w:rsidRDefault="00AA6768" w:rsidP="00AA6768">
            <w:pPr>
              <w:spacing w:before="0" w:after="0"/>
              <w:jc w:val="right"/>
              <w:rPr>
                <w:b/>
                <w:color w:val="000000"/>
                <w:sz w:val="20"/>
              </w:rPr>
            </w:pPr>
            <w:r w:rsidRPr="00AA6768">
              <w:rPr>
                <w:b/>
                <w:color w:val="000000"/>
                <w:sz w:val="20"/>
              </w:rPr>
              <w:t>-1,578,665.87</w:t>
            </w:r>
          </w:p>
        </w:tc>
      </w:tr>
      <w:tr w:rsidR="00AA6768" w:rsidRPr="00503014" w14:paraId="2671CB9C" w14:textId="77777777" w:rsidTr="00D95ED1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724ACB3" w14:textId="75A9548C" w:rsidR="00AA6768" w:rsidRDefault="00AA6768" w:rsidP="00AA6768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5024ABC" w14:textId="46A7BB92" w:rsidR="00AA6768" w:rsidRPr="00600894" w:rsidRDefault="00AA6768" w:rsidP="00AA6768">
            <w:pPr>
              <w:spacing w:before="0" w:after="0"/>
              <w:rPr>
                <w:sz w:val="20"/>
              </w:rPr>
            </w:pPr>
            <w:r w:rsidRPr="00520AA2">
              <w:rPr>
                <w:sz w:val="20"/>
              </w:rPr>
              <w:t>Department of the Treasury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3F9E3F0" w14:textId="2BD3A3E3" w:rsidR="00AA6768" w:rsidRPr="00600894" w:rsidRDefault="00AA6768" w:rsidP="00AA6768">
            <w:pPr>
              <w:spacing w:before="0" w:after="0"/>
              <w:rPr>
                <w:sz w:val="20"/>
              </w:rPr>
            </w:pPr>
            <w:r w:rsidRPr="00520AA2">
              <w:rPr>
                <w:sz w:val="20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4AA5FA1" w14:textId="4C072141" w:rsidR="00AA6768" w:rsidRDefault="000A00A8" w:rsidP="00390341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7237D7B" w14:textId="4EAC4E43" w:rsidR="00AA6768" w:rsidRDefault="000A00A8" w:rsidP="00AA6768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="00AA6768">
              <w:rPr>
                <w:color w:val="000000"/>
                <w:sz w:val="20"/>
              </w:rPr>
              <w:t>5,017,044.07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79190ED" w14:textId="07690DE0" w:rsidR="00AA6768" w:rsidRPr="00AA6768" w:rsidRDefault="000A00A8" w:rsidP="00AA6768">
            <w:pPr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  <w:r w:rsidR="00AA6768" w:rsidRPr="00AA6768">
              <w:rPr>
                <w:b/>
                <w:color w:val="000000"/>
                <w:sz w:val="20"/>
              </w:rPr>
              <w:t>5,017,044.07</w:t>
            </w:r>
          </w:p>
        </w:tc>
      </w:tr>
    </w:tbl>
    <w:p w14:paraId="368E7CFA" w14:textId="77777777" w:rsidR="00390341" w:rsidRDefault="00390341" w:rsidP="00390341">
      <w:pPr>
        <w:spacing w:before="0"/>
        <w:rPr>
          <w:sz w:val="18"/>
          <w:szCs w:val="24"/>
        </w:rPr>
      </w:pPr>
      <w:r w:rsidRPr="006236A7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p w14:paraId="75EAF220" w14:textId="5157BB72" w:rsidR="006D069B" w:rsidRPr="00EA669B" w:rsidRDefault="006D069B" w:rsidP="00EA669B">
      <w:pPr>
        <w:spacing w:before="0" w:after="0"/>
        <w:outlineLvl w:val="2"/>
        <w:rPr>
          <w:sz w:val="24"/>
        </w:rPr>
      </w:pPr>
      <w:bookmarkStart w:id="2" w:name="_GoBack"/>
      <w:bookmarkEnd w:id="2"/>
    </w:p>
    <w:sectPr w:rsidR="006D069B" w:rsidRPr="00EA669B" w:rsidSect="00ED33D1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1408"/>
    <w:multiLevelType w:val="hybridMultilevel"/>
    <w:tmpl w:val="5360F9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4511A"/>
    <w:multiLevelType w:val="multilevel"/>
    <w:tmpl w:val="EA5E96EA"/>
    <w:numStyleLink w:val="KeyPoints"/>
  </w:abstractNum>
  <w:abstractNum w:abstractNumId="3" w15:restartNumberingAfterBreak="0">
    <w:nsid w:val="18B75D6F"/>
    <w:multiLevelType w:val="multilevel"/>
    <w:tmpl w:val="F55EC600"/>
    <w:lvl w:ilvl="0"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23C09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-4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1B9C5EC6"/>
    <w:multiLevelType w:val="hybridMultilevel"/>
    <w:tmpl w:val="2DF4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2A17"/>
    <w:multiLevelType w:val="hybridMultilevel"/>
    <w:tmpl w:val="C68A3446"/>
    <w:lvl w:ilvl="0" w:tplc="EF5C4DDE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5E6CBF0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05CF4"/>
    <w:multiLevelType w:val="multilevel"/>
    <w:tmpl w:val="AEA2F82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436F28"/>
    <w:multiLevelType w:val="hybridMultilevel"/>
    <w:tmpl w:val="5D4ED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C26F3"/>
    <w:multiLevelType w:val="hybridMultilevel"/>
    <w:tmpl w:val="E90E66F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F91076"/>
    <w:multiLevelType w:val="hybridMultilevel"/>
    <w:tmpl w:val="86980E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93896"/>
    <w:multiLevelType w:val="hybridMultilevel"/>
    <w:tmpl w:val="295E6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67503"/>
    <w:multiLevelType w:val="hybridMultilevel"/>
    <w:tmpl w:val="AEA81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17A24"/>
    <w:multiLevelType w:val="hybridMultilevel"/>
    <w:tmpl w:val="B358D4A6"/>
    <w:lvl w:ilvl="0" w:tplc="7AEC4CA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824BF7"/>
    <w:multiLevelType w:val="hybridMultilevel"/>
    <w:tmpl w:val="D5222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F629C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76B5"/>
    <w:multiLevelType w:val="hybridMultilevel"/>
    <w:tmpl w:val="998E5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2554A"/>
    <w:multiLevelType w:val="hybridMultilevel"/>
    <w:tmpl w:val="FCD65A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852BA"/>
    <w:multiLevelType w:val="hybridMultilevel"/>
    <w:tmpl w:val="E1FADD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1C6C89"/>
    <w:multiLevelType w:val="hybridMultilevel"/>
    <w:tmpl w:val="45B47C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2237B2"/>
    <w:multiLevelType w:val="hybridMultilevel"/>
    <w:tmpl w:val="1402067E"/>
    <w:lvl w:ilvl="0" w:tplc="6F9AF02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4"/>
  </w:num>
  <w:num w:numId="5">
    <w:abstractNumId w:val="16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19"/>
  </w:num>
  <w:num w:numId="12">
    <w:abstractNumId w:val="20"/>
  </w:num>
  <w:num w:numId="13">
    <w:abstractNumId w:val="1"/>
  </w:num>
  <w:num w:numId="14">
    <w:abstractNumId w:val="13"/>
  </w:num>
  <w:num w:numId="15">
    <w:abstractNumId w:val="10"/>
  </w:num>
  <w:num w:numId="16">
    <w:abstractNumId w:val="9"/>
  </w:num>
  <w:num w:numId="17">
    <w:abstractNumId w:val="15"/>
  </w:num>
  <w:num w:numId="18">
    <w:abstractNumId w:val="3"/>
  </w:num>
  <w:num w:numId="19">
    <w:abstractNumId w:val="22"/>
  </w:num>
  <w:num w:numId="20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7"/>
  </w:num>
  <w:num w:numId="22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668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40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B67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5C1D"/>
    <w:rsid w:val="0002630A"/>
    <w:rsid w:val="000264DE"/>
    <w:rsid w:val="0002652F"/>
    <w:rsid w:val="0002657C"/>
    <w:rsid w:val="0002699B"/>
    <w:rsid w:val="00027617"/>
    <w:rsid w:val="000279BB"/>
    <w:rsid w:val="00027BA1"/>
    <w:rsid w:val="00027C17"/>
    <w:rsid w:val="000306B8"/>
    <w:rsid w:val="00030856"/>
    <w:rsid w:val="00030A5A"/>
    <w:rsid w:val="00030A69"/>
    <w:rsid w:val="00030BE9"/>
    <w:rsid w:val="00030DF7"/>
    <w:rsid w:val="000316F7"/>
    <w:rsid w:val="0003217F"/>
    <w:rsid w:val="00032365"/>
    <w:rsid w:val="00032F99"/>
    <w:rsid w:val="00033492"/>
    <w:rsid w:val="000336D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EA6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824"/>
    <w:rsid w:val="00042DE0"/>
    <w:rsid w:val="00042EA8"/>
    <w:rsid w:val="000436C6"/>
    <w:rsid w:val="00043C32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89C"/>
    <w:rsid w:val="00050937"/>
    <w:rsid w:val="00050B41"/>
    <w:rsid w:val="00050C12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55DF"/>
    <w:rsid w:val="000660D4"/>
    <w:rsid w:val="00066ADB"/>
    <w:rsid w:val="00066F22"/>
    <w:rsid w:val="0006738B"/>
    <w:rsid w:val="000679A8"/>
    <w:rsid w:val="00070263"/>
    <w:rsid w:val="00070265"/>
    <w:rsid w:val="00070727"/>
    <w:rsid w:val="0007087F"/>
    <w:rsid w:val="00070916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BD1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0A8"/>
    <w:rsid w:val="000A0B1E"/>
    <w:rsid w:val="000A0B47"/>
    <w:rsid w:val="000A0D2B"/>
    <w:rsid w:val="000A0DE8"/>
    <w:rsid w:val="000A0E42"/>
    <w:rsid w:val="000A0FE0"/>
    <w:rsid w:val="000A1251"/>
    <w:rsid w:val="000A13FF"/>
    <w:rsid w:val="000A1595"/>
    <w:rsid w:val="000A1981"/>
    <w:rsid w:val="000A1AF6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B9A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431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C7C16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AD0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8B9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600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52D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B12"/>
    <w:rsid w:val="00113D84"/>
    <w:rsid w:val="00113F3B"/>
    <w:rsid w:val="00114AF9"/>
    <w:rsid w:val="00114F6E"/>
    <w:rsid w:val="00115040"/>
    <w:rsid w:val="00115109"/>
    <w:rsid w:val="001155BA"/>
    <w:rsid w:val="00115AB2"/>
    <w:rsid w:val="00115FDB"/>
    <w:rsid w:val="00116687"/>
    <w:rsid w:val="00116AE8"/>
    <w:rsid w:val="00116B19"/>
    <w:rsid w:val="001171EE"/>
    <w:rsid w:val="001173C3"/>
    <w:rsid w:val="00117AF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29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08F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4C20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0E89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4F0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AC2"/>
    <w:rsid w:val="00174677"/>
    <w:rsid w:val="00174924"/>
    <w:rsid w:val="00174A45"/>
    <w:rsid w:val="00174B77"/>
    <w:rsid w:val="001751AD"/>
    <w:rsid w:val="00175892"/>
    <w:rsid w:val="00175EF1"/>
    <w:rsid w:val="00175F1C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5D"/>
    <w:rsid w:val="00181FAE"/>
    <w:rsid w:val="00182AD9"/>
    <w:rsid w:val="00182BAB"/>
    <w:rsid w:val="00182ECF"/>
    <w:rsid w:val="00182FAB"/>
    <w:rsid w:val="0018314B"/>
    <w:rsid w:val="00183FFA"/>
    <w:rsid w:val="001842E6"/>
    <w:rsid w:val="00184834"/>
    <w:rsid w:val="00184852"/>
    <w:rsid w:val="0018509B"/>
    <w:rsid w:val="00185317"/>
    <w:rsid w:val="00185739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35A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902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FB8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706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43D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A0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525C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092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471"/>
    <w:rsid w:val="0021061F"/>
    <w:rsid w:val="0021070D"/>
    <w:rsid w:val="00210E7C"/>
    <w:rsid w:val="0021105D"/>
    <w:rsid w:val="002112AB"/>
    <w:rsid w:val="00211388"/>
    <w:rsid w:val="00211391"/>
    <w:rsid w:val="00211408"/>
    <w:rsid w:val="002114B1"/>
    <w:rsid w:val="00211762"/>
    <w:rsid w:val="00211946"/>
    <w:rsid w:val="00211FED"/>
    <w:rsid w:val="002123C9"/>
    <w:rsid w:val="0021285D"/>
    <w:rsid w:val="00213188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1EC"/>
    <w:rsid w:val="0024037C"/>
    <w:rsid w:val="002404C6"/>
    <w:rsid w:val="00241222"/>
    <w:rsid w:val="00241930"/>
    <w:rsid w:val="00242055"/>
    <w:rsid w:val="00242C2C"/>
    <w:rsid w:val="002431EA"/>
    <w:rsid w:val="0024344A"/>
    <w:rsid w:val="00243DDD"/>
    <w:rsid w:val="00243F36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8FE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0F00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6C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1FC6"/>
    <w:rsid w:val="002629B0"/>
    <w:rsid w:val="00262E58"/>
    <w:rsid w:val="0026338F"/>
    <w:rsid w:val="002635DE"/>
    <w:rsid w:val="00263694"/>
    <w:rsid w:val="00263D8E"/>
    <w:rsid w:val="00263F30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5FA7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0DCE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24C"/>
    <w:rsid w:val="002773DE"/>
    <w:rsid w:val="0027796D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C8F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80A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5B5"/>
    <w:rsid w:val="002B08F9"/>
    <w:rsid w:val="002B0E89"/>
    <w:rsid w:val="002B152A"/>
    <w:rsid w:val="002B1649"/>
    <w:rsid w:val="002B1D66"/>
    <w:rsid w:val="002B2EBB"/>
    <w:rsid w:val="002B301A"/>
    <w:rsid w:val="002B327B"/>
    <w:rsid w:val="002B32CA"/>
    <w:rsid w:val="002B3479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2B8"/>
    <w:rsid w:val="002D277A"/>
    <w:rsid w:val="002D2D0B"/>
    <w:rsid w:val="002D3647"/>
    <w:rsid w:val="002D3A66"/>
    <w:rsid w:val="002D42A7"/>
    <w:rsid w:val="002D4915"/>
    <w:rsid w:val="002D49BD"/>
    <w:rsid w:val="002D4BFA"/>
    <w:rsid w:val="002D512B"/>
    <w:rsid w:val="002D6ACC"/>
    <w:rsid w:val="002D6BC0"/>
    <w:rsid w:val="002D6FD5"/>
    <w:rsid w:val="002D7290"/>
    <w:rsid w:val="002D768F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433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A0"/>
    <w:rsid w:val="002E59C5"/>
    <w:rsid w:val="002E5F3A"/>
    <w:rsid w:val="002E5F9B"/>
    <w:rsid w:val="002E6315"/>
    <w:rsid w:val="002E746A"/>
    <w:rsid w:val="002E7806"/>
    <w:rsid w:val="002E7B06"/>
    <w:rsid w:val="002E7B6F"/>
    <w:rsid w:val="002E7E98"/>
    <w:rsid w:val="002F01B7"/>
    <w:rsid w:val="002F054E"/>
    <w:rsid w:val="002F0796"/>
    <w:rsid w:val="002F0815"/>
    <w:rsid w:val="002F09FC"/>
    <w:rsid w:val="002F1380"/>
    <w:rsid w:val="002F14D7"/>
    <w:rsid w:val="002F1ACE"/>
    <w:rsid w:val="002F1E0F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1B"/>
    <w:rsid w:val="003007F1"/>
    <w:rsid w:val="00300958"/>
    <w:rsid w:val="00300B1D"/>
    <w:rsid w:val="00300C4D"/>
    <w:rsid w:val="00300FB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643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8C9"/>
    <w:rsid w:val="0030495C"/>
    <w:rsid w:val="00304B6D"/>
    <w:rsid w:val="00304D0A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E3A"/>
    <w:rsid w:val="00311FAA"/>
    <w:rsid w:val="003129B0"/>
    <w:rsid w:val="00312A07"/>
    <w:rsid w:val="00312CBA"/>
    <w:rsid w:val="003142AC"/>
    <w:rsid w:val="003145C1"/>
    <w:rsid w:val="0031467A"/>
    <w:rsid w:val="00314C85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AF2"/>
    <w:rsid w:val="00331C25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3A84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5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9BF"/>
    <w:rsid w:val="00353DCF"/>
    <w:rsid w:val="003547B3"/>
    <w:rsid w:val="003549D8"/>
    <w:rsid w:val="00354B30"/>
    <w:rsid w:val="00354E4E"/>
    <w:rsid w:val="00355B03"/>
    <w:rsid w:val="00356CD8"/>
    <w:rsid w:val="003575E5"/>
    <w:rsid w:val="003579C5"/>
    <w:rsid w:val="00357B3E"/>
    <w:rsid w:val="00357BFF"/>
    <w:rsid w:val="00360025"/>
    <w:rsid w:val="0036005C"/>
    <w:rsid w:val="00360EBB"/>
    <w:rsid w:val="00361662"/>
    <w:rsid w:val="00361EF2"/>
    <w:rsid w:val="003623F7"/>
    <w:rsid w:val="00362C88"/>
    <w:rsid w:val="00363E15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683"/>
    <w:rsid w:val="00366919"/>
    <w:rsid w:val="00366D31"/>
    <w:rsid w:val="00366F97"/>
    <w:rsid w:val="00367043"/>
    <w:rsid w:val="00367614"/>
    <w:rsid w:val="00367C46"/>
    <w:rsid w:val="0037012D"/>
    <w:rsid w:val="00370901"/>
    <w:rsid w:val="00370943"/>
    <w:rsid w:val="0037099E"/>
    <w:rsid w:val="00370AB6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0EB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499C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341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5D1D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38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C6A"/>
    <w:rsid w:val="003B2D78"/>
    <w:rsid w:val="003B303E"/>
    <w:rsid w:val="003B3562"/>
    <w:rsid w:val="003B3583"/>
    <w:rsid w:val="003B35EB"/>
    <w:rsid w:val="003B3859"/>
    <w:rsid w:val="003B3D69"/>
    <w:rsid w:val="003B41FF"/>
    <w:rsid w:val="003B48DD"/>
    <w:rsid w:val="003B49AA"/>
    <w:rsid w:val="003B4CEC"/>
    <w:rsid w:val="003B562F"/>
    <w:rsid w:val="003B5B5A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1A61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4D19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D0F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67F"/>
    <w:rsid w:val="003E29D7"/>
    <w:rsid w:val="003E35BF"/>
    <w:rsid w:val="003E371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7D5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99C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184"/>
    <w:rsid w:val="0040654B"/>
    <w:rsid w:val="004066B0"/>
    <w:rsid w:val="004066C8"/>
    <w:rsid w:val="004067B8"/>
    <w:rsid w:val="00406F28"/>
    <w:rsid w:val="0040705F"/>
    <w:rsid w:val="0041022C"/>
    <w:rsid w:val="0041036A"/>
    <w:rsid w:val="004103B4"/>
    <w:rsid w:val="004115BD"/>
    <w:rsid w:val="00411839"/>
    <w:rsid w:val="00411D56"/>
    <w:rsid w:val="004122E0"/>
    <w:rsid w:val="00412933"/>
    <w:rsid w:val="00412A83"/>
    <w:rsid w:val="00412DCB"/>
    <w:rsid w:val="00413406"/>
    <w:rsid w:val="004137DF"/>
    <w:rsid w:val="00414123"/>
    <w:rsid w:val="0041429A"/>
    <w:rsid w:val="00414565"/>
    <w:rsid w:val="00415167"/>
    <w:rsid w:val="0041567D"/>
    <w:rsid w:val="00416685"/>
    <w:rsid w:val="0041677F"/>
    <w:rsid w:val="00416991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336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36C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78A"/>
    <w:rsid w:val="004278FB"/>
    <w:rsid w:val="00427E61"/>
    <w:rsid w:val="00430904"/>
    <w:rsid w:val="004309A9"/>
    <w:rsid w:val="00430E8F"/>
    <w:rsid w:val="00430F46"/>
    <w:rsid w:val="004310BD"/>
    <w:rsid w:val="004310C4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9A8"/>
    <w:rsid w:val="00440A9B"/>
    <w:rsid w:val="0044196C"/>
    <w:rsid w:val="00441C41"/>
    <w:rsid w:val="00442575"/>
    <w:rsid w:val="00442DE4"/>
    <w:rsid w:val="00442E53"/>
    <w:rsid w:val="00442F4C"/>
    <w:rsid w:val="004430D6"/>
    <w:rsid w:val="00443325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79F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120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5F7"/>
    <w:rsid w:val="004606A8"/>
    <w:rsid w:val="00460D61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228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77A63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3B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6E96"/>
    <w:rsid w:val="00497282"/>
    <w:rsid w:val="004975AF"/>
    <w:rsid w:val="004975F2"/>
    <w:rsid w:val="004976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1DE1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AFC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B67"/>
    <w:rsid w:val="004B7D3F"/>
    <w:rsid w:val="004C017C"/>
    <w:rsid w:val="004C0472"/>
    <w:rsid w:val="004C05F6"/>
    <w:rsid w:val="004C0BD9"/>
    <w:rsid w:val="004C0F4D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2BA"/>
    <w:rsid w:val="004C48C1"/>
    <w:rsid w:val="004C48FF"/>
    <w:rsid w:val="004C4A82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2EE4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1C8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8D6"/>
    <w:rsid w:val="004F4AA1"/>
    <w:rsid w:val="004F4BC1"/>
    <w:rsid w:val="004F4EFB"/>
    <w:rsid w:val="004F5965"/>
    <w:rsid w:val="004F5B45"/>
    <w:rsid w:val="004F5B9A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9D0"/>
    <w:rsid w:val="00501B7E"/>
    <w:rsid w:val="00501DC7"/>
    <w:rsid w:val="005022D1"/>
    <w:rsid w:val="00502407"/>
    <w:rsid w:val="00503014"/>
    <w:rsid w:val="0050354F"/>
    <w:rsid w:val="005035D0"/>
    <w:rsid w:val="00503817"/>
    <w:rsid w:val="005039E7"/>
    <w:rsid w:val="0050441A"/>
    <w:rsid w:val="0050457F"/>
    <w:rsid w:val="00504BB5"/>
    <w:rsid w:val="00505636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BD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550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0AA2"/>
    <w:rsid w:val="00521778"/>
    <w:rsid w:val="00521FBD"/>
    <w:rsid w:val="005220D9"/>
    <w:rsid w:val="005221E0"/>
    <w:rsid w:val="00522369"/>
    <w:rsid w:val="00522D94"/>
    <w:rsid w:val="00522DA0"/>
    <w:rsid w:val="00523458"/>
    <w:rsid w:val="005237A8"/>
    <w:rsid w:val="005239B0"/>
    <w:rsid w:val="00524356"/>
    <w:rsid w:val="0052436A"/>
    <w:rsid w:val="00524397"/>
    <w:rsid w:val="005243C0"/>
    <w:rsid w:val="00524C22"/>
    <w:rsid w:val="00524CDF"/>
    <w:rsid w:val="00525846"/>
    <w:rsid w:val="00525DEC"/>
    <w:rsid w:val="005265B9"/>
    <w:rsid w:val="00526C0F"/>
    <w:rsid w:val="00526F41"/>
    <w:rsid w:val="00527627"/>
    <w:rsid w:val="005277B1"/>
    <w:rsid w:val="00527AF7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9E7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1"/>
    <w:rsid w:val="005345C9"/>
    <w:rsid w:val="00534680"/>
    <w:rsid w:val="00534B4E"/>
    <w:rsid w:val="00535297"/>
    <w:rsid w:val="00535697"/>
    <w:rsid w:val="00535850"/>
    <w:rsid w:val="00536395"/>
    <w:rsid w:val="00536A71"/>
    <w:rsid w:val="0053743D"/>
    <w:rsid w:val="00537551"/>
    <w:rsid w:val="005408A4"/>
    <w:rsid w:val="005409CA"/>
    <w:rsid w:val="00540B12"/>
    <w:rsid w:val="005417AC"/>
    <w:rsid w:val="00541A02"/>
    <w:rsid w:val="005424EE"/>
    <w:rsid w:val="00542945"/>
    <w:rsid w:val="00542A41"/>
    <w:rsid w:val="00542DD7"/>
    <w:rsid w:val="00542DFE"/>
    <w:rsid w:val="005430CF"/>
    <w:rsid w:val="0054329E"/>
    <w:rsid w:val="00543CBA"/>
    <w:rsid w:val="00544078"/>
    <w:rsid w:val="005444AC"/>
    <w:rsid w:val="005444D4"/>
    <w:rsid w:val="00544B02"/>
    <w:rsid w:val="00544BA8"/>
    <w:rsid w:val="00544DB4"/>
    <w:rsid w:val="00545050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5BF8"/>
    <w:rsid w:val="00566187"/>
    <w:rsid w:val="005661E4"/>
    <w:rsid w:val="00566421"/>
    <w:rsid w:val="00566875"/>
    <w:rsid w:val="00566920"/>
    <w:rsid w:val="005669BA"/>
    <w:rsid w:val="00566A30"/>
    <w:rsid w:val="005676EF"/>
    <w:rsid w:val="00567A4E"/>
    <w:rsid w:val="00567FB4"/>
    <w:rsid w:val="00567FCC"/>
    <w:rsid w:val="0057075F"/>
    <w:rsid w:val="00570791"/>
    <w:rsid w:val="005708FD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277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AC1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663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60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07"/>
    <w:rsid w:val="005A0F47"/>
    <w:rsid w:val="005A1291"/>
    <w:rsid w:val="005A19CF"/>
    <w:rsid w:val="005A1BC0"/>
    <w:rsid w:val="005A1EC1"/>
    <w:rsid w:val="005A258B"/>
    <w:rsid w:val="005A2646"/>
    <w:rsid w:val="005A3A38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6A7F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0DB"/>
    <w:rsid w:val="005B4614"/>
    <w:rsid w:val="005B49C5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153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071"/>
    <w:rsid w:val="005E317B"/>
    <w:rsid w:val="005E34BB"/>
    <w:rsid w:val="005E3962"/>
    <w:rsid w:val="005E3B5C"/>
    <w:rsid w:val="005E41D2"/>
    <w:rsid w:val="005E4893"/>
    <w:rsid w:val="005E496F"/>
    <w:rsid w:val="005E4EDE"/>
    <w:rsid w:val="005E53A0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E7AE8"/>
    <w:rsid w:val="005F05C2"/>
    <w:rsid w:val="005F07A0"/>
    <w:rsid w:val="005F0958"/>
    <w:rsid w:val="005F09CC"/>
    <w:rsid w:val="005F0ED0"/>
    <w:rsid w:val="005F0FAC"/>
    <w:rsid w:val="005F12B5"/>
    <w:rsid w:val="005F18ED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6D07"/>
    <w:rsid w:val="005F7243"/>
    <w:rsid w:val="005F7D32"/>
    <w:rsid w:val="006000C7"/>
    <w:rsid w:val="006000DF"/>
    <w:rsid w:val="006007F6"/>
    <w:rsid w:val="00600894"/>
    <w:rsid w:val="006009A9"/>
    <w:rsid w:val="00600C79"/>
    <w:rsid w:val="00601007"/>
    <w:rsid w:val="00601B3E"/>
    <w:rsid w:val="00601D70"/>
    <w:rsid w:val="00601F3C"/>
    <w:rsid w:val="00602015"/>
    <w:rsid w:val="00602B6D"/>
    <w:rsid w:val="00602C56"/>
    <w:rsid w:val="00602D0E"/>
    <w:rsid w:val="00602EC2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07FA7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990"/>
    <w:rsid w:val="00620C7A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6A7"/>
    <w:rsid w:val="00623D2E"/>
    <w:rsid w:val="00623D36"/>
    <w:rsid w:val="00623EBB"/>
    <w:rsid w:val="00623FD5"/>
    <w:rsid w:val="00624214"/>
    <w:rsid w:val="0062424B"/>
    <w:rsid w:val="006242BE"/>
    <w:rsid w:val="00624303"/>
    <w:rsid w:val="00624987"/>
    <w:rsid w:val="00624A3B"/>
    <w:rsid w:val="00624DA9"/>
    <w:rsid w:val="00624F13"/>
    <w:rsid w:val="0062506F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57F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2FBF"/>
    <w:rsid w:val="0064381C"/>
    <w:rsid w:val="00643838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676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192"/>
    <w:rsid w:val="006722C1"/>
    <w:rsid w:val="00672476"/>
    <w:rsid w:val="00672852"/>
    <w:rsid w:val="00672B78"/>
    <w:rsid w:val="00672E03"/>
    <w:rsid w:val="006732AD"/>
    <w:rsid w:val="006733E6"/>
    <w:rsid w:val="00673520"/>
    <w:rsid w:val="00674093"/>
    <w:rsid w:val="006740EB"/>
    <w:rsid w:val="0067455D"/>
    <w:rsid w:val="006746B8"/>
    <w:rsid w:val="00674853"/>
    <w:rsid w:val="0067487C"/>
    <w:rsid w:val="00674B75"/>
    <w:rsid w:val="006750EA"/>
    <w:rsid w:val="00676044"/>
    <w:rsid w:val="00676289"/>
    <w:rsid w:val="006766C2"/>
    <w:rsid w:val="006766D0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CA8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2CE"/>
    <w:rsid w:val="006928F8"/>
    <w:rsid w:val="00692C53"/>
    <w:rsid w:val="00692EFE"/>
    <w:rsid w:val="00693102"/>
    <w:rsid w:val="0069324F"/>
    <w:rsid w:val="006937DA"/>
    <w:rsid w:val="00693F8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6F69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9D"/>
    <w:rsid w:val="006B7AC8"/>
    <w:rsid w:val="006B7B4D"/>
    <w:rsid w:val="006B7C57"/>
    <w:rsid w:val="006B7EE9"/>
    <w:rsid w:val="006B7F7A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712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209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69B"/>
    <w:rsid w:val="006D073D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5F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337"/>
    <w:rsid w:val="006E1580"/>
    <w:rsid w:val="006E22E0"/>
    <w:rsid w:val="006E2421"/>
    <w:rsid w:val="006E2435"/>
    <w:rsid w:val="006E2482"/>
    <w:rsid w:val="006E24F0"/>
    <w:rsid w:val="006E29C9"/>
    <w:rsid w:val="006E2C42"/>
    <w:rsid w:val="006E30B4"/>
    <w:rsid w:val="006E385B"/>
    <w:rsid w:val="006E38EF"/>
    <w:rsid w:val="006E3BD2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204"/>
    <w:rsid w:val="006F07CE"/>
    <w:rsid w:val="006F0E40"/>
    <w:rsid w:val="006F0E89"/>
    <w:rsid w:val="006F117D"/>
    <w:rsid w:val="006F11D6"/>
    <w:rsid w:val="006F1E7D"/>
    <w:rsid w:val="006F1F3A"/>
    <w:rsid w:val="006F205D"/>
    <w:rsid w:val="006F25CD"/>
    <w:rsid w:val="006F2E6D"/>
    <w:rsid w:val="006F2F8C"/>
    <w:rsid w:val="006F36A4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6A0"/>
    <w:rsid w:val="006F56BB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C29"/>
    <w:rsid w:val="00707E15"/>
    <w:rsid w:val="00707FBA"/>
    <w:rsid w:val="00710096"/>
    <w:rsid w:val="007101F1"/>
    <w:rsid w:val="0071047F"/>
    <w:rsid w:val="00710662"/>
    <w:rsid w:val="0071174C"/>
    <w:rsid w:val="00711777"/>
    <w:rsid w:val="00711963"/>
    <w:rsid w:val="00711A6F"/>
    <w:rsid w:val="00711BB1"/>
    <w:rsid w:val="00711E08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5E6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2624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1B08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97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5B8D"/>
    <w:rsid w:val="007463B1"/>
    <w:rsid w:val="007467D3"/>
    <w:rsid w:val="007467F6"/>
    <w:rsid w:val="007468D1"/>
    <w:rsid w:val="00746D0D"/>
    <w:rsid w:val="007470D5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5F0"/>
    <w:rsid w:val="00753749"/>
    <w:rsid w:val="007538D8"/>
    <w:rsid w:val="00753C74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2EC6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68CF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5ACD"/>
    <w:rsid w:val="0077603D"/>
    <w:rsid w:val="00776B21"/>
    <w:rsid w:val="00776FE5"/>
    <w:rsid w:val="007770A5"/>
    <w:rsid w:val="007779B3"/>
    <w:rsid w:val="0078006E"/>
    <w:rsid w:val="0078043E"/>
    <w:rsid w:val="00780C30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AC5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2DF6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64"/>
    <w:rsid w:val="00796597"/>
    <w:rsid w:val="00796884"/>
    <w:rsid w:val="00796EC3"/>
    <w:rsid w:val="00797091"/>
    <w:rsid w:val="00797445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5BA5"/>
    <w:rsid w:val="007A6171"/>
    <w:rsid w:val="007A632C"/>
    <w:rsid w:val="007A66A6"/>
    <w:rsid w:val="007A6B7A"/>
    <w:rsid w:val="007A6E96"/>
    <w:rsid w:val="007A7375"/>
    <w:rsid w:val="007A75F6"/>
    <w:rsid w:val="007A762A"/>
    <w:rsid w:val="007A78E9"/>
    <w:rsid w:val="007A79C8"/>
    <w:rsid w:val="007B0238"/>
    <w:rsid w:val="007B05A5"/>
    <w:rsid w:val="007B0C46"/>
    <w:rsid w:val="007B0DD4"/>
    <w:rsid w:val="007B1046"/>
    <w:rsid w:val="007B192B"/>
    <w:rsid w:val="007B196A"/>
    <w:rsid w:val="007B1996"/>
    <w:rsid w:val="007B1F45"/>
    <w:rsid w:val="007B1FCD"/>
    <w:rsid w:val="007B2390"/>
    <w:rsid w:val="007B245E"/>
    <w:rsid w:val="007B26A7"/>
    <w:rsid w:val="007B2710"/>
    <w:rsid w:val="007B2BCA"/>
    <w:rsid w:val="007B30E6"/>
    <w:rsid w:val="007B3DAE"/>
    <w:rsid w:val="007B40FD"/>
    <w:rsid w:val="007B4363"/>
    <w:rsid w:val="007B439A"/>
    <w:rsid w:val="007B442C"/>
    <w:rsid w:val="007B4E8B"/>
    <w:rsid w:val="007B4F8D"/>
    <w:rsid w:val="007B50E7"/>
    <w:rsid w:val="007B5778"/>
    <w:rsid w:val="007B5DB9"/>
    <w:rsid w:val="007B5FD1"/>
    <w:rsid w:val="007B6A2B"/>
    <w:rsid w:val="007B6B3C"/>
    <w:rsid w:val="007B6F11"/>
    <w:rsid w:val="007B7424"/>
    <w:rsid w:val="007B79A8"/>
    <w:rsid w:val="007B7E42"/>
    <w:rsid w:val="007C0218"/>
    <w:rsid w:val="007C0283"/>
    <w:rsid w:val="007C138B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58E"/>
    <w:rsid w:val="007D0912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49"/>
    <w:rsid w:val="007E09AC"/>
    <w:rsid w:val="007E0DAD"/>
    <w:rsid w:val="007E136D"/>
    <w:rsid w:val="007E18CD"/>
    <w:rsid w:val="007E1B17"/>
    <w:rsid w:val="007E2A04"/>
    <w:rsid w:val="007E2DBE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D60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5FA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357"/>
    <w:rsid w:val="0080652D"/>
    <w:rsid w:val="0080653A"/>
    <w:rsid w:val="00806A74"/>
    <w:rsid w:val="00806E9A"/>
    <w:rsid w:val="0080760C"/>
    <w:rsid w:val="008076CD"/>
    <w:rsid w:val="00807ADF"/>
    <w:rsid w:val="00807CDB"/>
    <w:rsid w:val="00807F59"/>
    <w:rsid w:val="00810167"/>
    <w:rsid w:val="0081105E"/>
    <w:rsid w:val="0081131D"/>
    <w:rsid w:val="008115CC"/>
    <w:rsid w:val="00811618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96"/>
    <w:rsid w:val="00821EBF"/>
    <w:rsid w:val="00822047"/>
    <w:rsid w:val="00822761"/>
    <w:rsid w:val="00822B38"/>
    <w:rsid w:val="00822BF3"/>
    <w:rsid w:val="00822E15"/>
    <w:rsid w:val="008230A7"/>
    <w:rsid w:val="00823A03"/>
    <w:rsid w:val="00823ABC"/>
    <w:rsid w:val="00823C20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040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5A41"/>
    <w:rsid w:val="008366F0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473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0FEF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4853"/>
    <w:rsid w:val="0086508C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2CB"/>
    <w:rsid w:val="00872A3F"/>
    <w:rsid w:val="008731A5"/>
    <w:rsid w:val="008747C4"/>
    <w:rsid w:val="0087499E"/>
    <w:rsid w:val="0087514E"/>
    <w:rsid w:val="008752BD"/>
    <w:rsid w:val="008754F8"/>
    <w:rsid w:val="008758A0"/>
    <w:rsid w:val="008758B7"/>
    <w:rsid w:val="008759BE"/>
    <w:rsid w:val="00875A89"/>
    <w:rsid w:val="00875BD0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574"/>
    <w:rsid w:val="0088398D"/>
    <w:rsid w:val="00883FA4"/>
    <w:rsid w:val="00884C96"/>
    <w:rsid w:val="00884D4C"/>
    <w:rsid w:val="00885468"/>
    <w:rsid w:val="00885BC4"/>
    <w:rsid w:val="00885C52"/>
    <w:rsid w:val="008862E4"/>
    <w:rsid w:val="0088640B"/>
    <w:rsid w:val="00887553"/>
    <w:rsid w:val="00887602"/>
    <w:rsid w:val="0088777C"/>
    <w:rsid w:val="00887A39"/>
    <w:rsid w:val="00887EE8"/>
    <w:rsid w:val="0089081A"/>
    <w:rsid w:val="00890842"/>
    <w:rsid w:val="00890E99"/>
    <w:rsid w:val="00891149"/>
    <w:rsid w:val="00891151"/>
    <w:rsid w:val="008913F5"/>
    <w:rsid w:val="00891435"/>
    <w:rsid w:val="0089288F"/>
    <w:rsid w:val="00892A13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2DC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60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D7BE9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93E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CC0"/>
    <w:rsid w:val="008F01BC"/>
    <w:rsid w:val="008F01F4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375"/>
    <w:rsid w:val="0090456E"/>
    <w:rsid w:val="00904925"/>
    <w:rsid w:val="009049C6"/>
    <w:rsid w:val="00904B1B"/>
    <w:rsid w:val="00904B6B"/>
    <w:rsid w:val="009050FA"/>
    <w:rsid w:val="00905148"/>
    <w:rsid w:val="00905378"/>
    <w:rsid w:val="0090554B"/>
    <w:rsid w:val="00905B99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16"/>
    <w:rsid w:val="00910EF6"/>
    <w:rsid w:val="00910FC1"/>
    <w:rsid w:val="00911E0D"/>
    <w:rsid w:val="0091273B"/>
    <w:rsid w:val="00912AB3"/>
    <w:rsid w:val="0091309C"/>
    <w:rsid w:val="009132DA"/>
    <w:rsid w:val="0091374E"/>
    <w:rsid w:val="0091377E"/>
    <w:rsid w:val="0091436A"/>
    <w:rsid w:val="009147A7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7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D8D"/>
    <w:rsid w:val="00934E4D"/>
    <w:rsid w:val="009350A0"/>
    <w:rsid w:val="0093545A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0F98"/>
    <w:rsid w:val="00941311"/>
    <w:rsid w:val="00941496"/>
    <w:rsid w:val="00941704"/>
    <w:rsid w:val="0094172C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B9F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51E"/>
    <w:rsid w:val="00945B8F"/>
    <w:rsid w:val="00945CFE"/>
    <w:rsid w:val="00946443"/>
    <w:rsid w:val="00946695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C5C"/>
    <w:rsid w:val="00952ED1"/>
    <w:rsid w:val="009534E9"/>
    <w:rsid w:val="009536BE"/>
    <w:rsid w:val="0095389B"/>
    <w:rsid w:val="00954A2E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1A1"/>
    <w:rsid w:val="0096646A"/>
    <w:rsid w:val="0096659E"/>
    <w:rsid w:val="00966960"/>
    <w:rsid w:val="00966D13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0E3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0D"/>
    <w:rsid w:val="009901B9"/>
    <w:rsid w:val="009905B4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C7B"/>
    <w:rsid w:val="00995E91"/>
    <w:rsid w:val="009962B7"/>
    <w:rsid w:val="00996B86"/>
    <w:rsid w:val="00996CB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528"/>
    <w:rsid w:val="009A2EB4"/>
    <w:rsid w:val="009A3640"/>
    <w:rsid w:val="009A392C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268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0EA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16B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62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02"/>
    <w:rsid w:val="009E3443"/>
    <w:rsid w:val="009E3573"/>
    <w:rsid w:val="009E371D"/>
    <w:rsid w:val="009E3B1C"/>
    <w:rsid w:val="009E3D65"/>
    <w:rsid w:val="009E472F"/>
    <w:rsid w:val="009E47E6"/>
    <w:rsid w:val="009E49E5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23"/>
    <w:rsid w:val="009F1568"/>
    <w:rsid w:val="009F17EA"/>
    <w:rsid w:val="009F1A8C"/>
    <w:rsid w:val="009F1A92"/>
    <w:rsid w:val="009F1AEA"/>
    <w:rsid w:val="009F1DA0"/>
    <w:rsid w:val="009F1DCA"/>
    <w:rsid w:val="009F1E6C"/>
    <w:rsid w:val="009F23AD"/>
    <w:rsid w:val="009F26BD"/>
    <w:rsid w:val="009F2754"/>
    <w:rsid w:val="009F2B47"/>
    <w:rsid w:val="009F2BAC"/>
    <w:rsid w:val="009F2FF9"/>
    <w:rsid w:val="009F3580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1A6E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30E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7EF"/>
    <w:rsid w:val="00A13B68"/>
    <w:rsid w:val="00A13F46"/>
    <w:rsid w:val="00A141C1"/>
    <w:rsid w:val="00A14409"/>
    <w:rsid w:val="00A14505"/>
    <w:rsid w:val="00A14766"/>
    <w:rsid w:val="00A14C7A"/>
    <w:rsid w:val="00A151A8"/>
    <w:rsid w:val="00A155DE"/>
    <w:rsid w:val="00A15828"/>
    <w:rsid w:val="00A15BED"/>
    <w:rsid w:val="00A16460"/>
    <w:rsid w:val="00A166E8"/>
    <w:rsid w:val="00A16C79"/>
    <w:rsid w:val="00A17014"/>
    <w:rsid w:val="00A179C7"/>
    <w:rsid w:val="00A17BE5"/>
    <w:rsid w:val="00A17C43"/>
    <w:rsid w:val="00A17C64"/>
    <w:rsid w:val="00A17E38"/>
    <w:rsid w:val="00A20246"/>
    <w:rsid w:val="00A207F8"/>
    <w:rsid w:val="00A20EDF"/>
    <w:rsid w:val="00A20EF5"/>
    <w:rsid w:val="00A216AA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27793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37322"/>
    <w:rsid w:val="00A40551"/>
    <w:rsid w:val="00A40748"/>
    <w:rsid w:val="00A4127D"/>
    <w:rsid w:val="00A41888"/>
    <w:rsid w:val="00A41A34"/>
    <w:rsid w:val="00A41C40"/>
    <w:rsid w:val="00A41CB3"/>
    <w:rsid w:val="00A426F4"/>
    <w:rsid w:val="00A42B0C"/>
    <w:rsid w:val="00A42CF4"/>
    <w:rsid w:val="00A42EE5"/>
    <w:rsid w:val="00A43082"/>
    <w:rsid w:val="00A430F8"/>
    <w:rsid w:val="00A431B5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40"/>
    <w:rsid w:val="00A47A0C"/>
    <w:rsid w:val="00A50062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5C0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0AAE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7A0"/>
    <w:rsid w:val="00A778F6"/>
    <w:rsid w:val="00A77BE2"/>
    <w:rsid w:val="00A800C5"/>
    <w:rsid w:val="00A801CF"/>
    <w:rsid w:val="00A80323"/>
    <w:rsid w:val="00A8081B"/>
    <w:rsid w:val="00A80AD8"/>
    <w:rsid w:val="00A80B27"/>
    <w:rsid w:val="00A80F08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407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31D6"/>
    <w:rsid w:val="00A940E3"/>
    <w:rsid w:val="00A9433D"/>
    <w:rsid w:val="00A94F9B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00A"/>
    <w:rsid w:val="00AA65C7"/>
    <w:rsid w:val="00AA6768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0FB9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13C2"/>
    <w:rsid w:val="00AC1F01"/>
    <w:rsid w:val="00AC1F0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839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AA3"/>
    <w:rsid w:val="00AD2C08"/>
    <w:rsid w:val="00AD3046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5E2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0CAC"/>
    <w:rsid w:val="00AE11F3"/>
    <w:rsid w:val="00AE163F"/>
    <w:rsid w:val="00AE1FE6"/>
    <w:rsid w:val="00AE2177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B98"/>
    <w:rsid w:val="00AE7F8A"/>
    <w:rsid w:val="00AF0A41"/>
    <w:rsid w:val="00AF0C4C"/>
    <w:rsid w:val="00AF0E62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B46"/>
    <w:rsid w:val="00AF5FC1"/>
    <w:rsid w:val="00AF610C"/>
    <w:rsid w:val="00AF6875"/>
    <w:rsid w:val="00AF6F0F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8D5"/>
    <w:rsid w:val="00B02983"/>
    <w:rsid w:val="00B02D85"/>
    <w:rsid w:val="00B035E6"/>
    <w:rsid w:val="00B03944"/>
    <w:rsid w:val="00B03CF4"/>
    <w:rsid w:val="00B0432E"/>
    <w:rsid w:val="00B044FD"/>
    <w:rsid w:val="00B046A3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1D24"/>
    <w:rsid w:val="00B12272"/>
    <w:rsid w:val="00B12448"/>
    <w:rsid w:val="00B1290E"/>
    <w:rsid w:val="00B1296F"/>
    <w:rsid w:val="00B12AF7"/>
    <w:rsid w:val="00B12D38"/>
    <w:rsid w:val="00B12E5B"/>
    <w:rsid w:val="00B12EBE"/>
    <w:rsid w:val="00B13874"/>
    <w:rsid w:val="00B138C5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C2"/>
    <w:rsid w:val="00B220EC"/>
    <w:rsid w:val="00B221FE"/>
    <w:rsid w:val="00B224E3"/>
    <w:rsid w:val="00B22A30"/>
    <w:rsid w:val="00B22CD1"/>
    <w:rsid w:val="00B22F86"/>
    <w:rsid w:val="00B22FBF"/>
    <w:rsid w:val="00B231C2"/>
    <w:rsid w:val="00B238ED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37C87"/>
    <w:rsid w:val="00B40F36"/>
    <w:rsid w:val="00B4141C"/>
    <w:rsid w:val="00B41D8D"/>
    <w:rsid w:val="00B42379"/>
    <w:rsid w:val="00B427D3"/>
    <w:rsid w:val="00B42A6D"/>
    <w:rsid w:val="00B42D87"/>
    <w:rsid w:val="00B42DF8"/>
    <w:rsid w:val="00B4302A"/>
    <w:rsid w:val="00B43814"/>
    <w:rsid w:val="00B43D3D"/>
    <w:rsid w:val="00B43F85"/>
    <w:rsid w:val="00B4489B"/>
    <w:rsid w:val="00B449BD"/>
    <w:rsid w:val="00B44C0C"/>
    <w:rsid w:val="00B44D87"/>
    <w:rsid w:val="00B45019"/>
    <w:rsid w:val="00B45615"/>
    <w:rsid w:val="00B456AA"/>
    <w:rsid w:val="00B45E1C"/>
    <w:rsid w:val="00B45F7A"/>
    <w:rsid w:val="00B463E7"/>
    <w:rsid w:val="00B46513"/>
    <w:rsid w:val="00B46588"/>
    <w:rsid w:val="00B465AD"/>
    <w:rsid w:val="00B4668C"/>
    <w:rsid w:val="00B46877"/>
    <w:rsid w:val="00B46D0F"/>
    <w:rsid w:val="00B4710D"/>
    <w:rsid w:val="00B476CE"/>
    <w:rsid w:val="00B47C7E"/>
    <w:rsid w:val="00B509F1"/>
    <w:rsid w:val="00B50A11"/>
    <w:rsid w:val="00B5124F"/>
    <w:rsid w:val="00B51608"/>
    <w:rsid w:val="00B51A14"/>
    <w:rsid w:val="00B51A9C"/>
    <w:rsid w:val="00B526CE"/>
    <w:rsid w:val="00B52A46"/>
    <w:rsid w:val="00B52B65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3AC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E49"/>
    <w:rsid w:val="00B73FEA"/>
    <w:rsid w:val="00B746D5"/>
    <w:rsid w:val="00B74B72"/>
    <w:rsid w:val="00B75A14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1A00"/>
    <w:rsid w:val="00B825AC"/>
    <w:rsid w:val="00B829B7"/>
    <w:rsid w:val="00B829B9"/>
    <w:rsid w:val="00B82CA8"/>
    <w:rsid w:val="00B8342C"/>
    <w:rsid w:val="00B835B4"/>
    <w:rsid w:val="00B8398C"/>
    <w:rsid w:val="00B84047"/>
    <w:rsid w:val="00B84177"/>
    <w:rsid w:val="00B857C5"/>
    <w:rsid w:val="00B85994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1CC"/>
    <w:rsid w:val="00B92321"/>
    <w:rsid w:val="00B923BB"/>
    <w:rsid w:val="00B92614"/>
    <w:rsid w:val="00B92674"/>
    <w:rsid w:val="00B92D46"/>
    <w:rsid w:val="00B92E15"/>
    <w:rsid w:val="00B92F38"/>
    <w:rsid w:val="00B930E3"/>
    <w:rsid w:val="00B93334"/>
    <w:rsid w:val="00B9354F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8B9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743"/>
    <w:rsid w:val="00BB085E"/>
    <w:rsid w:val="00BB1010"/>
    <w:rsid w:val="00BB10E5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DBD"/>
    <w:rsid w:val="00BB2E01"/>
    <w:rsid w:val="00BB2F5F"/>
    <w:rsid w:val="00BB34D9"/>
    <w:rsid w:val="00BB36F4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345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770"/>
    <w:rsid w:val="00BC499F"/>
    <w:rsid w:val="00BC4A9F"/>
    <w:rsid w:val="00BC4B1E"/>
    <w:rsid w:val="00BC512A"/>
    <w:rsid w:val="00BC51F0"/>
    <w:rsid w:val="00BC6490"/>
    <w:rsid w:val="00BC677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555"/>
    <w:rsid w:val="00BD3F3C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7A1"/>
    <w:rsid w:val="00BE0B54"/>
    <w:rsid w:val="00BE0CB0"/>
    <w:rsid w:val="00BE0CBF"/>
    <w:rsid w:val="00BE1365"/>
    <w:rsid w:val="00BE1474"/>
    <w:rsid w:val="00BE14A7"/>
    <w:rsid w:val="00BE1561"/>
    <w:rsid w:val="00BE1B6C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8D0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74E"/>
    <w:rsid w:val="00BF5B1D"/>
    <w:rsid w:val="00BF5C73"/>
    <w:rsid w:val="00BF6207"/>
    <w:rsid w:val="00BF69A3"/>
    <w:rsid w:val="00BF6A09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23"/>
    <w:rsid w:val="00C044F9"/>
    <w:rsid w:val="00C04824"/>
    <w:rsid w:val="00C0488A"/>
    <w:rsid w:val="00C04955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132"/>
    <w:rsid w:val="00C21E8B"/>
    <w:rsid w:val="00C21F4D"/>
    <w:rsid w:val="00C21F66"/>
    <w:rsid w:val="00C22187"/>
    <w:rsid w:val="00C2237A"/>
    <w:rsid w:val="00C22B86"/>
    <w:rsid w:val="00C22D9D"/>
    <w:rsid w:val="00C23177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280"/>
    <w:rsid w:val="00C2763C"/>
    <w:rsid w:val="00C27C81"/>
    <w:rsid w:val="00C27DCB"/>
    <w:rsid w:val="00C305CB"/>
    <w:rsid w:val="00C30AAF"/>
    <w:rsid w:val="00C30BEC"/>
    <w:rsid w:val="00C30CB5"/>
    <w:rsid w:val="00C30E0E"/>
    <w:rsid w:val="00C310FA"/>
    <w:rsid w:val="00C3161C"/>
    <w:rsid w:val="00C3177D"/>
    <w:rsid w:val="00C3195A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3DC5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2D9"/>
    <w:rsid w:val="00C42985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FB5"/>
    <w:rsid w:val="00C540DD"/>
    <w:rsid w:val="00C5454A"/>
    <w:rsid w:val="00C54557"/>
    <w:rsid w:val="00C549BE"/>
    <w:rsid w:val="00C55236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92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00"/>
    <w:rsid w:val="00C7281B"/>
    <w:rsid w:val="00C72B96"/>
    <w:rsid w:val="00C72C73"/>
    <w:rsid w:val="00C72E44"/>
    <w:rsid w:val="00C72F6A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E8C"/>
    <w:rsid w:val="00C83F28"/>
    <w:rsid w:val="00C84087"/>
    <w:rsid w:val="00C84449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3E2"/>
    <w:rsid w:val="00C87444"/>
    <w:rsid w:val="00C87C4A"/>
    <w:rsid w:val="00C87E80"/>
    <w:rsid w:val="00C9016F"/>
    <w:rsid w:val="00C906AE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38"/>
    <w:rsid w:val="00C92DD8"/>
    <w:rsid w:val="00C93308"/>
    <w:rsid w:val="00C936EA"/>
    <w:rsid w:val="00C941A5"/>
    <w:rsid w:val="00C9443C"/>
    <w:rsid w:val="00C94A8D"/>
    <w:rsid w:val="00C95048"/>
    <w:rsid w:val="00C95088"/>
    <w:rsid w:val="00C95620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03C"/>
    <w:rsid w:val="00CA125F"/>
    <w:rsid w:val="00CA15F4"/>
    <w:rsid w:val="00CA1C1A"/>
    <w:rsid w:val="00CA1F47"/>
    <w:rsid w:val="00CA2247"/>
    <w:rsid w:val="00CA273C"/>
    <w:rsid w:val="00CA2D43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179"/>
    <w:rsid w:val="00CC0C7B"/>
    <w:rsid w:val="00CC0C9C"/>
    <w:rsid w:val="00CC0E52"/>
    <w:rsid w:val="00CC1229"/>
    <w:rsid w:val="00CC127F"/>
    <w:rsid w:val="00CC1A2D"/>
    <w:rsid w:val="00CC1A67"/>
    <w:rsid w:val="00CC1B1B"/>
    <w:rsid w:val="00CC28A5"/>
    <w:rsid w:val="00CC2EFF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2AC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1F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14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5EA7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635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07F82"/>
    <w:rsid w:val="00D10524"/>
    <w:rsid w:val="00D10532"/>
    <w:rsid w:val="00D106A6"/>
    <w:rsid w:val="00D10945"/>
    <w:rsid w:val="00D10EC8"/>
    <w:rsid w:val="00D11343"/>
    <w:rsid w:val="00D11516"/>
    <w:rsid w:val="00D11C0E"/>
    <w:rsid w:val="00D11EB4"/>
    <w:rsid w:val="00D126E5"/>
    <w:rsid w:val="00D12A3C"/>
    <w:rsid w:val="00D1311B"/>
    <w:rsid w:val="00D13235"/>
    <w:rsid w:val="00D144E4"/>
    <w:rsid w:val="00D14609"/>
    <w:rsid w:val="00D14863"/>
    <w:rsid w:val="00D14ACC"/>
    <w:rsid w:val="00D15A4E"/>
    <w:rsid w:val="00D15B38"/>
    <w:rsid w:val="00D15DD9"/>
    <w:rsid w:val="00D15EE6"/>
    <w:rsid w:val="00D16519"/>
    <w:rsid w:val="00D165CA"/>
    <w:rsid w:val="00D166C3"/>
    <w:rsid w:val="00D16C4E"/>
    <w:rsid w:val="00D17110"/>
    <w:rsid w:val="00D17231"/>
    <w:rsid w:val="00D17365"/>
    <w:rsid w:val="00D17667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214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582"/>
    <w:rsid w:val="00D368EF"/>
    <w:rsid w:val="00D36A2D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60D"/>
    <w:rsid w:val="00D46ACA"/>
    <w:rsid w:val="00D47787"/>
    <w:rsid w:val="00D47AF0"/>
    <w:rsid w:val="00D47B8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722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5DDE"/>
    <w:rsid w:val="00D567E7"/>
    <w:rsid w:val="00D5686C"/>
    <w:rsid w:val="00D57BD3"/>
    <w:rsid w:val="00D57C77"/>
    <w:rsid w:val="00D57C8E"/>
    <w:rsid w:val="00D57F09"/>
    <w:rsid w:val="00D60000"/>
    <w:rsid w:val="00D600AA"/>
    <w:rsid w:val="00D60577"/>
    <w:rsid w:val="00D611E1"/>
    <w:rsid w:val="00D613B1"/>
    <w:rsid w:val="00D61CB3"/>
    <w:rsid w:val="00D622C1"/>
    <w:rsid w:val="00D6244F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7DE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6ACF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58E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A13"/>
    <w:rsid w:val="00D87B96"/>
    <w:rsid w:val="00D87F34"/>
    <w:rsid w:val="00D9066D"/>
    <w:rsid w:val="00D9093F"/>
    <w:rsid w:val="00D911D9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35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BC3"/>
    <w:rsid w:val="00D95DBF"/>
    <w:rsid w:val="00D95ED1"/>
    <w:rsid w:val="00D95F4D"/>
    <w:rsid w:val="00D963F8"/>
    <w:rsid w:val="00D96439"/>
    <w:rsid w:val="00D97736"/>
    <w:rsid w:val="00D977F3"/>
    <w:rsid w:val="00D979E1"/>
    <w:rsid w:val="00DA088D"/>
    <w:rsid w:val="00DA0C22"/>
    <w:rsid w:val="00DA0C66"/>
    <w:rsid w:val="00DA1035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381"/>
    <w:rsid w:val="00DB0443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2A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8FC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1A1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8B6"/>
    <w:rsid w:val="00DD691D"/>
    <w:rsid w:val="00DD6A11"/>
    <w:rsid w:val="00DD6CAF"/>
    <w:rsid w:val="00DD716D"/>
    <w:rsid w:val="00DD7331"/>
    <w:rsid w:val="00DD748B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B3B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14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A99"/>
    <w:rsid w:val="00DF1B57"/>
    <w:rsid w:val="00DF24F0"/>
    <w:rsid w:val="00DF2EBD"/>
    <w:rsid w:val="00DF36DD"/>
    <w:rsid w:val="00DF3E1B"/>
    <w:rsid w:val="00DF4609"/>
    <w:rsid w:val="00DF4824"/>
    <w:rsid w:val="00DF4839"/>
    <w:rsid w:val="00DF4A30"/>
    <w:rsid w:val="00DF56D2"/>
    <w:rsid w:val="00DF5A76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261E"/>
    <w:rsid w:val="00E03AA4"/>
    <w:rsid w:val="00E03E90"/>
    <w:rsid w:val="00E03FEB"/>
    <w:rsid w:val="00E04132"/>
    <w:rsid w:val="00E0445B"/>
    <w:rsid w:val="00E04660"/>
    <w:rsid w:val="00E04768"/>
    <w:rsid w:val="00E0496C"/>
    <w:rsid w:val="00E049BE"/>
    <w:rsid w:val="00E04BC2"/>
    <w:rsid w:val="00E04DD9"/>
    <w:rsid w:val="00E04F39"/>
    <w:rsid w:val="00E04F6A"/>
    <w:rsid w:val="00E05958"/>
    <w:rsid w:val="00E05D6D"/>
    <w:rsid w:val="00E060F3"/>
    <w:rsid w:val="00E06E57"/>
    <w:rsid w:val="00E06FAD"/>
    <w:rsid w:val="00E07BB9"/>
    <w:rsid w:val="00E07D78"/>
    <w:rsid w:val="00E07E8D"/>
    <w:rsid w:val="00E07F64"/>
    <w:rsid w:val="00E10670"/>
    <w:rsid w:val="00E10F33"/>
    <w:rsid w:val="00E11342"/>
    <w:rsid w:val="00E11ABA"/>
    <w:rsid w:val="00E125B4"/>
    <w:rsid w:val="00E1264B"/>
    <w:rsid w:val="00E12BFA"/>
    <w:rsid w:val="00E12EA2"/>
    <w:rsid w:val="00E133A0"/>
    <w:rsid w:val="00E133A8"/>
    <w:rsid w:val="00E13702"/>
    <w:rsid w:val="00E138E1"/>
    <w:rsid w:val="00E13B5F"/>
    <w:rsid w:val="00E13CA5"/>
    <w:rsid w:val="00E13DE5"/>
    <w:rsid w:val="00E14225"/>
    <w:rsid w:val="00E1430F"/>
    <w:rsid w:val="00E14851"/>
    <w:rsid w:val="00E15244"/>
    <w:rsid w:val="00E154A6"/>
    <w:rsid w:val="00E15D01"/>
    <w:rsid w:val="00E15E04"/>
    <w:rsid w:val="00E163B5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B1A"/>
    <w:rsid w:val="00E24C78"/>
    <w:rsid w:val="00E253B1"/>
    <w:rsid w:val="00E262E1"/>
    <w:rsid w:val="00E2643A"/>
    <w:rsid w:val="00E265DB"/>
    <w:rsid w:val="00E26A76"/>
    <w:rsid w:val="00E26BBD"/>
    <w:rsid w:val="00E26BF0"/>
    <w:rsid w:val="00E27309"/>
    <w:rsid w:val="00E278A9"/>
    <w:rsid w:val="00E27EF4"/>
    <w:rsid w:val="00E301BF"/>
    <w:rsid w:val="00E30355"/>
    <w:rsid w:val="00E309A5"/>
    <w:rsid w:val="00E30A8C"/>
    <w:rsid w:val="00E30C01"/>
    <w:rsid w:val="00E31171"/>
    <w:rsid w:val="00E31396"/>
    <w:rsid w:val="00E31A03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B0D"/>
    <w:rsid w:val="00E44D54"/>
    <w:rsid w:val="00E4502F"/>
    <w:rsid w:val="00E450E9"/>
    <w:rsid w:val="00E4574E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7E1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C83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915"/>
    <w:rsid w:val="00E92E55"/>
    <w:rsid w:val="00E92F92"/>
    <w:rsid w:val="00E933BA"/>
    <w:rsid w:val="00E936BF"/>
    <w:rsid w:val="00E93A6A"/>
    <w:rsid w:val="00E93D64"/>
    <w:rsid w:val="00E93F6D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5D13"/>
    <w:rsid w:val="00E9679A"/>
    <w:rsid w:val="00E96DC7"/>
    <w:rsid w:val="00E97502"/>
    <w:rsid w:val="00E976E3"/>
    <w:rsid w:val="00E977D0"/>
    <w:rsid w:val="00E979CB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9AA"/>
    <w:rsid w:val="00EA3B95"/>
    <w:rsid w:val="00EA4025"/>
    <w:rsid w:val="00EA47E1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69B"/>
    <w:rsid w:val="00EA695B"/>
    <w:rsid w:val="00EA6EDE"/>
    <w:rsid w:val="00EA6FB2"/>
    <w:rsid w:val="00EA7125"/>
    <w:rsid w:val="00EA717E"/>
    <w:rsid w:val="00EA7262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1D2A"/>
    <w:rsid w:val="00EB21D5"/>
    <w:rsid w:val="00EB24D8"/>
    <w:rsid w:val="00EB25F6"/>
    <w:rsid w:val="00EB2689"/>
    <w:rsid w:val="00EB3453"/>
    <w:rsid w:val="00EB34BC"/>
    <w:rsid w:val="00EB34F9"/>
    <w:rsid w:val="00EB3B8A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03C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889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6C4A"/>
    <w:rsid w:val="00F0722E"/>
    <w:rsid w:val="00F07498"/>
    <w:rsid w:val="00F07530"/>
    <w:rsid w:val="00F07695"/>
    <w:rsid w:val="00F07881"/>
    <w:rsid w:val="00F07C9D"/>
    <w:rsid w:val="00F07DDF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17FAA"/>
    <w:rsid w:val="00F2026D"/>
    <w:rsid w:val="00F202E6"/>
    <w:rsid w:val="00F205E6"/>
    <w:rsid w:val="00F20C22"/>
    <w:rsid w:val="00F20FD7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2B1"/>
    <w:rsid w:val="00F36F19"/>
    <w:rsid w:val="00F3712E"/>
    <w:rsid w:val="00F374A4"/>
    <w:rsid w:val="00F3793D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6FCC"/>
    <w:rsid w:val="00F4743A"/>
    <w:rsid w:val="00F4746B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D4E"/>
    <w:rsid w:val="00F52E89"/>
    <w:rsid w:val="00F535A7"/>
    <w:rsid w:val="00F53618"/>
    <w:rsid w:val="00F54401"/>
    <w:rsid w:val="00F54E40"/>
    <w:rsid w:val="00F5536E"/>
    <w:rsid w:val="00F55AA4"/>
    <w:rsid w:val="00F55CA8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1EEB"/>
    <w:rsid w:val="00F620AA"/>
    <w:rsid w:val="00F6238E"/>
    <w:rsid w:val="00F628B5"/>
    <w:rsid w:val="00F628CB"/>
    <w:rsid w:val="00F62ABA"/>
    <w:rsid w:val="00F62B2B"/>
    <w:rsid w:val="00F62F2D"/>
    <w:rsid w:val="00F63276"/>
    <w:rsid w:val="00F63445"/>
    <w:rsid w:val="00F63AA7"/>
    <w:rsid w:val="00F63C85"/>
    <w:rsid w:val="00F63D7E"/>
    <w:rsid w:val="00F63D9F"/>
    <w:rsid w:val="00F64DE7"/>
    <w:rsid w:val="00F661DB"/>
    <w:rsid w:val="00F66418"/>
    <w:rsid w:val="00F66740"/>
    <w:rsid w:val="00F6693F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2AA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408"/>
    <w:rsid w:val="00F76686"/>
    <w:rsid w:val="00F7676A"/>
    <w:rsid w:val="00F768C4"/>
    <w:rsid w:val="00F76BD3"/>
    <w:rsid w:val="00F76C95"/>
    <w:rsid w:val="00F76F13"/>
    <w:rsid w:val="00F7701E"/>
    <w:rsid w:val="00F7710B"/>
    <w:rsid w:val="00F7731A"/>
    <w:rsid w:val="00F779F3"/>
    <w:rsid w:val="00F77A16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6D9"/>
    <w:rsid w:val="00F91B95"/>
    <w:rsid w:val="00F91CD0"/>
    <w:rsid w:val="00F91D7C"/>
    <w:rsid w:val="00F9212B"/>
    <w:rsid w:val="00F922C4"/>
    <w:rsid w:val="00F92376"/>
    <w:rsid w:val="00F92475"/>
    <w:rsid w:val="00F92666"/>
    <w:rsid w:val="00F9268B"/>
    <w:rsid w:val="00F92730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DD5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29B7"/>
    <w:rsid w:val="00FA3171"/>
    <w:rsid w:val="00FA39B4"/>
    <w:rsid w:val="00FA3C6D"/>
    <w:rsid w:val="00FA48AE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B9A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9F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17B"/>
    <w:rsid w:val="00FC520C"/>
    <w:rsid w:val="00FC59E6"/>
    <w:rsid w:val="00FC5BAA"/>
    <w:rsid w:val="00FC5E61"/>
    <w:rsid w:val="00FC5EF9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02F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2B"/>
    <w:rsid w:val="00FE57E2"/>
    <w:rsid w:val="00FE5951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7B6"/>
    <w:rsid w:val="00FF7BAF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063D"/>
  <w15:docId w15:val="{8C9C5F19-EBEA-43FC-91F2-CF336152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BB"/>
    <w:pPr>
      <w:spacing w:before="120"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BAF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B42DF8"/>
    <w:pPr>
      <w:tabs>
        <w:tab w:val="right" w:pos="1021"/>
      </w:tabs>
      <w:spacing w:before="180"/>
      <w:ind w:left="1134" w:hanging="1134"/>
    </w:pPr>
    <w:rPr>
      <w:lang w:eastAsia="en-AU"/>
    </w:rPr>
  </w:style>
  <w:style w:type="paragraph" w:customStyle="1" w:styleId="paragraph">
    <w:name w:val="paragraph"/>
    <w:aliases w:val="a"/>
    <w:basedOn w:val="Normal"/>
    <w:rsid w:val="00B42DF8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02DC"/>
    <w:pPr>
      <w:keepNext/>
      <w:spacing w:before="60" w:line="240" w:lineRule="atLeast"/>
    </w:pPr>
    <w:rPr>
      <w:b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02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1E"/>
    <w:pPr>
      <w:spacing w:line="260" w:lineRule="atLeast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1E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E0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407"/>
    <w:pPr>
      <w:spacing w:line="240" w:lineRule="auto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40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9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E24B1A"/>
    <w:rPr>
      <w:rFonts w:ascii="Arial" w:hAnsi="Arial"/>
      <w:sz w:val="16"/>
      <w:szCs w:val="16"/>
    </w:rPr>
  </w:style>
  <w:style w:type="character" w:customStyle="1" w:styleId="subsectionChar">
    <w:name w:val="subsection Char"/>
    <w:aliases w:val="ss Char"/>
    <w:link w:val="subsection"/>
    <w:locked/>
    <w:rsid w:val="00CE7C1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043C32"/>
    <w:pPr>
      <w:keepLines/>
      <w:tabs>
        <w:tab w:val="left" w:pos="1304"/>
      </w:tabs>
      <w:autoSpaceDE w:val="0"/>
      <w:autoSpaceDN w:val="0"/>
      <w:ind w:left="181" w:hanging="181"/>
    </w:pPr>
    <w:rPr>
      <w:i/>
      <w:iCs/>
      <w:sz w:val="26"/>
      <w:szCs w:val="26"/>
      <w:lang w:eastAsia="en-AU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043C32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paragraph" w:customStyle="1" w:styleId="Item">
    <w:name w:val="Item"/>
    <w:aliases w:val="i"/>
    <w:basedOn w:val="Normal"/>
    <w:next w:val="Normal"/>
    <w:rsid w:val="00B44C0C"/>
    <w:pPr>
      <w:keepLines/>
      <w:spacing w:before="80"/>
      <w:ind w:left="709"/>
    </w:pPr>
    <w:rPr>
      <w:lang w:eastAsia="en-AU"/>
    </w:rPr>
  </w:style>
  <w:style w:type="numbering" w:customStyle="1" w:styleId="KeyPoints">
    <w:name w:val="Key Points"/>
    <w:basedOn w:val="NoList"/>
    <w:uiPriority w:val="99"/>
    <w:rsid w:val="000279BB"/>
    <w:pPr>
      <w:numPr>
        <w:numId w:val="19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0279BB"/>
    <w:pPr>
      <w:numPr>
        <w:numId w:val="20"/>
      </w:numPr>
      <w:spacing w:after="200"/>
    </w:pPr>
    <w:rPr>
      <w:sz w:val="24"/>
      <w:lang w:eastAsia="en-AU"/>
    </w:rPr>
  </w:style>
  <w:style w:type="character" w:customStyle="1" w:styleId="1NumberPointsStyleChar">
    <w:name w:val="1. Number Points Style Char"/>
    <w:link w:val="1NumberPointsStyle"/>
    <w:rsid w:val="000279BB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7A62C-8A0A-493F-AFDE-2FDE6E95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Adrian</dc:creator>
  <cp:lastModifiedBy>Fearn, Paula</cp:lastModifiedBy>
  <cp:revision>10</cp:revision>
  <cp:lastPrinted>2021-06-02T05:26:00Z</cp:lastPrinted>
  <dcterms:created xsi:type="dcterms:W3CDTF">2021-06-02T05:10:00Z</dcterms:created>
  <dcterms:modified xsi:type="dcterms:W3CDTF">2021-06-03T00:46:00Z</dcterms:modified>
</cp:coreProperties>
</file>