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393FA8" w:rsidRDefault="00FA6784" w:rsidP="00FA6784">
      <w:pPr>
        <w:pStyle w:val="H3"/>
        <w:jc w:val="center"/>
        <w:rPr>
          <w:sz w:val="24"/>
          <w:szCs w:val="24"/>
        </w:rPr>
      </w:pPr>
      <w:r w:rsidRPr="00393FA8">
        <w:rPr>
          <w:sz w:val="24"/>
          <w:szCs w:val="24"/>
        </w:rPr>
        <w:t>EXPLANATORY STATEMENT</w:t>
      </w:r>
    </w:p>
    <w:p w14:paraId="2412D120" w14:textId="77777777" w:rsidR="00FA6784" w:rsidRPr="00393FA8" w:rsidRDefault="00FA6784" w:rsidP="00FA6784">
      <w:pPr>
        <w:jc w:val="center"/>
        <w:rPr>
          <w:sz w:val="22"/>
          <w:szCs w:val="22"/>
        </w:rPr>
      </w:pPr>
    </w:p>
    <w:p w14:paraId="2412D123" w14:textId="77777777" w:rsidR="00FA6784" w:rsidRPr="00393FA8" w:rsidRDefault="00FA6784" w:rsidP="00FA6784">
      <w:pPr>
        <w:jc w:val="center"/>
        <w:rPr>
          <w:i/>
          <w:iCs/>
        </w:rPr>
      </w:pPr>
      <w:r w:rsidRPr="00393FA8">
        <w:rPr>
          <w:i/>
          <w:iCs/>
        </w:rPr>
        <w:t>Health Insurance Act 1973</w:t>
      </w:r>
    </w:p>
    <w:p w14:paraId="2412D124" w14:textId="77777777" w:rsidR="00A1739A" w:rsidRPr="00393FA8" w:rsidRDefault="00A1739A" w:rsidP="00A1739A">
      <w:pPr>
        <w:rPr>
          <w:szCs w:val="24"/>
          <w:u w:val="single"/>
        </w:rPr>
      </w:pPr>
    </w:p>
    <w:p w14:paraId="052E97C1" w14:textId="30941FF1" w:rsidR="00164A69" w:rsidRPr="00393FA8" w:rsidRDefault="00BF51E9" w:rsidP="00BF51E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r w:rsidRPr="00393FA8">
        <w:rPr>
          <w:i/>
          <w:szCs w:val="24"/>
        </w:rPr>
        <w:t>Health Insurance (Section 3C General Medical Services – General Practice Attendance for Assessing Patient Suitability for a COVID-19 Vaccine) Amendment Determination 2021</w:t>
      </w:r>
    </w:p>
    <w:p w14:paraId="3171799C" w14:textId="77777777" w:rsidR="00BF51E9" w:rsidRPr="00393FA8" w:rsidRDefault="00BF51E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36608F98" w:rsidR="00164A69" w:rsidRPr="00393FA8"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393FA8">
        <w:rPr>
          <w:color w:val="000000"/>
          <w:shd w:val="clear" w:color="auto" w:fill="FFFFFF"/>
        </w:rPr>
        <w:t xml:space="preserve">Subsection 3C(1) of the </w:t>
      </w:r>
      <w:r w:rsidRPr="00393FA8">
        <w:rPr>
          <w:i/>
          <w:color w:val="000000"/>
          <w:shd w:val="clear" w:color="auto" w:fill="FFFFFF"/>
        </w:rPr>
        <w:t>Health Insurance Act 1973</w:t>
      </w:r>
      <w:r w:rsidRPr="00393FA8">
        <w:rPr>
          <w:color w:val="000000"/>
          <w:shd w:val="clear" w:color="auto" w:fill="FFFFFF"/>
        </w:rPr>
        <w:t xml:space="preserve"> (the Act) </w:t>
      </w:r>
      <w:r w:rsidR="00477C74" w:rsidRPr="00393FA8">
        <w:rPr>
          <w:color w:val="000000"/>
          <w:shd w:val="clear" w:color="auto" w:fill="FFFFFF"/>
        </w:rPr>
        <w:t>provide</w:t>
      </w:r>
      <w:r w:rsidR="002E5708" w:rsidRPr="00393FA8">
        <w:rPr>
          <w:color w:val="000000"/>
          <w:shd w:val="clear" w:color="auto" w:fill="FFFFFF"/>
        </w:rPr>
        <w:t>s</w:t>
      </w:r>
      <w:r w:rsidR="00477C74" w:rsidRPr="00393FA8">
        <w:rPr>
          <w:color w:val="000000"/>
          <w:shd w:val="clear" w:color="auto" w:fill="FFFFFF"/>
        </w:rPr>
        <w:t xml:space="preserve"> that</w:t>
      </w:r>
      <w:r w:rsidRPr="00393FA8">
        <w:rPr>
          <w:color w:val="000000"/>
          <w:shd w:val="clear" w:color="auto" w:fill="FFFFFF"/>
        </w:rPr>
        <w:t xml:space="preserve"> the Minister </w:t>
      </w:r>
      <w:r w:rsidR="00477C74" w:rsidRPr="00393FA8">
        <w:rPr>
          <w:color w:val="000000"/>
          <w:shd w:val="clear" w:color="auto" w:fill="FFFFFF"/>
        </w:rPr>
        <w:t>may</w:t>
      </w:r>
      <w:r w:rsidRPr="00393FA8">
        <w:rPr>
          <w:color w:val="000000"/>
          <w:shd w:val="clear" w:color="auto" w:fill="FFFFFF"/>
        </w:rPr>
        <w:t xml:space="preserve">, by legislative instrument, determine that a health service not specified in an item in the </w:t>
      </w:r>
      <w:r w:rsidR="003A592E" w:rsidRPr="00393FA8">
        <w:rPr>
          <w:color w:val="000000"/>
          <w:shd w:val="clear" w:color="auto" w:fill="FFFFFF"/>
        </w:rPr>
        <w:t>general medical services table</w:t>
      </w:r>
      <w:r w:rsidRPr="00393FA8">
        <w:rPr>
          <w:color w:val="000000"/>
          <w:shd w:val="clear" w:color="auto" w:fill="FFFFFF"/>
        </w:rPr>
        <w:t xml:space="preserve"> </w:t>
      </w:r>
      <w:r w:rsidR="00D01D5A" w:rsidRPr="00393FA8">
        <w:rPr>
          <w:color w:val="000000"/>
          <w:shd w:val="clear" w:color="auto" w:fill="FFFFFF"/>
        </w:rPr>
        <w:t xml:space="preserve">(the Table) </w:t>
      </w:r>
      <w:r w:rsidRPr="00393FA8">
        <w:rPr>
          <w:color w:val="000000"/>
          <w:shd w:val="clear" w:color="auto" w:fill="FFFFFF"/>
        </w:rPr>
        <w:t xml:space="preserve">shall, in specified circumstances and for specified statutory provisions, be treated as if it were specified in the </w:t>
      </w:r>
      <w:r w:rsidR="00D01D5A" w:rsidRPr="00393FA8">
        <w:rPr>
          <w:color w:val="000000"/>
          <w:shd w:val="clear" w:color="auto" w:fill="FFFFFF"/>
        </w:rPr>
        <w:t>Table.</w:t>
      </w:r>
      <w:r w:rsidR="006226B2" w:rsidRPr="00393FA8">
        <w:rPr>
          <w:color w:val="000000"/>
          <w:shd w:val="clear" w:color="auto" w:fill="FFFFFF"/>
        </w:rPr>
        <w:t xml:space="preserve"> </w:t>
      </w:r>
      <w:r w:rsidR="00D01D5A" w:rsidRPr="00393FA8">
        <w:rPr>
          <w:color w:val="000000"/>
          <w:shd w:val="clear" w:color="auto" w:fill="FFFFFF"/>
        </w:rPr>
        <w:t xml:space="preserve"> </w:t>
      </w:r>
      <w:r w:rsidRPr="00393FA8">
        <w:rPr>
          <w:color w:val="FF0000"/>
          <w:shd w:val="clear" w:color="auto" w:fill="FFFFFF"/>
        </w:rPr>
        <w:t xml:space="preserve">  </w:t>
      </w:r>
    </w:p>
    <w:p w14:paraId="7DB18649" w14:textId="77777777" w:rsidR="00841EDA" w:rsidRPr="00393FA8"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1A457EA6" w14:textId="27A7CEFC" w:rsidR="008363E3" w:rsidRPr="00393FA8" w:rsidRDefault="00050623" w:rsidP="008363E3">
      <w:pPr>
        <w:rPr>
          <w:szCs w:val="24"/>
        </w:rPr>
      </w:pPr>
      <w:r w:rsidRPr="00393FA8">
        <w:t xml:space="preserve">The </w:t>
      </w:r>
      <w:r w:rsidR="00D01D5A" w:rsidRPr="00393FA8">
        <w:t>Table</w:t>
      </w:r>
      <w:r w:rsidRPr="00393FA8">
        <w:t xml:space="preserve"> is set out in the regulations made under subsection 4</w:t>
      </w:r>
      <w:r w:rsidR="003A592E" w:rsidRPr="00393FA8">
        <w:t>(1)</w:t>
      </w:r>
      <w:r w:rsidRPr="00393FA8">
        <w:t xml:space="preserve"> of the Act.  The most recent version of the regulations i</w:t>
      </w:r>
      <w:r w:rsidRPr="00393FA8">
        <w:rPr>
          <w:color w:val="000000" w:themeColor="text1"/>
        </w:rPr>
        <w:t xml:space="preserve">s the </w:t>
      </w:r>
      <w:r w:rsidR="00711428" w:rsidRPr="00393FA8">
        <w:rPr>
          <w:i/>
          <w:color w:val="000000" w:themeColor="text1"/>
        </w:rPr>
        <w:t>Health Insurance (General Medical Services Table) Regulations (No. 2) 2020</w:t>
      </w:r>
      <w:r w:rsidR="00D01D5A" w:rsidRPr="00393FA8">
        <w:rPr>
          <w:color w:val="000000" w:themeColor="text1"/>
        </w:rPr>
        <w:t>.</w:t>
      </w:r>
      <w:r w:rsidRPr="00393FA8">
        <w:rPr>
          <w:color w:val="000000" w:themeColor="text1"/>
        </w:rPr>
        <w:t xml:space="preserve"> </w:t>
      </w:r>
    </w:p>
    <w:p w14:paraId="2E6FE463" w14:textId="77777777" w:rsidR="00050623" w:rsidRPr="00393FA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393FA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393FA8">
        <w:t xml:space="preserve">This instrument relies on subsection 33(3) of the </w:t>
      </w:r>
      <w:r w:rsidRPr="00393FA8">
        <w:rPr>
          <w:i/>
        </w:rPr>
        <w:t>Acts Interpretation Act 1901</w:t>
      </w:r>
      <w:r w:rsidRPr="00393FA8">
        <w:t xml:space="preserve"> (AIA).  Subsection 33(3) of the AIA</w:t>
      </w:r>
      <w:r w:rsidRPr="00393FA8">
        <w:rPr>
          <w:i/>
        </w:rPr>
        <w:t xml:space="preserve"> </w:t>
      </w:r>
      <w:r w:rsidRPr="00393FA8">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393FA8" w:rsidRDefault="008C5F1C" w:rsidP="00D33180">
      <w:pPr>
        <w:autoSpaceDE w:val="0"/>
        <w:autoSpaceDN w:val="0"/>
        <w:adjustRightInd w:val="0"/>
        <w:ind w:right="-483"/>
        <w:rPr>
          <w:szCs w:val="24"/>
        </w:rPr>
      </w:pPr>
    </w:p>
    <w:p w14:paraId="2412D12A" w14:textId="77777777" w:rsidR="00BB00BA" w:rsidRPr="00393FA8" w:rsidRDefault="00A1739A" w:rsidP="00BB00BA">
      <w:pPr>
        <w:rPr>
          <w:b/>
          <w:szCs w:val="24"/>
          <w:lang w:val="en-US" w:eastAsia="en-US"/>
        </w:rPr>
      </w:pPr>
      <w:r w:rsidRPr="00393FA8">
        <w:rPr>
          <w:b/>
          <w:szCs w:val="24"/>
          <w:lang w:val="en-US" w:eastAsia="en-US"/>
        </w:rPr>
        <w:t>Purpose</w:t>
      </w:r>
    </w:p>
    <w:p w14:paraId="496DD4EB" w14:textId="7311101A" w:rsidR="00BF51E9" w:rsidRPr="00393FA8" w:rsidRDefault="00BF51E9" w:rsidP="008363E3">
      <w:pPr>
        <w:ind w:right="-483"/>
        <w:rPr>
          <w:color w:val="000000"/>
          <w:shd w:val="clear" w:color="auto" w:fill="FFFFFF"/>
        </w:rPr>
      </w:pPr>
      <w:r w:rsidRPr="00393FA8">
        <w:rPr>
          <w:color w:val="000000"/>
          <w:shd w:val="clear" w:color="auto" w:fill="FFFFFF"/>
        </w:rPr>
        <w:t>The Australian Government is committed to offering every person in Australia access to safe and effective COVID-19 vaccines at no cost.</w:t>
      </w:r>
    </w:p>
    <w:p w14:paraId="70A3BBF0" w14:textId="50E2B928" w:rsidR="00BF51E9" w:rsidRPr="00393FA8" w:rsidRDefault="00BF51E9" w:rsidP="008363E3">
      <w:pPr>
        <w:ind w:right="-483"/>
        <w:rPr>
          <w:color w:val="000000"/>
          <w:shd w:val="clear" w:color="auto" w:fill="FFFFFF"/>
        </w:rPr>
      </w:pPr>
    </w:p>
    <w:p w14:paraId="24E61889" w14:textId="2B30DD05" w:rsidR="00BF51E9" w:rsidRPr="00393FA8" w:rsidRDefault="00BF51E9" w:rsidP="008363E3">
      <w:pPr>
        <w:ind w:right="-483"/>
        <w:rPr>
          <w:color w:val="000000" w:themeColor="text1"/>
          <w:szCs w:val="24"/>
        </w:rPr>
      </w:pPr>
      <w:r w:rsidRPr="00393FA8">
        <w:rPr>
          <w:color w:val="000000" w:themeColor="text1"/>
          <w:szCs w:val="24"/>
        </w:rPr>
        <w:t xml:space="preserve">On 25 February 2021, the </w:t>
      </w:r>
      <w:r w:rsidRPr="00393FA8">
        <w:rPr>
          <w:i/>
          <w:color w:val="000000" w:themeColor="text1"/>
          <w:szCs w:val="24"/>
        </w:rPr>
        <w:t xml:space="preserve">Health Insurance (Section 3C General Medical Services – General Practice Attendance for Assessing Patient Suitability for a COVID-19 Vaccine) Determination 2021 </w:t>
      </w:r>
      <w:r w:rsidRPr="00393FA8">
        <w:rPr>
          <w:color w:val="000000" w:themeColor="text1"/>
          <w:szCs w:val="24"/>
        </w:rPr>
        <w:t>(the Principal Determination) listed 16 new Medicare Benefits Schedule (MBS) items to support general practices to administer the COVID-19 vaccine.</w:t>
      </w:r>
    </w:p>
    <w:p w14:paraId="04A59ADE" w14:textId="77777777" w:rsidR="00BF51E9" w:rsidRPr="00393FA8" w:rsidRDefault="00BF51E9" w:rsidP="008363E3">
      <w:pPr>
        <w:ind w:right="-483"/>
        <w:rPr>
          <w:color w:val="000000" w:themeColor="text1"/>
          <w:szCs w:val="24"/>
        </w:rPr>
      </w:pPr>
    </w:p>
    <w:p w14:paraId="622491D0" w14:textId="7785922A" w:rsidR="00BF51E9" w:rsidRPr="00393FA8" w:rsidRDefault="00BF51E9" w:rsidP="00BF51E9">
      <w:pPr>
        <w:ind w:right="-483"/>
        <w:rPr>
          <w:color w:val="000000" w:themeColor="text1"/>
          <w:szCs w:val="24"/>
        </w:rPr>
      </w:pPr>
      <w:r w:rsidRPr="00393FA8">
        <w:rPr>
          <w:color w:val="000000" w:themeColor="text1"/>
          <w:szCs w:val="24"/>
        </w:rPr>
        <w:t xml:space="preserve">General practices supplied with the COVID-19 vaccine are able to provide a service to assess if a person who is at least 18 years of age is suitable to receive the COVID-19 vaccine. The service can be rendered by </w:t>
      </w:r>
      <w:r w:rsidRPr="00393FA8">
        <w:rPr>
          <w:color w:val="000000"/>
          <w:shd w:val="clear" w:color="auto" w:fill="FFFFFF"/>
        </w:rPr>
        <w:t>general practitioners (GPs) and other medical practitioners (OMPs), or by a person on behalf of the medical practitioners (such as a registered nurse or other health professional registered under the Health Practitioner Regulation National Law) if it is provided in accordance with acceptable clinical practice and under supervision of the medical practitioner. </w:t>
      </w:r>
    </w:p>
    <w:p w14:paraId="7962995C" w14:textId="77777777" w:rsidR="00BF51E9" w:rsidRPr="00393FA8" w:rsidRDefault="00BF51E9" w:rsidP="00BF51E9">
      <w:pPr>
        <w:ind w:right="-483"/>
        <w:rPr>
          <w:color w:val="000000" w:themeColor="text1"/>
          <w:szCs w:val="24"/>
        </w:rPr>
      </w:pPr>
    </w:p>
    <w:p w14:paraId="3BB88110" w14:textId="77777777" w:rsidR="00BF51E9" w:rsidRPr="00393FA8" w:rsidRDefault="00BF51E9" w:rsidP="00BF51E9">
      <w:pPr>
        <w:ind w:right="-483"/>
        <w:rPr>
          <w:color w:val="000000" w:themeColor="text1"/>
          <w:szCs w:val="24"/>
        </w:rPr>
      </w:pPr>
      <w:r w:rsidRPr="00393FA8">
        <w:rPr>
          <w:color w:val="000000" w:themeColor="text1"/>
          <w:szCs w:val="24"/>
        </w:rPr>
        <w:t>Medical practitioners do not have to personally attend the service but they must be on-site, and must supervise the service in accordance with clinical standards and accept full responsibility for the service.</w:t>
      </w:r>
    </w:p>
    <w:p w14:paraId="303C1576" w14:textId="58B77969" w:rsidR="00BF51E9" w:rsidRPr="00393FA8" w:rsidRDefault="00BF51E9" w:rsidP="00BF51E9">
      <w:pPr>
        <w:ind w:right="-483"/>
        <w:rPr>
          <w:color w:val="000000" w:themeColor="text1"/>
          <w:szCs w:val="24"/>
        </w:rPr>
      </w:pPr>
    </w:p>
    <w:p w14:paraId="014313A2" w14:textId="64FC2DFA" w:rsidR="00B86113" w:rsidRPr="00393FA8" w:rsidRDefault="00BF51E9" w:rsidP="00A65756">
      <w:pPr>
        <w:keepNext/>
        <w:keepLines/>
        <w:ind w:right="-482"/>
        <w:rPr>
          <w:color w:val="000000" w:themeColor="text1"/>
          <w:szCs w:val="24"/>
        </w:rPr>
      </w:pPr>
      <w:r w:rsidRPr="00393FA8">
        <w:rPr>
          <w:color w:val="000000" w:themeColor="text1"/>
          <w:szCs w:val="24"/>
        </w:rPr>
        <w:lastRenderedPageBreak/>
        <w:t xml:space="preserve">The purpose of the </w:t>
      </w:r>
      <w:r w:rsidRPr="00393FA8">
        <w:rPr>
          <w:i/>
          <w:color w:val="000000" w:themeColor="text1"/>
          <w:szCs w:val="24"/>
        </w:rPr>
        <w:t xml:space="preserve">Health Insurance (Section 3C General Medical Services – General Practice Attendance for Assessing Patient Suitability for a COVID-19 Vaccine) Amendment Determination 2021 </w:t>
      </w:r>
      <w:r w:rsidRPr="00393FA8">
        <w:rPr>
          <w:color w:val="000000" w:themeColor="text1"/>
          <w:szCs w:val="24"/>
        </w:rPr>
        <w:t xml:space="preserve">(the Amendment Determination) is to </w:t>
      </w:r>
      <w:r w:rsidR="00A711B3" w:rsidRPr="00393FA8">
        <w:rPr>
          <w:color w:val="000000" w:themeColor="text1"/>
          <w:szCs w:val="24"/>
        </w:rPr>
        <w:t>increase the schedule fee by $6</w:t>
      </w:r>
      <w:r w:rsidR="00545929" w:rsidRPr="00393FA8">
        <w:rPr>
          <w:color w:val="000000" w:themeColor="text1"/>
          <w:szCs w:val="24"/>
        </w:rPr>
        <w:t xml:space="preserve">6.75, in addition to the schedule amount listed in the relevant MBS assessment item, if a GP or OMP attends a residential aged care facility or </w:t>
      </w:r>
      <w:r w:rsidR="0026387B" w:rsidRPr="00393FA8">
        <w:rPr>
          <w:color w:val="000000" w:themeColor="text1"/>
          <w:szCs w:val="24"/>
        </w:rPr>
        <w:t xml:space="preserve">a </w:t>
      </w:r>
      <w:r w:rsidR="00545929" w:rsidRPr="00393FA8">
        <w:rPr>
          <w:color w:val="000000" w:themeColor="text1"/>
          <w:szCs w:val="24"/>
        </w:rPr>
        <w:t xml:space="preserve">person’s place of residence to provide the service.  The </w:t>
      </w:r>
      <w:r w:rsidR="00B86113" w:rsidRPr="00393FA8">
        <w:rPr>
          <w:color w:val="000000" w:themeColor="text1"/>
          <w:szCs w:val="24"/>
        </w:rPr>
        <w:t xml:space="preserve">additional amount </w:t>
      </w:r>
      <w:r w:rsidR="00545929" w:rsidRPr="00393FA8">
        <w:rPr>
          <w:color w:val="000000" w:themeColor="text1"/>
          <w:szCs w:val="24"/>
        </w:rPr>
        <w:t xml:space="preserve">will only be applicable for the first patient who is seen </w:t>
      </w:r>
      <w:r w:rsidR="00CE7258" w:rsidRPr="00393FA8">
        <w:rPr>
          <w:color w:val="000000" w:themeColor="text1"/>
          <w:szCs w:val="24"/>
        </w:rPr>
        <w:t xml:space="preserve">on each occasion that the GP or OMP attends </w:t>
      </w:r>
      <w:r w:rsidR="00545929" w:rsidRPr="00393FA8">
        <w:rPr>
          <w:color w:val="000000" w:themeColor="text1"/>
          <w:szCs w:val="24"/>
        </w:rPr>
        <w:t>the residential aged care facility</w:t>
      </w:r>
      <w:r w:rsidR="00B86113" w:rsidRPr="00393FA8">
        <w:rPr>
          <w:color w:val="000000" w:themeColor="text1"/>
          <w:szCs w:val="24"/>
        </w:rPr>
        <w:t xml:space="preserve"> or place of residence</w:t>
      </w:r>
      <w:r w:rsidR="00545929" w:rsidRPr="00393FA8">
        <w:rPr>
          <w:color w:val="000000" w:themeColor="text1"/>
          <w:szCs w:val="24"/>
        </w:rPr>
        <w:t>.</w:t>
      </w:r>
      <w:r w:rsidR="003D449F" w:rsidRPr="00393FA8">
        <w:rPr>
          <w:color w:val="000000" w:themeColor="text1"/>
          <w:szCs w:val="24"/>
        </w:rPr>
        <w:t xml:space="preserve"> </w:t>
      </w:r>
    </w:p>
    <w:p w14:paraId="51D04B21" w14:textId="77777777" w:rsidR="00B86113" w:rsidRPr="00393FA8" w:rsidRDefault="00B86113" w:rsidP="00BF51E9">
      <w:pPr>
        <w:ind w:right="-483"/>
        <w:rPr>
          <w:color w:val="000000" w:themeColor="text1"/>
          <w:szCs w:val="24"/>
        </w:rPr>
      </w:pPr>
    </w:p>
    <w:p w14:paraId="61669BE1" w14:textId="34E76684" w:rsidR="00BF51E9" w:rsidRPr="00393FA8" w:rsidRDefault="00D91789" w:rsidP="00BF51E9">
      <w:pPr>
        <w:ind w:right="-483"/>
        <w:rPr>
          <w:color w:val="000000" w:themeColor="text1"/>
          <w:szCs w:val="24"/>
        </w:rPr>
      </w:pPr>
      <w:r w:rsidRPr="00393FA8">
        <w:rPr>
          <w:color w:val="000000" w:themeColor="text1"/>
          <w:szCs w:val="24"/>
        </w:rPr>
        <w:t xml:space="preserve">The </w:t>
      </w:r>
      <w:r w:rsidR="00E35672" w:rsidRPr="00393FA8">
        <w:rPr>
          <w:color w:val="000000" w:themeColor="text1"/>
          <w:szCs w:val="24"/>
        </w:rPr>
        <w:t xml:space="preserve">additional </w:t>
      </w:r>
      <w:r w:rsidR="00B86113" w:rsidRPr="00393FA8">
        <w:rPr>
          <w:color w:val="000000" w:themeColor="text1"/>
          <w:szCs w:val="24"/>
        </w:rPr>
        <w:t xml:space="preserve">amount </w:t>
      </w:r>
      <w:r w:rsidRPr="00393FA8">
        <w:rPr>
          <w:color w:val="000000" w:themeColor="text1"/>
          <w:szCs w:val="24"/>
        </w:rPr>
        <w:t>is applicable</w:t>
      </w:r>
      <w:r w:rsidR="00B86113" w:rsidRPr="00393FA8">
        <w:rPr>
          <w:color w:val="000000" w:themeColor="text1"/>
          <w:szCs w:val="24"/>
        </w:rPr>
        <w:t xml:space="preserve"> to a service provided at a residential aged care facility</w:t>
      </w:r>
      <w:r w:rsidRPr="00393FA8">
        <w:rPr>
          <w:color w:val="000000" w:themeColor="text1"/>
          <w:szCs w:val="24"/>
        </w:rPr>
        <w:t xml:space="preserve"> if the relevant MBS item is provided to a </w:t>
      </w:r>
      <w:r w:rsidR="000428F3" w:rsidRPr="00393FA8">
        <w:rPr>
          <w:color w:val="000000" w:themeColor="text1"/>
          <w:szCs w:val="24"/>
        </w:rPr>
        <w:t xml:space="preserve">patient </w:t>
      </w:r>
      <w:r w:rsidRPr="00393FA8">
        <w:rPr>
          <w:color w:val="000000" w:themeColor="text1"/>
          <w:szCs w:val="24"/>
        </w:rPr>
        <w:t xml:space="preserve">who is </w:t>
      </w:r>
      <w:r w:rsidR="000428F3" w:rsidRPr="00393FA8">
        <w:rPr>
          <w:color w:val="000000" w:themeColor="text1"/>
          <w:szCs w:val="24"/>
        </w:rPr>
        <w:t xml:space="preserve">a care recipient of the facility or a staff member of the approved provider operating </w:t>
      </w:r>
      <w:r w:rsidRPr="00393FA8">
        <w:rPr>
          <w:color w:val="000000" w:themeColor="text1"/>
          <w:szCs w:val="24"/>
        </w:rPr>
        <w:t>the facility.</w:t>
      </w:r>
    </w:p>
    <w:p w14:paraId="7DA7E65D" w14:textId="313CA79E" w:rsidR="00545929" w:rsidRPr="00393FA8" w:rsidRDefault="00545929" w:rsidP="00BF51E9">
      <w:pPr>
        <w:ind w:right="-483"/>
        <w:rPr>
          <w:color w:val="000000" w:themeColor="text1"/>
          <w:szCs w:val="24"/>
        </w:rPr>
      </w:pPr>
    </w:p>
    <w:p w14:paraId="7054085A" w14:textId="3D7DADF6" w:rsidR="00E35672" w:rsidRPr="00393FA8" w:rsidRDefault="003140CF" w:rsidP="00BF51E9">
      <w:pPr>
        <w:ind w:right="-483"/>
        <w:rPr>
          <w:color w:val="000000" w:themeColor="text1"/>
          <w:szCs w:val="24"/>
        </w:rPr>
      </w:pPr>
      <w:r w:rsidRPr="00393FA8">
        <w:rPr>
          <w:color w:val="000000" w:themeColor="text1"/>
          <w:szCs w:val="24"/>
        </w:rPr>
        <w:t xml:space="preserve">The additional amount is applicable to a service provided at a person’s </w:t>
      </w:r>
      <w:r w:rsidR="00545929" w:rsidRPr="00393FA8">
        <w:rPr>
          <w:color w:val="000000" w:themeColor="text1"/>
          <w:szCs w:val="24"/>
        </w:rPr>
        <w:t>place of residence</w:t>
      </w:r>
      <w:r w:rsidR="005D2430" w:rsidRPr="00393FA8">
        <w:rPr>
          <w:color w:val="000000" w:themeColor="text1"/>
          <w:szCs w:val="24"/>
        </w:rPr>
        <w:t xml:space="preserve"> (not being a residential aged care facility)</w:t>
      </w:r>
      <w:r w:rsidR="00545929" w:rsidRPr="00393FA8">
        <w:rPr>
          <w:color w:val="000000" w:themeColor="text1"/>
          <w:szCs w:val="24"/>
        </w:rPr>
        <w:t xml:space="preserve">, </w:t>
      </w:r>
      <w:r w:rsidR="003D449F" w:rsidRPr="00393FA8">
        <w:rPr>
          <w:color w:val="000000" w:themeColor="text1"/>
          <w:szCs w:val="24"/>
        </w:rPr>
        <w:t xml:space="preserve">if the </w:t>
      </w:r>
      <w:r w:rsidR="004D549E" w:rsidRPr="00393FA8">
        <w:rPr>
          <w:color w:val="000000" w:themeColor="text1"/>
          <w:szCs w:val="24"/>
        </w:rPr>
        <w:t xml:space="preserve">relevant MBS item is provided to a </w:t>
      </w:r>
      <w:r w:rsidRPr="00393FA8">
        <w:rPr>
          <w:color w:val="000000" w:themeColor="text1"/>
          <w:szCs w:val="24"/>
        </w:rPr>
        <w:t xml:space="preserve">patient </w:t>
      </w:r>
      <w:r w:rsidR="004D549E" w:rsidRPr="00393FA8">
        <w:rPr>
          <w:color w:val="000000" w:themeColor="text1"/>
          <w:szCs w:val="24"/>
        </w:rPr>
        <w:t xml:space="preserve">who </w:t>
      </w:r>
      <w:r w:rsidR="003D449F" w:rsidRPr="00393FA8">
        <w:rPr>
          <w:color w:val="000000" w:themeColor="text1"/>
          <w:szCs w:val="24"/>
        </w:rPr>
        <w:t xml:space="preserve">is unable to personally attend the </w:t>
      </w:r>
      <w:r w:rsidR="00E750C4" w:rsidRPr="00393FA8">
        <w:rPr>
          <w:color w:val="000000" w:themeColor="text1"/>
          <w:szCs w:val="24"/>
        </w:rPr>
        <w:t xml:space="preserve">practice location </w:t>
      </w:r>
      <w:r w:rsidR="003D449F" w:rsidRPr="00393FA8">
        <w:rPr>
          <w:color w:val="000000" w:themeColor="text1"/>
          <w:szCs w:val="24"/>
        </w:rPr>
        <w:t xml:space="preserve">because of the </w:t>
      </w:r>
      <w:r w:rsidRPr="00393FA8">
        <w:rPr>
          <w:color w:val="000000" w:themeColor="text1"/>
          <w:szCs w:val="24"/>
        </w:rPr>
        <w:t xml:space="preserve">patient’s </w:t>
      </w:r>
      <w:r w:rsidR="003D449F" w:rsidRPr="00393FA8">
        <w:rPr>
          <w:color w:val="000000" w:themeColor="text1"/>
          <w:szCs w:val="24"/>
        </w:rPr>
        <w:t>medical condition, disability</w:t>
      </w:r>
      <w:r w:rsidR="000428F3" w:rsidRPr="00393FA8">
        <w:rPr>
          <w:color w:val="000000" w:themeColor="text1"/>
          <w:szCs w:val="24"/>
        </w:rPr>
        <w:t>, dementia</w:t>
      </w:r>
      <w:r w:rsidR="003D449F" w:rsidRPr="00393FA8">
        <w:rPr>
          <w:color w:val="000000" w:themeColor="text1"/>
          <w:szCs w:val="24"/>
        </w:rPr>
        <w:t xml:space="preserve"> or frailty</w:t>
      </w:r>
      <w:r w:rsidRPr="00393FA8">
        <w:rPr>
          <w:color w:val="000000" w:themeColor="text1"/>
          <w:szCs w:val="24"/>
        </w:rPr>
        <w:t>.</w:t>
      </w:r>
      <w:r w:rsidR="0026387B" w:rsidRPr="00393FA8">
        <w:rPr>
          <w:color w:val="000000" w:themeColor="text1"/>
          <w:szCs w:val="24"/>
        </w:rPr>
        <w:t xml:space="preserve"> </w:t>
      </w:r>
      <w:r w:rsidR="003D449F" w:rsidRPr="00393FA8">
        <w:rPr>
          <w:color w:val="000000" w:themeColor="text1"/>
          <w:szCs w:val="24"/>
        </w:rPr>
        <w:t>The person’s place of residence</w:t>
      </w:r>
      <w:r w:rsidR="00274F57" w:rsidRPr="00393FA8">
        <w:rPr>
          <w:color w:val="000000" w:themeColor="text1"/>
          <w:szCs w:val="24"/>
        </w:rPr>
        <w:t xml:space="preserve"> </w:t>
      </w:r>
      <w:r w:rsidR="003D449F" w:rsidRPr="00393FA8">
        <w:rPr>
          <w:color w:val="000000" w:themeColor="text1"/>
          <w:szCs w:val="24"/>
        </w:rPr>
        <w:t>could include a person’s private home, a group home, or a facility where the person resides.</w:t>
      </w:r>
      <w:r w:rsidR="00274F57" w:rsidRPr="00393FA8">
        <w:rPr>
          <w:color w:val="000000" w:themeColor="text1"/>
          <w:szCs w:val="24"/>
        </w:rPr>
        <w:t xml:space="preserve">  </w:t>
      </w:r>
      <w:r w:rsidR="003D449F" w:rsidRPr="00393FA8">
        <w:rPr>
          <w:color w:val="000000" w:themeColor="text1"/>
          <w:szCs w:val="24"/>
        </w:rPr>
        <w:t xml:space="preserve"> </w:t>
      </w:r>
    </w:p>
    <w:p w14:paraId="2412D131" w14:textId="3A6F4C0B" w:rsidR="001865F8" w:rsidRPr="00393FA8" w:rsidRDefault="00886E79" w:rsidP="00D46EB9">
      <w:pPr>
        <w:shd w:val="clear" w:color="auto" w:fill="FFFFFF"/>
        <w:spacing w:before="100" w:beforeAutospacing="1"/>
        <w:rPr>
          <w:rFonts w:ascii="Helvetica Neue" w:hAnsi="Helvetica Neue"/>
          <w:color w:val="000000" w:themeColor="text1"/>
          <w:szCs w:val="24"/>
          <w:lang w:val="en-US"/>
        </w:rPr>
      </w:pPr>
      <w:r w:rsidRPr="00393FA8">
        <w:rPr>
          <w:b/>
          <w:color w:val="000000" w:themeColor="text1"/>
        </w:rPr>
        <w:t>C</w:t>
      </w:r>
      <w:r w:rsidR="00A1739A" w:rsidRPr="00393FA8">
        <w:rPr>
          <w:b/>
          <w:color w:val="000000" w:themeColor="text1"/>
        </w:rPr>
        <w:t>onsultation</w:t>
      </w:r>
    </w:p>
    <w:p w14:paraId="405D5E6F" w14:textId="38D8DFD0" w:rsidR="00886E79" w:rsidRPr="00393FA8" w:rsidRDefault="00886E79" w:rsidP="002806A1">
      <w:pPr>
        <w:shd w:val="clear" w:color="auto" w:fill="FFFFFF"/>
        <w:rPr>
          <w:color w:val="000000"/>
          <w:shd w:val="clear" w:color="auto" w:fill="FFFFFF"/>
        </w:rPr>
      </w:pPr>
      <w:r w:rsidRPr="00393FA8">
        <w:rPr>
          <w:color w:val="000000"/>
          <w:shd w:val="clear" w:color="auto" w:fill="FFFFFF"/>
        </w:rPr>
        <w:t>Consultation was undertaken with the Australian Medical Association</w:t>
      </w:r>
      <w:r w:rsidR="00E750C4" w:rsidRPr="00393FA8">
        <w:rPr>
          <w:color w:val="000000"/>
          <w:shd w:val="clear" w:color="auto" w:fill="FFFFFF"/>
        </w:rPr>
        <w:t xml:space="preserve"> and</w:t>
      </w:r>
      <w:r w:rsidRPr="00393FA8">
        <w:rPr>
          <w:color w:val="000000"/>
          <w:shd w:val="clear" w:color="auto" w:fill="FFFFFF"/>
        </w:rPr>
        <w:t xml:space="preserve"> the Royal Australian College of General Practitioners.</w:t>
      </w:r>
    </w:p>
    <w:p w14:paraId="6880B2C1" w14:textId="77777777" w:rsidR="00886E79" w:rsidRPr="00393FA8" w:rsidRDefault="00886E79" w:rsidP="002806A1">
      <w:pPr>
        <w:shd w:val="clear" w:color="auto" w:fill="FFFFFF"/>
        <w:rPr>
          <w:color w:val="000000"/>
          <w:shd w:val="clear" w:color="auto" w:fill="FFFFFF"/>
        </w:rPr>
      </w:pPr>
    </w:p>
    <w:p w14:paraId="2412D134" w14:textId="6C463758" w:rsidR="00967E51" w:rsidRPr="00393FA8" w:rsidRDefault="00A1739A" w:rsidP="000337CB">
      <w:pPr>
        <w:rPr>
          <w:szCs w:val="24"/>
        </w:rPr>
      </w:pPr>
      <w:r w:rsidRPr="00393FA8">
        <w:rPr>
          <w:szCs w:val="24"/>
        </w:rPr>
        <w:t xml:space="preserve">Details of the </w:t>
      </w:r>
      <w:r w:rsidR="009305DF" w:rsidRPr="00393FA8">
        <w:rPr>
          <w:szCs w:val="24"/>
        </w:rPr>
        <w:t xml:space="preserve">Amendment </w:t>
      </w:r>
      <w:r w:rsidR="00574E71" w:rsidRPr="00393FA8">
        <w:rPr>
          <w:szCs w:val="24"/>
        </w:rPr>
        <w:t>Determination</w:t>
      </w:r>
      <w:r w:rsidRPr="00393FA8">
        <w:rPr>
          <w:szCs w:val="24"/>
        </w:rPr>
        <w:t xml:space="preserve"> are set out in the </w:t>
      </w:r>
      <w:r w:rsidRPr="00393FA8">
        <w:rPr>
          <w:szCs w:val="24"/>
          <w:u w:val="single"/>
        </w:rPr>
        <w:t>Attachment</w:t>
      </w:r>
      <w:r w:rsidRPr="00393FA8">
        <w:rPr>
          <w:szCs w:val="24"/>
        </w:rPr>
        <w:t>.</w:t>
      </w:r>
    </w:p>
    <w:p w14:paraId="2412D135" w14:textId="3122285D" w:rsidR="006C138D" w:rsidRPr="00393FA8" w:rsidRDefault="00297AD0" w:rsidP="006C138D">
      <w:pPr>
        <w:tabs>
          <w:tab w:val="left" w:pos="567"/>
        </w:tabs>
        <w:spacing w:before="240"/>
        <w:rPr>
          <w:color w:val="FF0000"/>
          <w:szCs w:val="24"/>
        </w:rPr>
      </w:pPr>
      <w:r w:rsidRPr="00393FA8">
        <w:rPr>
          <w:szCs w:val="24"/>
        </w:rPr>
        <w:t xml:space="preserve">The </w:t>
      </w:r>
      <w:r w:rsidR="009305DF" w:rsidRPr="00393FA8">
        <w:rPr>
          <w:szCs w:val="24"/>
        </w:rPr>
        <w:t xml:space="preserve">Amendment </w:t>
      </w:r>
      <w:r w:rsidR="00967E51" w:rsidRPr="00393FA8">
        <w:rPr>
          <w:szCs w:val="24"/>
        </w:rPr>
        <w:t>Determination</w:t>
      </w:r>
      <w:r w:rsidRPr="00393FA8">
        <w:rPr>
          <w:szCs w:val="24"/>
        </w:rPr>
        <w:t xml:space="preserve"> </w:t>
      </w:r>
      <w:r w:rsidR="007524B0" w:rsidRPr="00393FA8">
        <w:rPr>
          <w:szCs w:val="24"/>
        </w:rPr>
        <w:t xml:space="preserve">commences </w:t>
      </w:r>
      <w:r w:rsidR="006E4F45" w:rsidRPr="00393FA8">
        <w:rPr>
          <w:szCs w:val="24"/>
        </w:rPr>
        <w:t xml:space="preserve">on 14 June 2021. </w:t>
      </w:r>
    </w:p>
    <w:p w14:paraId="2412D136" w14:textId="77777777" w:rsidR="00236DF2" w:rsidRPr="00393FA8" w:rsidRDefault="00236DF2" w:rsidP="00574E71">
      <w:pPr>
        <w:rPr>
          <w:szCs w:val="24"/>
        </w:rPr>
      </w:pPr>
    </w:p>
    <w:p w14:paraId="2412D138" w14:textId="2CAC9A64" w:rsidR="00574E71" w:rsidRPr="00393FA8" w:rsidRDefault="0002728B" w:rsidP="00DE07E4">
      <w:pPr>
        <w:spacing w:after="200" w:line="276" w:lineRule="auto"/>
        <w:rPr>
          <w:szCs w:val="24"/>
        </w:rPr>
      </w:pPr>
      <w:r w:rsidRPr="00393FA8">
        <w:rPr>
          <w:szCs w:val="24"/>
        </w:rPr>
        <w:t>T</w:t>
      </w:r>
      <w:r w:rsidR="00574E71" w:rsidRPr="00393FA8">
        <w:rPr>
          <w:szCs w:val="24"/>
        </w:rPr>
        <w:t xml:space="preserve">he </w:t>
      </w:r>
      <w:r w:rsidR="009305DF" w:rsidRPr="00393FA8">
        <w:rPr>
          <w:szCs w:val="24"/>
        </w:rPr>
        <w:t xml:space="preserve">Amendment </w:t>
      </w:r>
      <w:r w:rsidR="00574E71" w:rsidRPr="00393FA8">
        <w:rPr>
          <w:szCs w:val="24"/>
        </w:rPr>
        <w:t xml:space="preserve">Determination is </w:t>
      </w:r>
      <w:r w:rsidR="004417A2" w:rsidRPr="00393FA8">
        <w:rPr>
          <w:szCs w:val="24"/>
        </w:rPr>
        <w:t xml:space="preserve">a </w:t>
      </w:r>
      <w:r w:rsidR="00574E71" w:rsidRPr="00393FA8">
        <w:rPr>
          <w:szCs w:val="24"/>
        </w:rPr>
        <w:t xml:space="preserve">legislative instrument for the purposes of the </w:t>
      </w:r>
      <w:r w:rsidR="00574E71" w:rsidRPr="00393FA8">
        <w:rPr>
          <w:i/>
        </w:rPr>
        <w:t>Legislation Act 2003</w:t>
      </w:r>
      <w:r w:rsidR="00574E71" w:rsidRPr="00393FA8">
        <w:rPr>
          <w:szCs w:val="24"/>
        </w:rPr>
        <w:t>.</w:t>
      </w:r>
    </w:p>
    <w:p w14:paraId="2412D139" w14:textId="77777777" w:rsidR="00A1739A" w:rsidRPr="00393FA8" w:rsidRDefault="00A1739A" w:rsidP="000337CB">
      <w:pPr>
        <w:ind w:left="6663" w:hanging="3119"/>
        <w:rPr>
          <w:szCs w:val="24"/>
        </w:rPr>
      </w:pPr>
      <w:r w:rsidRPr="00393FA8">
        <w:rPr>
          <w:szCs w:val="24"/>
        </w:rPr>
        <w:t xml:space="preserve">           </w:t>
      </w:r>
    </w:p>
    <w:p w14:paraId="2412D13A" w14:textId="77777777" w:rsidR="00A1739A" w:rsidRPr="00393FA8" w:rsidRDefault="00A1739A" w:rsidP="000337CB">
      <w:pPr>
        <w:ind w:left="6663" w:hanging="3119"/>
        <w:rPr>
          <w:szCs w:val="24"/>
        </w:rPr>
      </w:pPr>
      <w:r w:rsidRPr="00393FA8">
        <w:rPr>
          <w:szCs w:val="24"/>
          <w:u w:val="single"/>
        </w:rPr>
        <w:t>Authority</w:t>
      </w:r>
      <w:r w:rsidR="00967E51" w:rsidRPr="00393FA8">
        <w:rPr>
          <w:szCs w:val="24"/>
        </w:rPr>
        <w:t xml:space="preserve">:     Subsection </w:t>
      </w:r>
      <w:proofErr w:type="gramStart"/>
      <w:r w:rsidRPr="00393FA8">
        <w:rPr>
          <w:szCs w:val="24"/>
        </w:rPr>
        <w:t>3</w:t>
      </w:r>
      <w:r w:rsidR="00967E51" w:rsidRPr="00393FA8">
        <w:rPr>
          <w:szCs w:val="24"/>
        </w:rPr>
        <w:t>C</w:t>
      </w:r>
      <w:r w:rsidRPr="00393FA8">
        <w:rPr>
          <w:szCs w:val="24"/>
        </w:rPr>
        <w:t>(</w:t>
      </w:r>
      <w:proofErr w:type="gramEnd"/>
      <w:r w:rsidRPr="00393FA8">
        <w:rPr>
          <w:szCs w:val="24"/>
        </w:rPr>
        <w:t xml:space="preserve">1) of the </w:t>
      </w:r>
    </w:p>
    <w:p w14:paraId="2412D13B" w14:textId="0596CD30" w:rsidR="00A1739A" w:rsidRPr="00393FA8" w:rsidRDefault="00A1739A" w:rsidP="000337CB">
      <w:pPr>
        <w:tabs>
          <w:tab w:val="left" w:pos="4820"/>
        </w:tabs>
        <w:rPr>
          <w:szCs w:val="24"/>
        </w:rPr>
        <w:sectPr w:rsidR="00A1739A" w:rsidRPr="00393FA8" w:rsidSect="00235B6C">
          <w:headerReference w:type="default" r:id="rId11"/>
          <w:pgSz w:w="11906" w:h="16838"/>
          <w:pgMar w:top="1440" w:right="1800" w:bottom="1135" w:left="1800" w:header="708" w:footer="708" w:gutter="0"/>
          <w:pgNumType w:start="1"/>
          <w:cols w:space="708"/>
          <w:docGrid w:linePitch="360"/>
        </w:sectPr>
      </w:pPr>
      <w:r w:rsidRPr="00393FA8">
        <w:rPr>
          <w:i/>
          <w:szCs w:val="24"/>
        </w:rPr>
        <w:tab/>
        <w:t>Health Insurance Act 1973</w:t>
      </w:r>
    </w:p>
    <w:p w14:paraId="2412D13D" w14:textId="77777777" w:rsidR="006D5816" w:rsidRPr="00393FA8" w:rsidRDefault="006D5816" w:rsidP="000337CB">
      <w:pPr>
        <w:pStyle w:val="BodyText"/>
        <w:jc w:val="right"/>
        <w:rPr>
          <w:szCs w:val="24"/>
        </w:rPr>
      </w:pPr>
      <w:r w:rsidRPr="00393FA8">
        <w:rPr>
          <w:szCs w:val="24"/>
        </w:rPr>
        <w:lastRenderedPageBreak/>
        <w:t>ATTACHMENT</w:t>
      </w:r>
    </w:p>
    <w:p w14:paraId="2412D13E" w14:textId="77777777" w:rsidR="006D5816" w:rsidRPr="00393FA8" w:rsidRDefault="006D5816" w:rsidP="000337CB">
      <w:pPr>
        <w:pStyle w:val="BodyText"/>
        <w:rPr>
          <w:szCs w:val="24"/>
          <w:u w:val="single"/>
        </w:rPr>
      </w:pPr>
    </w:p>
    <w:p w14:paraId="5B0C808A" w14:textId="607BCE90" w:rsidR="00215191" w:rsidRPr="00393FA8" w:rsidRDefault="00A41364" w:rsidP="00186752">
      <w:pPr>
        <w:pStyle w:val="BodyText"/>
        <w:rPr>
          <w:iCs/>
          <w:color w:val="FF0000"/>
        </w:rPr>
      </w:pPr>
      <w:r w:rsidRPr="00393FA8">
        <w:rPr>
          <w:szCs w:val="24"/>
        </w:rPr>
        <w:t>Details of the</w:t>
      </w:r>
      <w:r w:rsidR="000A7DC9" w:rsidRPr="00393FA8">
        <w:rPr>
          <w:szCs w:val="24"/>
        </w:rPr>
        <w:t xml:space="preserve"> </w:t>
      </w:r>
      <w:r w:rsidR="003F632B" w:rsidRPr="00393FA8">
        <w:rPr>
          <w:i/>
          <w:color w:val="000000" w:themeColor="text1"/>
          <w:szCs w:val="24"/>
        </w:rPr>
        <w:t>Health Insurance (Section 3C General Medical Services – General Practice Attendance for Assessing Patient Suitability for a COVID-19 Vaccine) Amendment Determination 2021</w:t>
      </w:r>
      <w:r w:rsidR="00E9090A" w:rsidRPr="00393FA8">
        <w:rPr>
          <w:i/>
          <w:color w:val="000000" w:themeColor="text1"/>
          <w:szCs w:val="24"/>
        </w:rPr>
        <w:t xml:space="preserve"> </w:t>
      </w:r>
    </w:p>
    <w:p w14:paraId="7BBEB147" w14:textId="720F9678" w:rsidR="00E70355" w:rsidRPr="00393FA8" w:rsidRDefault="00E70355" w:rsidP="000337CB">
      <w:pPr>
        <w:pStyle w:val="BodyText"/>
        <w:rPr>
          <w:b w:val="0"/>
          <w:i/>
          <w:szCs w:val="24"/>
        </w:rPr>
      </w:pPr>
    </w:p>
    <w:p w14:paraId="2412D141" w14:textId="7C34D5F4" w:rsidR="00FE02C2" w:rsidRPr="00393FA8" w:rsidRDefault="001B0111" w:rsidP="000337CB">
      <w:pPr>
        <w:pStyle w:val="BodyText"/>
        <w:rPr>
          <w:b w:val="0"/>
          <w:szCs w:val="24"/>
          <w:u w:val="single"/>
        </w:rPr>
      </w:pPr>
      <w:r w:rsidRPr="00393FA8">
        <w:rPr>
          <w:b w:val="0"/>
          <w:szCs w:val="24"/>
          <w:u w:val="single"/>
        </w:rPr>
        <w:t>Section 1 – Name</w:t>
      </w:r>
    </w:p>
    <w:p w14:paraId="2412D142" w14:textId="77777777" w:rsidR="00FE02C2" w:rsidRPr="00393FA8" w:rsidRDefault="00FE02C2" w:rsidP="000337CB">
      <w:pPr>
        <w:pStyle w:val="BodyText"/>
        <w:rPr>
          <w:b w:val="0"/>
          <w:szCs w:val="24"/>
          <w:u w:val="single"/>
        </w:rPr>
      </w:pPr>
    </w:p>
    <w:p w14:paraId="2412D144" w14:textId="017F15E2" w:rsidR="00F83B6F" w:rsidRPr="00393FA8" w:rsidRDefault="00BC7397" w:rsidP="00C67BC7">
      <w:pPr>
        <w:pStyle w:val="BodyText"/>
        <w:rPr>
          <w:b w:val="0"/>
          <w:i/>
          <w:iCs/>
          <w:color w:val="FF0000"/>
        </w:rPr>
      </w:pPr>
      <w:r w:rsidRPr="00393FA8">
        <w:rPr>
          <w:b w:val="0"/>
          <w:szCs w:val="24"/>
        </w:rPr>
        <w:t>S</w:t>
      </w:r>
      <w:r w:rsidR="00FE02C2" w:rsidRPr="00393FA8">
        <w:rPr>
          <w:b w:val="0"/>
          <w:szCs w:val="24"/>
        </w:rPr>
        <w:t xml:space="preserve">ection </w:t>
      </w:r>
      <w:r w:rsidRPr="00393FA8">
        <w:rPr>
          <w:b w:val="0"/>
          <w:szCs w:val="24"/>
        </w:rPr>
        <w:t xml:space="preserve">1 </w:t>
      </w:r>
      <w:r w:rsidR="00FE02C2" w:rsidRPr="00393FA8">
        <w:rPr>
          <w:b w:val="0"/>
          <w:szCs w:val="24"/>
        </w:rPr>
        <w:t>provides</w:t>
      </w:r>
      <w:r w:rsidR="008B683E" w:rsidRPr="00393FA8">
        <w:rPr>
          <w:b w:val="0"/>
          <w:szCs w:val="24"/>
        </w:rPr>
        <w:t xml:space="preserve"> for the </w:t>
      </w:r>
      <w:r w:rsidR="000428F3" w:rsidRPr="00393FA8">
        <w:rPr>
          <w:b w:val="0"/>
          <w:szCs w:val="24"/>
        </w:rPr>
        <w:t xml:space="preserve">Amendment </w:t>
      </w:r>
      <w:r w:rsidR="008B2094" w:rsidRPr="00393FA8">
        <w:rPr>
          <w:b w:val="0"/>
          <w:szCs w:val="24"/>
        </w:rPr>
        <w:t>Determination</w:t>
      </w:r>
      <w:r w:rsidR="00FE02C2" w:rsidRPr="00393FA8">
        <w:rPr>
          <w:b w:val="0"/>
          <w:szCs w:val="24"/>
        </w:rPr>
        <w:t xml:space="preserve"> to be referred to as the</w:t>
      </w:r>
      <w:r w:rsidR="000A7DC9" w:rsidRPr="00393FA8">
        <w:rPr>
          <w:b w:val="0"/>
          <w:szCs w:val="24"/>
        </w:rPr>
        <w:t xml:space="preserve"> </w:t>
      </w:r>
      <w:r w:rsidR="003F632B" w:rsidRPr="00393FA8">
        <w:rPr>
          <w:b w:val="0"/>
          <w:i/>
          <w:color w:val="000000" w:themeColor="text1"/>
          <w:szCs w:val="24"/>
        </w:rPr>
        <w:t>Health Insurance (Section 3C General Medical Services – General Practice Attendance for Assessing Patient Suitability for a COVID-19 Vaccine) Amendment Determination 2021</w:t>
      </w:r>
      <w:r w:rsidR="000A7DC9" w:rsidRPr="00393FA8">
        <w:rPr>
          <w:b w:val="0"/>
          <w:i/>
          <w:szCs w:val="24"/>
        </w:rPr>
        <w:t xml:space="preserve">. </w:t>
      </w:r>
    </w:p>
    <w:p w14:paraId="68DAA207" w14:textId="77777777" w:rsidR="00FD602D" w:rsidRPr="00393FA8" w:rsidRDefault="00FD602D" w:rsidP="00FD602D"/>
    <w:p w14:paraId="49D1E050" w14:textId="77777777" w:rsidR="007A4089" w:rsidRPr="00393FA8" w:rsidRDefault="00FE02C2" w:rsidP="000337CB">
      <w:pPr>
        <w:pStyle w:val="BodyText"/>
        <w:rPr>
          <w:b w:val="0"/>
          <w:szCs w:val="24"/>
          <w:u w:val="single"/>
        </w:rPr>
      </w:pPr>
      <w:r w:rsidRPr="00393FA8">
        <w:rPr>
          <w:b w:val="0"/>
          <w:szCs w:val="24"/>
          <w:u w:val="single"/>
        </w:rPr>
        <w:t xml:space="preserve">Section 2 – Commencement </w:t>
      </w:r>
    </w:p>
    <w:p w14:paraId="2DCE2ED0" w14:textId="77777777" w:rsidR="007A4089" w:rsidRPr="00393FA8" w:rsidRDefault="007A4089" w:rsidP="000337CB">
      <w:pPr>
        <w:pStyle w:val="BodyText"/>
        <w:rPr>
          <w:b w:val="0"/>
          <w:szCs w:val="24"/>
          <w:u w:val="single"/>
        </w:rPr>
      </w:pPr>
    </w:p>
    <w:p w14:paraId="2412D148" w14:textId="499C89EC" w:rsidR="00510A4F" w:rsidRPr="00393FA8" w:rsidRDefault="00510A4F" w:rsidP="000337CB">
      <w:pPr>
        <w:pStyle w:val="BodyText"/>
        <w:rPr>
          <w:b w:val="0"/>
          <w:color w:val="FF0000"/>
          <w:szCs w:val="24"/>
        </w:rPr>
      </w:pPr>
      <w:r w:rsidRPr="00393FA8">
        <w:rPr>
          <w:b w:val="0"/>
          <w:szCs w:val="24"/>
        </w:rPr>
        <w:t xml:space="preserve">Section 2 </w:t>
      </w:r>
      <w:r w:rsidR="00404F11" w:rsidRPr="00393FA8">
        <w:rPr>
          <w:b w:val="0"/>
          <w:szCs w:val="24"/>
        </w:rPr>
        <w:t xml:space="preserve">provides that the </w:t>
      </w:r>
      <w:r w:rsidR="000428F3" w:rsidRPr="00393FA8">
        <w:rPr>
          <w:b w:val="0"/>
          <w:szCs w:val="24"/>
        </w:rPr>
        <w:t xml:space="preserve">Amendment </w:t>
      </w:r>
      <w:r w:rsidR="008B2094" w:rsidRPr="00393FA8">
        <w:rPr>
          <w:b w:val="0"/>
          <w:szCs w:val="24"/>
        </w:rPr>
        <w:t xml:space="preserve">Determination </w:t>
      </w:r>
      <w:r w:rsidR="00404F11" w:rsidRPr="00393FA8">
        <w:rPr>
          <w:b w:val="0"/>
          <w:szCs w:val="24"/>
        </w:rPr>
        <w:t>commenc</w:t>
      </w:r>
      <w:r w:rsidR="00404F11" w:rsidRPr="00393FA8">
        <w:rPr>
          <w:b w:val="0"/>
          <w:color w:val="000000" w:themeColor="text1"/>
          <w:szCs w:val="24"/>
        </w:rPr>
        <w:t xml:space="preserve">es </w:t>
      </w:r>
      <w:r w:rsidR="000428F3" w:rsidRPr="00393FA8">
        <w:rPr>
          <w:b w:val="0"/>
          <w:color w:val="000000" w:themeColor="text1"/>
          <w:szCs w:val="24"/>
        </w:rPr>
        <w:t xml:space="preserve">the day after the Amendment Determination is registered. </w:t>
      </w:r>
    </w:p>
    <w:p w14:paraId="16C03200" w14:textId="77777777" w:rsidR="007E0017" w:rsidRPr="00393FA8" w:rsidRDefault="007E0017" w:rsidP="000337CB">
      <w:pPr>
        <w:pStyle w:val="BodyText"/>
        <w:rPr>
          <w:b w:val="0"/>
          <w:szCs w:val="24"/>
        </w:rPr>
      </w:pPr>
    </w:p>
    <w:p w14:paraId="005D5660" w14:textId="77777777" w:rsidR="007A4089" w:rsidRPr="00393FA8" w:rsidRDefault="00FE02C2" w:rsidP="000337CB">
      <w:pPr>
        <w:pStyle w:val="BodyText"/>
        <w:rPr>
          <w:b w:val="0"/>
          <w:szCs w:val="24"/>
          <w:u w:val="single"/>
        </w:rPr>
      </w:pPr>
      <w:r w:rsidRPr="00393FA8">
        <w:rPr>
          <w:b w:val="0"/>
          <w:szCs w:val="24"/>
          <w:u w:val="single"/>
        </w:rPr>
        <w:t xml:space="preserve">Section 3 – </w:t>
      </w:r>
      <w:r w:rsidR="00E5798A" w:rsidRPr="00393FA8">
        <w:rPr>
          <w:b w:val="0"/>
          <w:szCs w:val="24"/>
          <w:u w:val="single"/>
        </w:rPr>
        <w:t>Authority</w:t>
      </w:r>
    </w:p>
    <w:p w14:paraId="53BFA098" w14:textId="77777777" w:rsidR="007A4089" w:rsidRPr="00393FA8" w:rsidRDefault="007A4089" w:rsidP="000337CB">
      <w:pPr>
        <w:pStyle w:val="BodyText"/>
        <w:rPr>
          <w:b w:val="0"/>
          <w:szCs w:val="24"/>
          <w:u w:val="single"/>
        </w:rPr>
      </w:pPr>
    </w:p>
    <w:p w14:paraId="2412D14B" w14:textId="6BF640A2" w:rsidR="00FE02C2" w:rsidRPr="00393FA8" w:rsidRDefault="00F83B6F" w:rsidP="000337CB">
      <w:pPr>
        <w:pStyle w:val="BodyText"/>
        <w:rPr>
          <w:b w:val="0"/>
        </w:rPr>
      </w:pPr>
      <w:r w:rsidRPr="00393FA8">
        <w:rPr>
          <w:b w:val="0"/>
        </w:rPr>
        <w:t xml:space="preserve">Section 3 provides that the </w:t>
      </w:r>
      <w:r w:rsidR="000428F3" w:rsidRPr="00393FA8">
        <w:rPr>
          <w:b w:val="0"/>
        </w:rPr>
        <w:t xml:space="preserve">Amendment </w:t>
      </w:r>
      <w:r w:rsidR="008B2094" w:rsidRPr="00393FA8">
        <w:rPr>
          <w:b w:val="0"/>
          <w:szCs w:val="24"/>
        </w:rPr>
        <w:t xml:space="preserve">Determination </w:t>
      </w:r>
      <w:r w:rsidR="00E5798A" w:rsidRPr="00393FA8">
        <w:rPr>
          <w:b w:val="0"/>
        </w:rPr>
        <w:t xml:space="preserve">is made under </w:t>
      </w:r>
      <w:r w:rsidR="00367440" w:rsidRPr="00393FA8">
        <w:rPr>
          <w:b w:val="0"/>
        </w:rPr>
        <w:t xml:space="preserve">subsection </w:t>
      </w:r>
      <w:proofErr w:type="gramStart"/>
      <w:r w:rsidR="00E5798A" w:rsidRPr="00393FA8">
        <w:rPr>
          <w:b w:val="0"/>
        </w:rPr>
        <w:t>3C(</w:t>
      </w:r>
      <w:proofErr w:type="gramEnd"/>
      <w:r w:rsidR="00E5798A" w:rsidRPr="00393FA8">
        <w:rPr>
          <w:b w:val="0"/>
        </w:rPr>
        <w:t xml:space="preserve">1) of the </w:t>
      </w:r>
      <w:r w:rsidR="00E5798A" w:rsidRPr="00393FA8">
        <w:rPr>
          <w:b w:val="0"/>
          <w:i/>
        </w:rPr>
        <w:t>Health Insurance Act 1973</w:t>
      </w:r>
      <w:r w:rsidR="00E5798A" w:rsidRPr="00393FA8">
        <w:rPr>
          <w:b w:val="0"/>
        </w:rPr>
        <w:t>.</w:t>
      </w:r>
    </w:p>
    <w:p w14:paraId="0DBF1241" w14:textId="77777777" w:rsidR="00E70355" w:rsidRPr="00393FA8" w:rsidRDefault="00E70355" w:rsidP="000337CB">
      <w:pPr>
        <w:pStyle w:val="BodyText"/>
        <w:rPr>
          <w:b w:val="0"/>
        </w:rPr>
      </w:pPr>
    </w:p>
    <w:p w14:paraId="20CBF84A" w14:textId="77777777" w:rsidR="00C63FDC" w:rsidRPr="00393FA8" w:rsidRDefault="00C63FDC" w:rsidP="00C63FDC">
      <w:pPr>
        <w:pStyle w:val="BodyText"/>
        <w:rPr>
          <w:b w:val="0"/>
          <w:szCs w:val="24"/>
          <w:u w:val="single"/>
        </w:rPr>
      </w:pPr>
      <w:r w:rsidRPr="00393FA8">
        <w:rPr>
          <w:b w:val="0"/>
          <w:szCs w:val="24"/>
          <w:u w:val="single"/>
        </w:rPr>
        <w:t>Section 4 – Schedules</w:t>
      </w:r>
    </w:p>
    <w:p w14:paraId="4C010161" w14:textId="77777777" w:rsidR="00C63FDC" w:rsidRPr="00393FA8" w:rsidRDefault="00C63FDC" w:rsidP="00C63FDC">
      <w:pPr>
        <w:pStyle w:val="BodyText"/>
        <w:rPr>
          <w:b w:val="0"/>
          <w:szCs w:val="24"/>
          <w:u w:val="single"/>
        </w:rPr>
      </w:pPr>
    </w:p>
    <w:p w14:paraId="5D9EBF8D" w14:textId="39DD0E0E" w:rsidR="00C63FDC" w:rsidRPr="00393FA8" w:rsidRDefault="00C63FDC" w:rsidP="00C63FDC">
      <w:pPr>
        <w:pStyle w:val="BodyText"/>
        <w:rPr>
          <w:b w:val="0"/>
          <w:szCs w:val="24"/>
        </w:rPr>
      </w:pPr>
      <w:r w:rsidRPr="00393FA8">
        <w:rPr>
          <w:b w:val="0"/>
          <w:szCs w:val="24"/>
        </w:rPr>
        <w:t xml:space="preserve">Section 4 provides that each instrument that is specified in a Schedule to </w:t>
      </w:r>
      <w:r w:rsidR="000428F3" w:rsidRPr="00393FA8">
        <w:rPr>
          <w:b w:val="0"/>
          <w:szCs w:val="24"/>
        </w:rPr>
        <w:t xml:space="preserve">the Amendment </w:t>
      </w:r>
      <w:r w:rsidRPr="00393FA8">
        <w:rPr>
          <w:b w:val="0"/>
          <w:szCs w:val="24"/>
        </w:rPr>
        <w:t xml:space="preserve">Determination is amended or repealed as set out in the applicable items in the Schedule concerned, and any other item in a Schedule to </w:t>
      </w:r>
      <w:r w:rsidR="000428F3" w:rsidRPr="00393FA8">
        <w:rPr>
          <w:b w:val="0"/>
          <w:szCs w:val="24"/>
        </w:rPr>
        <w:t xml:space="preserve">the Amendment </w:t>
      </w:r>
      <w:r w:rsidRPr="00393FA8">
        <w:rPr>
          <w:b w:val="0"/>
          <w:szCs w:val="24"/>
        </w:rPr>
        <w:t>Determination has effect according to its terms.</w:t>
      </w:r>
    </w:p>
    <w:p w14:paraId="17D2CF69" w14:textId="77777777" w:rsidR="007E0017" w:rsidRPr="00393FA8" w:rsidRDefault="007E0017" w:rsidP="00404F11">
      <w:pPr>
        <w:pStyle w:val="BodyText"/>
        <w:rPr>
          <w:b w:val="0"/>
          <w:szCs w:val="24"/>
        </w:rPr>
      </w:pPr>
    </w:p>
    <w:p w14:paraId="768D340E" w14:textId="77777777" w:rsidR="00C63FDC" w:rsidRPr="00393FA8" w:rsidRDefault="00C63FDC" w:rsidP="00C63FDC">
      <w:pPr>
        <w:pStyle w:val="Header"/>
        <w:tabs>
          <w:tab w:val="num" w:pos="1080"/>
        </w:tabs>
        <w:rPr>
          <w:szCs w:val="24"/>
          <w:u w:val="single"/>
        </w:rPr>
      </w:pPr>
      <w:r w:rsidRPr="00393FA8">
        <w:rPr>
          <w:szCs w:val="24"/>
          <w:u w:val="single"/>
        </w:rPr>
        <w:t>Schedule 1 – Amendments</w:t>
      </w:r>
    </w:p>
    <w:p w14:paraId="49F9BAC1" w14:textId="6AD1C0AE" w:rsidR="00C63FDC" w:rsidRPr="00393FA8" w:rsidRDefault="00E9090A" w:rsidP="00F45447">
      <w:pPr>
        <w:pStyle w:val="ItemHead"/>
        <w:ind w:left="0" w:firstLine="0"/>
        <w:rPr>
          <w:rFonts w:ascii="Times New Roman" w:hAnsi="Times New Roman"/>
          <w:b w:val="0"/>
          <w:iCs/>
          <w:color w:val="000000" w:themeColor="text1"/>
        </w:rPr>
      </w:pPr>
      <w:r w:rsidRPr="00393FA8">
        <w:rPr>
          <w:rFonts w:ascii="Times New Roman" w:hAnsi="Times New Roman"/>
          <w:b w:val="0"/>
          <w:color w:val="000000" w:themeColor="text1"/>
          <w:lang w:eastAsia="en-US"/>
        </w:rPr>
        <w:t xml:space="preserve">Schedule 1 sets out the amendments made by the Amendment Determination to the </w:t>
      </w:r>
      <w:r w:rsidR="00F45447" w:rsidRPr="00393FA8">
        <w:rPr>
          <w:rFonts w:ascii="Times New Roman" w:hAnsi="Times New Roman"/>
          <w:b w:val="0"/>
          <w:i/>
          <w:color w:val="000000" w:themeColor="text1"/>
          <w:lang w:eastAsia="en-US"/>
        </w:rPr>
        <w:t xml:space="preserve">Health Insurance (Section 3C General Medical Services – General Practice Attendance for Assessing Patient Suitability for a COVID-19 Vaccine) Determination 2021 </w:t>
      </w:r>
      <w:r w:rsidR="000D596C" w:rsidRPr="00393FA8">
        <w:rPr>
          <w:rFonts w:ascii="Times New Roman" w:hAnsi="Times New Roman"/>
          <w:b w:val="0"/>
          <w:iCs/>
          <w:color w:val="000000" w:themeColor="text1"/>
        </w:rPr>
        <w:t>(the Principal Determination)</w:t>
      </w:r>
      <w:r w:rsidR="00A3706A" w:rsidRPr="00393FA8">
        <w:rPr>
          <w:rFonts w:ascii="Times New Roman" w:hAnsi="Times New Roman"/>
          <w:b w:val="0"/>
          <w:iCs/>
          <w:color w:val="000000" w:themeColor="text1"/>
        </w:rPr>
        <w:t>.</w:t>
      </w:r>
    </w:p>
    <w:p w14:paraId="468CD998" w14:textId="40F58843" w:rsidR="000A7DC9" w:rsidRPr="00393FA8" w:rsidRDefault="000A7DC9" w:rsidP="00505F9A">
      <w:pPr>
        <w:pStyle w:val="Header"/>
        <w:tabs>
          <w:tab w:val="num" w:pos="1080"/>
        </w:tabs>
        <w:rPr>
          <w:i/>
          <w:iCs/>
          <w:color w:val="000000" w:themeColor="text1"/>
        </w:rPr>
      </w:pPr>
    </w:p>
    <w:p w14:paraId="4457532A" w14:textId="6E73022E" w:rsidR="000A7DC9" w:rsidRPr="00393FA8" w:rsidRDefault="000A7DC9" w:rsidP="00505F9A">
      <w:pPr>
        <w:pStyle w:val="Header"/>
        <w:tabs>
          <w:tab w:val="num" w:pos="1080"/>
        </w:tabs>
        <w:rPr>
          <w:color w:val="000000" w:themeColor="text1"/>
          <w:szCs w:val="24"/>
        </w:rPr>
      </w:pPr>
      <w:r w:rsidRPr="00393FA8">
        <w:rPr>
          <w:b/>
          <w:color w:val="000000" w:themeColor="text1"/>
          <w:szCs w:val="24"/>
        </w:rPr>
        <w:t>Item 1 – S</w:t>
      </w:r>
      <w:r w:rsidR="00786260" w:rsidRPr="00393FA8">
        <w:rPr>
          <w:b/>
          <w:color w:val="000000" w:themeColor="text1"/>
          <w:szCs w:val="24"/>
        </w:rPr>
        <w:t xml:space="preserve">ection 4 </w:t>
      </w:r>
    </w:p>
    <w:p w14:paraId="0144ABEB" w14:textId="0C65190E" w:rsidR="000D596C" w:rsidRPr="00393FA8" w:rsidRDefault="000A7DC9" w:rsidP="00505F9A">
      <w:pPr>
        <w:pStyle w:val="Header"/>
        <w:tabs>
          <w:tab w:val="num" w:pos="1080"/>
        </w:tabs>
        <w:rPr>
          <w:color w:val="000000" w:themeColor="text1"/>
          <w:szCs w:val="24"/>
        </w:rPr>
      </w:pPr>
      <w:r w:rsidRPr="00393FA8">
        <w:rPr>
          <w:color w:val="000000" w:themeColor="text1"/>
          <w:szCs w:val="24"/>
        </w:rPr>
        <w:t xml:space="preserve">Item 1 </w:t>
      </w:r>
      <w:r w:rsidR="00786260" w:rsidRPr="00393FA8">
        <w:rPr>
          <w:color w:val="000000" w:themeColor="text1"/>
          <w:szCs w:val="24"/>
        </w:rPr>
        <w:t xml:space="preserve">inserts the definition of a residential aged care facility, which means a facility where residential care (as defined in section 41-3 of the </w:t>
      </w:r>
      <w:r w:rsidR="00786260" w:rsidRPr="00393FA8">
        <w:rPr>
          <w:i/>
          <w:color w:val="000000" w:themeColor="text1"/>
          <w:szCs w:val="24"/>
        </w:rPr>
        <w:t>Aged Care Act 1997</w:t>
      </w:r>
      <w:r w:rsidR="00786260" w:rsidRPr="00393FA8">
        <w:rPr>
          <w:color w:val="000000" w:themeColor="text1"/>
          <w:szCs w:val="24"/>
        </w:rPr>
        <w:t>) is provided</w:t>
      </w:r>
      <w:r w:rsidR="00E9090A" w:rsidRPr="00393FA8">
        <w:rPr>
          <w:color w:val="000000" w:themeColor="text1"/>
          <w:szCs w:val="24"/>
        </w:rPr>
        <w:t xml:space="preserve">, and the definition of staff member, which has the same meaning as in Schedule 1 to the </w:t>
      </w:r>
      <w:r w:rsidR="007310A0" w:rsidRPr="00393FA8">
        <w:rPr>
          <w:i/>
          <w:color w:val="000000" w:themeColor="text1"/>
          <w:szCs w:val="24"/>
        </w:rPr>
        <w:t>Aged Care Act </w:t>
      </w:r>
      <w:r w:rsidR="00E9090A" w:rsidRPr="00393FA8">
        <w:rPr>
          <w:i/>
          <w:color w:val="000000" w:themeColor="text1"/>
          <w:szCs w:val="24"/>
        </w:rPr>
        <w:t>1997</w:t>
      </w:r>
      <w:r w:rsidR="00786260" w:rsidRPr="00393FA8">
        <w:rPr>
          <w:color w:val="000000" w:themeColor="text1"/>
          <w:szCs w:val="24"/>
        </w:rPr>
        <w:t>.</w:t>
      </w:r>
      <w:r w:rsidR="00E9090A" w:rsidRPr="00393FA8">
        <w:rPr>
          <w:color w:val="000000" w:themeColor="text1"/>
          <w:szCs w:val="24"/>
        </w:rPr>
        <w:t xml:space="preserve">  Schedule 1 of the </w:t>
      </w:r>
      <w:r w:rsidR="00E9090A" w:rsidRPr="00393FA8">
        <w:rPr>
          <w:i/>
          <w:color w:val="000000" w:themeColor="text1"/>
          <w:szCs w:val="24"/>
        </w:rPr>
        <w:t>Aged Care Act 1997</w:t>
      </w:r>
      <w:r w:rsidR="00E9090A" w:rsidRPr="00393FA8">
        <w:rPr>
          <w:color w:val="000000" w:themeColor="text1"/>
          <w:szCs w:val="24"/>
        </w:rPr>
        <w:t xml:space="preserve"> provides that </w:t>
      </w:r>
      <w:r w:rsidR="00E9090A" w:rsidRPr="00393FA8">
        <w:rPr>
          <w:i/>
          <w:color w:val="000000" w:themeColor="text1"/>
          <w:szCs w:val="24"/>
        </w:rPr>
        <w:t xml:space="preserve">staff member </w:t>
      </w:r>
      <w:r w:rsidR="00E9090A" w:rsidRPr="00393FA8">
        <w:rPr>
          <w:color w:val="000000" w:themeColor="text1"/>
          <w:szCs w:val="24"/>
        </w:rPr>
        <w:t>of an approved provider means an individual who is employed, hired, retained or contracted by the approved provider (whether directly or through an employment or recruiting agency) to provide care or other services.</w:t>
      </w:r>
    </w:p>
    <w:p w14:paraId="38DEC2CF" w14:textId="359CBA1E" w:rsidR="00786260" w:rsidRPr="00393FA8" w:rsidRDefault="00786260" w:rsidP="00505F9A">
      <w:pPr>
        <w:pStyle w:val="Header"/>
        <w:tabs>
          <w:tab w:val="num" w:pos="1080"/>
        </w:tabs>
        <w:rPr>
          <w:color w:val="000000" w:themeColor="text1"/>
          <w:szCs w:val="24"/>
        </w:rPr>
      </w:pPr>
    </w:p>
    <w:p w14:paraId="589CD8D4" w14:textId="02141F43" w:rsidR="00786260" w:rsidRPr="00393FA8" w:rsidRDefault="00786260" w:rsidP="00505F9A">
      <w:pPr>
        <w:pStyle w:val="Header"/>
        <w:tabs>
          <w:tab w:val="num" w:pos="1080"/>
        </w:tabs>
        <w:rPr>
          <w:b/>
          <w:color w:val="000000" w:themeColor="text1"/>
          <w:szCs w:val="24"/>
        </w:rPr>
      </w:pPr>
      <w:r w:rsidRPr="00393FA8">
        <w:rPr>
          <w:b/>
          <w:color w:val="000000" w:themeColor="text1"/>
          <w:szCs w:val="24"/>
        </w:rPr>
        <w:t xml:space="preserve">Item 2 – </w:t>
      </w:r>
      <w:r w:rsidR="00E9090A" w:rsidRPr="00393FA8">
        <w:rPr>
          <w:b/>
          <w:color w:val="000000" w:themeColor="text1"/>
          <w:szCs w:val="24"/>
        </w:rPr>
        <w:t>Subparagraph 5(1</w:t>
      </w:r>
      <w:proofErr w:type="gramStart"/>
      <w:r w:rsidR="00E9090A" w:rsidRPr="00393FA8">
        <w:rPr>
          <w:b/>
          <w:color w:val="000000" w:themeColor="text1"/>
          <w:szCs w:val="24"/>
        </w:rPr>
        <w:t>)(</w:t>
      </w:r>
      <w:proofErr w:type="gramEnd"/>
      <w:r w:rsidR="00E9090A" w:rsidRPr="00393FA8">
        <w:rPr>
          <w:b/>
          <w:color w:val="000000" w:themeColor="text1"/>
          <w:szCs w:val="24"/>
        </w:rPr>
        <w:t>b)(ii)</w:t>
      </w:r>
    </w:p>
    <w:p w14:paraId="213E1E06" w14:textId="30723C47" w:rsidR="00786260" w:rsidRPr="00393FA8" w:rsidRDefault="00786260" w:rsidP="00505F9A">
      <w:pPr>
        <w:pStyle w:val="Header"/>
        <w:tabs>
          <w:tab w:val="num" w:pos="1080"/>
        </w:tabs>
        <w:rPr>
          <w:color w:val="000000" w:themeColor="text1"/>
          <w:szCs w:val="24"/>
        </w:rPr>
      </w:pPr>
      <w:r w:rsidRPr="00393FA8">
        <w:rPr>
          <w:color w:val="000000" w:themeColor="text1"/>
          <w:szCs w:val="24"/>
        </w:rPr>
        <w:t xml:space="preserve">Item 2 </w:t>
      </w:r>
      <w:r w:rsidR="00F118CF" w:rsidRPr="00393FA8">
        <w:rPr>
          <w:color w:val="000000" w:themeColor="text1"/>
          <w:szCs w:val="24"/>
        </w:rPr>
        <w:t>omits the words “the Schedule” and substitutes “this instrument” in subparagraph 5(1)(b)(ii)</w:t>
      </w:r>
      <w:r w:rsidR="00FF29B6" w:rsidRPr="00393FA8">
        <w:rPr>
          <w:color w:val="000000" w:themeColor="text1"/>
          <w:szCs w:val="24"/>
        </w:rPr>
        <w:t xml:space="preserve"> of the Amendment Determination, to reflect that the fee specified in the Schedule in relation to each service may be </w:t>
      </w:r>
      <w:r w:rsidR="007310A0" w:rsidRPr="00393FA8">
        <w:rPr>
          <w:color w:val="000000" w:themeColor="text1"/>
          <w:szCs w:val="24"/>
        </w:rPr>
        <w:t>increased</w:t>
      </w:r>
      <w:r w:rsidR="00FF29B6" w:rsidRPr="00393FA8">
        <w:rPr>
          <w:color w:val="000000" w:themeColor="text1"/>
          <w:szCs w:val="24"/>
        </w:rPr>
        <w:t xml:space="preserve"> by new section 9 (see item 3 below). </w:t>
      </w:r>
    </w:p>
    <w:p w14:paraId="65A741CE" w14:textId="6DFA70BC" w:rsidR="004B6D9A" w:rsidRPr="00393FA8" w:rsidRDefault="004B6D9A" w:rsidP="00505F9A">
      <w:pPr>
        <w:pStyle w:val="Header"/>
        <w:tabs>
          <w:tab w:val="num" w:pos="1080"/>
        </w:tabs>
        <w:rPr>
          <w:color w:val="000000" w:themeColor="text1"/>
          <w:szCs w:val="24"/>
        </w:rPr>
      </w:pPr>
    </w:p>
    <w:p w14:paraId="3BC3CF9D" w14:textId="0D43213B" w:rsidR="004B6D9A" w:rsidRPr="00393FA8" w:rsidRDefault="004B6D9A" w:rsidP="00A65756">
      <w:pPr>
        <w:pStyle w:val="Header"/>
        <w:keepNext/>
        <w:keepLines/>
        <w:tabs>
          <w:tab w:val="num" w:pos="1080"/>
        </w:tabs>
        <w:rPr>
          <w:b/>
          <w:color w:val="000000" w:themeColor="text1"/>
          <w:szCs w:val="24"/>
        </w:rPr>
      </w:pPr>
      <w:r w:rsidRPr="00393FA8">
        <w:rPr>
          <w:b/>
          <w:color w:val="000000" w:themeColor="text1"/>
          <w:szCs w:val="24"/>
        </w:rPr>
        <w:lastRenderedPageBreak/>
        <w:t>Item 3 – After Section 8</w:t>
      </w:r>
    </w:p>
    <w:p w14:paraId="386E001D" w14:textId="6222AAE7" w:rsidR="00841634" w:rsidRPr="00393FA8" w:rsidRDefault="004B6D9A" w:rsidP="00A65756">
      <w:pPr>
        <w:pStyle w:val="Header"/>
        <w:keepNext/>
        <w:keepLines/>
        <w:tabs>
          <w:tab w:val="num" w:pos="1080"/>
        </w:tabs>
        <w:rPr>
          <w:color w:val="000000" w:themeColor="text1"/>
          <w:szCs w:val="24"/>
        </w:rPr>
      </w:pPr>
      <w:r w:rsidRPr="00393FA8">
        <w:rPr>
          <w:color w:val="000000" w:themeColor="text1"/>
          <w:szCs w:val="24"/>
        </w:rPr>
        <w:t>Item 3 inserts new section 9 to provide for the</w:t>
      </w:r>
      <w:r w:rsidR="00D10940" w:rsidRPr="00393FA8">
        <w:rPr>
          <w:color w:val="000000" w:themeColor="text1"/>
          <w:szCs w:val="24"/>
        </w:rPr>
        <w:t xml:space="preserve"> </w:t>
      </w:r>
      <w:r w:rsidR="005D2430" w:rsidRPr="00393FA8">
        <w:rPr>
          <w:color w:val="000000" w:themeColor="text1"/>
          <w:szCs w:val="24"/>
        </w:rPr>
        <w:t xml:space="preserve">MBS </w:t>
      </w:r>
      <w:r w:rsidR="00D10940" w:rsidRPr="00393FA8">
        <w:rPr>
          <w:color w:val="000000" w:themeColor="text1"/>
          <w:szCs w:val="24"/>
        </w:rPr>
        <w:t xml:space="preserve">fee for </w:t>
      </w:r>
      <w:r w:rsidR="0035448D" w:rsidRPr="00393FA8">
        <w:rPr>
          <w:color w:val="000000" w:themeColor="text1"/>
          <w:szCs w:val="24"/>
        </w:rPr>
        <w:t xml:space="preserve">an </w:t>
      </w:r>
      <w:r w:rsidR="00D10940" w:rsidRPr="00393FA8">
        <w:rPr>
          <w:color w:val="000000" w:themeColor="text1"/>
          <w:szCs w:val="24"/>
        </w:rPr>
        <w:t>item</w:t>
      </w:r>
      <w:r w:rsidRPr="00393FA8">
        <w:rPr>
          <w:color w:val="000000" w:themeColor="text1"/>
          <w:szCs w:val="24"/>
        </w:rPr>
        <w:t xml:space="preserve"> </w:t>
      </w:r>
      <w:r w:rsidR="00D10940" w:rsidRPr="00393FA8">
        <w:rPr>
          <w:color w:val="000000" w:themeColor="text1"/>
          <w:szCs w:val="24"/>
        </w:rPr>
        <w:t xml:space="preserve">to include </w:t>
      </w:r>
      <w:r w:rsidR="0035448D" w:rsidRPr="00393FA8">
        <w:rPr>
          <w:color w:val="000000" w:themeColor="text1"/>
          <w:szCs w:val="24"/>
        </w:rPr>
        <w:t xml:space="preserve">the </w:t>
      </w:r>
      <w:r w:rsidR="00D10940" w:rsidRPr="00393FA8">
        <w:rPr>
          <w:color w:val="000000" w:themeColor="text1"/>
          <w:szCs w:val="24"/>
        </w:rPr>
        <w:t xml:space="preserve">amount </w:t>
      </w:r>
      <w:r w:rsidR="00A711B3" w:rsidRPr="00393FA8">
        <w:rPr>
          <w:color w:val="000000" w:themeColor="text1"/>
          <w:szCs w:val="24"/>
        </w:rPr>
        <w:t>of $6</w:t>
      </w:r>
      <w:r w:rsidRPr="00393FA8">
        <w:rPr>
          <w:color w:val="000000" w:themeColor="text1"/>
          <w:szCs w:val="24"/>
        </w:rPr>
        <w:t xml:space="preserve">6.75 in addition to the amount listed </w:t>
      </w:r>
      <w:r w:rsidR="0035448D" w:rsidRPr="00393FA8">
        <w:rPr>
          <w:color w:val="000000" w:themeColor="text1"/>
          <w:szCs w:val="24"/>
        </w:rPr>
        <w:t xml:space="preserve">for </w:t>
      </w:r>
      <w:r w:rsidRPr="00393FA8">
        <w:rPr>
          <w:color w:val="000000" w:themeColor="text1"/>
          <w:szCs w:val="24"/>
        </w:rPr>
        <w:t>the MBS item</w:t>
      </w:r>
      <w:r w:rsidR="0035448D" w:rsidRPr="00393FA8">
        <w:rPr>
          <w:color w:val="000000" w:themeColor="text1"/>
          <w:szCs w:val="24"/>
        </w:rPr>
        <w:t xml:space="preserve"> in the Schedule</w:t>
      </w:r>
      <w:r w:rsidRPr="00393FA8">
        <w:rPr>
          <w:color w:val="000000" w:themeColor="text1"/>
          <w:szCs w:val="24"/>
        </w:rPr>
        <w:t>, if a GP or OMP attends a residential aged care facility</w:t>
      </w:r>
      <w:r w:rsidR="00841634" w:rsidRPr="00393FA8">
        <w:rPr>
          <w:color w:val="000000" w:themeColor="text1"/>
          <w:szCs w:val="24"/>
        </w:rPr>
        <w:t>, residential disability facility setting</w:t>
      </w:r>
      <w:r w:rsidRPr="00393FA8">
        <w:rPr>
          <w:color w:val="000000" w:themeColor="text1"/>
          <w:szCs w:val="24"/>
        </w:rPr>
        <w:t xml:space="preserve"> or the person’s place of residence.</w:t>
      </w:r>
      <w:r w:rsidR="0035448D" w:rsidRPr="00393FA8">
        <w:rPr>
          <w:color w:val="000000" w:themeColor="text1"/>
          <w:szCs w:val="24"/>
        </w:rPr>
        <w:t xml:space="preserve"> </w:t>
      </w:r>
      <w:r w:rsidRPr="00393FA8">
        <w:rPr>
          <w:color w:val="000000" w:themeColor="text1"/>
          <w:szCs w:val="24"/>
        </w:rPr>
        <w:t xml:space="preserve">The </w:t>
      </w:r>
      <w:r w:rsidR="005D2430" w:rsidRPr="00393FA8">
        <w:rPr>
          <w:color w:val="000000" w:themeColor="text1"/>
          <w:szCs w:val="24"/>
        </w:rPr>
        <w:t xml:space="preserve">increased fee </w:t>
      </w:r>
      <w:r w:rsidRPr="00393FA8">
        <w:rPr>
          <w:color w:val="000000" w:themeColor="text1"/>
          <w:szCs w:val="24"/>
        </w:rPr>
        <w:t xml:space="preserve">will only be applicable for the first patient who is seen at the residential aged care facility, </w:t>
      </w:r>
      <w:r w:rsidR="00841634" w:rsidRPr="00393FA8">
        <w:rPr>
          <w:color w:val="000000" w:themeColor="text1"/>
          <w:szCs w:val="24"/>
        </w:rPr>
        <w:t xml:space="preserve">residential disability facility, </w:t>
      </w:r>
      <w:r w:rsidRPr="00393FA8">
        <w:rPr>
          <w:color w:val="000000" w:themeColor="text1"/>
          <w:szCs w:val="24"/>
        </w:rPr>
        <w:t>at a person’s place of residence</w:t>
      </w:r>
      <w:r w:rsidR="007310A0" w:rsidRPr="00393FA8">
        <w:rPr>
          <w:color w:val="000000" w:themeColor="text1"/>
          <w:szCs w:val="24"/>
        </w:rPr>
        <w:t>,</w:t>
      </w:r>
      <w:r w:rsidR="0035448D" w:rsidRPr="00393FA8">
        <w:rPr>
          <w:color w:val="000000" w:themeColor="text1"/>
          <w:szCs w:val="24"/>
        </w:rPr>
        <w:t xml:space="preserve"> on each occasion that the GP or OMP attends the facility or residence</w:t>
      </w:r>
      <w:r w:rsidRPr="00393FA8">
        <w:rPr>
          <w:color w:val="000000" w:themeColor="text1"/>
          <w:szCs w:val="24"/>
        </w:rPr>
        <w:t xml:space="preserve">. </w:t>
      </w:r>
    </w:p>
    <w:p w14:paraId="5CCB33B7" w14:textId="77777777" w:rsidR="00841634" w:rsidRPr="00393FA8" w:rsidRDefault="00841634" w:rsidP="00505F9A">
      <w:pPr>
        <w:pStyle w:val="Header"/>
        <w:tabs>
          <w:tab w:val="num" w:pos="1080"/>
        </w:tabs>
        <w:rPr>
          <w:color w:val="000000" w:themeColor="text1"/>
          <w:szCs w:val="24"/>
        </w:rPr>
      </w:pPr>
    </w:p>
    <w:p w14:paraId="3F57CDEF" w14:textId="70288034" w:rsidR="0035448D" w:rsidRPr="00393FA8" w:rsidRDefault="001C4F22" w:rsidP="00505F9A">
      <w:pPr>
        <w:pStyle w:val="Header"/>
        <w:tabs>
          <w:tab w:val="num" w:pos="1080"/>
        </w:tabs>
        <w:rPr>
          <w:color w:val="000000" w:themeColor="text1"/>
          <w:szCs w:val="24"/>
        </w:rPr>
      </w:pPr>
      <w:r w:rsidRPr="00393FA8">
        <w:rPr>
          <w:color w:val="000000" w:themeColor="text1"/>
          <w:szCs w:val="24"/>
        </w:rPr>
        <w:t xml:space="preserve">No change is being made to the requirement that the MBS items in the Principal Determination must be bulk-billed, meaning patients will continue not to experience any out-of-pocket costs. </w:t>
      </w:r>
    </w:p>
    <w:p w14:paraId="22345D2E" w14:textId="77777777" w:rsidR="0035448D" w:rsidRPr="00393FA8" w:rsidRDefault="0035448D" w:rsidP="00505F9A">
      <w:pPr>
        <w:pStyle w:val="Header"/>
        <w:tabs>
          <w:tab w:val="num" w:pos="1080"/>
        </w:tabs>
        <w:rPr>
          <w:color w:val="000000" w:themeColor="text1"/>
          <w:szCs w:val="24"/>
        </w:rPr>
      </w:pPr>
    </w:p>
    <w:p w14:paraId="610B1E80" w14:textId="38B1034C" w:rsidR="0035448D" w:rsidRPr="00393FA8" w:rsidRDefault="00D10940" w:rsidP="00505F9A">
      <w:pPr>
        <w:pStyle w:val="Header"/>
        <w:tabs>
          <w:tab w:val="num" w:pos="1080"/>
        </w:tabs>
        <w:rPr>
          <w:color w:val="000000" w:themeColor="text1"/>
          <w:szCs w:val="24"/>
        </w:rPr>
      </w:pPr>
      <w:r w:rsidRPr="00393FA8">
        <w:rPr>
          <w:color w:val="000000" w:themeColor="text1"/>
          <w:szCs w:val="24"/>
        </w:rPr>
        <w:t xml:space="preserve">The </w:t>
      </w:r>
      <w:r w:rsidR="008F0BD5" w:rsidRPr="00393FA8">
        <w:rPr>
          <w:color w:val="000000" w:themeColor="text1"/>
          <w:szCs w:val="24"/>
        </w:rPr>
        <w:t xml:space="preserve">increased fee </w:t>
      </w:r>
      <w:r w:rsidR="0035448D" w:rsidRPr="00393FA8">
        <w:rPr>
          <w:color w:val="000000" w:themeColor="text1"/>
          <w:szCs w:val="24"/>
        </w:rPr>
        <w:t>only applies to a service provided at a residential aged care facility if the patient is a care recipient in the facility or a staff member of the approved provider operating the facility.</w:t>
      </w:r>
      <w:r w:rsidR="00841634" w:rsidRPr="00393FA8">
        <w:rPr>
          <w:color w:val="000000" w:themeColor="text1"/>
          <w:szCs w:val="24"/>
        </w:rPr>
        <w:t xml:space="preserve"> </w:t>
      </w:r>
      <w:r w:rsidR="0035448D" w:rsidRPr="00393FA8">
        <w:rPr>
          <w:color w:val="000000" w:themeColor="text1"/>
          <w:szCs w:val="24"/>
        </w:rPr>
        <w:t xml:space="preserve">Staff member of the approved provider has the same meaning as in the </w:t>
      </w:r>
      <w:r w:rsidR="0035448D" w:rsidRPr="00393FA8">
        <w:rPr>
          <w:i/>
          <w:color w:val="000000" w:themeColor="text1"/>
          <w:szCs w:val="24"/>
        </w:rPr>
        <w:t xml:space="preserve">Aged Care Act 1997 </w:t>
      </w:r>
      <w:r w:rsidR="0035448D" w:rsidRPr="00393FA8">
        <w:rPr>
          <w:color w:val="000000" w:themeColor="text1"/>
          <w:szCs w:val="24"/>
        </w:rPr>
        <w:t xml:space="preserve">(see item 1 above). </w:t>
      </w:r>
    </w:p>
    <w:p w14:paraId="109BECC9" w14:textId="77777777" w:rsidR="0035448D" w:rsidRPr="00393FA8" w:rsidRDefault="0035448D" w:rsidP="00505F9A">
      <w:pPr>
        <w:pStyle w:val="Header"/>
        <w:tabs>
          <w:tab w:val="num" w:pos="1080"/>
        </w:tabs>
        <w:rPr>
          <w:color w:val="000000" w:themeColor="text1"/>
          <w:szCs w:val="24"/>
        </w:rPr>
      </w:pPr>
    </w:p>
    <w:p w14:paraId="7202C34A" w14:textId="60F0C31F" w:rsidR="001C4F22" w:rsidRPr="00393FA8" w:rsidRDefault="0035448D" w:rsidP="00505F9A">
      <w:pPr>
        <w:pStyle w:val="Header"/>
        <w:tabs>
          <w:tab w:val="num" w:pos="1080"/>
        </w:tabs>
        <w:rPr>
          <w:color w:val="000000" w:themeColor="text1"/>
          <w:szCs w:val="24"/>
        </w:rPr>
      </w:pPr>
      <w:r w:rsidRPr="00393FA8">
        <w:rPr>
          <w:color w:val="000000" w:themeColor="text1"/>
          <w:szCs w:val="24"/>
        </w:rPr>
        <w:t>The</w:t>
      </w:r>
      <w:r w:rsidR="008F0BD5" w:rsidRPr="00393FA8">
        <w:rPr>
          <w:color w:val="000000" w:themeColor="text1"/>
          <w:szCs w:val="24"/>
        </w:rPr>
        <w:t xml:space="preserve"> increased fee</w:t>
      </w:r>
      <w:r w:rsidRPr="00393FA8">
        <w:rPr>
          <w:color w:val="000000" w:themeColor="text1"/>
          <w:szCs w:val="24"/>
        </w:rPr>
        <w:t xml:space="preserve"> only applies to a service provided at a person’s place of residence </w:t>
      </w:r>
      <w:r w:rsidR="004B6D9A" w:rsidRPr="00393FA8">
        <w:rPr>
          <w:color w:val="000000" w:themeColor="text1"/>
          <w:szCs w:val="24"/>
        </w:rPr>
        <w:t xml:space="preserve">if the </w:t>
      </w:r>
      <w:r w:rsidRPr="00393FA8">
        <w:rPr>
          <w:color w:val="000000" w:themeColor="text1"/>
          <w:szCs w:val="24"/>
        </w:rPr>
        <w:t xml:space="preserve">patient </w:t>
      </w:r>
      <w:r w:rsidR="004B6D9A" w:rsidRPr="00393FA8">
        <w:rPr>
          <w:color w:val="000000" w:themeColor="text1"/>
          <w:szCs w:val="24"/>
        </w:rPr>
        <w:t xml:space="preserve">is unable to attend </w:t>
      </w:r>
      <w:r w:rsidRPr="00393FA8">
        <w:rPr>
          <w:color w:val="000000" w:themeColor="text1"/>
          <w:szCs w:val="24"/>
        </w:rPr>
        <w:t xml:space="preserve">the practice location </w:t>
      </w:r>
      <w:r w:rsidR="004B6D9A" w:rsidRPr="00393FA8">
        <w:rPr>
          <w:color w:val="000000" w:themeColor="text1"/>
          <w:szCs w:val="24"/>
        </w:rPr>
        <w:t xml:space="preserve">because of the </w:t>
      </w:r>
      <w:r w:rsidR="00EB4631" w:rsidRPr="00393FA8">
        <w:rPr>
          <w:color w:val="000000" w:themeColor="text1"/>
          <w:szCs w:val="24"/>
        </w:rPr>
        <w:t xml:space="preserve">patient’s </w:t>
      </w:r>
      <w:r w:rsidR="004B6D9A" w:rsidRPr="00393FA8">
        <w:rPr>
          <w:color w:val="000000" w:themeColor="text1"/>
          <w:szCs w:val="24"/>
        </w:rPr>
        <w:t xml:space="preserve">medical condition, disability, dementia or frailty. </w:t>
      </w:r>
    </w:p>
    <w:p w14:paraId="32AF75C7" w14:textId="77777777" w:rsidR="00841634" w:rsidRPr="00393FA8" w:rsidRDefault="00841634" w:rsidP="00841634">
      <w:pPr>
        <w:pStyle w:val="Item"/>
        <w:spacing w:before="0"/>
        <w:ind w:left="0"/>
        <w:rPr>
          <w:color w:val="000000" w:themeColor="text1"/>
          <w:sz w:val="24"/>
          <w:szCs w:val="24"/>
        </w:rPr>
      </w:pPr>
    </w:p>
    <w:p w14:paraId="7514B78F" w14:textId="353D1303" w:rsidR="00841634" w:rsidRPr="00393FA8" w:rsidRDefault="00841634" w:rsidP="00841634">
      <w:pPr>
        <w:pStyle w:val="Item"/>
        <w:spacing w:before="0"/>
        <w:ind w:left="0"/>
        <w:rPr>
          <w:color w:val="000000" w:themeColor="text1"/>
          <w:sz w:val="24"/>
          <w:szCs w:val="24"/>
        </w:rPr>
      </w:pPr>
      <w:r w:rsidRPr="00393FA8">
        <w:rPr>
          <w:color w:val="000000" w:themeColor="text1"/>
          <w:sz w:val="24"/>
          <w:szCs w:val="24"/>
        </w:rPr>
        <w:t xml:space="preserve">The increased fee only applies to a service provided at a residential disability facility setting if the patient is a recipient in the facility or is employed, hired, retained or contracted (whether directly or through an employment or recruiting agency) to provide care and other care related services in the facility. </w:t>
      </w:r>
    </w:p>
    <w:p w14:paraId="366BAE33" w14:textId="2C8B3FA0" w:rsidR="00786260" w:rsidRPr="00393FA8" w:rsidRDefault="00786260" w:rsidP="00505F9A">
      <w:pPr>
        <w:pStyle w:val="Header"/>
        <w:tabs>
          <w:tab w:val="num" w:pos="1080"/>
        </w:tabs>
        <w:rPr>
          <w:color w:val="000000" w:themeColor="text1"/>
          <w:szCs w:val="24"/>
        </w:rPr>
      </w:pPr>
    </w:p>
    <w:p w14:paraId="1F7BD772" w14:textId="6C6F3236" w:rsidR="004B6D9A" w:rsidRPr="00393FA8" w:rsidRDefault="004B6D9A" w:rsidP="00505F9A">
      <w:pPr>
        <w:pStyle w:val="Header"/>
        <w:tabs>
          <w:tab w:val="num" w:pos="1080"/>
        </w:tabs>
        <w:rPr>
          <w:color w:val="000000" w:themeColor="text1"/>
          <w:szCs w:val="24"/>
        </w:rPr>
      </w:pPr>
    </w:p>
    <w:p w14:paraId="1C4F597E" w14:textId="77777777" w:rsidR="00223A02" w:rsidRPr="00393FA8" w:rsidRDefault="00223A02" w:rsidP="00223A02">
      <w:pPr>
        <w:ind w:right="-483"/>
        <w:rPr>
          <w:color w:val="000000" w:themeColor="text1"/>
          <w:szCs w:val="24"/>
        </w:rPr>
      </w:pPr>
    </w:p>
    <w:p w14:paraId="4F7C3EF1" w14:textId="77777777" w:rsidR="004B6D9A" w:rsidRPr="00393FA8" w:rsidRDefault="004B6D9A" w:rsidP="00505F9A">
      <w:pPr>
        <w:pStyle w:val="Header"/>
        <w:tabs>
          <w:tab w:val="num" w:pos="1080"/>
        </w:tabs>
        <w:rPr>
          <w:color w:val="000000" w:themeColor="text1"/>
          <w:szCs w:val="24"/>
        </w:rPr>
      </w:pPr>
    </w:p>
    <w:p w14:paraId="10EA8839" w14:textId="77777777" w:rsidR="00786260" w:rsidRPr="00393FA8" w:rsidRDefault="00786260" w:rsidP="00505F9A">
      <w:pPr>
        <w:pStyle w:val="Header"/>
        <w:tabs>
          <w:tab w:val="num" w:pos="1080"/>
        </w:tabs>
        <w:rPr>
          <w:color w:val="000000" w:themeColor="text1"/>
          <w:szCs w:val="24"/>
        </w:rPr>
      </w:pPr>
    </w:p>
    <w:p w14:paraId="1ED57A82" w14:textId="77777777" w:rsidR="000D596C" w:rsidRPr="00393FA8" w:rsidRDefault="000D596C" w:rsidP="00505F9A">
      <w:pPr>
        <w:pStyle w:val="Header"/>
        <w:tabs>
          <w:tab w:val="num" w:pos="1080"/>
        </w:tabs>
        <w:rPr>
          <w:color w:val="000000" w:themeColor="text1"/>
          <w:szCs w:val="24"/>
        </w:rPr>
      </w:pPr>
    </w:p>
    <w:p w14:paraId="1FA365A5" w14:textId="77777777" w:rsidR="000A7DC9" w:rsidRPr="00393FA8" w:rsidRDefault="000A7DC9" w:rsidP="00505F9A">
      <w:pPr>
        <w:pStyle w:val="Header"/>
        <w:tabs>
          <w:tab w:val="num" w:pos="1080"/>
        </w:tabs>
        <w:rPr>
          <w:color w:val="000000" w:themeColor="text1"/>
          <w:szCs w:val="24"/>
        </w:rPr>
      </w:pPr>
    </w:p>
    <w:p w14:paraId="0C7E649E" w14:textId="77777777" w:rsidR="00C63FDC" w:rsidRPr="00393FA8" w:rsidRDefault="00C63FDC" w:rsidP="00C63FDC">
      <w:pPr>
        <w:pStyle w:val="Header"/>
        <w:tabs>
          <w:tab w:val="num" w:pos="1080"/>
        </w:tabs>
        <w:rPr>
          <w:i/>
          <w:color w:val="000000" w:themeColor="text1"/>
          <w:szCs w:val="24"/>
        </w:rPr>
      </w:pPr>
    </w:p>
    <w:p w14:paraId="371F01D6" w14:textId="0A9BE571" w:rsidR="007708B3" w:rsidRPr="00393FA8" w:rsidRDefault="007708B3" w:rsidP="00C63FDC">
      <w:pPr>
        <w:pStyle w:val="Header"/>
        <w:tabs>
          <w:tab w:val="num" w:pos="1080"/>
        </w:tabs>
        <w:rPr>
          <w:b/>
          <w:color w:val="000000" w:themeColor="text1"/>
          <w:szCs w:val="24"/>
        </w:rPr>
      </w:pPr>
    </w:p>
    <w:p w14:paraId="52353FF8" w14:textId="77777777" w:rsidR="000A7DC9" w:rsidRPr="00393FA8" w:rsidRDefault="000A7DC9" w:rsidP="00C63FDC">
      <w:pPr>
        <w:pStyle w:val="Header"/>
        <w:tabs>
          <w:tab w:val="num" w:pos="1080"/>
        </w:tabs>
        <w:rPr>
          <w:b/>
          <w:color w:val="000000" w:themeColor="text1"/>
          <w:szCs w:val="24"/>
        </w:rPr>
      </w:pPr>
    </w:p>
    <w:p w14:paraId="21DF9DDC" w14:textId="1767E1F1" w:rsidR="00331752" w:rsidRPr="00393FA8" w:rsidRDefault="00331752">
      <w:pPr>
        <w:spacing w:after="200" w:line="276" w:lineRule="auto"/>
        <w:rPr>
          <w:szCs w:val="24"/>
          <w:u w:val="single"/>
        </w:rPr>
      </w:pPr>
      <w:r w:rsidRPr="00393FA8">
        <w:rPr>
          <w:szCs w:val="24"/>
          <w:u w:val="single"/>
        </w:rPr>
        <w:br w:type="page"/>
      </w:r>
    </w:p>
    <w:p w14:paraId="2412D14E" w14:textId="632B4BE9" w:rsidR="00A17F2C" w:rsidRPr="00393FA8" w:rsidRDefault="00A17F2C" w:rsidP="008D136F">
      <w:pPr>
        <w:pStyle w:val="Header"/>
        <w:tabs>
          <w:tab w:val="num" w:pos="1080"/>
        </w:tabs>
        <w:jc w:val="center"/>
        <w:rPr>
          <w:b/>
          <w:sz w:val="28"/>
          <w:szCs w:val="28"/>
        </w:rPr>
      </w:pPr>
      <w:r w:rsidRPr="00393FA8">
        <w:rPr>
          <w:b/>
          <w:sz w:val="28"/>
          <w:szCs w:val="28"/>
        </w:rPr>
        <w:lastRenderedPageBreak/>
        <w:t>Statement of Compatibility with Human Rights</w:t>
      </w:r>
    </w:p>
    <w:p w14:paraId="2412D14F" w14:textId="77777777" w:rsidR="00A17F2C" w:rsidRPr="00393FA8" w:rsidRDefault="00A17F2C" w:rsidP="000337CB">
      <w:pPr>
        <w:spacing w:before="120" w:after="120"/>
        <w:jc w:val="center"/>
        <w:rPr>
          <w:szCs w:val="24"/>
        </w:rPr>
      </w:pPr>
      <w:r w:rsidRPr="00393FA8">
        <w:rPr>
          <w:i/>
          <w:szCs w:val="24"/>
        </w:rPr>
        <w:t>Prepared in accordance with Part 3 of the Human Rights (Parliamentary Scrutiny) Act 2011</w:t>
      </w:r>
    </w:p>
    <w:p w14:paraId="751DE726" w14:textId="77777777" w:rsidR="002A6C77" w:rsidRPr="00393FA8" w:rsidRDefault="002A6C77" w:rsidP="000337CB">
      <w:pPr>
        <w:tabs>
          <w:tab w:val="left" w:pos="1418"/>
        </w:tabs>
        <w:ind w:left="851"/>
        <w:jc w:val="center"/>
        <w:rPr>
          <w:b/>
          <w:i/>
          <w:iCs/>
        </w:rPr>
      </w:pPr>
    </w:p>
    <w:p w14:paraId="1BF56C38" w14:textId="1062818C" w:rsidR="007708B3" w:rsidRPr="00393FA8" w:rsidRDefault="00223A02" w:rsidP="000337CB">
      <w:pPr>
        <w:tabs>
          <w:tab w:val="left" w:pos="1418"/>
        </w:tabs>
        <w:ind w:left="851"/>
        <w:jc w:val="center"/>
        <w:rPr>
          <w:b/>
          <w:i/>
          <w:szCs w:val="24"/>
        </w:rPr>
      </w:pPr>
      <w:r w:rsidRPr="00393FA8">
        <w:rPr>
          <w:b/>
          <w:i/>
          <w:color w:val="000000" w:themeColor="text1"/>
          <w:szCs w:val="24"/>
        </w:rPr>
        <w:t>Health Insurance (Section 3C General Medical Services – General Practice Attendance for Assessing Patient Suitability for a COVID-19 Vaccine) Amendment Determination 2021</w:t>
      </w:r>
    </w:p>
    <w:p w14:paraId="2412D153" w14:textId="7AFD921D" w:rsidR="00A17F2C" w:rsidRPr="00393FA8" w:rsidRDefault="00A17F2C" w:rsidP="000337CB">
      <w:pPr>
        <w:jc w:val="center"/>
        <w:rPr>
          <w:szCs w:val="24"/>
        </w:rPr>
      </w:pPr>
      <w:r w:rsidRPr="00393FA8">
        <w:rPr>
          <w:szCs w:val="24"/>
        </w:rPr>
        <w:t xml:space="preserve">This </w:t>
      </w:r>
      <w:r w:rsidR="0046022A" w:rsidRPr="00393FA8">
        <w:rPr>
          <w:szCs w:val="24"/>
        </w:rPr>
        <w:t>instrument</w:t>
      </w:r>
      <w:r w:rsidRPr="00393FA8">
        <w:rPr>
          <w:szCs w:val="24"/>
        </w:rPr>
        <w:t xml:space="preserve"> is compatible with the human rights and freedoms recognised or declared in the international instruments listed in section 3 of the </w:t>
      </w:r>
      <w:r w:rsidRPr="00393FA8">
        <w:rPr>
          <w:i/>
          <w:szCs w:val="24"/>
        </w:rPr>
        <w:t>Human Rights (Parliamentary Scrutiny) Act 2011</w:t>
      </w:r>
      <w:r w:rsidRPr="00393FA8">
        <w:rPr>
          <w:szCs w:val="24"/>
        </w:rPr>
        <w:t>.</w:t>
      </w:r>
    </w:p>
    <w:p w14:paraId="7EDA9098" w14:textId="306A78E1" w:rsidR="006E6BBF" w:rsidRPr="00393FA8" w:rsidRDefault="006E6BBF" w:rsidP="008734F5">
      <w:pPr>
        <w:spacing w:before="120" w:after="120"/>
        <w:rPr>
          <w:b/>
          <w:szCs w:val="24"/>
        </w:rPr>
      </w:pPr>
      <w:r w:rsidRPr="00393FA8">
        <w:rPr>
          <w:b/>
          <w:szCs w:val="24"/>
        </w:rPr>
        <w:t xml:space="preserve">Overview of the </w:t>
      </w:r>
      <w:r w:rsidR="00B86A9F" w:rsidRPr="00393FA8">
        <w:rPr>
          <w:b/>
          <w:szCs w:val="24"/>
        </w:rPr>
        <w:t>Determination</w:t>
      </w:r>
    </w:p>
    <w:p w14:paraId="1B8B2FA2" w14:textId="127518DE" w:rsidR="007E5925" w:rsidRPr="00393FA8" w:rsidRDefault="007E5925" w:rsidP="003119EA">
      <w:pPr>
        <w:ind w:right="-483"/>
        <w:rPr>
          <w:color w:val="000000"/>
          <w:shd w:val="clear" w:color="auto" w:fill="FFFFFF"/>
        </w:rPr>
      </w:pPr>
      <w:r w:rsidRPr="00393FA8">
        <w:rPr>
          <w:color w:val="000000"/>
          <w:shd w:val="clear" w:color="auto" w:fill="FFFFFF"/>
        </w:rPr>
        <w:t xml:space="preserve">The </w:t>
      </w:r>
      <w:r w:rsidRPr="00393FA8">
        <w:rPr>
          <w:i/>
          <w:iCs/>
          <w:color w:val="000000"/>
          <w:shd w:val="clear" w:color="auto" w:fill="FFFFFF"/>
        </w:rPr>
        <w:t>Health Insurance (Section 3C General Medical Services – General Practice Attendance for Assessing Patient Suitability for a COVID-19 Vaccine) Determination 2021 </w:t>
      </w:r>
      <w:r w:rsidRPr="00393FA8">
        <w:rPr>
          <w:color w:val="000000"/>
          <w:shd w:val="clear" w:color="auto" w:fill="FFFFFF"/>
        </w:rPr>
        <w:t xml:space="preserve">(the Principal Determination) lists 16 Medicare Benefits Schedule (MBS) items to support general practices to administer the COVID-19 vaccine. </w:t>
      </w:r>
    </w:p>
    <w:p w14:paraId="3147A5C9" w14:textId="77777777" w:rsidR="007E5925" w:rsidRPr="00393FA8" w:rsidRDefault="007E5925" w:rsidP="003119EA">
      <w:pPr>
        <w:ind w:right="-483"/>
        <w:rPr>
          <w:color w:val="000000"/>
          <w:shd w:val="clear" w:color="auto" w:fill="FFFFFF"/>
        </w:rPr>
      </w:pPr>
    </w:p>
    <w:p w14:paraId="32EEB5EF" w14:textId="67285BEF" w:rsidR="003119EA" w:rsidRPr="00393FA8" w:rsidRDefault="003119EA" w:rsidP="003119EA">
      <w:pPr>
        <w:ind w:right="-483"/>
        <w:rPr>
          <w:color w:val="000000" w:themeColor="text1"/>
          <w:szCs w:val="24"/>
        </w:rPr>
      </w:pPr>
      <w:r w:rsidRPr="00393FA8">
        <w:rPr>
          <w:color w:val="000000" w:themeColor="text1"/>
          <w:szCs w:val="24"/>
        </w:rPr>
        <w:t xml:space="preserve">The purpose of </w:t>
      </w:r>
      <w:r w:rsidR="007E5925" w:rsidRPr="00393FA8">
        <w:rPr>
          <w:color w:val="000000" w:themeColor="text1"/>
          <w:szCs w:val="24"/>
        </w:rPr>
        <w:t xml:space="preserve">this instrument, </w:t>
      </w:r>
      <w:r w:rsidRPr="00393FA8">
        <w:rPr>
          <w:color w:val="000000" w:themeColor="text1"/>
          <w:szCs w:val="24"/>
        </w:rPr>
        <w:t xml:space="preserve">the </w:t>
      </w:r>
      <w:r w:rsidRPr="00393FA8">
        <w:rPr>
          <w:i/>
          <w:color w:val="000000" w:themeColor="text1"/>
          <w:szCs w:val="24"/>
        </w:rPr>
        <w:t xml:space="preserve">Health Insurance (Section 3C General Medical Services – General Practice Attendance for Assessing Patient Suitability for a COVID-19 Vaccine) Amendment Determination 2021 </w:t>
      </w:r>
      <w:r w:rsidRPr="00393FA8">
        <w:rPr>
          <w:color w:val="000000" w:themeColor="text1"/>
          <w:szCs w:val="24"/>
        </w:rPr>
        <w:t>(the Amendment Determination) is to</w:t>
      </w:r>
      <w:r w:rsidR="007E5925" w:rsidRPr="00393FA8">
        <w:rPr>
          <w:color w:val="000000" w:themeColor="text1"/>
          <w:szCs w:val="24"/>
        </w:rPr>
        <w:t xml:space="preserve"> amend the Principal Determination to</w:t>
      </w:r>
      <w:r w:rsidR="00144CD2" w:rsidRPr="00393FA8">
        <w:rPr>
          <w:color w:val="000000" w:themeColor="text1"/>
          <w:szCs w:val="24"/>
        </w:rPr>
        <w:t xml:space="preserve"> increase the schedule fee by $6</w:t>
      </w:r>
      <w:r w:rsidRPr="00393FA8">
        <w:rPr>
          <w:color w:val="000000" w:themeColor="text1"/>
          <w:szCs w:val="24"/>
        </w:rPr>
        <w:t xml:space="preserve">6.75, in addition to the schedule amount listed in the relevant MBS item, if a general practitioner (GP) or medical practitioner (other than a general practitioner) (OMP) attends a residential aged care facility or a person’s place of residence to provide the service.  </w:t>
      </w:r>
      <w:r w:rsidR="00651EAC" w:rsidRPr="00393FA8">
        <w:rPr>
          <w:color w:val="000000" w:themeColor="text1"/>
          <w:szCs w:val="24"/>
        </w:rPr>
        <w:t xml:space="preserve">The </w:t>
      </w:r>
      <w:r w:rsidR="001C4F22" w:rsidRPr="00393FA8">
        <w:rPr>
          <w:color w:val="000000" w:themeColor="text1"/>
          <w:szCs w:val="24"/>
        </w:rPr>
        <w:t xml:space="preserve">increased fee </w:t>
      </w:r>
      <w:r w:rsidR="00651EAC" w:rsidRPr="00393FA8">
        <w:rPr>
          <w:color w:val="000000" w:themeColor="text1"/>
          <w:szCs w:val="24"/>
        </w:rPr>
        <w:t>applies to the first patient who is seen on each occasion that the GP or OMP attends the residential aged care facility or place of residence.</w:t>
      </w:r>
      <w:r w:rsidR="001C4F22" w:rsidRPr="00393FA8">
        <w:rPr>
          <w:color w:val="000000" w:themeColor="text1"/>
          <w:szCs w:val="24"/>
        </w:rPr>
        <w:t xml:space="preserve"> No change is being made to the requirement that the MBS items in the Principal Determination must be bulk-billed, meaning patients will continue not to experience any out-of-pocket costs.</w:t>
      </w:r>
    </w:p>
    <w:p w14:paraId="636FD147" w14:textId="77777777" w:rsidR="003119EA" w:rsidRPr="00393FA8" w:rsidRDefault="003119EA" w:rsidP="003119EA">
      <w:pPr>
        <w:ind w:right="-483"/>
        <w:rPr>
          <w:color w:val="000000" w:themeColor="text1"/>
          <w:szCs w:val="24"/>
        </w:rPr>
      </w:pPr>
    </w:p>
    <w:p w14:paraId="791CF25C" w14:textId="07229434" w:rsidR="003119EA" w:rsidRPr="00393FA8" w:rsidRDefault="003119EA" w:rsidP="003119EA">
      <w:pPr>
        <w:ind w:right="-483"/>
        <w:rPr>
          <w:color w:val="000000" w:themeColor="text1"/>
          <w:szCs w:val="24"/>
        </w:rPr>
      </w:pPr>
      <w:r w:rsidRPr="00393FA8">
        <w:rPr>
          <w:color w:val="000000" w:themeColor="text1"/>
          <w:szCs w:val="24"/>
        </w:rPr>
        <w:t xml:space="preserve">The additional amount </w:t>
      </w:r>
      <w:r w:rsidR="00651EAC" w:rsidRPr="00393FA8">
        <w:rPr>
          <w:color w:val="000000" w:themeColor="text1"/>
          <w:szCs w:val="24"/>
        </w:rPr>
        <w:t xml:space="preserve">applies </w:t>
      </w:r>
      <w:r w:rsidRPr="00393FA8">
        <w:rPr>
          <w:color w:val="000000" w:themeColor="text1"/>
          <w:szCs w:val="24"/>
        </w:rPr>
        <w:t xml:space="preserve">to a service provided at a residential aged care facility </w:t>
      </w:r>
      <w:r w:rsidR="00651EAC" w:rsidRPr="00393FA8">
        <w:rPr>
          <w:color w:val="000000" w:themeColor="text1"/>
          <w:szCs w:val="24"/>
        </w:rPr>
        <w:t xml:space="preserve">to </w:t>
      </w:r>
      <w:r w:rsidR="004879D6" w:rsidRPr="00393FA8">
        <w:rPr>
          <w:color w:val="000000" w:themeColor="text1"/>
          <w:szCs w:val="24"/>
        </w:rPr>
        <w:t xml:space="preserve">a </w:t>
      </w:r>
      <w:r w:rsidRPr="00393FA8">
        <w:rPr>
          <w:color w:val="000000" w:themeColor="text1"/>
          <w:szCs w:val="24"/>
        </w:rPr>
        <w:t xml:space="preserve">patient who </w:t>
      </w:r>
      <w:r w:rsidR="004879D6" w:rsidRPr="00393FA8">
        <w:rPr>
          <w:color w:val="000000" w:themeColor="text1"/>
          <w:szCs w:val="24"/>
        </w:rPr>
        <w:t xml:space="preserve">is a </w:t>
      </w:r>
      <w:r w:rsidRPr="00393FA8">
        <w:rPr>
          <w:color w:val="000000" w:themeColor="text1"/>
          <w:szCs w:val="24"/>
        </w:rPr>
        <w:t xml:space="preserve">care recipient </w:t>
      </w:r>
      <w:r w:rsidR="004879D6" w:rsidRPr="00393FA8">
        <w:rPr>
          <w:color w:val="000000" w:themeColor="text1"/>
          <w:szCs w:val="24"/>
        </w:rPr>
        <w:t>of the facility or staff member of the approved provider of the facility</w:t>
      </w:r>
      <w:r w:rsidR="00651EAC" w:rsidRPr="00393FA8">
        <w:rPr>
          <w:color w:val="000000" w:themeColor="text1"/>
          <w:szCs w:val="24"/>
        </w:rPr>
        <w:t xml:space="preserve">.  The additional amount applies to a service provided at a person’s place of residence to </w:t>
      </w:r>
      <w:r w:rsidR="004879D6" w:rsidRPr="00393FA8">
        <w:rPr>
          <w:color w:val="000000" w:themeColor="text1"/>
          <w:szCs w:val="24"/>
        </w:rPr>
        <w:t>a patient</w:t>
      </w:r>
      <w:r w:rsidR="00651EAC" w:rsidRPr="00393FA8">
        <w:rPr>
          <w:color w:val="000000" w:themeColor="text1"/>
          <w:szCs w:val="24"/>
        </w:rPr>
        <w:t xml:space="preserve"> who </w:t>
      </w:r>
      <w:r w:rsidR="004879D6" w:rsidRPr="00393FA8">
        <w:rPr>
          <w:color w:val="000000" w:themeColor="text1"/>
          <w:szCs w:val="24"/>
        </w:rPr>
        <w:t xml:space="preserve">is </w:t>
      </w:r>
      <w:r w:rsidRPr="00393FA8">
        <w:rPr>
          <w:color w:val="000000" w:themeColor="text1"/>
          <w:szCs w:val="24"/>
        </w:rPr>
        <w:t xml:space="preserve">unable to attend </w:t>
      </w:r>
      <w:r w:rsidR="00651EAC" w:rsidRPr="00393FA8">
        <w:rPr>
          <w:color w:val="000000" w:themeColor="text1"/>
          <w:szCs w:val="24"/>
        </w:rPr>
        <w:t xml:space="preserve">the practice location </w:t>
      </w:r>
      <w:r w:rsidRPr="00393FA8">
        <w:rPr>
          <w:color w:val="000000" w:themeColor="text1"/>
          <w:szCs w:val="24"/>
        </w:rPr>
        <w:t>because of the patient’s medical condition, disability, dementia or frailty.</w:t>
      </w:r>
    </w:p>
    <w:p w14:paraId="31515278" w14:textId="28FBF7FC" w:rsidR="007708B3" w:rsidRPr="00393FA8" w:rsidRDefault="007708B3" w:rsidP="002A6C77">
      <w:pPr>
        <w:ind w:right="-482"/>
        <w:rPr>
          <w:iCs/>
        </w:rPr>
      </w:pPr>
    </w:p>
    <w:p w14:paraId="2412D15C" w14:textId="50D38E8B" w:rsidR="00A17F2C" w:rsidRPr="00393FA8" w:rsidRDefault="00A17F2C" w:rsidP="002A6C77">
      <w:pPr>
        <w:ind w:right="-482"/>
        <w:rPr>
          <w:b/>
          <w:szCs w:val="24"/>
        </w:rPr>
      </w:pPr>
      <w:r w:rsidRPr="00393FA8">
        <w:rPr>
          <w:b/>
          <w:szCs w:val="24"/>
        </w:rPr>
        <w:t>Human rights implications</w:t>
      </w:r>
    </w:p>
    <w:p w14:paraId="449665F0" w14:textId="2ED3F54B" w:rsidR="00806020" w:rsidRPr="00393FA8" w:rsidRDefault="00806020" w:rsidP="00806020">
      <w:pPr>
        <w:spacing w:before="120" w:after="120"/>
        <w:rPr>
          <w:szCs w:val="24"/>
        </w:rPr>
      </w:pPr>
      <w:r w:rsidRPr="00393FA8">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393FA8" w:rsidRDefault="00A17F2C" w:rsidP="00806020">
      <w:pPr>
        <w:spacing w:before="120" w:after="120"/>
        <w:rPr>
          <w:i/>
          <w:szCs w:val="24"/>
        </w:rPr>
      </w:pPr>
      <w:r w:rsidRPr="00393FA8">
        <w:rPr>
          <w:i/>
          <w:szCs w:val="24"/>
        </w:rPr>
        <w:t>The Right to Health</w:t>
      </w:r>
    </w:p>
    <w:p w14:paraId="2412D15F" w14:textId="77777777" w:rsidR="00A17F2C" w:rsidRPr="00393FA8" w:rsidRDefault="00A17F2C" w:rsidP="000337CB">
      <w:pPr>
        <w:spacing w:before="120" w:after="120"/>
        <w:rPr>
          <w:szCs w:val="24"/>
        </w:rPr>
      </w:pPr>
      <w:r w:rsidRPr="00393FA8">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393FA8" w:rsidRDefault="00A17F2C" w:rsidP="000337CB">
      <w:pPr>
        <w:spacing w:before="120" w:after="120"/>
        <w:rPr>
          <w:szCs w:val="24"/>
        </w:rPr>
      </w:pPr>
      <w:r w:rsidRPr="00393FA8">
        <w:rPr>
          <w:szCs w:val="24"/>
        </w:rPr>
        <w:t xml:space="preserve">The Committee reports that the </w:t>
      </w:r>
      <w:r w:rsidRPr="00393FA8">
        <w:rPr>
          <w:i/>
          <w:szCs w:val="24"/>
        </w:rPr>
        <w:t>‘highest attainable standard of health’</w:t>
      </w:r>
      <w:r w:rsidRPr="00393FA8">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393FA8" w:rsidRDefault="00A17F2C" w:rsidP="00A65756">
      <w:pPr>
        <w:keepNext/>
        <w:keepLines/>
        <w:spacing w:before="120" w:after="120"/>
        <w:rPr>
          <w:i/>
          <w:szCs w:val="24"/>
        </w:rPr>
      </w:pPr>
      <w:r w:rsidRPr="00393FA8">
        <w:rPr>
          <w:i/>
          <w:szCs w:val="24"/>
        </w:rPr>
        <w:lastRenderedPageBreak/>
        <w:t xml:space="preserve">The Right to Social Security </w:t>
      </w:r>
    </w:p>
    <w:p w14:paraId="2412D162" w14:textId="77777777" w:rsidR="00A17F2C" w:rsidRPr="00393FA8" w:rsidRDefault="00A17F2C" w:rsidP="00A65756">
      <w:pPr>
        <w:keepNext/>
        <w:keepLines/>
        <w:spacing w:before="120" w:after="120"/>
        <w:rPr>
          <w:szCs w:val="24"/>
        </w:rPr>
      </w:pPr>
      <w:r w:rsidRPr="00393FA8">
        <w:rPr>
          <w:szCs w:val="24"/>
        </w:rPr>
        <w:t>The right to social security is contained in Article 9 of the ICESCR. It requires that a country must, within its maximum available resources, ensure access to a social security scheme that</w:t>
      </w:r>
      <w:r w:rsidR="00BA69CB" w:rsidRPr="00393FA8">
        <w:rPr>
          <w:szCs w:val="24"/>
        </w:rPr>
        <w:t xml:space="preserve"> </w:t>
      </w:r>
      <w:r w:rsidRPr="00393FA8">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E94D01" w14:textId="4525829D" w:rsidR="0084511B" w:rsidRPr="00393FA8" w:rsidRDefault="00A17F2C" w:rsidP="000337CB">
      <w:pPr>
        <w:spacing w:before="120" w:after="120"/>
        <w:rPr>
          <w:szCs w:val="24"/>
          <w:u w:val="single"/>
        </w:rPr>
      </w:pPr>
      <w:r w:rsidRPr="00393FA8">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F4F2197" w14:textId="1C1BEB24" w:rsidR="0084511B" w:rsidRPr="00393FA8" w:rsidRDefault="0084511B" w:rsidP="006E4F45">
      <w:pPr>
        <w:spacing w:before="120" w:after="120"/>
        <w:rPr>
          <w:szCs w:val="24"/>
        </w:rPr>
      </w:pPr>
      <w:r w:rsidRPr="00393FA8">
        <w:rPr>
          <w:i/>
          <w:szCs w:val="24"/>
        </w:rPr>
        <w:t xml:space="preserve">The right of equality and non-discrimination </w:t>
      </w:r>
    </w:p>
    <w:p w14:paraId="77FCAD49" w14:textId="6A62A384" w:rsidR="0084511B" w:rsidRPr="00393FA8" w:rsidRDefault="0084511B" w:rsidP="000337CB">
      <w:pPr>
        <w:spacing w:before="120" w:after="120"/>
        <w:rPr>
          <w:szCs w:val="24"/>
        </w:rPr>
      </w:pPr>
      <w:r w:rsidRPr="00393FA8">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r w:rsidR="009D5438" w:rsidRPr="00393FA8">
        <w:rPr>
          <w:szCs w:val="24"/>
        </w:rPr>
        <w:t>.</w:t>
      </w:r>
    </w:p>
    <w:p w14:paraId="2412D164" w14:textId="01320BD5" w:rsidR="00A17F2C" w:rsidRPr="00393FA8" w:rsidRDefault="00A17F2C" w:rsidP="000337CB">
      <w:pPr>
        <w:spacing w:before="120" w:after="120"/>
        <w:rPr>
          <w:szCs w:val="24"/>
          <w:u w:val="single"/>
        </w:rPr>
      </w:pPr>
      <w:r w:rsidRPr="00393FA8">
        <w:rPr>
          <w:szCs w:val="24"/>
          <w:u w:val="single"/>
        </w:rPr>
        <w:t xml:space="preserve">Analysis </w:t>
      </w:r>
    </w:p>
    <w:p w14:paraId="0E84795D" w14:textId="7F738C99" w:rsidR="00223A02" w:rsidRPr="00393FA8" w:rsidRDefault="00AB7A9F" w:rsidP="00302F5C">
      <w:pPr>
        <w:rPr>
          <w:color w:val="000000" w:themeColor="text1"/>
          <w:szCs w:val="24"/>
        </w:rPr>
      </w:pPr>
      <w:r w:rsidRPr="00393FA8">
        <w:rPr>
          <w:color w:val="000000" w:themeColor="text1"/>
          <w:szCs w:val="24"/>
        </w:rPr>
        <w:t xml:space="preserve">This instrument </w:t>
      </w:r>
      <w:r w:rsidR="00223A02" w:rsidRPr="00393FA8">
        <w:rPr>
          <w:color w:val="000000" w:themeColor="text1"/>
          <w:szCs w:val="24"/>
        </w:rPr>
        <w:t>advance</w:t>
      </w:r>
      <w:r w:rsidR="007E5925" w:rsidRPr="00393FA8">
        <w:rPr>
          <w:color w:val="000000" w:themeColor="text1"/>
          <w:szCs w:val="24"/>
        </w:rPr>
        <w:t>s</w:t>
      </w:r>
      <w:r w:rsidR="00223A02" w:rsidRPr="00393FA8">
        <w:rPr>
          <w:color w:val="000000" w:themeColor="text1"/>
          <w:szCs w:val="24"/>
        </w:rPr>
        <w:t xml:space="preserve"> </w:t>
      </w:r>
      <w:r w:rsidRPr="00393FA8">
        <w:rPr>
          <w:color w:val="000000" w:themeColor="text1"/>
          <w:szCs w:val="24"/>
        </w:rPr>
        <w:t>the right to health</w:t>
      </w:r>
      <w:r w:rsidR="007E5925" w:rsidRPr="00393FA8">
        <w:rPr>
          <w:color w:val="000000" w:themeColor="text1"/>
          <w:szCs w:val="24"/>
        </w:rPr>
        <w:t>;</w:t>
      </w:r>
      <w:r w:rsidRPr="00393FA8">
        <w:rPr>
          <w:color w:val="000000" w:themeColor="text1"/>
          <w:szCs w:val="24"/>
        </w:rPr>
        <w:t xml:space="preserve"> </w:t>
      </w:r>
      <w:r w:rsidR="007E5925" w:rsidRPr="00393FA8">
        <w:rPr>
          <w:color w:val="000000" w:themeColor="text1"/>
          <w:szCs w:val="24"/>
        </w:rPr>
        <w:t xml:space="preserve">right to </w:t>
      </w:r>
      <w:r w:rsidRPr="00393FA8">
        <w:rPr>
          <w:color w:val="000000" w:themeColor="text1"/>
          <w:szCs w:val="24"/>
        </w:rPr>
        <w:t>social security</w:t>
      </w:r>
      <w:r w:rsidR="00223A02" w:rsidRPr="00393FA8">
        <w:rPr>
          <w:color w:val="000000" w:themeColor="text1"/>
          <w:szCs w:val="24"/>
        </w:rPr>
        <w:t xml:space="preserve"> </w:t>
      </w:r>
      <w:r w:rsidR="007E5925" w:rsidRPr="00393FA8">
        <w:rPr>
          <w:color w:val="000000" w:themeColor="text1"/>
          <w:szCs w:val="24"/>
        </w:rPr>
        <w:t xml:space="preserve">and right of equality and non-discrimination </w:t>
      </w:r>
      <w:r w:rsidR="00223A02" w:rsidRPr="00393FA8">
        <w:rPr>
          <w:color w:val="000000" w:themeColor="text1"/>
          <w:szCs w:val="24"/>
        </w:rPr>
        <w:t xml:space="preserve">by </w:t>
      </w:r>
      <w:r w:rsidR="001F0B5B" w:rsidRPr="00393FA8">
        <w:rPr>
          <w:color w:val="000000" w:themeColor="text1"/>
          <w:szCs w:val="24"/>
        </w:rPr>
        <w:t>incr</w:t>
      </w:r>
      <w:r w:rsidR="001F569E" w:rsidRPr="00393FA8">
        <w:rPr>
          <w:color w:val="000000" w:themeColor="text1"/>
          <w:szCs w:val="24"/>
        </w:rPr>
        <w:t>easing the fee for the MBS items</w:t>
      </w:r>
      <w:r w:rsidR="001F0B5B" w:rsidRPr="00393FA8">
        <w:rPr>
          <w:color w:val="000000" w:themeColor="text1"/>
          <w:szCs w:val="24"/>
        </w:rPr>
        <w:t xml:space="preserve"> </w:t>
      </w:r>
      <w:r w:rsidR="007310A0" w:rsidRPr="00393FA8">
        <w:rPr>
          <w:color w:val="000000" w:themeColor="text1"/>
          <w:szCs w:val="24"/>
        </w:rPr>
        <w:t xml:space="preserve">to improve </w:t>
      </w:r>
      <w:r w:rsidR="001F0B5B" w:rsidRPr="00393FA8">
        <w:rPr>
          <w:color w:val="000000" w:themeColor="text1"/>
          <w:szCs w:val="24"/>
        </w:rPr>
        <w:t>access to the COVID-19 vaccine for residential aged care recipients</w:t>
      </w:r>
      <w:r w:rsidR="00364E67" w:rsidRPr="00393FA8">
        <w:rPr>
          <w:color w:val="000000" w:themeColor="text1"/>
          <w:szCs w:val="24"/>
        </w:rPr>
        <w:t xml:space="preserve"> and staff members</w:t>
      </w:r>
      <w:r w:rsidR="001F0B5B" w:rsidRPr="00393FA8">
        <w:rPr>
          <w:color w:val="000000" w:themeColor="text1"/>
          <w:szCs w:val="24"/>
        </w:rPr>
        <w:t xml:space="preserve">; </w:t>
      </w:r>
      <w:r w:rsidR="00364E67" w:rsidRPr="00393FA8">
        <w:rPr>
          <w:color w:val="000000" w:themeColor="text1"/>
          <w:szCs w:val="24"/>
        </w:rPr>
        <w:t xml:space="preserve">and </w:t>
      </w:r>
      <w:r w:rsidR="001F0B5B" w:rsidRPr="00393FA8">
        <w:rPr>
          <w:color w:val="000000" w:themeColor="text1"/>
          <w:szCs w:val="24"/>
        </w:rPr>
        <w:t>persons who are unable to attend a practice location because of a medical condition, disability, dementia or frailty.</w:t>
      </w:r>
      <w:r w:rsidR="004F12D7" w:rsidRPr="00393FA8">
        <w:rPr>
          <w:color w:val="000000" w:themeColor="text1"/>
          <w:szCs w:val="24"/>
        </w:rPr>
        <w:t xml:space="preserve">  </w:t>
      </w:r>
      <w:r w:rsidR="001F0B5B" w:rsidRPr="00393FA8">
        <w:rPr>
          <w:color w:val="000000" w:themeColor="text1"/>
          <w:szCs w:val="24"/>
        </w:rPr>
        <w:t xml:space="preserve"> </w:t>
      </w:r>
    </w:p>
    <w:p w14:paraId="2965B602" w14:textId="7DFE8BBF" w:rsidR="00AB7A9F" w:rsidRPr="00393FA8" w:rsidRDefault="00AB7A9F" w:rsidP="00302F5C">
      <w:pPr>
        <w:rPr>
          <w:color w:val="FF0000"/>
          <w:szCs w:val="24"/>
        </w:rPr>
      </w:pPr>
    </w:p>
    <w:p w14:paraId="2412D166" w14:textId="43B7729A" w:rsidR="00A17F2C" w:rsidRPr="00393FA8" w:rsidRDefault="00A17F2C" w:rsidP="00DF48A5">
      <w:pPr>
        <w:rPr>
          <w:rFonts w:eastAsia="Calibri"/>
          <w:b/>
          <w:szCs w:val="24"/>
          <w:lang w:eastAsia="en-US"/>
        </w:rPr>
      </w:pPr>
      <w:r w:rsidRPr="00393FA8">
        <w:rPr>
          <w:rFonts w:eastAsia="Calibri"/>
          <w:b/>
          <w:szCs w:val="24"/>
          <w:lang w:eastAsia="en-US"/>
        </w:rPr>
        <w:t xml:space="preserve">Conclusion </w:t>
      </w:r>
    </w:p>
    <w:p w14:paraId="2412D167" w14:textId="2218E325" w:rsidR="00A17F2C" w:rsidRPr="00393FA8" w:rsidRDefault="006E6BBF" w:rsidP="000337CB">
      <w:pPr>
        <w:rPr>
          <w:color w:val="FF0000"/>
          <w:szCs w:val="24"/>
        </w:rPr>
      </w:pPr>
      <w:r w:rsidRPr="00393FA8">
        <w:rPr>
          <w:szCs w:val="24"/>
        </w:rPr>
        <w:t xml:space="preserve">This </w:t>
      </w:r>
      <w:r w:rsidR="0046022A" w:rsidRPr="00393FA8">
        <w:rPr>
          <w:szCs w:val="24"/>
        </w:rPr>
        <w:t>instrument</w:t>
      </w:r>
      <w:r w:rsidRPr="00393FA8">
        <w:rPr>
          <w:szCs w:val="24"/>
        </w:rPr>
        <w:t xml:space="preserve"> </w:t>
      </w:r>
      <w:r w:rsidR="00F15284" w:rsidRPr="00393FA8">
        <w:rPr>
          <w:szCs w:val="24"/>
        </w:rPr>
        <w:t xml:space="preserve">is compatible with human rights as it </w:t>
      </w:r>
      <w:r w:rsidR="009D5438" w:rsidRPr="00393FA8">
        <w:rPr>
          <w:szCs w:val="24"/>
        </w:rPr>
        <w:t xml:space="preserve">advances </w:t>
      </w:r>
      <w:r w:rsidR="007C7403" w:rsidRPr="00393FA8">
        <w:rPr>
          <w:szCs w:val="24"/>
        </w:rPr>
        <w:t xml:space="preserve">the </w:t>
      </w:r>
      <w:r w:rsidR="00910EF6" w:rsidRPr="00393FA8">
        <w:rPr>
          <w:szCs w:val="24"/>
        </w:rPr>
        <w:t>right to health</w:t>
      </w:r>
      <w:r w:rsidR="009D5438" w:rsidRPr="00393FA8">
        <w:rPr>
          <w:szCs w:val="24"/>
        </w:rPr>
        <w:t>;</w:t>
      </w:r>
      <w:r w:rsidR="00910EF6" w:rsidRPr="00393FA8">
        <w:rPr>
          <w:szCs w:val="24"/>
        </w:rPr>
        <w:t xml:space="preserve"> the right to social security</w:t>
      </w:r>
      <w:r w:rsidR="009D5438" w:rsidRPr="00393FA8">
        <w:rPr>
          <w:szCs w:val="24"/>
        </w:rPr>
        <w:t xml:space="preserve"> and the right to equality and non-discrimination</w:t>
      </w:r>
      <w:r w:rsidR="00910EF6" w:rsidRPr="00393FA8">
        <w:rPr>
          <w:szCs w:val="24"/>
        </w:rPr>
        <w:t xml:space="preserve">. </w:t>
      </w:r>
    </w:p>
    <w:p w14:paraId="2412D168" w14:textId="77777777" w:rsidR="00F15284" w:rsidRPr="00393FA8" w:rsidRDefault="00F15284" w:rsidP="000337CB">
      <w:pPr>
        <w:rPr>
          <w:rFonts w:eastAsia="Calibri"/>
          <w:szCs w:val="24"/>
          <w:lang w:eastAsia="en-US"/>
        </w:rPr>
      </w:pPr>
    </w:p>
    <w:p w14:paraId="75A46380" w14:textId="77777777" w:rsidR="00C67BC7" w:rsidRPr="00393FA8" w:rsidRDefault="00C67BC7" w:rsidP="000F2948">
      <w:pPr>
        <w:jc w:val="center"/>
        <w:rPr>
          <w:b/>
          <w:bCs/>
        </w:rPr>
      </w:pPr>
    </w:p>
    <w:p w14:paraId="1A4FB0F3" w14:textId="74D50A8E" w:rsidR="001B6095" w:rsidRPr="00393FA8" w:rsidRDefault="00AB7A9F" w:rsidP="001B6095">
      <w:pPr>
        <w:shd w:val="clear" w:color="auto" w:fill="FFFFFF"/>
        <w:spacing w:line="240" w:lineRule="atLeast"/>
        <w:ind w:right="-23"/>
        <w:jc w:val="center"/>
        <w:rPr>
          <w:b/>
          <w:color w:val="000000" w:themeColor="text1"/>
          <w:szCs w:val="22"/>
        </w:rPr>
      </w:pPr>
      <w:r w:rsidRPr="00393FA8">
        <w:rPr>
          <w:b/>
          <w:color w:val="000000" w:themeColor="text1"/>
          <w:szCs w:val="22"/>
        </w:rPr>
        <w:t>Paul McBride</w:t>
      </w:r>
    </w:p>
    <w:p w14:paraId="7E442A4C" w14:textId="046AF170" w:rsidR="001B6095" w:rsidRPr="00393FA8" w:rsidRDefault="00AB7A9F" w:rsidP="001B6095">
      <w:pPr>
        <w:shd w:val="clear" w:color="auto" w:fill="FFFFFF"/>
        <w:spacing w:line="240" w:lineRule="atLeast"/>
        <w:ind w:right="-23"/>
        <w:jc w:val="center"/>
        <w:rPr>
          <w:b/>
          <w:color w:val="000000" w:themeColor="text1"/>
          <w:szCs w:val="22"/>
        </w:rPr>
      </w:pPr>
      <w:r w:rsidRPr="00393FA8">
        <w:rPr>
          <w:b/>
          <w:color w:val="000000" w:themeColor="text1"/>
          <w:szCs w:val="22"/>
        </w:rPr>
        <w:t>First Assistant Secretary</w:t>
      </w:r>
    </w:p>
    <w:p w14:paraId="1817A584" w14:textId="541230B5" w:rsidR="001B6095" w:rsidRPr="00393FA8" w:rsidRDefault="00AB7A9F" w:rsidP="001B6095">
      <w:pPr>
        <w:shd w:val="clear" w:color="auto" w:fill="FFFFFF"/>
        <w:spacing w:line="240" w:lineRule="atLeast"/>
        <w:ind w:right="-23"/>
        <w:jc w:val="center"/>
        <w:rPr>
          <w:b/>
          <w:color w:val="000000" w:themeColor="text1"/>
          <w:szCs w:val="22"/>
        </w:rPr>
      </w:pPr>
      <w:r w:rsidRPr="00393FA8">
        <w:rPr>
          <w:b/>
          <w:color w:val="000000" w:themeColor="text1"/>
          <w:szCs w:val="22"/>
        </w:rPr>
        <w:t>Medical Benefits Division</w:t>
      </w:r>
    </w:p>
    <w:p w14:paraId="58E3726F" w14:textId="54CB8FB9" w:rsidR="00AB7A9F" w:rsidRPr="00393FA8" w:rsidRDefault="00AB7A9F" w:rsidP="001B6095">
      <w:pPr>
        <w:shd w:val="clear" w:color="auto" w:fill="FFFFFF"/>
        <w:spacing w:line="240" w:lineRule="atLeast"/>
        <w:ind w:right="-23"/>
        <w:jc w:val="center"/>
        <w:rPr>
          <w:b/>
          <w:color w:val="000000" w:themeColor="text1"/>
          <w:szCs w:val="22"/>
        </w:rPr>
      </w:pPr>
      <w:r w:rsidRPr="00393FA8">
        <w:rPr>
          <w:b/>
          <w:color w:val="000000" w:themeColor="text1"/>
          <w:szCs w:val="22"/>
        </w:rPr>
        <w:t>Health Resourcing Group</w:t>
      </w:r>
    </w:p>
    <w:p w14:paraId="2412D16E" w14:textId="1D75709D" w:rsidR="00636C51" w:rsidRPr="0020245D" w:rsidRDefault="000F2948" w:rsidP="001B6095">
      <w:pPr>
        <w:jc w:val="center"/>
        <w:rPr>
          <w:rFonts w:eastAsia="Calibri"/>
          <w:szCs w:val="24"/>
          <w:lang w:eastAsia="en-US"/>
        </w:rPr>
      </w:pPr>
      <w:r w:rsidRPr="00393FA8">
        <w:rPr>
          <w:b/>
          <w:bCs/>
        </w:rPr>
        <w:t>Department of Health</w:t>
      </w:r>
      <w:bookmarkStart w:id="0" w:name="_GoBack"/>
      <w:bookmarkEnd w:id="0"/>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3147061F" w:rsidR="00A1739A" w:rsidRDefault="00A1739A" w:rsidP="00BD6F5F">
    <w:pPr>
      <w:pStyle w:val="Header"/>
      <w:jc w:val="center"/>
    </w:pPr>
    <w:r>
      <w:fldChar w:fldCharType="begin"/>
    </w:r>
    <w:r>
      <w:instrText xml:space="preserve"> PAGE  \* Arabic  \* MERGEFORMAT </w:instrText>
    </w:r>
    <w:r>
      <w:fldChar w:fldCharType="separate"/>
    </w:r>
    <w:r w:rsidR="00393FA8">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13D5B9A7" w:rsidR="00E23B6B" w:rsidRDefault="00E23B6B">
        <w:pPr>
          <w:pStyle w:val="Header"/>
          <w:jc w:val="center"/>
        </w:pPr>
        <w:r>
          <w:fldChar w:fldCharType="begin"/>
        </w:r>
        <w:r>
          <w:instrText xml:space="preserve"> PAGE   \* MERGEFORMAT </w:instrText>
        </w:r>
        <w:r>
          <w:fldChar w:fldCharType="separate"/>
        </w:r>
        <w:r w:rsidR="00393FA8">
          <w:rPr>
            <w:noProof/>
          </w:rPr>
          <w:t>6</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1FB1BB93" w:rsidR="00E23B6B" w:rsidRDefault="00E23B6B">
        <w:pPr>
          <w:pStyle w:val="Header"/>
          <w:jc w:val="center"/>
        </w:pPr>
        <w:r>
          <w:fldChar w:fldCharType="begin"/>
        </w:r>
        <w:r>
          <w:instrText xml:space="preserve"> PAGE   \* MERGEFORMAT </w:instrText>
        </w:r>
        <w:r>
          <w:fldChar w:fldCharType="separate"/>
        </w:r>
        <w:r w:rsidR="00393FA8">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116CF9"/>
    <w:multiLevelType w:val="hybridMultilevel"/>
    <w:tmpl w:val="3AD0A74C"/>
    <w:lvl w:ilvl="0" w:tplc="F8A0BAAA">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
  </w:num>
  <w:num w:numId="4">
    <w:abstractNumId w:val="11"/>
  </w:num>
  <w:num w:numId="5">
    <w:abstractNumId w:val="18"/>
  </w:num>
  <w:num w:numId="6">
    <w:abstractNumId w:val="9"/>
  </w:num>
  <w:num w:numId="7">
    <w:abstractNumId w:val="29"/>
  </w:num>
  <w:num w:numId="8">
    <w:abstractNumId w:val="6"/>
  </w:num>
  <w:num w:numId="9">
    <w:abstractNumId w:val="5"/>
  </w:num>
  <w:num w:numId="10">
    <w:abstractNumId w:val="31"/>
  </w:num>
  <w:num w:numId="11">
    <w:abstractNumId w:val="28"/>
  </w:num>
  <w:num w:numId="12">
    <w:abstractNumId w:val="12"/>
  </w:num>
  <w:num w:numId="13">
    <w:abstractNumId w:val="14"/>
  </w:num>
  <w:num w:numId="14">
    <w:abstractNumId w:val="26"/>
  </w:num>
  <w:num w:numId="15">
    <w:abstractNumId w:val="7"/>
  </w:num>
  <w:num w:numId="16">
    <w:abstractNumId w:val="20"/>
  </w:num>
  <w:num w:numId="17">
    <w:abstractNumId w:val="23"/>
  </w:num>
  <w:num w:numId="18">
    <w:abstractNumId w:val="21"/>
  </w:num>
  <w:num w:numId="19">
    <w:abstractNumId w:val="3"/>
  </w:num>
  <w:num w:numId="20">
    <w:abstractNumId w:val="1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8"/>
  </w:num>
  <w:num w:numId="26">
    <w:abstractNumId w:val="4"/>
  </w:num>
  <w:num w:numId="27">
    <w:abstractNumId w:val="15"/>
  </w:num>
  <w:num w:numId="28">
    <w:abstractNumId w:val="30"/>
  </w:num>
  <w:num w:numId="29">
    <w:abstractNumId w:val="16"/>
  </w:num>
  <w:num w:numId="30">
    <w:abstractNumId w:val="27"/>
  </w:num>
  <w:num w:numId="31">
    <w:abstractNumId w:val="13"/>
  </w:num>
  <w:num w:numId="32">
    <w:abstractNumId w:val="25"/>
  </w:num>
  <w:num w:numId="3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B2C"/>
    <w:rsid w:val="00021EFA"/>
    <w:rsid w:val="00024158"/>
    <w:rsid w:val="00024A1D"/>
    <w:rsid w:val="00025F64"/>
    <w:rsid w:val="0002704E"/>
    <w:rsid w:val="0002728B"/>
    <w:rsid w:val="00027830"/>
    <w:rsid w:val="000319EF"/>
    <w:rsid w:val="00033034"/>
    <w:rsid w:val="000337CB"/>
    <w:rsid w:val="0003591F"/>
    <w:rsid w:val="00041849"/>
    <w:rsid w:val="000428F3"/>
    <w:rsid w:val="0004426E"/>
    <w:rsid w:val="00044A2A"/>
    <w:rsid w:val="00045ABA"/>
    <w:rsid w:val="00050623"/>
    <w:rsid w:val="000509BA"/>
    <w:rsid w:val="0005224B"/>
    <w:rsid w:val="00052395"/>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A7DC9"/>
    <w:rsid w:val="000B208E"/>
    <w:rsid w:val="000B3452"/>
    <w:rsid w:val="000B49E3"/>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596C"/>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4CD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4F22"/>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0B5B"/>
    <w:rsid w:val="001F1F27"/>
    <w:rsid w:val="001F4C4A"/>
    <w:rsid w:val="001F569E"/>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3A02"/>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ACA"/>
    <w:rsid w:val="00251E4A"/>
    <w:rsid w:val="00251F50"/>
    <w:rsid w:val="002538F6"/>
    <w:rsid w:val="00253E30"/>
    <w:rsid w:val="0025493F"/>
    <w:rsid w:val="00257459"/>
    <w:rsid w:val="00257E4D"/>
    <w:rsid w:val="00261BA1"/>
    <w:rsid w:val="00262865"/>
    <w:rsid w:val="00263279"/>
    <w:rsid w:val="0026387B"/>
    <w:rsid w:val="002643FC"/>
    <w:rsid w:val="00274073"/>
    <w:rsid w:val="00274F57"/>
    <w:rsid w:val="0027545F"/>
    <w:rsid w:val="0027610D"/>
    <w:rsid w:val="002806A1"/>
    <w:rsid w:val="00281918"/>
    <w:rsid w:val="00284483"/>
    <w:rsid w:val="00284749"/>
    <w:rsid w:val="00285256"/>
    <w:rsid w:val="00287AEF"/>
    <w:rsid w:val="00287B08"/>
    <w:rsid w:val="00290B98"/>
    <w:rsid w:val="002933C1"/>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94A"/>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19EA"/>
    <w:rsid w:val="00312ED1"/>
    <w:rsid w:val="00313554"/>
    <w:rsid w:val="003140CF"/>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448D"/>
    <w:rsid w:val="00357CD8"/>
    <w:rsid w:val="0036001E"/>
    <w:rsid w:val="0036105C"/>
    <w:rsid w:val="00361ADE"/>
    <w:rsid w:val="00363113"/>
    <w:rsid w:val="00363306"/>
    <w:rsid w:val="0036495A"/>
    <w:rsid w:val="00364E67"/>
    <w:rsid w:val="00366990"/>
    <w:rsid w:val="00366C2C"/>
    <w:rsid w:val="00367440"/>
    <w:rsid w:val="00370BE6"/>
    <w:rsid w:val="00371F67"/>
    <w:rsid w:val="003732DC"/>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3FA8"/>
    <w:rsid w:val="00397A97"/>
    <w:rsid w:val="003A280D"/>
    <w:rsid w:val="003A592E"/>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D449F"/>
    <w:rsid w:val="003E005B"/>
    <w:rsid w:val="003E04DA"/>
    <w:rsid w:val="003E1249"/>
    <w:rsid w:val="003E3544"/>
    <w:rsid w:val="003E35A8"/>
    <w:rsid w:val="003E4F2D"/>
    <w:rsid w:val="003E57BE"/>
    <w:rsid w:val="003E77CB"/>
    <w:rsid w:val="003F47FD"/>
    <w:rsid w:val="003F4B52"/>
    <w:rsid w:val="003F632B"/>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879D6"/>
    <w:rsid w:val="00492341"/>
    <w:rsid w:val="00492DBE"/>
    <w:rsid w:val="004962CC"/>
    <w:rsid w:val="00497EC1"/>
    <w:rsid w:val="004A0313"/>
    <w:rsid w:val="004A0A89"/>
    <w:rsid w:val="004A0BE6"/>
    <w:rsid w:val="004A2249"/>
    <w:rsid w:val="004A26E0"/>
    <w:rsid w:val="004A524A"/>
    <w:rsid w:val="004A56D3"/>
    <w:rsid w:val="004A6B0F"/>
    <w:rsid w:val="004B1A33"/>
    <w:rsid w:val="004B1ECE"/>
    <w:rsid w:val="004B38C8"/>
    <w:rsid w:val="004B5C2E"/>
    <w:rsid w:val="004B6D9A"/>
    <w:rsid w:val="004B7CB9"/>
    <w:rsid w:val="004C10BA"/>
    <w:rsid w:val="004C27EB"/>
    <w:rsid w:val="004C33D9"/>
    <w:rsid w:val="004C357A"/>
    <w:rsid w:val="004C405B"/>
    <w:rsid w:val="004C5B35"/>
    <w:rsid w:val="004C68D1"/>
    <w:rsid w:val="004C6AE7"/>
    <w:rsid w:val="004C72E8"/>
    <w:rsid w:val="004D04DF"/>
    <w:rsid w:val="004D1BF4"/>
    <w:rsid w:val="004D480B"/>
    <w:rsid w:val="004D549E"/>
    <w:rsid w:val="004D7821"/>
    <w:rsid w:val="004E10C5"/>
    <w:rsid w:val="004E22A7"/>
    <w:rsid w:val="004E39E6"/>
    <w:rsid w:val="004E4CF9"/>
    <w:rsid w:val="004E71DC"/>
    <w:rsid w:val="004E7F97"/>
    <w:rsid w:val="004F12D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5929"/>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77294"/>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4BC4"/>
    <w:rsid w:val="005B5062"/>
    <w:rsid w:val="005B6234"/>
    <w:rsid w:val="005B7596"/>
    <w:rsid w:val="005C4A91"/>
    <w:rsid w:val="005C5824"/>
    <w:rsid w:val="005C6118"/>
    <w:rsid w:val="005D2430"/>
    <w:rsid w:val="005D3575"/>
    <w:rsid w:val="005D3CED"/>
    <w:rsid w:val="005D538F"/>
    <w:rsid w:val="005D63D9"/>
    <w:rsid w:val="005D68D1"/>
    <w:rsid w:val="005E293A"/>
    <w:rsid w:val="005E44A6"/>
    <w:rsid w:val="005E49E7"/>
    <w:rsid w:val="005E56FE"/>
    <w:rsid w:val="005E62D6"/>
    <w:rsid w:val="005E6A82"/>
    <w:rsid w:val="005E719E"/>
    <w:rsid w:val="005E7398"/>
    <w:rsid w:val="005F04DC"/>
    <w:rsid w:val="005F0F6C"/>
    <w:rsid w:val="005F1A7F"/>
    <w:rsid w:val="00601165"/>
    <w:rsid w:val="00607971"/>
    <w:rsid w:val="00611A4E"/>
    <w:rsid w:val="006122C0"/>
    <w:rsid w:val="0061281D"/>
    <w:rsid w:val="00613549"/>
    <w:rsid w:val="00613C46"/>
    <w:rsid w:val="00614085"/>
    <w:rsid w:val="00616889"/>
    <w:rsid w:val="00617F77"/>
    <w:rsid w:val="006226B2"/>
    <w:rsid w:val="00623004"/>
    <w:rsid w:val="006237CC"/>
    <w:rsid w:val="00627C91"/>
    <w:rsid w:val="006332BA"/>
    <w:rsid w:val="00635031"/>
    <w:rsid w:val="006369D4"/>
    <w:rsid w:val="00636C51"/>
    <w:rsid w:val="006407FA"/>
    <w:rsid w:val="00642537"/>
    <w:rsid w:val="006427B2"/>
    <w:rsid w:val="00642BEB"/>
    <w:rsid w:val="00647426"/>
    <w:rsid w:val="00647590"/>
    <w:rsid w:val="00651EAC"/>
    <w:rsid w:val="006526F5"/>
    <w:rsid w:val="00656275"/>
    <w:rsid w:val="00657702"/>
    <w:rsid w:val="006619F5"/>
    <w:rsid w:val="006629F9"/>
    <w:rsid w:val="006639F0"/>
    <w:rsid w:val="0066562D"/>
    <w:rsid w:val="0066727B"/>
    <w:rsid w:val="00670998"/>
    <w:rsid w:val="00671EB7"/>
    <w:rsid w:val="00672050"/>
    <w:rsid w:val="00673872"/>
    <w:rsid w:val="00674A34"/>
    <w:rsid w:val="00685515"/>
    <w:rsid w:val="0068642A"/>
    <w:rsid w:val="00693708"/>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4F45"/>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428"/>
    <w:rsid w:val="0071184F"/>
    <w:rsid w:val="00712189"/>
    <w:rsid w:val="007134A2"/>
    <w:rsid w:val="00713FB2"/>
    <w:rsid w:val="00717B45"/>
    <w:rsid w:val="007202C4"/>
    <w:rsid w:val="0072331C"/>
    <w:rsid w:val="00726CFA"/>
    <w:rsid w:val="0072758A"/>
    <w:rsid w:val="007304D5"/>
    <w:rsid w:val="00730965"/>
    <w:rsid w:val="007310A0"/>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86260"/>
    <w:rsid w:val="00791384"/>
    <w:rsid w:val="0079191B"/>
    <w:rsid w:val="00791C27"/>
    <w:rsid w:val="0079239C"/>
    <w:rsid w:val="007934F3"/>
    <w:rsid w:val="00795A80"/>
    <w:rsid w:val="00796464"/>
    <w:rsid w:val="00796F15"/>
    <w:rsid w:val="007A0403"/>
    <w:rsid w:val="007A12F5"/>
    <w:rsid w:val="007A329D"/>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0FDF"/>
    <w:rsid w:val="007E4B14"/>
    <w:rsid w:val="007E4B4C"/>
    <w:rsid w:val="007E5925"/>
    <w:rsid w:val="007E7ABF"/>
    <w:rsid w:val="007F0907"/>
    <w:rsid w:val="007F0D24"/>
    <w:rsid w:val="007F10B5"/>
    <w:rsid w:val="007F1C81"/>
    <w:rsid w:val="007F6ABA"/>
    <w:rsid w:val="0080144C"/>
    <w:rsid w:val="00801B90"/>
    <w:rsid w:val="00804A3C"/>
    <w:rsid w:val="00804A98"/>
    <w:rsid w:val="00805C3A"/>
    <w:rsid w:val="00805E9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63E3"/>
    <w:rsid w:val="008370E6"/>
    <w:rsid w:val="00837412"/>
    <w:rsid w:val="00840877"/>
    <w:rsid w:val="00841634"/>
    <w:rsid w:val="0084180A"/>
    <w:rsid w:val="0084197A"/>
    <w:rsid w:val="00841EDA"/>
    <w:rsid w:val="00843425"/>
    <w:rsid w:val="0084511B"/>
    <w:rsid w:val="00845708"/>
    <w:rsid w:val="00846239"/>
    <w:rsid w:val="00846484"/>
    <w:rsid w:val="008478EE"/>
    <w:rsid w:val="00847F7D"/>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6E79"/>
    <w:rsid w:val="008870CD"/>
    <w:rsid w:val="008905BA"/>
    <w:rsid w:val="0089375C"/>
    <w:rsid w:val="0089513F"/>
    <w:rsid w:val="00895699"/>
    <w:rsid w:val="008A153F"/>
    <w:rsid w:val="008A54A9"/>
    <w:rsid w:val="008A6188"/>
    <w:rsid w:val="008A79C6"/>
    <w:rsid w:val="008B2094"/>
    <w:rsid w:val="008B28F2"/>
    <w:rsid w:val="008B444F"/>
    <w:rsid w:val="008B683E"/>
    <w:rsid w:val="008B7393"/>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0BD5"/>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05DF"/>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5438"/>
    <w:rsid w:val="009D72AA"/>
    <w:rsid w:val="009D7484"/>
    <w:rsid w:val="009E0078"/>
    <w:rsid w:val="009E14BA"/>
    <w:rsid w:val="009E2AEA"/>
    <w:rsid w:val="009E3183"/>
    <w:rsid w:val="009E36E1"/>
    <w:rsid w:val="009E3783"/>
    <w:rsid w:val="009E3EA3"/>
    <w:rsid w:val="009E3ED4"/>
    <w:rsid w:val="009E6BD3"/>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3706A"/>
    <w:rsid w:val="00A41364"/>
    <w:rsid w:val="00A41F72"/>
    <w:rsid w:val="00A4278E"/>
    <w:rsid w:val="00A4292D"/>
    <w:rsid w:val="00A44A25"/>
    <w:rsid w:val="00A54891"/>
    <w:rsid w:val="00A54CA1"/>
    <w:rsid w:val="00A55604"/>
    <w:rsid w:val="00A56516"/>
    <w:rsid w:val="00A62031"/>
    <w:rsid w:val="00A65756"/>
    <w:rsid w:val="00A65D80"/>
    <w:rsid w:val="00A66849"/>
    <w:rsid w:val="00A672A7"/>
    <w:rsid w:val="00A711B3"/>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B5798"/>
    <w:rsid w:val="00AB7A9F"/>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72F"/>
    <w:rsid w:val="00AE7A51"/>
    <w:rsid w:val="00AF134A"/>
    <w:rsid w:val="00AF3563"/>
    <w:rsid w:val="00AF3BCE"/>
    <w:rsid w:val="00AF421C"/>
    <w:rsid w:val="00AF585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6EE"/>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113"/>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0D1F"/>
    <w:rsid w:val="00BD304A"/>
    <w:rsid w:val="00BD7FD9"/>
    <w:rsid w:val="00BE1022"/>
    <w:rsid w:val="00BE2623"/>
    <w:rsid w:val="00BE283F"/>
    <w:rsid w:val="00BE2ECA"/>
    <w:rsid w:val="00BE2EFA"/>
    <w:rsid w:val="00BE597C"/>
    <w:rsid w:val="00BE6870"/>
    <w:rsid w:val="00BE71FD"/>
    <w:rsid w:val="00BE7B19"/>
    <w:rsid w:val="00BF23A6"/>
    <w:rsid w:val="00BF3B3D"/>
    <w:rsid w:val="00BF51E9"/>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23BB4"/>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6412"/>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2C01"/>
    <w:rsid w:val="00CA62C0"/>
    <w:rsid w:val="00CA73CB"/>
    <w:rsid w:val="00CA79BB"/>
    <w:rsid w:val="00CB19F4"/>
    <w:rsid w:val="00CB4161"/>
    <w:rsid w:val="00CB43A2"/>
    <w:rsid w:val="00CB6DE1"/>
    <w:rsid w:val="00CB7730"/>
    <w:rsid w:val="00CC12A0"/>
    <w:rsid w:val="00CC26A8"/>
    <w:rsid w:val="00CC4CED"/>
    <w:rsid w:val="00CC6EBB"/>
    <w:rsid w:val="00CC7B5B"/>
    <w:rsid w:val="00CD4A21"/>
    <w:rsid w:val="00CE0AEB"/>
    <w:rsid w:val="00CE3A6F"/>
    <w:rsid w:val="00CE63F9"/>
    <w:rsid w:val="00CE7258"/>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0940"/>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549C"/>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1789"/>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48A5"/>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672"/>
    <w:rsid w:val="00E35B1E"/>
    <w:rsid w:val="00E4250F"/>
    <w:rsid w:val="00E44A7E"/>
    <w:rsid w:val="00E46517"/>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A5D"/>
    <w:rsid w:val="00E74C1D"/>
    <w:rsid w:val="00E750C4"/>
    <w:rsid w:val="00E75ACC"/>
    <w:rsid w:val="00E81B2F"/>
    <w:rsid w:val="00E844ED"/>
    <w:rsid w:val="00E85810"/>
    <w:rsid w:val="00E85B0A"/>
    <w:rsid w:val="00E90558"/>
    <w:rsid w:val="00E9090A"/>
    <w:rsid w:val="00E909CD"/>
    <w:rsid w:val="00E92248"/>
    <w:rsid w:val="00E92BD1"/>
    <w:rsid w:val="00E935A1"/>
    <w:rsid w:val="00E93FB6"/>
    <w:rsid w:val="00E94BB6"/>
    <w:rsid w:val="00EA1715"/>
    <w:rsid w:val="00EA2EE8"/>
    <w:rsid w:val="00EA31FD"/>
    <w:rsid w:val="00EA4349"/>
    <w:rsid w:val="00EA4EE4"/>
    <w:rsid w:val="00EA5A32"/>
    <w:rsid w:val="00EB0F5C"/>
    <w:rsid w:val="00EB2F51"/>
    <w:rsid w:val="00EB3BF0"/>
    <w:rsid w:val="00EB4631"/>
    <w:rsid w:val="00EB4DA6"/>
    <w:rsid w:val="00EB601D"/>
    <w:rsid w:val="00EB6CCD"/>
    <w:rsid w:val="00EB7C96"/>
    <w:rsid w:val="00EC0273"/>
    <w:rsid w:val="00EC25BA"/>
    <w:rsid w:val="00ED0AD5"/>
    <w:rsid w:val="00ED1DE2"/>
    <w:rsid w:val="00ED1F31"/>
    <w:rsid w:val="00ED3630"/>
    <w:rsid w:val="00ED6D9E"/>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8CF"/>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086A"/>
    <w:rsid w:val="00F317CA"/>
    <w:rsid w:val="00F319F3"/>
    <w:rsid w:val="00F31BFB"/>
    <w:rsid w:val="00F323E7"/>
    <w:rsid w:val="00F324D2"/>
    <w:rsid w:val="00F32A56"/>
    <w:rsid w:val="00F335E4"/>
    <w:rsid w:val="00F35509"/>
    <w:rsid w:val="00F358C3"/>
    <w:rsid w:val="00F413D8"/>
    <w:rsid w:val="00F42100"/>
    <w:rsid w:val="00F42A9B"/>
    <w:rsid w:val="00F45447"/>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95A8D"/>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29B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883B3-9B6D-46CB-A245-472064BF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7</cp:revision>
  <cp:lastPrinted>2021-06-11T06:11:00Z</cp:lastPrinted>
  <dcterms:created xsi:type="dcterms:W3CDTF">2021-06-10T00:41:00Z</dcterms:created>
  <dcterms:modified xsi:type="dcterms:W3CDTF">2021-06-11T06:21:00Z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