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DB0318">
      <w:pPr>
        <w:pStyle w:val="ActHead9"/>
      </w:pPr>
      <w:r>
        <w:rPr>
          <w:noProof/>
        </w:rPr>
        <w:drawing>
          <wp:inline distT="0" distB="0" distL="0" distR="0" wp14:anchorId="248AAB5A" wp14:editId="19360143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6853C542" w:rsidR="00086BF0" w:rsidRDefault="0080479A" w:rsidP="00086BF0">
      <w:pPr>
        <w:pStyle w:val="ShortT"/>
      </w:pPr>
      <w:r>
        <w:t>Radiocommunications (</w:t>
      </w:r>
      <w:r w:rsidR="006C719A">
        <w:t>Conditions of Interference Impact Certificates</w:t>
      </w:r>
      <w:r>
        <w:t>) Determination 2021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071FEDE2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determination under </w:t>
      </w:r>
      <w:r w:rsidR="0080479A">
        <w:t>section 266A</w:t>
      </w:r>
      <w:r>
        <w:t xml:space="preserve"> of the </w:t>
      </w:r>
      <w:r w:rsidR="0080479A">
        <w:rPr>
          <w:i/>
        </w:rPr>
        <w:t>Radiocommunications Act 1992</w:t>
      </w:r>
      <w:r>
        <w:t>.</w:t>
      </w:r>
    </w:p>
    <w:p w14:paraId="11CC4671" w14:textId="20990153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BE5482">
        <w:rPr>
          <w:rFonts w:ascii="Times New Roman" w:hAnsi="Times New Roman" w:cs="Times New Roman"/>
        </w:rPr>
        <w:t xml:space="preserve"> 10 June 2021</w:t>
      </w:r>
    </w:p>
    <w:p w14:paraId="4959CBE8" w14:textId="77777777" w:rsidR="00BE5482" w:rsidRDefault="00BE5482" w:rsidP="00BE548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68CE4C6" w14:textId="439CD5AC" w:rsidR="00BE5482" w:rsidRDefault="00BE5482" w:rsidP="00BE548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46098590" w14:textId="511381EC" w:rsidR="00BE5482" w:rsidRDefault="00BE5482" w:rsidP="00BE548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4B34D300" w:rsidR="00086BF0" w:rsidRDefault="00086BF0" w:rsidP="00BE548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448F8EED" w14:textId="0D0F4289" w:rsidR="00BE5482" w:rsidRDefault="00BE5482" w:rsidP="00BE548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D784A27" w14:textId="194361C8" w:rsidR="00BE5482" w:rsidRDefault="007F11C5" w:rsidP="00BE548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02FD4489" w14:textId="3D7CB1A1" w:rsidR="00BE5482" w:rsidRDefault="007F11C5" w:rsidP="00BE548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BE548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7F11C5">
        <w:rPr>
          <w:rFonts w:ascii="Times New Roman" w:hAnsi="Times New Roman" w:cs="Times New Roman"/>
          <w:strike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062F279D" w14:textId="77777777" w:rsidR="00086BF0" w:rsidRDefault="00086BF0" w:rsidP="00086BF0">
      <w:pPr>
        <w:spacing w:after="0"/>
        <w:rPr>
          <w:rFonts w:ascii="Times New Roman" w:hAnsi="Times New Roman" w:cs="Times New Roman"/>
        </w:rPr>
      </w:pPr>
    </w:p>
    <w:p w14:paraId="1B9C456E" w14:textId="77777777" w:rsidR="006C719A" w:rsidRPr="006C719A" w:rsidRDefault="006C719A" w:rsidP="006C719A">
      <w:pPr>
        <w:rPr>
          <w:rFonts w:ascii="Times New Roman" w:hAnsi="Times New Roman" w:cs="Times New Roman"/>
        </w:rPr>
      </w:pPr>
    </w:p>
    <w:p w14:paraId="5112BD55" w14:textId="77777777" w:rsidR="006C719A" w:rsidRPr="006C719A" w:rsidRDefault="006C719A" w:rsidP="006C719A">
      <w:pPr>
        <w:rPr>
          <w:rFonts w:ascii="Times New Roman" w:hAnsi="Times New Roman" w:cs="Times New Roman"/>
        </w:rPr>
      </w:pPr>
    </w:p>
    <w:p w14:paraId="429AC920" w14:textId="77777777" w:rsidR="006C719A" w:rsidRPr="006C719A" w:rsidRDefault="006C719A" w:rsidP="006C719A">
      <w:pPr>
        <w:rPr>
          <w:rFonts w:ascii="Times New Roman" w:hAnsi="Times New Roman" w:cs="Times New Roman"/>
        </w:rPr>
      </w:pPr>
    </w:p>
    <w:p w14:paraId="1679D9D9" w14:textId="77777777" w:rsidR="006C719A" w:rsidRPr="006C719A" w:rsidRDefault="006C719A" w:rsidP="006C719A">
      <w:pPr>
        <w:rPr>
          <w:rFonts w:ascii="Times New Roman" w:hAnsi="Times New Roman" w:cs="Times New Roman"/>
        </w:rPr>
      </w:pPr>
    </w:p>
    <w:p w14:paraId="330F7D5D" w14:textId="77777777" w:rsidR="006C719A" w:rsidRPr="006C719A" w:rsidRDefault="006C719A" w:rsidP="006C719A">
      <w:pPr>
        <w:rPr>
          <w:rFonts w:ascii="Times New Roman" w:hAnsi="Times New Roman" w:cs="Times New Roman"/>
        </w:rPr>
      </w:pPr>
    </w:p>
    <w:p w14:paraId="3530EC6E" w14:textId="77777777" w:rsidR="006C719A" w:rsidRPr="006C719A" w:rsidRDefault="006C719A" w:rsidP="006C719A">
      <w:pPr>
        <w:rPr>
          <w:rFonts w:ascii="Times New Roman" w:hAnsi="Times New Roman" w:cs="Times New Roman"/>
        </w:rPr>
      </w:pPr>
    </w:p>
    <w:p w14:paraId="43E0451D" w14:textId="77777777" w:rsidR="006C719A" w:rsidRPr="006C719A" w:rsidRDefault="006C719A" w:rsidP="006C719A">
      <w:pPr>
        <w:rPr>
          <w:rFonts w:ascii="Times New Roman" w:hAnsi="Times New Roman" w:cs="Times New Roman"/>
        </w:rPr>
      </w:pPr>
    </w:p>
    <w:p w14:paraId="5471E6B4" w14:textId="77777777" w:rsidR="006C719A" w:rsidRPr="006C719A" w:rsidRDefault="006C719A" w:rsidP="006C719A">
      <w:pPr>
        <w:jc w:val="center"/>
        <w:rPr>
          <w:rFonts w:ascii="Times New Roman" w:hAnsi="Times New Roman" w:cs="Times New Roman"/>
        </w:rPr>
      </w:pPr>
    </w:p>
    <w:p w14:paraId="633FC1E4" w14:textId="77777777" w:rsidR="006C719A" w:rsidRDefault="006C719A" w:rsidP="006C719A">
      <w:pPr>
        <w:rPr>
          <w:rFonts w:ascii="Times New Roman" w:hAnsi="Times New Roman" w:cs="Times New Roman"/>
        </w:rPr>
      </w:pPr>
    </w:p>
    <w:p w14:paraId="5D1B7840" w14:textId="30AC7636" w:rsidR="006C719A" w:rsidRPr="006C719A" w:rsidRDefault="006C719A" w:rsidP="006C719A">
      <w:pPr>
        <w:rPr>
          <w:rFonts w:ascii="Times New Roman" w:hAnsi="Times New Roman" w:cs="Times New Roman"/>
        </w:rPr>
        <w:sectPr w:rsidR="006C719A" w:rsidRPr="006C719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777777" w:rsidR="00086BF0" w:rsidRDefault="00086BF0" w:rsidP="00086BF0">
      <w:pPr>
        <w:pStyle w:val="ActHead5"/>
      </w:pPr>
      <w:bookmarkStart w:id="2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0BA01627" w14:textId="4742212A" w:rsidR="00086BF0" w:rsidRDefault="00086BF0" w:rsidP="00086BF0">
      <w:pPr>
        <w:pStyle w:val="subsection"/>
      </w:pPr>
      <w:r>
        <w:tab/>
      </w:r>
      <w:r>
        <w:tab/>
        <w:t>This is the</w:t>
      </w:r>
      <w:r w:rsidR="0080479A">
        <w:t xml:space="preserve"> </w:t>
      </w:r>
      <w:r w:rsidR="0080479A">
        <w:rPr>
          <w:i/>
          <w:iCs/>
        </w:rPr>
        <w:t xml:space="preserve">Radiocommunications (Conditions of </w:t>
      </w:r>
      <w:r w:rsidR="006C719A">
        <w:rPr>
          <w:i/>
          <w:iCs/>
        </w:rPr>
        <w:t>Interference Impact</w:t>
      </w:r>
      <w:r w:rsidR="0080479A">
        <w:rPr>
          <w:i/>
          <w:iCs/>
        </w:rPr>
        <w:t xml:space="preserve"> </w:t>
      </w:r>
      <w:r w:rsidR="00241A43">
        <w:rPr>
          <w:i/>
          <w:iCs/>
        </w:rPr>
        <w:t>C</w:t>
      </w:r>
      <w:r w:rsidR="0080479A">
        <w:rPr>
          <w:i/>
          <w:iCs/>
        </w:rPr>
        <w:t>ertificates) Determination 2021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77DACA6F" w14:textId="77777777" w:rsidR="00241A43" w:rsidRDefault="00086BF0" w:rsidP="00086BF0">
      <w:pPr>
        <w:pStyle w:val="subsection"/>
      </w:pPr>
      <w:r>
        <w:tab/>
      </w:r>
      <w:r>
        <w:tab/>
        <w:t xml:space="preserve">This instrument commences </w:t>
      </w:r>
      <w:r w:rsidR="00241A43">
        <w:t>on the later of the following:</w:t>
      </w:r>
    </w:p>
    <w:p w14:paraId="2D778091" w14:textId="0F299DA2" w:rsidR="00500836" w:rsidRDefault="00500836" w:rsidP="00500836">
      <w:pPr>
        <w:pStyle w:val="paragraph"/>
      </w:pPr>
      <w:r>
        <w:tab/>
        <w:t>(a)</w:t>
      </w:r>
      <w:r>
        <w:tab/>
      </w:r>
      <w:r w:rsidR="009272AD">
        <w:t xml:space="preserve">the same time as the </w:t>
      </w:r>
      <w:r w:rsidR="00A55DDE">
        <w:rPr>
          <w:i/>
          <w:iCs/>
        </w:rPr>
        <w:t>Radiocommunications Accreditation</w:t>
      </w:r>
      <w:r w:rsidR="004456C9">
        <w:rPr>
          <w:i/>
          <w:iCs/>
        </w:rPr>
        <w:t xml:space="preserve"> (General</w:t>
      </w:r>
      <w:r w:rsidR="00A55DDE">
        <w:rPr>
          <w:i/>
          <w:iCs/>
        </w:rPr>
        <w:t xml:space="preserve">) Rules </w:t>
      </w:r>
      <w:proofErr w:type="gramStart"/>
      <w:r w:rsidR="00A55DDE">
        <w:rPr>
          <w:i/>
          <w:iCs/>
        </w:rPr>
        <w:t>2021</w:t>
      </w:r>
      <w:r>
        <w:t>;</w:t>
      </w:r>
      <w:proofErr w:type="gramEnd"/>
    </w:p>
    <w:p w14:paraId="5C8C01B5" w14:textId="77777777" w:rsidR="00500836" w:rsidRDefault="00500836" w:rsidP="00500836">
      <w:pPr>
        <w:pStyle w:val="paragraph"/>
      </w:pPr>
      <w:r>
        <w:tab/>
        <w:t>(b)</w:t>
      </w:r>
      <w:r>
        <w:tab/>
        <w:t>the day after the day the instrument is registered on the Federal Register of Legislation.</w:t>
      </w:r>
    </w:p>
    <w:p w14:paraId="795025ED" w14:textId="6D58FA86" w:rsidR="00086BF0" w:rsidRDefault="00086BF0" w:rsidP="00086BF0">
      <w:pPr>
        <w:pStyle w:val="LI-BodyTextNote"/>
        <w:spacing w:before="122"/>
      </w:pPr>
      <w:r>
        <w:t>Note:</w:t>
      </w:r>
      <w:r>
        <w:tab/>
        <w:t>The Federal Register of Legislation may be accessed</w:t>
      </w:r>
      <w:r w:rsidR="00C70369">
        <w:t>,</w:t>
      </w:r>
      <w:r>
        <w:t xml:space="preserve"> free of charge</w:t>
      </w:r>
      <w:r w:rsidR="00C70369">
        <w:t>,</w:t>
      </w:r>
      <w:r>
        <w:t xml:space="preserve">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3377B4C6" w14:textId="1E1C38AC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A55DDE">
        <w:t>section 266A</w:t>
      </w:r>
      <w:r>
        <w:t xml:space="preserve"> of the </w:t>
      </w:r>
      <w:r w:rsidR="00A55DDE">
        <w:rPr>
          <w:i/>
        </w:rPr>
        <w:t>Radiocommunications Act 1992</w:t>
      </w:r>
      <w:r>
        <w:t>.</w:t>
      </w:r>
    </w:p>
    <w:p w14:paraId="125EEF8B" w14:textId="391D49EE" w:rsidR="00086BF0" w:rsidRDefault="00086BF0" w:rsidP="00086BF0">
      <w:pPr>
        <w:pStyle w:val="ActHead5"/>
        <w:rPr>
          <w:i/>
        </w:rPr>
      </w:pPr>
      <w:bookmarkStart w:id="5" w:name="_Toc444596034"/>
      <w:r>
        <w:t xml:space="preserve">4  Repeal of the </w:t>
      </w:r>
      <w:r w:rsidR="00151A3E">
        <w:rPr>
          <w:i/>
        </w:rPr>
        <w:t>Radiocommunications (</w:t>
      </w:r>
      <w:r w:rsidR="00F41DE7">
        <w:rPr>
          <w:i/>
        </w:rPr>
        <w:t>subsection 145 (3) Certificates</w:t>
      </w:r>
      <w:r w:rsidR="00151A3E">
        <w:rPr>
          <w:i/>
        </w:rPr>
        <w:t>) Determination 201</w:t>
      </w:r>
      <w:r w:rsidR="00F41DE7">
        <w:rPr>
          <w:i/>
        </w:rPr>
        <w:t>2</w:t>
      </w:r>
    </w:p>
    <w:p w14:paraId="5F185247" w14:textId="1BBAD2C3" w:rsidR="00086BF0" w:rsidRDefault="00086BF0" w:rsidP="00086BF0">
      <w:pPr>
        <w:pStyle w:val="subsection"/>
        <w:rPr>
          <w:rStyle w:val="CharSectno"/>
        </w:rPr>
      </w:pPr>
      <w:r>
        <w:tab/>
      </w:r>
      <w:r>
        <w:tab/>
        <w:t xml:space="preserve">The </w:t>
      </w:r>
      <w:r w:rsidR="00151A3E">
        <w:rPr>
          <w:i/>
        </w:rPr>
        <w:t>Radiocommunications (</w:t>
      </w:r>
      <w:r w:rsidR="00F41DE7">
        <w:rPr>
          <w:i/>
        </w:rPr>
        <w:t>subsection 145 (3)</w:t>
      </w:r>
      <w:r w:rsidR="00151A3E">
        <w:rPr>
          <w:i/>
        </w:rPr>
        <w:t xml:space="preserve"> Certificates) Determination 201</w:t>
      </w:r>
      <w:r w:rsidR="00F41DE7">
        <w:rPr>
          <w:i/>
        </w:rPr>
        <w:t>2</w:t>
      </w:r>
      <w:r>
        <w:rPr>
          <w:i/>
        </w:rPr>
        <w:t xml:space="preserve"> </w:t>
      </w:r>
      <w:r>
        <w:t>(F201</w:t>
      </w:r>
      <w:r w:rsidR="00F41DE7">
        <w:t>2</w:t>
      </w:r>
      <w:r>
        <w:t>L</w:t>
      </w:r>
      <w:r w:rsidR="00151A3E">
        <w:t>01</w:t>
      </w:r>
      <w:r w:rsidR="00EE01A4">
        <w:t>719</w:t>
      </w:r>
      <w:r>
        <w:t xml:space="preserve">) is repealed. </w:t>
      </w:r>
    </w:p>
    <w:p w14:paraId="616032F1" w14:textId="570E596F" w:rsidR="00086BF0" w:rsidRDefault="00151A3E" w:rsidP="00086BF0">
      <w:pPr>
        <w:pStyle w:val="ActHead5"/>
      </w:pPr>
      <w:r>
        <w:rPr>
          <w:rStyle w:val="CharSectno"/>
        </w:rPr>
        <w:t>5</w:t>
      </w:r>
      <w:r w:rsidR="00086BF0">
        <w:t xml:space="preserve">  Definitions</w:t>
      </w:r>
      <w:bookmarkEnd w:id="5"/>
    </w:p>
    <w:p w14:paraId="428F2C2E" w14:textId="77777777" w:rsidR="00086BF0" w:rsidRDefault="00086BF0" w:rsidP="00086BF0">
      <w:pPr>
        <w:pStyle w:val="subsection"/>
      </w:pPr>
      <w:r>
        <w:tab/>
      </w:r>
      <w:r>
        <w:tab/>
        <w:t>In this instrument:</w:t>
      </w:r>
    </w:p>
    <w:p w14:paraId="5789C7CA" w14:textId="76399BFD" w:rsidR="00FE0457" w:rsidRDefault="00FE0457" w:rsidP="00086BF0">
      <w:pPr>
        <w:pStyle w:val="Definition"/>
        <w:rPr>
          <w:bCs/>
          <w:iCs/>
        </w:rPr>
      </w:pPr>
      <w:r>
        <w:rPr>
          <w:b/>
          <w:i/>
        </w:rPr>
        <w:t>a</w:t>
      </w:r>
      <w:r w:rsidR="000F19F5">
        <w:rPr>
          <w:b/>
          <w:i/>
        </w:rPr>
        <w:t>ccredited person</w:t>
      </w:r>
      <w:r w:rsidR="000F19F5">
        <w:rPr>
          <w:bCs/>
          <w:iCs/>
        </w:rPr>
        <w:t xml:space="preserve"> means a person </w:t>
      </w:r>
      <w:r>
        <w:rPr>
          <w:bCs/>
          <w:iCs/>
        </w:rPr>
        <w:t xml:space="preserve">who holds </w:t>
      </w:r>
      <w:r w:rsidR="00367298">
        <w:rPr>
          <w:bCs/>
          <w:iCs/>
        </w:rPr>
        <w:t>a kind of accreditation specified in the legislative rules for the purposes of subsection 1</w:t>
      </w:r>
      <w:r w:rsidR="00E62819">
        <w:rPr>
          <w:bCs/>
          <w:iCs/>
        </w:rPr>
        <w:t>45</w:t>
      </w:r>
      <w:r w:rsidR="00367298">
        <w:rPr>
          <w:bCs/>
          <w:iCs/>
        </w:rPr>
        <w:t>(</w:t>
      </w:r>
      <w:r w:rsidR="00E62819">
        <w:rPr>
          <w:bCs/>
          <w:iCs/>
        </w:rPr>
        <w:t>3</w:t>
      </w:r>
      <w:r w:rsidR="00367298">
        <w:rPr>
          <w:bCs/>
          <w:iCs/>
        </w:rPr>
        <w:t>) of the Act.</w:t>
      </w:r>
    </w:p>
    <w:p w14:paraId="099EB861" w14:textId="3905FB48" w:rsidR="00086BF0" w:rsidRDefault="00086BF0" w:rsidP="00086BF0">
      <w:pPr>
        <w:pStyle w:val="Definition"/>
      </w:pPr>
      <w:r>
        <w:rPr>
          <w:b/>
          <w:i/>
        </w:rPr>
        <w:t>Act</w:t>
      </w:r>
      <w:r>
        <w:t xml:space="preserve"> means</w:t>
      </w:r>
      <w:r w:rsidR="00736DAB">
        <w:t xml:space="preserve"> the</w:t>
      </w:r>
      <w:r>
        <w:t xml:space="preserve"> </w:t>
      </w:r>
      <w:r w:rsidR="00151A3E">
        <w:rPr>
          <w:i/>
        </w:rPr>
        <w:t>Radiocommunications Act 1992</w:t>
      </w:r>
      <w:r>
        <w:t>.</w:t>
      </w:r>
    </w:p>
    <w:p w14:paraId="1CE227AF" w14:textId="19D9CEBC" w:rsidR="002231BD" w:rsidRPr="002231BD" w:rsidRDefault="002231BD" w:rsidP="00086BF0">
      <w:pPr>
        <w:pStyle w:val="Definition"/>
        <w:rPr>
          <w:iCs/>
        </w:rPr>
      </w:pPr>
      <w:r>
        <w:rPr>
          <w:b/>
          <w:bCs/>
          <w:i/>
        </w:rPr>
        <w:t>frequency range</w:t>
      </w:r>
      <w:r>
        <w:rPr>
          <w:iCs/>
        </w:rPr>
        <w:t xml:space="preserve">, for a spectrum licence, means </w:t>
      </w:r>
      <w:r w:rsidR="00AF1DFE">
        <w:rPr>
          <w:iCs/>
        </w:rPr>
        <w:t xml:space="preserve">a </w:t>
      </w:r>
      <w:r>
        <w:rPr>
          <w:iCs/>
        </w:rPr>
        <w:t>part of the spectrum specified in the core condition of the licence mentioned in paragraph 66(1)(a) of the Act.</w:t>
      </w:r>
    </w:p>
    <w:p w14:paraId="796AA300" w14:textId="6EDFDB04" w:rsidR="00EF5F12" w:rsidRDefault="002E2B0C" w:rsidP="00086BF0">
      <w:pPr>
        <w:pStyle w:val="Definition"/>
        <w:rPr>
          <w:iCs/>
        </w:rPr>
      </w:pPr>
      <w:r>
        <w:rPr>
          <w:b/>
          <w:bCs/>
          <w:i/>
        </w:rPr>
        <w:t>g</w:t>
      </w:r>
      <w:r w:rsidR="00EF5F12">
        <w:rPr>
          <w:b/>
          <w:bCs/>
          <w:i/>
        </w:rPr>
        <w:t>eographic are</w:t>
      </w:r>
      <w:r w:rsidR="00387882">
        <w:rPr>
          <w:b/>
          <w:bCs/>
          <w:i/>
        </w:rPr>
        <w:t>a</w:t>
      </w:r>
      <w:r w:rsidR="00387882">
        <w:rPr>
          <w:iCs/>
        </w:rPr>
        <w:t>, for</w:t>
      </w:r>
      <w:r w:rsidR="00EF5F12">
        <w:rPr>
          <w:iCs/>
        </w:rPr>
        <w:t xml:space="preserve"> a spectrum licence, means the area specified </w:t>
      </w:r>
      <w:r w:rsidR="005E389A">
        <w:rPr>
          <w:iCs/>
        </w:rPr>
        <w:t xml:space="preserve">in the core condition </w:t>
      </w:r>
      <w:r>
        <w:rPr>
          <w:iCs/>
        </w:rPr>
        <w:t>of the licence mentioned in paragraph 66(1)(c) of the Act.</w:t>
      </w:r>
    </w:p>
    <w:p w14:paraId="350FF684" w14:textId="2A5F8E06" w:rsidR="002E2B0C" w:rsidRDefault="002E2B0C" w:rsidP="00086BF0">
      <w:pPr>
        <w:pStyle w:val="Definition"/>
        <w:rPr>
          <w:iCs/>
        </w:rPr>
      </w:pPr>
      <w:r>
        <w:rPr>
          <w:b/>
          <w:bCs/>
          <w:i/>
        </w:rPr>
        <w:t>guard area</w:t>
      </w:r>
      <w:r>
        <w:rPr>
          <w:iCs/>
        </w:rPr>
        <w:t xml:space="preserve"> </w:t>
      </w:r>
      <w:r w:rsidR="0061083A">
        <w:rPr>
          <w:iCs/>
        </w:rPr>
        <w:t xml:space="preserve">means </w:t>
      </w:r>
      <w:r w:rsidR="00387882">
        <w:rPr>
          <w:iCs/>
        </w:rPr>
        <w:t>a part of the geographic area for a spectrum licence</w:t>
      </w:r>
      <w:r w:rsidR="00087A12">
        <w:rPr>
          <w:iCs/>
        </w:rPr>
        <w:t xml:space="preserve"> that:</w:t>
      </w:r>
    </w:p>
    <w:p w14:paraId="2ED84AC8" w14:textId="26C5870C" w:rsidR="00087A12" w:rsidRDefault="00087A12" w:rsidP="00087A12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>adjoins the outer boundary of the geographic area; and</w:t>
      </w:r>
    </w:p>
    <w:p w14:paraId="02DA96D4" w14:textId="33EE0340" w:rsidR="00087A12" w:rsidRPr="002E2B0C" w:rsidRDefault="00087A12" w:rsidP="00087A12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</w:r>
      <w:r w:rsidR="0023797D">
        <w:rPr>
          <w:iCs/>
        </w:rPr>
        <w:t xml:space="preserve">within which no radiocommunications devices are registered, or intended </w:t>
      </w:r>
      <w:r w:rsidR="00501262">
        <w:rPr>
          <w:iCs/>
        </w:rPr>
        <w:t xml:space="preserve">by the licensee </w:t>
      </w:r>
      <w:r w:rsidR="0023797D">
        <w:rPr>
          <w:iCs/>
        </w:rPr>
        <w:t xml:space="preserve">to be registered, </w:t>
      </w:r>
      <w:r w:rsidR="00655045">
        <w:rPr>
          <w:iCs/>
        </w:rPr>
        <w:t>on the Register in relation to the licence.</w:t>
      </w:r>
    </w:p>
    <w:p w14:paraId="68D5803B" w14:textId="76499DB6" w:rsidR="00655045" w:rsidRDefault="00655045" w:rsidP="00655045">
      <w:pPr>
        <w:pStyle w:val="Definition"/>
        <w:rPr>
          <w:iCs/>
        </w:rPr>
      </w:pPr>
      <w:r>
        <w:rPr>
          <w:b/>
          <w:bCs/>
          <w:i/>
        </w:rPr>
        <w:t>guard band</w:t>
      </w:r>
      <w:r>
        <w:rPr>
          <w:iCs/>
        </w:rPr>
        <w:t xml:space="preserve"> means a part of the </w:t>
      </w:r>
      <w:r w:rsidR="00AF1DFE">
        <w:rPr>
          <w:iCs/>
        </w:rPr>
        <w:t>frequency range</w:t>
      </w:r>
      <w:r>
        <w:rPr>
          <w:iCs/>
        </w:rPr>
        <w:t xml:space="preserve"> for a spectrum licence that:</w:t>
      </w:r>
    </w:p>
    <w:p w14:paraId="61A5420E" w14:textId="531302BE" w:rsidR="00655045" w:rsidRDefault="00655045" w:rsidP="00655045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 xml:space="preserve">adjoins </w:t>
      </w:r>
      <w:r w:rsidR="009310F6">
        <w:rPr>
          <w:iCs/>
        </w:rPr>
        <w:t xml:space="preserve">either </w:t>
      </w:r>
      <w:r>
        <w:rPr>
          <w:iCs/>
        </w:rPr>
        <w:t xml:space="preserve">the </w:t>
      </w:r>
      <w:r w:rsidR="00AF1DFE">
        <w:rPr>
          <w:iCs/>
        </w:rPr>
        <w:t xml:space="preserve">upper or </w:t>
      </w:r>
      <w:r w:rsidR="009310F6">
        <w:rPr>
          <w:iCs/>
        </w:rPr>
        <w:t xml:space="preserve">the </w:t>
      </w:r>
      <w:r w:rsidR="00AF1DFE">
        <w:rPr>
          <w:iCs/>
        </w:rPr>
        <w:t>lower</w:t>
      </w:r>
      <w:r>
        <w:rPr>
          <w:iCs/>
        </w:rPr>
        <w:t xml:space="preserve"> boundary of the </w:t>
      </w:r>
      <w:r w:rsidR="00DF043F">
        <w:rPr>
          <w:iCs/>
        </w:rPr>
        <w:t>frequency range</w:t>
      </w:r>
      <w:r>
        <w:rPr>
          <w:iCs/>
        </w:rPr>
        <w:t>; and</w:t>
      </w:r>
    </w:p>
    <w:p w14:paraId="1BE3FF23" w14:textId="4E476AFA" w:rsidR="00655045" w:rsidRPr="002E2B0C" w:rsidRDefault="00655045" w:rsidP="00655045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>within which no radiocommunications devices are registered, or intended</w:t>
      </w:r>
      <w:r w:rsidR="00501262">
        <w:rPr>
          <w:iCs/>
        </w:rPr>
        <w:t xml:space="preserve"> by the licensee</w:t>
      </w:r>
      <w:r>
        <w:rPr>
          <w:iCs/>
        </w:rPr>
        <w:t xml:space="preserve"> to be registered, on the Register in relation to the licence.</w:t>
      </w:r>
    </w:p>
    <w:p w14:paraId="348E5757" w14:textId="2A53CF08" w:rsidR="00DF043F" w:rsidRDefault="00DF043F" w:rsidP="00DF043F">
      <w:pPr>
        <w:pStyle w:val="Definition"/>
        <w:rPr>
          <w:iCs/>
        </w:rPr>
      </w:pPr>
      <w:r>
        <w:rPr>
          <w:b/>
          <w:bCs/>
          <w:i/>
        </w:rPr>
        <w:t>guard space</w:t>
      </w:r>
      <w:r w:rsidR="006F5B3D">
        <w:rPr>
          <w:iCs/>
        </w:rPr>
        <w:t>, in relation to a spectrum licence,</w:t>
      </w:r>
      <w:r>
        <w:rPr>
          <w:iCs/>
        </w:rPr>
        <w:t xml:space="preserve"> means:</w:t>
      </w:r>
    </w:p>
    <w:p w14:paraId="53B97D2B" w14:textId="7453D2CC" w:rsidR="00DF043F" w:rsidRDefault="00DF043F" w:rsidP="00DF043F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</w:r>
      <w:r w:rsidR="00DF0BA1">
        <w:rPr>
          <w:iCs/>
        </w:rPr>
        <w:t>a guard area</w:t>
      </w:r>
      <w:r>
        <w:rPr>
          <w:iCs/>
        </w:rPr>
        <w:t xml:space="preserve">; </w:t>
      </w:r>
      <w:r w:rsidR="00DF0BA1">
        <w:rPr>
          <w:iCs/>
        </w:rPr>
        <w:t>or</w:t>
      </w:r>
    </w:p>
    <w:p w14:paraId="0B020203" w14:textId="77777777" w:rsidR="00DF0BA1" w:rsidRDefault="00DF043F" w:rsidP="00DF043F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</w:r>
      <w:r w:rsidR="00DF0BA1">
        <w:rPr>
          <w:iCs/>
        </w:rPr>
        <w:t>a guard band; or</w:t>
      </w:r>
    </w:p>
    <w:p w14:paraId="6ED0EE9B" w14:textId="77777777" w:rsidR="00DF0BA1" w:rsidRDefault="00DF0BA1" w:rsidP="00DF043F">
      <w:pPr>
        <w:pStyle w:val="paragraph"/>
        <w:rPr>
          <w:iCs/>
        </w:rPr>
      </w:pPr>
      <w:r>
        <w:rPr>
          <w:iCs/>
        </w:rPr>
        <w:tab/>
        <w:t>(c)</w:t>
      </w:r>
      <w:r>
        <w:rPr>
          <w:iCs/>
        </w:rPr>
        <w:tab/>
        <w:t xml:space="preserve">a combination of a guard area and a guard </w:t>
      </w:r>
      <w:proofErr w:type="gramStart"/>
      <w:r>
        <w:rPr>
          <w:iCs/>
        </w:rPr>
        <w:t>band;</w:t>
      </w:r>
      <w:proofErr w:type="gramEnd"/>
    </w:p>
    <w:p w14:paraId="0E03CF4A" w14:textId="7CC10A7D" w:rsidR="00DF043F" w:rsidRPr="002E2B0C" w:rsidRDefault="006F5B3D" w:rsidP="00DF0BA1">
      <w:pPr>
        <w:pStyle w:val="Definition"/>
        <w:spacing w:before="60"/>
        <w:rPr>
          <w:iCs/>
        </w:rPr>
      </w:pPr>
      <w:r>
        <w:rPr>
          <w:iCs/>
        </w:rPr>
        <w:t xml:space="preserve">for the spectrum licence </w:t>
      </w:r>
      <w:r w:rsidR="00DF0BA1">
        <w:rPr>
          <w:iCs/>
        </w:rPr>
        <w:t xml:space="preserve">that </w:t>
      </w:r>
      <w:r w:rsidR="009C153B">
        <w:rPr>
          <w:iCs/>
        </w:rPr>
        <w:t>is designed to limit the radio emissions</w:t>
      </w:r>
      <w:r w:rsidR="00532B74">
        <w:rPr>
          <w:iCs/>
        </w:rPr>
        <w:t xml:space="preserve"> of devices operated under the licence outside the spectrum space of the licence</w:t>
      </w:r>
      <w:r w:rsidR="00DF043F">
        <w:rPr>
          <w:iCs/>
        </w:rPr>
        <w:t>.</w:t>
      </w:r>
    </w:p>
    <w:p w14:paraId="291428A6" w14:textId="489E366B" w:rsidR="00086BF0" w:rsidRDefault="00E62819" w:rsidP="00086BF0">
      <w:pPr>
        <w:pStyle w:val="Definition"/>
      </w:pPr>
      <w:r>
        <w:rPr>
          <w:b/>
          <w:bCs/>
          <w:i/>
        </w:rPr>
        <w:lastRenderedPageBreak/>
        <w:t>interference impact</w:t>
      </w:r>
      <w:r w:rsidR="00D74283" w:rsidRPr="00D74283">
        <w:rPr>
          <w:b/>
          <w:bCs/>
          <w:i/>
        </w:rPr>
        <w:t xml:space="preserve"> certificate</w:t>
      </w:r>
      <w:r w:rsidR="00086BF0">
        <w:t xml:space="preserve"> </w:t>
      </w:r>
      <w:r>
        <w:t>means a certificate</w:t>
      </w:r>
      <w:r w:rsidR="003411B6">
        <w:t xml:space="preserve"> </w:t>
      </w:r>
      <w:r w:rsidR="00A45898">
        <w:t>issued under</w:t>
      </w:r>
      <w:r w:rsidR="00F56220">
        <w:t xml:space="preserve"> subsection 145(3) of the Act</w:t>
      </w:r>
      <w:r w:rsidR="00086BF0">
        <w:t>.</w:t>
      </w:r>
    </w:p>
    <w:p w14:paraId="6F88DEEB" w14:textId="154B68DB" w:rsidR="008E36FA" w:rsidRDefault="00532B74" w:rsidP="00086BF0">
      <w:pPr>
        <w:pStyle w:val="Definition"/>
        <w:rPr>
          <w:iCs/>
        </w:rPr>
      </w:pPr>
      <w:r>
        <w:rPr>
          <w:b/>
          <w:bCs/>
          <w:i/>
        </w:rPr>
        <w:t>section 145 determination</w:t>
      </w:r>
      <w:r w:rsidR="008E36FA">
        <w:rPr>
          <w:b/>
          <w:bCs/>
          <w:i/>
        </w:rPr>
        <w:t xml:space="preserve"> </w:t>
      </w:r>
      <w:r w:rsidR="002967C3">
        <w:rPr>
          <w:iCs/>
        </w:rPr>
        <w:t>means a determination made under su</w:t>
      </w:r>
      <w:r w:rsidR="007E212B">
        <w:rPr>
          <w:iCs/>
        </w:rPr>
        <w:t>bsection 145</w:t>
      </w:r>
      <w:r w:rsidR="00B613A8">
        <w:rPr>
          <w:iCs/>
        </w:rPr>
        <w:t>(4)</w:t>
      </w:r>
      <w:r w:rsidR="00995CF5">
        <w:rPr>
          <w:iCs/>
        </w:rPr>
        <w:t xml:space="preserve"> of the Act.</w:t>
      </w:r>
    </w:p>
    <w:p w14:paraId="172CB5F8" w14:textId="59AD5130" w:rsidR="00DF1F13" w:rsidRDefault="009C0F0D" w:rsidP="00086BF0">
      <w:pPr>
        <w:pStyle w:val="Definition"/>
        <w:rPr>
          <w:iCs/>
        </w:rPr>
      </w:pPr>
      <w:r>
        <w:rPr>
          <w:b/>
          <w:bCs/>
          <w:i/>
        </w:rPr>
        <w:t>spectrum space</w:t>
      </w:r>
      <w:r>
        <w:rPr>
          <w:iCs/>
        </w:rPr>
        <w:t>, in relation to a spectrum licence, means the combination of the frequency range and geographic area for the licence.</w:t>
      </w:r>
    </w:p>
    <w:p w14:paraId="05681FC1" w14:textId="78AA93B9" w:rsidR="00086BF0" w:rsidRDefault="00086BF0" w:rsidP="00086BF0">
      <w:pPr>
        <w:pStyle w:val="notetext"/>
      </w:pPr>
      <w:r>
        <w:t>Note</w:t>
      </w:r>
      <w:r w:rsidR="00BE38CE">
        <w:t xml:space="preserve"> </w:t>
      </w:r>
      <w:r w:rsidR="009C0F0D">
        <w:t>1</w:t>
      </w:r>
      <w:r>
        <w:t>:</w:t>
      </w:r>
      <w:r>
        <w:tab/>
        <w:t>A number of other expressions used in this instrument are defined in the Act, including the following:</w:t>
      </w:r>
    </w:p>
    <w:p w14:paraId="5ADC59E6" w14:textId="1FF69116" w:rsidR="0009301E" w:rsidRDefault="0009301E" w:rsidP="00086BF0">
      <w:pPr>
        <w:pStyle w:val="notepara"/>
      </w:pPr>
      <w:r>
        <w:t>(a)</w:t>
      </w:r>
      <w:r>
        <w:tab/>
      </w:r>
      <w:proofErr w:type="gramStart"/>
      <w:r>
        <w:t>accreditation;</w:t>
      </w:r>
      <w:proofErr w:type="gramEnd"/>
    </w:p>
    <w:p w14:paraId="67E0F11C" w14:textId="43DA7B99" w:rsidR="00086BF0" w:rsidRDefault="00086BF0" w:rsidP="00086BF0">
      <w:pPr>
        <w:pStyle w:val="notepara"/>
      </w:pPr>
      <w:r>
        <w:t>(</w:t>
      </w:r>
      <w:r w:rsidR="00BB215C">
        <w:t>b</w:t>
      </w:r>
      <w:r>
        <w:t>)</w:t>
      </w:r>
      <w:r>
        <w:tab/>
      </w:r>
      <w:proofErr w:type="gramStart"/>
      <w:r w:rsidR="004055AE">
        <w:t>device</w:t>
      </w:r>
      <w:r>
        <w:t>;</w:t>
      </w:r>
      <w:proofErr w:type="gramEnd"/>
    </w:p>
    <w:p w14:paraId="383A0757" w14:textId="6D721674" w:rsidR="00650E4F" w:rsidRDefault="00650E4F" w:rsidP="00086BF0">
      <w:pPr>
        <w:pStyle w:val="notepara"/>
      </w:pPr>
      <w:r>
        <w:t>(</w:t>
      </w:r>
      <w:r w:rsidR="00BB215C">
        <w:t>c</w:t>
      </w:r>
      <w:r>
        <w:t>)</w:t>
      </w:r>
      <w:r>
        <w:tab/>
      </w:r>
      <w:proofErr w:type="gramStart"/>
      <w:r>
        <w:t>interference;</w:t>
      </w:r>
      <w:proofErr w:type="gramEnd"/>
    </w:p>
    <w:p w14:paraId="7A406733" w14:textId="59D3501C" w:rsidR="00086BF0" w:rsidRDefault="00086BF0" w:rsidP="0080479A">
      <w:pPr>
        <w:pStyle w:val="notepara"/>
      </w:pPr>
      <w:r>
        <w:t>(</w:t>
      </w:r>
      <w:r w:rsidR="00BB215C">
        <w:t>d</w:t>
      </w:r>
      <w:r>
        <w:t>)</w:t>
      </w:r>
      <w:r>
        <w:tab/>
      </w:r>
      <w:r w:rsidR="00E92381">
        <w:t xml:space="preserve">legislative </w:t>
      </w:r>
      <w:proofErr w:type="gramStart"/>
      <w:r w:rsidR="00E92381">
        <w:t>rules</w:t>
      </w:r>
      <w:r w:rsidR="009C0F0D">
        <w:t>;</w:t>
      </w:r>
      <w:proofErr w:type="gramEnd"/>
    </w:p>
    <w:p w14:paraId="0AEFB46B" w14:textId="34AEF19E" w:rsidR="0009301E" w:rsidRDefault="0009301E" w:rsidP="0080479A">
      <w:pPr>
        <w:pStyle w:val="notepara"/>
      </w:pPr>
      <w:r>
        <w:t>(</w:t>
      </w:r>
      <w:r w:rsidR="00BB215C">
        <w:t>e</w:t>
      </w:r>
      <w:r>
        <w:t>)</w:t>
      </w:r>
      <w:r>
        <w:tab/>
        <w:t xml:space="preserve">radiocommunications </w:t>
      </w:r>
      <w:proofErr w:type="gramStart"/>
      <w:r>
        <w:t>device;</w:t>
      </w:r>
      <w:proofErr w:type="gramEnd"/>
    </w:p>
    <w:p w14:paraId="7A599CC4" w14:textId="48A22E76" w:rsidR="008E34B5" w:rsidRDefault="008E34B5" w:rsidP="0080479A">
      <w:pPr>
        <w:pStyle w:val="notepara"/>
      </w:pPr>
      <w:r>
        <w:t>(</w:t>
      </w:r>
      <w:r w:rsidR="00BB215C">
        <w:t>f</w:t>
      </w:r>
      <w:r>
        <w:t>)</w:t>
      </w:r>
      <w:r>
        <w:tab/>
        <w:t xml:space="preserve">radiocommunications </w:t>
      </w:r>
      <w:proofErr w:type="gramStart"/>
      <w:r>
        <w:t>transmitter;</w:t>
      </w:r>
      <w:proofErr w:type="gramEnd"/>
    </w:p>
    <w:p w14:paraId="3343C8E3" w14:textId="28AEA1DB" w:rsidR="00A558CC" w:rsidRDefault="00A558CC" w:rsidP="0080479A">
      <w:pPr>
        <w:pStyle w:val="notepara"/>
      </w:pPr>
      <w:r>
        <w:t>(</w:t>
      </w:r>
      <w:r w:rsidR="00BB215C">
        <w:t>g</w:t>
      </w:r>
      <w:r>
        <w:t>)</w:t>
      </w:r>
      <w:r>
        <w:tab/>
        <w:t xml:space="preserve">radio </w:t>
      </w:r>
      <w:proofErr w:type="gramStart"/>
      <w:r>
        <w:t>emission;</w:t>
      </w:r>
      <w:proofErr w:type="gramEnd"/>
    </w:p>
    <w:p w14:paraId="3AF8C507" w14:textId="1D301C56" w:rsidR="003046CB" w:rsidRDefault="003046CB" w:rsidP="0080479A">
      <w:pPr>
        <w:pStyle w:val="notepara"/>
      </w:pPr>
      <w:r>
        <w:t>(</w:t>
      </w:r>
      <w:r w:rsidR="00BB215C">
        <w:t>h</w:t>
      </w:r>
      <w:r>
        <w:t>)</w:t>
      </w:r>
      <w:r>
        <w:tab/>
      </w:r>
      <w:proofErr w:type="gramStart"/>
      <w:r>
        <w:t>Register;</w:t>
      </w:r>
      <w:proofErr w:type="gramEnd"/>
    </w:p>
    <w:p w14:paraId="0457CF53" w14:textId="5BE22721" w:rsidR="009C0F0D" w:rsidRDefault="009C0F0D" w:rsidP="0080479A">
      <w:pPr>
        <w:pStyle w:val="notepara"/>
      </w:pPr>
      <w:r>
        <w:t>(</w:t>
      </w:r>
      <w:r w:rsidR="00BB215C">
        <w:t>i</w:t>
      </w:r>
      <w:r>
        <w:t>)</w:t>
      </w:r>
      <w:r>
        <w:tab/>
        <w:t>spectrum licence.</w:t>
      </w:r>
    </w:p>
    <w:p w14:paraId="35B7B531" w14:textId="376C2726" w:rsidR="00BE38CE" w:rsidRDefault="00BE38CE" w:rsidP="00BE38CE">
      <w:pPr>
        <w:pStyle w:val="notetext"/>
      </w:pPr>
      <w:r>
        <w:t xml:space="preserve">Note </w:t>
      </w:r>
      <w:r w:rsidR="0073737A">
        <w:t>2</w:t>
      </w:r>
      <w:r>
        <w:t>:</w:t>
      </w:r>
      <w:r>
        <w:tab/>
        <w:t xml:space="preserve">Other expressions used in this instrument may be defined in a determination made under subsection 64(1) of the </w:t>
      </w:r>
      <w:r>
        <w:rPr>
          <w:i/>
          <w:iCs/>
        </w:rPr>
        <w:t>Australian Communications and Media Authority Act 2005</w:t>
      </w:r>
      <w:r>
        <w:t>.</w:t>
      </w:r>
    </w:p>
    <w:p w14:paraId="13C406F7" w14:textId="7CB1468F" w:rsidR="00086BF0" w:rsidRDefault="00151A3E" w:rsidP="00086BF0">
      <w:pPr>
        <w:pStyle w:val="ActHead5"/>
      </w:pPr>
      <w:r w:rsidRPr="00C3088C">
        <w:rPr>
          <w:rStyle w:val="CharSectno"/>
        </w:rPr>
        <w:t>6</w:t>
      </w:r>
      <w:r w:rsidR="00086BF0" w:rsidRPr="007E3495">
        <w:rPr>
          <w:rStyle w:val="CharSectno"/>
        </w:rPr>
        <w:t xml:space="preserve"> </w:t>
      </w:r>
      <w:r w:rsidR="00086BF0">
        <w:t xml:space="preserve"> References to other instruments</w:t>
      </w:r>
    </w:p>
    <w:p w14:paraId="624BF9E2" w14:textId="77777777" w:rsidR="00086BF0" w:rsidRDefault="00086BF0" w:rsidP="00086BF0">
      <w:pPr>
        <w:pStyle w:val="subsection"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6C675C89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a reference to any other kind of instrument</w:t>
      </w:r>
      <w:r w:rsidR="00151A3E">
        <w:t xml:space="preserve"> or writing</w:t>
      </w:r>
      <w:r>
        <w:t xml:space="preserve"> is a reference to that other instrument </w:t>
      </w:r>
      <w:r w:rsidR="00151A3E">
        <w:t xml:space="preserve">or writing </w:t>
      </w:r>
      <w:r>
        <w:t>as in force</w:t>
      </w:r>
      <w:r w:rsidR="00151A3E">
        <w:t xml:space="preserve"> or in existence</w:t>
      </w:r>
      <w:r>
        <w:t xml:space="preserve"> from time to time.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3D76C92D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11108A88" w14:textId="5F9908D7" w:rsidR="00151A3E" w:rsidRDefault="00151A3E" w:rsidP="00086BF0">
      <w:pPr>
        <w:pStyle w:val="notetext"/>
      </w:pPr>
      <w:r>
        <w:t>Note 3:</w:t>
      </w:r>
      <w:r>
        <w:tab/>
        <w:t>See section 314A of the Act.</w:t>
      </w:r>
    </w:p>
    <w:p w14:paraId="68CB38E3" w14:textId="1E88A40D" w:rsidR="00086BF0" w:rsidRPr="002F29D8" w:rsidRDefault="008B6B09" w:rsidP="00086BF0">
      <w:pPr>
        <w:pStyle w:val="ActHead5"/>
      </w:pPr>
      <w:bookmarkStart w:id="6" w:name="_Toc444596036"/>
      <w:bookmarkEnd w:id="2"/>
      <w:proofErr w:type="gramStart"/>
      <w:r>
        <w:rPr>
          <w:rStyle w:val="CharSectno"/>
        </w:rPr>
        <w:t>7</w:t>
      </w:r>
      <w:r w:rsidR="00086BF0" w:rsidRPr="002F29D8">
        <w:t xml:space="preserve">  </w:t>
      </w:r>
      <w:bookmarkEnd w:id="6"/>
      <w:r w:rsidR="008D3702">
        <w:t>Condition</w:t>
      </w:r>
      <w:proofErr w:type="gramEnd"/>
      <w:r w:rsidR="008D3702">
        <w:t xml:space="preserve"> to be satisfied </w:t>
      </w:r>
      <w:r w:rsidR="00A66957">
        <w:t>–</w:t>
      </w:r>
      <w:r w:rsidR="008D3702">
        <w:t xml:space="preserve"> </w:t>
      </w:r>
      <w:r w:rsidR="00A66957">
        <w:t>no unacceptable level of interference</w:t>
      </w:r>
    </w:p>
    <w:p w14:paraId="0D6CA35E" w14:textId="3BB9F85F" w:rsidR="008D3702" w:rsidRDefault="008D3702" w:rsidP="004C1402">
      <w:pPr>
        <w:pStyle w:val="subsection"/>
      </w:pPr>
      <w:r>
        <w:tab/>
        <w:t>(1)</w:t>
      </w:r>
      <w:r>
        <w:tab/>
      </w:r>
      <w:r w:rsidR="00A66957">
        <w:t xml:space="preserve">This section </w:t>
      </w:r>
      <w:r>
        <w:t>sets out a condition to be satisfied by the operation of a radiocommunications transmitter under a spectrum licence, for the purposes of subsection 145(3) of the Act.</w:t>
      </w:r>
    </w:p>
    <w:p w14:paraId="6F1152D9" w14:textId="182E5D67" w:rsidR="009A1F2A" w:rsidRDefault="004C1402" w:rsidP="004C1402">
      <w:pPr>
        <w:pStyle w:val="subsection"/>
      </w:pPr>
      <w:r>
        <w:tab/>
      </w:r>
      <w:r w:rsidR="001E75C4">
        <w:t>(</w:t>
      </w:r>
      <w:r w:rsidR="00A66957">
        <w:t>2</w:t>
      </w:r>
      <w:r w:rsidR="001E75C4">
        <w:t>)</w:t>
      </w:r>
      <w:r>
        <w:tab/>
      </w:r>
      <w:r w:rsidR="00B763E1">
        <w:t>Subject t</w:t>
      </w:r>
      <w:r w:rsidR="00C20BB8">
        <w:t>o subsections (</w:t>
      </w:r>
      <w:r w:rsidR="00A66957">
        <w:t>3</w:t>
      </w:r>
      <w:r w:rsidR="00C20BB8">
        <w:t>)</w:t>
      </w:r>
      <w:r w:rsidR="00584FF8">
        <w:t xml:space="preserve"> </w:t>
      </w:r>
      <w:r w:rsidR="00C20BB8">
        <w:t>an</w:t>
      </w:r>
      <w:r w:rsidR="00584FF8">
        <w:t>d (</w:t>
      </w:r>
      <w:r w:rsidR="00A66957">
        <w:t>4</w:t>
      </w:r>
      <w:r w:rsidR="00584FF8">
        <w:t>), t</w:t>
      </w:r>
      <w:r w:rsidR="0073714C">
        <w:t xml:space="preserve">he operation </w:t>
      </w:r>
      <w:r w:rsidR="00426674">
        <w:t xml:space="preserve">of </w:t>
      </w:r>
      <w:r w:rsidR="0076243B">
        <w:t>the</w:t>
      </w:r>
      <w:r w:rsidR="00426674">
        <w:t xml:space="preserve"> </w:t>
      </w:r>
      <w:r w:rsidR="001E04B2">
        <w:t>radiocommunications</w:t>
      </w:r>
      <w:r w:rsidR="00426674">
        <w:t xml:space="preserve"> </w:t>
      </w:r>
      <w:r w:rsidR="0076243B">
        <w:t>transmitter</w:t>
      </w:r>
      <w:r w:rsidR="009A1F2A">
        <w:t xml:space="preserve"> </w:t>
      </w:r>
      <w:r w:rsidR="00426674">
        <w:t xml:space="preserve">under </w:t>
      </w:r>
      <w:r w:rsidR="00746DC5">
        <w:t>the</w:t>
      </w:r>
      <w:r w:rsidR="009E24A8">
        <w:t xml:space="preserve"> </w:t>
      </w:r>
      <w:r w:rsidR="009A1F2A">
        <w:t>spectrum licence</w:t>
      </w:r>
      <w:r w:rsidR="00584FF8">
        <w:t xml:space="preserve"> must not cause an unacceptable level of interference, within the </w:t>
      </w:r>
      <w:r w:rsidR="00CD5EC1">
        <w:t>meaning given by the section 145 determination (if any) that applies in relation to the spectrum licence.</w:t>
      </w:r>
    </w:p>
    <w:p w14:paraId="6CCB4632" w14:textId="0A602191" w:rsidR="00CD5EC1" w:rsidRDefault="00CD5EC1" w:rsidP="004C1402">
      <w:pPr>
        <w:pStyle w:val="subsection"/>
      </w:pPr>
      <w:r>
        <w:tab/>
        <w:t>(</w:t>
      </w:r>
      <w:r w:rsidR="00A66957">
        <w:t>3</w:t>
      </w:r>
      <w:r>
        <w:t>)</w:t>
      </w:r>
      <w:r>
        <w:tab/>
      </w:r>
      <w:r w:rsidR="00382103">
        <w:t>Subsection (</w:t>
      </w:r>
      <w:r w:rsidR="00A66957">
        <w:t>2</w:t>
      </w:r>
      <w:r w:rsidR="00382103">
        <w:t xml:space="preserve">) does not apply if the accredited person issuing </w:t>
      </w:r>
      <w:r w:rsidR="00456024">
        <w:t>the interference impact</w:t>
      </w:r>
      <w:r w:rsidR="00382103">
        <w:t xml:space="preserve"> certificate</w:t>
      </w:r>
      <w:r w:rsidR="00C72602">
        <w:t xml:space="preserve"> is satisfied that the use of guard space is sufficient to mitigate potential interference from the radiocommunications transmitter</w:t>
      </w:r>
      <w:r w:rsidR="00673C9D">
        <w:t>.</w:t>
      </w:r>
    </w:p>
    <w:p w14:paraId="6957F592" w14:textId="7C5FB576" w:rsidR="00673C9D" w:rsidRDefault="00673C9D" w:rsidP="004C1402">
      <w:pPr>
        <w:pStyle w:val="subsection"/>
      </w:pPr>
      <w:r>
        <w:tab/>
        <w:t>(</w:t>
      </w:r>
      <w:r w:rsidR="00A66957">
        <w:t>4</w:t>
      </w:r>
      <w:r>
        <w:t>)</w:t>
      </w:r>
      <w:r>
        <w:tab/>
        <w:t>Subsection (</w:t>
      </w:r>
      <w:r w:rsidR="00650E4F">
        <w:t>2</w:t>
      </w:r>
      <w:r w:rsidR="00907DE6">
        <w:t xml:space="preserve">) does not apply if the </w:t>
      </w:r>
      <w:r w:rsidR="00456024">
        <w:t xml:space="preserve">accredited person issuing the interference impact certificate </w:t>
      </w:r>
      <w:r w:rsidR="00F72664">
        <w:t xml:space="preserve">is satisfied that each person who, in the </w:t>
      </w:r>
      <w:r w:rsidR="0051052F">
        <w:t xml:space="preserve">accredited </w:t>
      </w:r>
      <w:r w:rsidR="00F72664">
        <w:t>person’s opinion, may be affected by the interference has given consent in writing to interference from the radiocommunications transmitter.</w:t>
      </w:r>
    </w:p>
    <w:sectPr w:rsidR="00673C9D" w:rsidSect="003A471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5C4A" w14:textId="77777777" w:rsidR="009D5BFB" w:rsidRDefault="009D5BFB" w:rsidP="0017734A">
      <w:pPr>
        <w:spacing w:after="0" w:line="240" w:lineRule="auto"/>
      </w:pPr>
      <w:r>
        <w:separator/>
      </w:r>
    </w:p>
  </w:endnote>
  <w:endnote w:type="continuationSeparator" w:id="0">
    <w:p w14:paraId="205D034C" w14:textId="77777777" w:rsidR="009D5BFB" w:rsidRDefault="009D5BFB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8EA9" w14:textId="7CB6DBBF" w:rsidR="00E60316" w:rsidRDefault="00E60316" w:rsidP="008047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i/>
        <w:iCs/>
      </w:rPr>
      <w:t>Radiocommunications (Conditions of Interference Impact Certificates) Determination 2021</w:t>
    </w:r>
  </w:p>
  <w:p w14:paraId="7904CD59" w14:textId="77777777" w:rsidR="00E60316" w:rsidRPr="0080479A" w:rsidRDefault="00E60316" w:rsidP="0080479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7483" w14:textId="77777777" w:rsidR="009D5BFB" w:rsidRDefault="009D5BFB" w:rsidP="0017734A">
      <w:pPr>
        <w:spacing w:after="0" w:line="240" w:lineRule="auto"/>
      </w:pPr>
      <w:r>
        <w:separator/>
      </w:r>
    </w:p>
  </w:footnote>
  <w:footnote w:type="continuationSeparator" w:id="0">
    <w:p w14:paraId="26C25B5A" w14:textId="77777777" w:rsidR="009D5BFB" w:rsidRDefault="009D5BFB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DBDF" w14:textId="05D86621" w:rsidR="0016084F" w:rsidRPr="00F03566" w:rsidRDefault="0016084F" w:rsidP="009272AD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7F11C5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86434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24C6B"/>
    <w:rsid w:val="000340E0"/>
    <w:rsid w:val="00044E44"/>
    <w:rsid w:val="000609BF"/>
    <w:rsid w:val="00082E71"/>
    <w:rsid w:val="00086BF0"/>
    <w:rsid w:val="00087A12"/>
    <w:rsid w:val="00087F5A"/>
    <w:rsid w:val="0009301E"/>
    <w:rsid w:val="00097890"/>
    <w:rsid w:val="000A16B7"/>
    <w:rsid w:val="000D6066"/>
    <w:rsid w:val="000E35B9"/>
    <w:rsid w:val="000F1010"/>
    <w:rsid w:val="000F19F5"/>
    <w:rsid w:val="000F1CE3"/>
    <w:rsid w:val="000F2057"/>
    <w:rsid w:val="00126151"/>
    <w:rsid w:val="0013011E"/>
    <w:rsid w:val="0014341E"/>
    <w:rsid w:val="00151A3E"/>
    <w:rsid w:val="00152CE6"/>
    <w:rsid w:val="0016084F"/>
    <w:rsid w:val="00160F8E"/>
    <w:rsid w:val="0017734A"/>
    <w:rsid w:val="00183F81"/>
    <w:rsid w:val="001A2B69"/>
    <w:rsid w:val="001A4B39"/>
    <w:rsid w:val="001B2574"/>
    <w:rsid w:val="001C3477"/>
    <w:rsid w:val="001E04B2"/>
    <w:rsid w:val="001E0709"/>
    <w:rsid w:val="001E45EA"/>
    <w:rsid w:val="001E75C4"/>
    <w:rsid w:val="001F7FD1"/>
    <w:rsid w:val="00215AC2"/>
    <w:rsid w:val="002231BD"/>
    <w:rsid w:val="0023178D"/>
    <w:rsid w:val="002332A2"/>
    <w:rsid w:val="002359DE"/>
    <w:rsid w:val="0023797D"/>
    <w:rsid w:val="00241A43"/>
    <w:rsid w:val="002569B5"/>
    <w:rsid w:val="00261499"/>
    <w:rsid w:val="00265702"/>
    <w:rsid w:val="0027533F"/>
    <w:rsid w:val="00291C8D"/>
    <w:rsid w:val="002967C3"/>
    <w:rsid w:val="002A60EC"/>
    <w:rsid w:val="002B73D8"/>
    <w:rsid w:val="002D203C"/>
    <w:rsid w:val="002D6093"/>
    <w:rsid w:val="002E2B0C"/>
    <w:rsid w:val="002E5B01"/>
    <w:rsid w:val="002F0E3F"/>
    <w:rsid w:val="002F29D8"/>
    <w:rsid w:val="002F7598"/>
    <w:rsid w:val="003046CB"/>
    <w:rsid w:val="003166C0"/>
    <w:rsid w:val="003166CF"/>
    <w:rsid w:val="00323A44"/>
    <w:rsid w:val="003272C7"/>
    <w:rsid w:val="003411B6"/>
    <w:rsid w:val="00342B97"/>
    <w:rsid w:val="00344A63"/>
    <w:rsid w:val="00350B2D"/>
    <w:rsid w:val="003543D6"/>
    <w:rsid w:val="00367298"/>
    <w:rsid w:val="00372D68"/>
    <w:rsid w:val="00382103"/>
    <w:rsid w:val="00387882"/>
    <w:rsid w:val="00390079"/>
    <w:rsid w:val="00395204"/>
    <w:rsid w:val="003973D0"/>
    <w:rsid w:val="003A41A6"/>
    <w:rsid w:val="003A4717"/>
    <w:rsid w:val="003B2C48"/>
    <w:rsid w:val="003B64CF"/>
    <w:rsid w:val="003C0096"/>
    <w:rsid w:val="003C04E8"/>
    <w:rsid w:val="003C6DC8"/>
    <w:rsid w:val="003D491A"/>
    <w:rsid w:val="003E3A24"/>
    <w:rsid w:val="004055AE"/>
    <w:rsid w:val="00416E07"/>
    <w:rsid w:val="00417B8B"/>
    <w:rsid w:val="00424038"/>
    <w:rsid w:val="00426674"/>
    <w:rsid w:val="00434B53"/>
    <w:rsid w:val="004361D9"/>
    <w:rsid w:val="00440610"/>
    <w:rsid w:val="004456C9"/>
    <w:rsid w:val="00447B03"/>
    <w:rsid w:val="00456024"/>
    <w:rsid w:val="0047264D"/>
    <w:rsid w:val="00494BC6"/>
    <w:rsid w:val="004A33C3"/>
    <w:rsid w:val="004B4796"/>
    <w:rsid w:val="004C1402"/>
    <w:rsid w:val="004D6B79"/>
    <w:rsid w:val="004D7A92"/>
    <w:rsid w:val="004E3164"/>
    <w:rsid w:val="004E3C7A"/>
    <w:rsid w:val="004E7723"/>
    <w:rsid w:val="004F58C2"/>
    <w:rsid w:val="00500836"/>
    <w:rsid w:val="00501262"/>
    <w:rsid w:val="00502445"/>
    <w:rsid w:val="00507D03"/>
    <w:rsid w:val="0051052F"/>
    <w:rsid w:val="00516234"/>
    <w:rsid w:val="00521629"/>
    <w:rsid w:val="00532B74"/>
    <w:rsid w:val="005354B4"/>
    <w:rsid w:val="005455A9"/>
    <w:rsid w:val="00573979"/>
    <w:rsid w:val="00583F0E"/>
    <w:rsid w:val="00584FF8"/>
    <w:rsid w:val="005957A6"/>
    <w:rsid w:val="005A3582"/>
    <w:rsid w:val="005A7ADA"/>
    <w:rsid w:val="005C0555"/>
    <w:rsid w:val="005D1F3A"/>
    <w:rsid w:val="005D43B5"/>
    <w:rsid w:val="005E389A"/>
    <w:rsid w:val="005E72F1"/>
    <w:rsid w:val="005F1E60"/>
    <w:rsid w:val="005F474D"/>
    <w:rsid w:val="0061083A"/>
    <w:rsid w:val="00622B17"/>
    <w:rsid w:val="00634D67"/>
    <w:rsid w:val="00634EE0"/>
    <w:rsid w:val="00640849"/>
    <w:rsid w:val="006437D6"/>
    <w:rsid w:val="00644185"/>
    <w:rsid w:val="006453A3"/>
    <w:rsid w:val="00650E4F"/>
    <w:rsid w:val="0065345D"/>
    <w:rsid w:val="00655045"/>
    <w:rsid w:val="006605BF"/>
    <w:rsid w:val="00663B87"/>
    <w:rsid w:val="00673C9D"/>
    <w:rsid w:val="00681361"/>
    <w:rsid w:val="00681425"/>
    <w:rsid w:val="00693D4F"/>
    <w:rsid w:val="006C0251"/>
    <w:rsid w:val="006C3B4C"/>
    <w:rsid w:val="006C719A"/>
    <w:rsid w:val="006D36DE"/>
    <w:rsid w:val="006D7EC0"/>
    <w:rsid w:val="006E5B82"/>
    <w:rsid w:val="006E6902"/>
    <w:rsid w:val="006F5B3D"/>
    <w:rsid w:val="006F5CF2"/>
    <w:rsid w:val="006F662B"/>
    <w:rsid w:val="00703828"/>
    <w:rsid w:val="00703E6E"/>
    <w:rsid w:val="0071142C"/>
    <w:rsid w:val="00721966"/>
    <w:rsid w:val="00733FB0"/>
    <w:rsid w:val="007345D5"/>
    <w:rsid w:val="00736535"/>
    <w:rsid w:val="00736DAB"/>
    <w:rsid w:val="0073714C"/>
    <w:rsid w:val="0073737A"/>
    <w:rsid w:val="00746DC5"/>
    <w:rsid w:val="0076243B"/>
    <w:rsid w:val="00763880"/>
    <w:rsid w:val="00770264"/>
    <w:rsid w:val="00782ADA"/>
    <w:rsid w:val="007926F9"/>
    <w:rsid w:val="007967EE"/>
    <w:rsid w:val="007D093E"/>
    <w:rsid w:val="007E212B"/>
    <w:rsid w:val="007E3495"/>
    <w:rsid w:val="007F11C5"/>
    <w:rsid w:val="00800926"/>
    <w:rsid w:val="0080479A"/>
    <w:rsid w:val="00810E66"/>
    <w:rsid w:val="0081244E"/>
    <w:rsid w:val="00812A22"/>
    <w:rsid w:val="00813607"/>
    <w:rsid w:val="00814838"/>
    <w:rsid w:val="008164F9"/>
    <w:rsid w:val="00822DC7"/>
    <w:rsid w:val="0084690E"/>
    <w:rsid w:val="00854E86"/>
    <w:rsid w:val="00857957"/>
    <w:rsid w:val="008611F3"/>
    <w:rsid w:val="0086239F"/>
    <w:rsid w:val="00892659"/>
    <w:rsid w:val="0089278F"/>
    <w:rsid w:val="00894846"/>
    <w:rsid w:val="00895EE2"/>
    <w:rsid w:val="00896A23"/>
    <w:rsid w:val="008B6B09"/>
    <w:rsid w:val="008C35F4"/>
    <w:rsid w:val="008D3702"/>
    <w:rsid w:val="008D642E"/>
    <w:rsid w:val="008D7A8B"/>
    <w:rsid w:val="008E34B5"/>
    <w:rsid w:val="008E36FA"/>
    <w:rsid w:val="008E5694"/>
    <w:rsid w:val="008F015D"/>
    <w:rsid w:val="008F0D09"/>
    <w:rsid w:val="008F21DF"/>
    <w:rsid w:val="008F6620"/>
    <w:rsid w:val="008F7F0C"/>
    <w:rsid w:val="00903870"/>
    <w:rsid w:val="00905DAF"/>
    <w:rsid w:val="0090641C"/>
    <w:rsid w:val="00907DE6"/>
    <w:rsid w:val="0091334B"/>
    <w:rsid w:val="0091792E"/>
    <w:rsid w:val="009272AD"/>
    <w:rsid w:val="009310F6"/>
    <w:rsid w:val="00936E66"/>
    <w:rsid w:val="00954354"/>
    <w:rsid w:val="00954745"/>
    <w:rsid w:val="00957210"/>
    <w:rsid w:val="00966602"/>
    <w:rsid w:val="00966DA5"/>
    <w:rsid w:val="00987A5F"/>
    <w:rsid w:val="00992D54"/>
    <w:rsid w:val="00995CF5"/>
    <w:rsid w:val="009A1A94"/>
    <w:rsid w:val="009A1F2A"/>
    <w:rsid w:val="009B2167"/>
    <w:rsid w:val="009B3E70"/>
    <w:rsid w:val="009C0F0D"/>
    <w:rsid w:val="009C153B"/>
    <w:rsid w:val="009C1655"/>
    <w:rsid w:val="009D5BFB"/>
    <w:rsid w:val="009E0D57"/>
    <w:rsid w:val="009E2417"/>
    <w:rsid w:val="009E24A8"/>
    <w:rsid w:val="009E2B64"/>
    <w:rsid w:val="009F221B"/>
    <w:rsid w:val="00A07338"/>
    <w:rsid w:val="00A33DFE"/>
    <w:rsid w:val="00A45898"/>
    <w:rsid w:val="00A47AB5"/>
    <w:rsid w:val="00A533E4"/>
    <w:rsid w:val="00A558CC"/>
    <w:rsid w:val="00A55DDE"/>
    <w:rsid w:val="00A60690"/>
    <w:rsid w:val="00A60D80"/>
    <w:rsid w:val="00A627D9"/>
    <w:rsid w:val="00A66957"/>
    <w:rsid w:val="00A67C2C"/>
    <w:rsid w:val="00A87309"/>
    <w:rsid w:val="00A90F7B"/>
    <w:rsid w:val="00A910C7"/>
    <w:rsid w:val="00A965A3"/>
    <w:rsid w:val="00AA00BB"/>
    <w:rsid w:val="00AA0F2F"/>
    <w:rsid w:val="00AA163A"/>
    <w:rsid w:val="00AA629F"/>
    <w:rsid w:val="00AB7077"/>
    <w:rsid w:val="00AC5FC8"/>
    <w:rsid w:val="00AD14AA"/>
    <w:rsid w:val="00AD1EEA"/>
    <w:rsid w:val="00AE1ECA"/>
    <w:rsid w:val="00AE50D5"/>
    <w:rsid w:val="00AF1DFE"/>
    <w:rsid w:val="00B13B65"/>
    <w:rsid w:val="00B22FA4"/>
    <w:rsid w:val="00B2530B"/>
    <w:rsid w:val="00B27A20"/>
    <w:rsid w:val="00B34A4D"/>
    <w:rsid w:val="00B613A8"/>
    <w:rsid w:val="00B64944"/>
    <w:rsid w:val="00B7359B"/>
    <w:rsid w:val="00B763E1"/>
    <w:rsid w:val="00B90F17"/>
    <w:rsid w:val="00B94518"/>
    <w:rsid w:val="00BA0A19"/>
    <w:rsid w:val="00BA4326"/>
    <w:rsid w:val="00BA7DB7"/>
    <w:rsid w:val="00BB215C"/>
    <w:rsid w:val="00BC30F7"/>
    <w:rsid w:val="00BD77C9"/>
    <w:rsid w:val="00BE095C"/>
    <w:rsid w:val="00BE38CE"/>
    <w:rsid w:val="00BE4BC7"/>
    <w:rsid w:val="00BE5482"/>
    <w:rsid w:val="00BF15CC"/>
    <w:rsid w:val="00C04BC4"/>
    <w:rsid w:val="00C06DAC"/>
    <w:rsid w:val="00C153AF"/>
    <w:rsid w:val="00C20BB8"/>
    <w:rsid w:val="00C227FB"/>
    <w:rsid w:val="00C25DB4"/>
    <w:rsid w:val="00C3088C"/>
    <w:rsid w:val="00C323A5"/>
    <w:rsid w:val="00C34CDB"/>
    <w:rsid w:val="00C5287B"/>
    <w:rsid w:val="00C60BE3"/>
    <w:rsid w:val="00C70369"/>
    <w:rsid w:val="00C72602"/>
    <w:rsid w:val="00C74BB6"/>
    <w:rsid w:val="00C76D9C"/>
    <w:rsid w:val="00C9448D"/>
    <w:rsid w:val="00CA0E18"/>
    <w:rsid w:val="00CB7288"/>
    <w:rsid w:val="00CC64DD"/>
    <w:rsid w:val="00CC7079"/>
    <w:rsid w:val="00CD2FCD"/>
    <w:rsid w:val="00CD3E45"/>
    <w:rsid w:val="00CD47EB"/>
    <w:rsid w:val="00CD5EC1"/>
    <w:rsid w:val="00CF4A41"/>
    <w:rsid w:val="00CF5FCD"/>
    <w:rsid w:val="00D05162"/>
    <w:rsid w:val="00D15825"/>
    <w:rsid w:val="00D16C9A"/>
    <w:rsid w:val="00D31F3F"/>
    <w:rsid w:val="00D510ED"/>
    <w:rsid w:val="00D56CCA"/>
    <w:rsid w:val="00D62DCD"/>
    <w:rsid w:val="00D65F59"/>
    <w:rsid w:val="00D74283"/>
    <w:rsid w:val="00D9622D"/>
    <w:rsid w:val="00D96593"/>
    <w:rsid w:val="00DA3F1E"/>
    <w:rsid w:val="00DA578C"/>
    <w:rsid w:val="00DB0318"/>
    <w:rsid w:val="00DC0CDF"/>
    <w:rsid w:val="00DC0FD7"/>
    <w:rsid w:val="00DC31AF"/>
    <w:rsid w:val="00DF043F"/>
    <w:rsid w:val="00DF05B1"/>
    <w:rsid w:val="00DF0BA1"/>
    <w:rsid w:val="00DF1F13"/>
    <w:rsid w:val="00DF40E8"/>
    <w:rsid w:val="00DF736B"/>
    <w:rsid w:val="00E1191F"/>
    <w:rsid w:val="00E13491"/>
    <w:rsid w:val="00E318F7"/>
    <w:rsid w:val="00E43CFB"/>
    <w:rsid w:val="00E458FD"/>
    <w:rsid w:val="00E469AF"/>
    <w:rsid w:val="00E55FA3"/>
    <w:rsid w:val="00E60316"/>
    <w:rsid w:val="00E618B6"/>
    <w:rsid w:val="00E62819"/>
    <w:rsid w:val="00E65411"/>
    <w:rsid w:val="00E7332E"/>
    <w:rsid w:val="00E90B30"/>
    <w:rsid w:val="00E92381"/>
    <w:rsid w:val="00E934DA"/>
    <w:rsid w:val="00EC54C3"/>
    <w:rsid w:val="00EC5B45"/>
    <w:rsid w:val="00ED2E8B"/>
    <w:rsid w:val="00EE01A4"/>
    <w:rsid w:val="00EE3E9B"/>
    <w:rsid w:val="00EF5F12"/>
    <w:rsid w:val="00F03D61"/>
    <w:rsid w:val="00F07A2C"/>
    <w:rsid w:val="00F1448E"/>
    <w:rsid w:val="00F24128"/>
    <w:rsid w:val="00F24A40"/>
    <w:rsid w:val="00F31EC9"/>
    <w:rsid w:val="00F376D7"/>
    <w:rsid w:val="00F41DE7"/>
    <w:rsid w:val="00F47FD0"/>
    <w:rsid w:val="00F56220"/>
    <w:rsid w:val="00F62C1E"/>
    <w:rsid w:val="00F63280"/>
    <w:rsid w:val="00F72664"/>
    <w:rsid w:val="00F77DB5"/>
    <w:rsid w:val="00F856A6"/>
    <w:rsid w:val="00F85ED9"/>
    <w:rsid w:val="00F87D34"/>
    <w:rsid w:val="00F90642"/>
    <w:rsid w:val="00F91A74"/>
    <w:rsid w:val="00FA1063"/>
    <w:rsid w:val="00FA31D0"/>
    <w:rsid w:val="00FB1145"/>
    <w:rsid w:val="00FB537A"/>
    <w:rsid w:val="00FB59C1"/>
    <w:rsid w:val="00FC6029"/>
    <w:rsid w:val="00FC69E6"/>
    <w:rsid w:val="00FD0C5A"/>
    <w:rsid w:val="00FD323F"/>
    <w:rsid w:val="00FD5A55"/>
    <w:rsid w:val="00FD5A65"/>
    <w:rsid w:val="00FE0457"/>
    <w:rsid w:val="00FF01E9"/>
    <w:rsid w:val="00FF151D"/>
    <w:rsid w:val="00FF54CE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F5FCD"/>
    <w:rPr>
      <w:color w:val="605E5C"/>
      <w:shd w:val="clear" w:color="auto" w:fill="E1DFDD"/>
    </w:rPr>
  </w:style>
  <w:style w:type="paragraph" w:customStyle="1" w:styleId="Item">
    <w:name w:val="Item"/>
    <w:aliases w:val="i"/>
    <w:basedOn w:val="Normal"/>
    <w:next w:val="Normal"/>
    <w:link w:val="ItemChar"/>
    <w:rsid w:val="00C153AF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link w:val="subsection2Char"/>
    <w:rsid w:val="00C153AF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Number">
    <w:name w:val="List Number"/>
    <w:rsid w:val="00C153AF"/>
    <w:pPr>
      <w:numPr>
        <w:numId w:val="10"/>
      </w:numPr>
      <w:tabs>
        <w:tab w:val="clear" w:pos="360"/>
        <w:tab w:val="num" w:pos="4242"/>
      </w:tabs>
      <w:spacing w:after="0" w:line="240" w:lineRule="auto"/>
      <w:ind w:left="3521" w:hanging="1043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C153A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C153A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ransitional">
    <w:name w:val="Transitional"/>
    <w:aliases w:val="tr"/>
    <w:basedOn w:val="Normal"/>
    <w:next w:val="Normal"/>
    <w:rsid w:val="00C153AF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subsection2Char">
    <w:name w:val="subsection2 Char"/>
    <w:aliases w:val="ss2 Char"/>
    <w:link w:val="subsection2"/>
    <w:rsid w:val="00C153AF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UQVA7MFFXVNW-343728570-1012</_dlc_DocId>
    <_dlc_DocIdUrl xmlns="04b8ec43-391f-4ce4-8841-d6a482add564">
      <Url>http://collaboration/organisation/auth/Chair/Auth/_layouts/15/DocIdRedir.aspx?ID=UQVA7MFFXVNW-343728570-1012</Url>
      <Description>UQVA7MFFXVNW-343728570-1012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CFB0D-9751-4BF6-910B-FCB7CF3E71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D42189-0C01-4F59-ACD6-F49C94D84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5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4</cp:revision>
  <cp:lastPrinted>2016-10-19T01:54:00Z</cp:lastPrinted>
  <dcterms:created xsi:type="dcterms:W3CDTF">2021-06-01T00:13:00Z</dcterms:created>
  <dcterms:modified xsi:type="dcterms:W3CDTF">2021-06-10T05:52:00Z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b11722f8-f942-4b94-8799-d662bd0dfbe4</vt:lpwstr>
  </property>
</Properties>
</file>