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19360143">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31FC36C5" w:rsidR="00086BF0" w:rsidRDefault="0080479A" w:rsidP="00086BF0">
      <w:pPr>
        <w:pStyle w:val="ShortT"/>
      </w:pPr>
      <w:r>
        <w:t>Radiocommunications (Conditions of Frequency Assignment Certificates – Apparatus Licences) Determination 2021</w:t>
      </w:r>
    </w:p>
    <w:p w14:paraId="75AA3C11" w14:textId="77777777" w:rsidR="00086BF0" w:rsidRDefault="00086BF0" w:rsidP="00086BF0">
      <w:pPr>
        <w:pStyle w:val="SignCoverPageStart"/>
        <w:spacing w:before="0" w:line="240" w:lineRule="auto"/>
        <w:rPr>
          <w:szCs w:val="22"/>
        </w:rPr>
      </w:pPr>
    </w:p>
    <w:p w14:paraId="1ECF4D11" w14:textId="071FEDE2" w:rsidR="00086BF0" w:rsidRDefault="00086BF0" w:rsidP="00086BF0">
      <w:pPr>
        <w:pStyle w:val="SignCoverPageStart"/>
        <w:spacing w:before="0" w:line="240" w:lineRule="auto"/>
        <w:rPr>
          <w:szCs w:val="22"/>
        </w:rPr>
      </w:pPr>
      <w:r>
        <w:rPr>
          <w:szCs w:val="22"/>
        </w:rPr>
        <w:t xml:space="preserve">The Australian Communications and Media Authority makes the following determination under </w:t>
      </w:r>
      <w:r w:rsidR="0080479A">
        <w:t>section 266A</w:t>
      </w:r>
      <w:r>
        <w:t xml:space="preserve"> of the </w:t>
      </w:r>
      <w:r w:rsidR="0080479A">
        <w:rPr>
          <w:i/>
        </w:rPr>
        <w:t>Radiocommunications Act 1992</w:t>
      </w:r>
      <w:r>
        <w:t>.</w:t>
      </w:r>
    </w:p>
    <w:p w14:paraId="11CC4671" w14:textId="34AAD1AE"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7304C6">
        <w:rPr>
          <w:rFonts w:ascii="Times New Roman" w:hAnsi="Times New Roman" w:cs="Times New Roman"/>
        </w:rPr>
        <w:t xml:space="preserve"> 10 June 2021</w:t>
      </w:r>
    </w:p>
    <w:p w14:paraId="72BBA5F9" w14:textId="09096BCB" w:rsidR="007304C6" w:rsidRDefault="007304C6" w:rsidP="007304C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Fiona Cameron</w:t>
      </w:r>
    </w:p>
    <w:p w14:paraId="2CEBA825" w14:textId="6D450C30" w:rsidR="007304C6" w:rsidRDefault="007304C6" w:rsidP="007304C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16D76D8D" w:rsidR="00086BF0" w:rsidRDefault="00086BF0" w:rsidP="007304C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6192774A" w14:textId="5B4E9211" w:rsidR="007304C6" w:rsidRDefault="007304C6" w:rsidP="007304C6">
      <w:pPr>
        <w:tabs>
          <w:tab w:val="left" w:pos="3119"/>
        </w:tabs>
        <w:spacing w:after="0" w:line="300" w:lineRule="atLeast"/>
        <w:ind w:right="375"/>
        <w:jc w:val="right"/>
        <w:rPr>
          <w:rFonts w:ascii="Times New Roman" w:hAnsi="Times New Roman" w:cs="Times New Roman"/>
        </w:rPr>
      </w:pPr>
    </w:p>
    <w:p w14:paraId="70466BBE" w14:textId="11F71AA0" w:rsidR="007304C6" w:rsidRDefault="003E6FDD" w:rsidP="007304C6">
      <w:pPr>
        <w:tabs>
          <w:tab w:val="left" w:pos="3119"/>
        </w:tabs>
        <w:spacing w:after="0" w:line="300" w:lineRule="atLeast"/>
        <w:ind w:right="375"/>
        <w:jc w:val="right"/>
        <w:rPr>
          <w:rFonts w:ascii="Times New Roman" w:hAnsi="Times New Roman" w:cs="Times New Roman"/>
        </w:rPr>
      </w:pPr>
      <w:proofErr w:type="spellStart"/>
      <w:r>
        <w:rPr>
          <w:rFonts w:ascii="Times New Roman" w:hAnsi="Times New Roman" w:cs="Times New Roman"/>
        </w:rPr>
        <w:t>Creina</w:t>
      </w:r>
      <w:proofErr w:type="spellEnd"/>
      <w:r>
        <w:rPr>
          <w:rFonts w:ascii="Times New Roman" w:hAnsi="Times New Roman" w:cs="Times New Roman"/>
        </w:rPr>
        <w:t xml:space="preserve"> Chapman</w:t>
      </w:r>
    </w:p>
    <w:p w14:paraId="77DDD3D1" w14:textId="4ECF1C69" w:rsidR="007304C6" w:rsidRDefault="003E6FDD" w:rsidP="007304C6">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Pr="003E6FDD" w:rsidRDefault="00086BF0" w:rsidP="007304C6">
      <w:pPr>
        <w:tabs>
          <w:tab w:val="left" w:pos="3119"/>
        </w:tabs>
        <w:spacing w:after="0" w:line="300" w:lineRule="atLeast"/>
        <w:ind w:right="375"/>
        <w:jc w:val="right"/>
        <w:rPr>
          <w:rFonts w:ascii="Times New Roman" w:hAnsi="Times New Roman" w:cs="Times New Roman"/>
          <w:strike/>
        </w:rPr>
      </w:pPr>
      <w:r>
        <w:rPr>
          <w:rFonts w:ascii="Times New Roman" w:hAnsi="Times New Roman" w:cs="Times New Roman"/>
        </w:rPr>
        <w:t>Member/</w:t>
      </w:r>
      <w:r w:rsidRPr="003E6FDD">
        <w:rPr>
          <w:rFonts w:ascii="Times New Roman" w:hAnsi="Times New Roman" w:cs="Times New Roman"/>
          <w:strike/>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6603E212" w14:textId="77777777" w:rsidR="00086BF0" w:rsidRDefault="00086BF0" w:rsidP="00086BF0">
      <w:pPr>
        <w:spacing w:after="0"/>
        <w:rPr>
          <w:rFonts w:ascii="Times New Roman" w:hAnsi="Times New Roman" w:cs="Times New Roman"/>
        </w:rPr>
        <w:sectPr w:rsidR="00086BF0">
          <w:pgSz w:w="11906" w:h="16838"/>
          <w:pgMar w:top="1440" w:right="1440" w:bottom="1440" w:left="1440" w:header="708" w:footer="708" w:gutter="0"/>
          <w:cols w:space="720"/>
        </w:sectPr>
      </w:pPr>
    </w:p>
    <w:p w14:paraId="54781D03" w14:textId="77777777" w:rsidR="00086BF0" w:rsidRPr="009272AD" w:rsidRDefault="00086BF0" w:rsidP="009272AD">
      <w:pPr>
        <w:rPr>
          <w:rFonts w:ascii="Times New Roman" w:hAnsi="Times New Roman" w:cs="Times New Roman"/>
          <w:b/>
          <w:bCs/>
          <w:sz w:val="32"/>
          <w:szCs w:val="32"/>
        </w:rPr>
      </w:pPr>
      <w:bookmarkStart w:id="2" w:name="_Toc444596031"/>
      <w:r w:rsidRPr="009272AD">
        <w:rPr>
          <w:rFonts w:ascii="Times New Roman" w:hAnsi="Times New Roman" w:cs="Times New Roman"/>
          <w:b/>
          <w:bCs/>
          <w:sz w:val="32"/>
          <w:szCs w:val="32"/>
        </w:rPr>
        <w:lastRenderedPageBreak/>
        <w:t>Part 1—Preliminary</w:t>
      </w:r>
    </w:p>
    <w:p w14:paraId="1EFDD9FA" w14:textId="77777777" w:rsidR="00086BF0" w:rsidRDefault="00086BF0" w:rsidP="00086BF0">
      <w:pPr>
        <w:pStyle w:val="ActHead5"/>
      </w:pPr>
      <w:r>
        <w:rPr>
          <w:rStyle w:val="CharSectno"/>
        </w:rPr>
        <w:t>1</w:t>
      </w:r>
      <w:r>
        <w:t xml:space="preserve">  Name</w:t>
      </w:r>
    </w:p>
    <w:p w14:paraId="0BA01627" w14:textId="5C9FB734" w:rsidR="00086BF0" w:rsidRDefault="00086BF0" w:rsidP="00086BF0">
      <w:pPr>
        <w:pStyle w:val="subsection"/>
      </w:pPr>
      <w:r>
        <w:tab/>
      </w:r>
      <w:r>
        <w:tab/>
        <w:t>This is the</w:t>
      </w:r>
      <w:r w:rsidR="0080479A">
        <w:t xml:space="preserve"> </w:t>
      </w:r>
      <w:r w:rsidR="0080479A">
        <w:rPr>
          <w:i/>
          <w:iCs/>
        </w:rPr>
        <w:t xml:space="preserve">Radiocommunications (Conditions of Frequency Assignment </w:t>
      </w:r>
      <w:r w:rsidR="00241A43">
        <w:rPr>
          <w:i/>
          <w:iCs/>
        </w:rPr>
        <w:t>C</w:t>
      </w:r>
      <w:r w:rsidR="0080479A">
        <w:rPr>
          <w:i/>
          <w:iCs/>
        </w:rPr>
        <w:t>ertificates – Apparatus Licences) Determination 2021</w:t>
      </w:r>
      <w:r>
        <w:t>.</w:t>
      </w:r>
    </w:p>
    <w:p w14:paraId="177E90D7" w14:textId="77777777" w:rsidR="00086BF0" w:rsidRDefault="00086BF0" w:rsidP="00086BF0">
      <w:pPr>
        <w:pStyle w:val="ActHead5"/>
      </w:pPr>
      <w:bookmarkStart w:id="3" w:name="_Toc444596032"/>
      <w:proofErr w:type="gramStart"/>
      <w:r>
        <w:rPr>
          <w:rStyle w:val="CharSectno"/>
        </w:rPr>
        <w:t>2</w:t>
      </w:r>
      <w:r>
        <w:t xml:space="preserve">  Commencement</w:t>
      </w:r>
      <w:bookmarkEnd w:id="3"/>
      <w:proofErr w:type="gramEnd"/>
    </w:p>
    <w:p w14:paraId="77DACA6F" w14:textId="77777777" w:rsidR="00241A43" w:rsidRDefault="00086BF0" w:rsidP="00086BF0">
      <w:pPr>
        <w:pStyle w:val="subsection"/>
      </w:pPr>
      <w:r>
        <w:tab/>
      </w:r>
      <w:r>
        <w:tab/>
        <w:t xml:space="preserve">This instrument commences </w:t>
      </w:r>
      <w:r w:rsidR="00241A43">
        <w:t>on the later of the following:</w:t>
      </w:r>
    </w:p>
    <w:p w14:paraId="2D778091" w14:textId="4651269E" w:rsidR="00500836" w:rsidRDefault="00500836" w:rsidP="00500836">
      <w:pPr>
        <w:pStyle w:val="paragraph"/>
      </w:pPr>
      <w:r>
        <w:tab/>
        <w:t>(a)</w:t>
      </w:r>
      <w:r>
        <w:tab/>
      </w:r>
      <w:r w:rsidR="009272AD">
        <w:t xml:space="preserve">the same time as the </w:t>
      </w:r>
      <w:r w:rsidR="00A55DDE">
        <w:rPr>
          <w:i/>
          <w:iCs/>
        </w:rPr>
        <w:t>Radiocommunications Accreditation</w:t>
      </w:r>
      <w:r w:rsidR="003B438F">
        <w:rPr>
          <w:i/>
          <w:iCs/>
        </w:rPr>
        <w:t xml:space="preserve"> (General</w:t>
      </w:r>
      <w:r w:rsidR="00A55DDE">
        <w:rPr>
          <w:i/>
          <w:iCs/>
        </w:rPr>
        <w:t>) Rules 2021</w:t>
      </w:r>
      <w:r>
        <w:t>;</w:t>
      </w:r>
    </w:p>
    <w:p w14:paraId="5C8C01B5" w14:textId="77777777" w:rsidR="00500836" w:rsidRDefault="00500836" w:rsidP="00500836">
      <w:pPr>
        <w:pStyle w:val="paragraph"/>
      </w:pPr>
      <w:r>
        <w:tab/>
        <w:t>(b)</w:t>
      </w:r>
      <w:r>
        <w:tab/>
        <w:t>the day after the day the instrument is registered on the Federal Register of Legislation.</w:t>
      </w:r>
    </w:p>
    <w:p w14:paraId="795025ED" w14:textId="6C58009F" w:rsidR="00086BF0" w:rsidRDefault="00086BF0" w:rsidP="00086BF0">
      <w:pPr>
        <w:pStyle w:val="LI-BodyTextNote"/>
        <w:spacing w:before="122"/>
      </w:pPr>
      <w:r>
        <w:t>Note:</w:t>
      </w:r>
      <w:r>
        <w:tab/>
        <w:t>The Federal Register of Legislation may be accessed</w:t>
      </w:r>
      <w:r w:rsidR="00F44523">
        <w:t>,</w:t>
      </w:r>
      <w:r>
        <w:t xml:space="preserve"> free of charge</w:t>
      </w:r>
      <w:r w:rsidR="00F44523">
        <w:t>,</w:t>
      </w:r>
      <w:r>
        <w:t xml:space="preserve"> at </w:t>
      </w:r>
      <w:hyperlink r:id="rId13" w:history="1">
        <w:r>
          <w:rPr>
            <w:rStyle w:val="Hyperlink"/>
            <w:rFonts w:eastAsiaTheme="majorEastAsia"/>
          </w:rPr>
          <w:t>www.legislation.gov.au</w:t>
        </w:r>
      </w:hyperlink>
      <w:r>
        <w:t>.</w:t>
      </w:r>
    </w:p>
    <w:p w14:paraId="12CBE75E" w14:textId="77777777" w:rsidR="00086BF0" w:rsidRDefault="00086BF0" w:rsidP="00086BF0">
      <w:pPr>
        <w:pStyle w:val="ActHead5"/>
      </w:pPr>
      <w:bookmarkStart w:id="4" w:name="_Toc444596033"/>
      <w:proofErr w:type="gramStart"/>
      <w:r>
        <w:rPr>
          <w:rStyle w:val="CharSectno"/>
        </w:rPr>
        <w:t>3</w:t>
      </w:r>
      <w:r>
        <w:t xml:space="preserve">  Authority</w:t>
      </w:r>
      <w:bookmarkEnd w:id="4"/>
      <w:proofErr w:type="gramEnd"/>
    </w:p>
    <w:p w14:paraId="3377B4C6" w14:textId="1E1C38AC" w:rsidR="00086BF0" w:rsidRDefault="00086BF0" w:rsidP="00086BF0">
      <w:pPr>
        <w:pStyle w:val="subsection"/>
      </w:pPr>
      <w:r>
        <w:tab/>
      </w:r>
      <w:r>
        <w:tab/>
        <w:t xml:space="preserve">This instrument is made under </w:t>
      </w:r>
      <w:r w:rsidR="00A55DDE">
        <w:t>section 266A</w:t>
      </w:r>
      <w:r>
        <w:t xml:space="preserve"> of the </w:t>
      </w:r>
      <w:r w:rsidR="00A55DDE">
        <w:rPr>
          <w:i/>
        </w:rPr>
        <w:t>Radiocommunications Act 1992</w:t>
      </w:r>
      <w:r>
        <w:t>.</w:t>
      </w:r>
    </w:p>
    <w:p w14:paraId="125EEF8B" w14:textId="27C41E08" w:rsidR="00086BF0" w:rsidRDefault="00086BF0" w:rsidP="00086BF0">
      <w:pPr>
        <w:pStyle w:val="ActHead5"/>
        <w:rPr>
          <w:i/>
        </w:rPr>
      </w:pPr>
      <w:bookmarkStart w:id="5" w:name="_Toc444596034"/>
      <w:proofErr w:type="gramStart"/>
      <w:r>
        <w:t>4  Repeal</w:t>
      </w:r>
      <w:proofErr w:type="gramEnd"/>
      <w:r>
        <w:t xml:space="preserve"> of the </w:t>
      </w:r>
      <w:r w:rsidR="00151A3E">
        <w:rPr>
          <w:i/>
        </w:rPr>
        <w:t>Radiocommunications (Frequency Assignment Certificates) Determination 2014</w:t>
      </w:r>
    </w:p>
    <w:p w14:paraId="5F185247" w14:textId="7F05C2DD" w:rsidR="00086BF0" w:rsidRDefault="00086BF0" w:rsidP="00086BF0">
      <w:pPr>
        <w:pStyle w:val="subsection"/>
        <w:rPr>
          <w:rStyle w:val="CharSectno"/>
        </w:rPr>
      </w:pPr>
      <w:r>
        <w:tab/>
      </w:r>
      <w:r>
        <w:tab/>
        <w:t xml:space="preserve">The </w:t>
      </w:r>
      <w:r w:rsidR="00151A3E">
        <w:rPr>
          <w:i/>
        </w:rPr>
        <w:t>Radiocommunications (Frequency Assignment Certificates) Determination 2014</w:t>
      </w:r>
      <w:r>
        <w:rPr>
          <w:i/>
        </w:rPr>
        <w:t xml:space="preserve"> </w:t>
      </w:r>
      <w:r>
        <w:t>(F201</w:t>
      </w:r>
      <w:r w:rsidR="00151A3E">
        <w:t>4</w:t>
      </w:r>
      <w:r>
        <w:t>L</w:t>
      </w:r>
      <w:r w:rsidR="00151A3E">
        <w:t>01193</w:t>
      </w:r>
      <w:r>
        <w:t xml:space="preserve">) is repealed. </w:t>
      </w:r>
    </w:p>
    <w:p w14:paraId="616032F1" w14:textId="570E596F" w:rsidR="00086BF0" w:rsidRDefault="00151A3E" w:rsidP="00086BF0">
      <w:pPr>
        <w:pStyle w:val="ActHead5"/>
      </w:pPr>
      <w:proofErr w:type="gramStart"/>
      <w:r>
        <w:rPr>
          <w:rStyle w:val="CharSectno"/>
        </w:rPr>
        <w:t>5</w:t>
      </w:r>
      <w:r w:rsidR="00086BF0">
        <w:t xml:space="preserve">  Definitions</w:t>
      </w:r>
      <w:bookmarkEnd w:id="5"/>
      <w:proofErr w:type="gramEnd"/>
    </w:p>
    <w:p w14:paraId="428F2C2E" w14:textId="77777777" w:rsidR="00086BF0" w:rsidRDefault="00086BF0" w:rsidP="00086BF0">
      <w:pPr>
        <w:pStyle w:val="subsection"/>
      </w:pPr>
      <w:r>
        <w:tab/>
      </w:r>
      <w:r>
        <w:tab/>
        <w:t>In this instrument:</w:t>
      </w:r>
    </w:p>
    <w:p w14:paraId="5789C7CA" w14:textId="0109599F" w:rsidR="00FE0457" w:rsidRDefault="00FE0457" w:rsidP="00086BF0">
      <w:pPr>
        <w:pStyle w:val="Definition"/>
        <w:rPr>
          <w:bCs/>
          <w:iCs/>
        </w:rPr>
      </w:pPr>
      <w:r>
        <w:rPr>
          <w:b/>
          <w:i/>
        </w:rPr>
        <w:t>a</w:t>
      </w:r>
      <w:r w:rsidR="000F19F5">
        <w:rPr>
          <w:b/>
          <w:i/>
        </w:rPr>
        <w:t>ccredited person</w:t>
      </w:r>
      <w:r w:rsidR="000F19F5">
        <w:rPr>
          <w:bCs/>
          <w:iCs/>
        </w:rPr>
        <w:t xml:space="preserve"> means a person </w:t>
      </w:r>
      <w:r>
        <w:rPr>
          <w:bCs/>
          <w:iCs/>
        </w:rPr>
        <w:t xml:space="preserve">who holds </w:t>
      </w:r>
      <w:r w:rsidR="00367298">
        <w:rPr>
          <w:bCs/>
          <w:iCs/>
        </w:rPr>
        <w:t xml:space="preserve">a kind of accreditation specified in the legislative rules </w:t>
      </w:r>
      <w:r w:rsidR="00AB59B9">
        <w:rPr>
          <w:bCs/>
          <w:iCs/>
        </w:rPr>
        <w:t xml:space="preserve">made </w:t>
      </w:r>
      <w:r w:rsidR="00367298">
        <w:rPr>
          <w:bCs/>
          <w:iCs/>
        </w:rPr>
        <w:t>for the purposes of subsection 100(4A) of the Act.</w:t>
      </w:r>
    </w:p>
    <w:p w14:paraId="099EB861" w14:textId="0889E8DB" w:rsidR="00086BF0" w:rsidRDefault="00086BF0" w:rsidP="00086BF0">
      <w:pPr>
        <w:pStyle w:val="Definition"/>
      </w:pPr>
      <w:r>
        <w:rPr>
          <w:b/>
          <w:i/>
        </w:rPr>
        <w:t>Act</w:t>
      </w:r>
      <w:r>
        <w:t xml:space="preserve"> means</w:t>
      </w:r>
      <w:r w:rsidR="000C4A41">
        <w:t xml:space="preserve"> the</w:t>
      </w:r>
      <w:r>
        <w:t xml:space="preserve"> </w:t>
      </w:r>
      <w:r w:rsidR="00151A3E">
        <w:rPr>
          <w:i/>
        </w:rPr>
        <w:t>Radiocommunications Act 1992</w:t>
      </w:r>
      <w:r>
        <w:t>.</w:t>
      </w:r>
    </w:p>
    <w:p w14:paraId="291428A6" w14:textId="1AB71EB7" w:rsidR="00086BF0" w:rsidRDefault="00D74283" w:rsidP="00086BF0">
      <w:pPr>
        <w:pStyle w:val="Definition"/>
      </w:pPr>
      <w:r w:rsidRPr="00D74283">
        <w:rPr>
          <w:b/>
          <w:bCs/>
          <w:i/>
        </w:rPr>
        <w:t>frequency assignment certificate</w:t>
      </w:r>
      <w:r w:rsidR="00086BF0">
        <w:t xml:space="preserve"> </w:t>
      </w:r>
      <w:r w:rsidR="00653160">
        <w:t>means a certificate issued under</w:t>
      </w:r>
      <w:r w:rsidR="009B2167">
        <w:t xml:space="preserve"> subsection 100(4A) of the Act</w:t>
      </w:r>
      <w:r w:rsidR="00086BF0">
        <w:t>.</w:t>
      </w:r>
    </w:p>
    <w:p w14:paraId="6F88DEEB" w14:textId="3DDDE4BF" w:rsidR="008E36FA" w:rsidRDefault="008E36FA" w:rsidP="00086BF0">
      <w:pPr>
        <w:pStyle w:val="Definition"/>
        <w:rPr>
          <w:iCs/>
        </w:rPr>
      </w:pPr>
      <w:r>
        <w:rPr>
          <w:b/>
          <w:bCs/>
          <w:i/>
        </w:rPr>
        <w:t xml:space="preserve">frequency channel </w:t>
      </w:r>
      <w:r w:rsidR="00B613A8">
        <w:rPr>
          <w:iCs/>
        </w:rPr>
        <w:t>has the same meaning as in paragraph 100(4</w:t>
      </w:r>
      <w:proofErr w:type="gramStart"/>
      <w:r w:rsidR="00B613A8">
        <w:rPr>
          <w:iCs/>
        </w:rPr>
        <w:t>A)(</w:t>
      </w:r>
      <w:proofErr w:type="gramEnd"/>
      <w:r w:rsidR="00995CF5">
        <w:rPr>
          <w:iCs/>
        </w:rPr>
        <w:t>a) of the Act.</w:t>
      </w:r>
    </w:p>
    <w:p w14:paraId="2BDE32BE" w14:textId="344A3885" w:rsidR="00CA0E18" w:rsidRDefault="00CA0E18" w:rsidP="00CF3DD9">
      <w:pPr>
        <w:pStyle w:val="Definition"/>
        <w:keepNext/>
        <w:rPr>
          <w:iCs/>
        </w:rPr>
      </w:pPr>
      <w:r>
        <w:rPr>
          <w:b/>
          <w:bCs/>
          <w:i/>
        </w:rPr>
        <w:t>procedural document</w:t>
      </w:r>
      <w:r>
        <w:rPr>
          <w:iCs/>
        </w:rPr>
        <w:t xml:space="preserve"> means a document that:</w:t>
      </w:r>
    </w:p>
    <w:p w14:paraId="05EB18D7" w14:textId="0BA32620" w:rsidR="00CA0E18" w:rsidRDefault="00CA0E18" w:rsidP="00CA0E18">
      <w:pPr>
        <w:pStyle w:val="paragraph"/>
        <w:rPr>
          <w:iCs/>
        </w:rPr>
      </w:pPr>
      <w:r>
        <w:rPr>
          <w:iCs/>
        </w:rPr>
        <w:tab/>
        <w:t>(a)</w:t>
      </w:r>
      <w:r>
        <w:rPr>
          <w:iCs/>
        </w:rPr>
        <w:tab/>
        <w:t>is published on the ACMA’s website; and</w:t>
      </w:r>
    </w:p>
    <w:p w14:paraId="3C09B08F" w14:textId="5BB3FC22" w:rsidR="007926F9" w:rsidRDefault="00CA0E18" w:rsidP="00CA0E18">
      <w:pPr>
        <w:pStyle w:val="paragraph"/>
        <w:rPr>
          <w:iCs/>
        </w:rPr>
      </w:pPr>
      <w:r>
        <w:rPr>
          <w:iCs/>
        </w:rPr>
        <w:tab/>
        <w:t>(b)</w:t>
      </w:r>
      <w:r>
        <w:rPr>
          <w:iCs/>
        </w:rPr>
        <w:tab/>
        <w:t xml:space="preserve">sets out </w:t>
      </w:r>
      <w:r w:rsidR="0028558B">
        <w:rPr>
          <w:iCs/>
        </w:rPr>
        <w:t xml:space="preserve">policies or </w:t>
      </w:r>
      <w:r w:rsidR="005455A9">
        <w:rPr>
          <w:iCs/>
        </w:rPr>
        <w:t xml:space="preserve">procedures </w:t>
      </w:r>
      <w:r w:rsidR="00AC4736">
        <w:rPr>
          <w:iCs/>
        </w:rPr>
        <w:t>for an accredited person to follow or have regard to</w:t>
      </w:r>
      <w:r w:rsidR="005455A9">
        <w:rPr>
          <w:iCs/>
        </w:rPr>
        <w:t>; and</w:t>
      </w:r>
    </w:p>
    <w:p w14:paraId="42726B1C" w14:textId="518985C3" w:rsidR="005455A9" w:rsidRPr="00CA0E18" w:rsidRDefault="005455A9" w:rsidP="00CA0E18">
      <w:pPr>
        <w:pStyle w:val="paragraph"/>
        <w:rPr>
          <w:iCs/>
        </w:rPr>
      </w:pPr>
      <w:r>
        <w:rPr>
          <w:iCs/>
        </w:rPr>
        <w:tab/>
        <w:t>(c)</w:t>
      </w:r>
      <w:r>
        <w:rPr>
          <w:iCs/>
        </w:rPr>
        <w:tab/>
        <w:t xml:space="preserve">is expressed to </w:t>
      </w:r>
      <w:r w:rsidR="00082E71">
        <w:rPr>
          <w:iCs/>
        </w:rPr>
        <w:t>relate</w:t>
      </w:r>
      <w:r>
        <w:rPr>
          <w:iCs/>
        </w:rPr>
        <w:t xml:space="preserve"> to the issue of frequency assignment certificates</w:t>
      </w:r>
      <w:r w:rsidR="00082E71">
        <w:rPr>
          <w:iCs/>
        </w:rPr>
        <w:t xml:space="preserve">, or to </w:t>
      </w:r>
      <w:r w:rsidR="005231D2">
        <w:rPr>
          <w:iCs/>
        </w:rPr>
        <w:t>the issue of frequency assignment certificates in relation to</w:t>
      </w:r>
      <w:r w:rsidR="00720581">
        <w:rPr>
          <w:iCs/>
        </w:rPr>
        <w:t xml:space="preserve"> apparatus licences or</w:t>
      </w:r>
      <w:r w:rsidR="005231D2">
        <w:rPr>
          <w:iCs/>
        </w:rPr>
        <w:t xml:space="preserve"> a class of apparatus licence</w:t>
      </w:r>
      <w:r w:rsidR="00720581">
        <w:rPr>
          <w:iCs/>
        </w:rPr>
        <w:t>s</w:t>
      </w:r>
      <w:r w:rsidR="00082E71">
        <w:rPr>
          <w:iCs/>
        </w:rPr>
        <w:t>.</w:t>
      </w:r>
    </w:p>
    <w:p w14:paraId="28508DBC" w14:textId="3971A13F" w:rsidR="00082E71" w:rsidRDefault="00082E71" w:rsidP="00082E71">
      <w:pPr>
        <w:pStyle w:val="notetext"/>
      </w:pPr>
      <w:r>
        <w:t>Note</w:t>
      </w:r>
      <w:r w:rsidR="002F29D8">
        <w:t xml:space="preserve"> 1</w:t>
      </w:r>
      <w:r>
        <w:t>:</w:t>
      </w:r>
      <w:r>
        <w:tab/>
      </w:r>
      <w:r w:rsidR="00F66969">
        <w:t>The p</w:t>
      </w:r>
      <w:r>
        <w:t xml:space="preserve">rocedural documents are available, free of charge, from the ACMA’s website: </w:t>
      </w:r>
      <w:hyperlink r:id="rId14" w:history="1">
        <w:r w:rsidRPr="006919E7">
          <w:rPr>
            <w:rStyle w:val="Hyperlink"/>
          </w:rPr>
          <w:t>http://www.acma.gov.au</w:t>
        </w:r>
      </w:hyperlink>
      <w:r>
        <w:t>.</w:t>
      </w:r>
    </w:p>
    <w:p w14:paraId="05681FC1" w14:textId="71E80C6A" w:rsidR="00086BF0" w:rsidRDefault="00086BF0" w:rsidP="00086BF0">
      <w:pPr>
        <w:pStyle w:val="notetext"/>
      </w:pPr>
      <w:r>
        <w:t>Note</w:t>
      </w:r>
      <w:r w:rsidR="00BE38CE">
        <w:t xml:space="preserve"> </w:t>
      </w:r>
      <w:r w:rsidR="002F29D8">
        <w:t>2</w:t>
      </w:r>
      <w:r>
        <w:t>:</w:t>
      </w:r>
      <w:r>
        <w:tab/>
        <w:t>A number of other expressions used in this instrument are defined in the Act, including the following:</w:t>
      </w:r>
    </w:p>
    <w:p w14:paraId="1489F2AF" w14:textId="6975595A" w:rsidR="00A02032" w:rsidRDefault="00A02032" w:rsidP="00086BF0">
      <w:pPr>
        <w:pStyle w:val="notepara"/>
      </w:pPr>
      <w:r>
        <w:t>(a)</w:t>
      </w:r>
      <w:r>
        <w:tab/>
        <w:t>accreditation;</w:t>
      </w:r>
    </w:p>
    <w:p w14:paraId="2A3135E2" w14:textId="652AF978" w:rsidR="005C33FB" w:rsidRDefault="005C33FB" w:rsidP="00086BF0">
      <w:pPr>
        <w:pStyle w:val="notepara"/>
      </w:pPr>
      <w:r>
        <w:t>(</w:t>
      </w:r>
      <w:r w:rsidR="000C4A41">
        <w:t>b</w:t>
      </w:r>
      <w:r>
        <w:t>)</w:t>
      </w:r>
      <w:r>
        <w:tab/>
        <w:t>ACMA;</w:t>
      </w:r>
    </w:p>
    <w:p w14:paraId="0696F27A" w14:textId="204F58CE" w:rsidR="00086BF0" w:rsidRDefault="00086BF0" w:rsidP="00086BF0">
      <w:pPr>
        <w:pStyle w:val="notepara"/>
      </w:pPr>
      <w:r>
        <w:t>(</w:t>
      </w:r>
      <w:r w:rsidR="000C4A41">
        <w:t>c</w:t>
      </w:r>
      <w:r>
        <w:t>)</w:t>
      </w:r>
      <w:r>
        <w:tab/>
      </w:r>
      <w:r w:rsidR="004055AE">
        <w:t>apparatus licence</w:t>
      </w:r>
      <w:r>
        <w:t>;</w:t>
      </w:r>
    </w:p>
    <w:p w14:paraId="67E0F11C" w14:textId="34EE71EB" w:rsidR="00086BF0" w:rsidRDefault="00086BF0" w:rsidP="00086BF0">
      <w:pPr>
        <w:pStyle w:val="notepara"/>
      </w:pPr>
      <w:r>
        <w:t>(</w:t>
      </w:r>
      <w:r w:rsidR="000C4A41">
        <w:t>d</w:t>
      </w:r>
      <w:r>
        <w:t>)</w:t>
      </w:r>
      <w:r>
        <w:tab/>
      </w:r>
      <w:r w:rsidR="004055AE">
        <w:t>device</w:t>
      </w:r>
      <w:r>
        <w:t>;</w:t>
      </w:r>
    </w:p>
    <w:p w14:paraId="45F1EDF0" w14:textId="51AD39EC" w:rsidR="007A529E" w:rsidRDefault="007A529E" w:rsidP="00086BF0">
      <w:pPr>
        <w:pStyle w:val="notepara"/>
      </w:pPr>
      <w:r>
        <w:t>(</w:t>
      </w:r>
      <w:r w:rsidR="000C4A41">
        <w:t>e</w:t>
      </w:r>
      <w:r>
        <w:t>)</w:t>
      </w:r>
      <w:r>
        <w:tab/>
        <w:t>frequency band plan;</w:t>
      </w:r>
    </w:p>
    <w:p w14:paraId="7A406733" w14:textId="72192BDC" w:rsidR="00086BF0" w:rsidRDefault="00086BF0" w:rsidP="0080479A">
      <w:pPr>
        <w:pStyle w:val="notepara"/>
      </w:pPr>
      <w:r>
        <w:lastRenderedPageBreak/>
        <w:t>(</w:t>
      </w:r>
      <w:r w:rsidR="000C4A41">
        <w:t>f</w:t>
      </w:r>
      <w:r>
        <w:t>)</w:t>
      </w:r>
      <w:r>
        <w:tab/>
      </w:r>
      <w:r w:rsidR="00E92381">
        <w:t>legislative rules</w:t>
      </w:r>
      <w:r w:rsidR="00874FA1">
        <w:t>;</w:t>
      </w:r>
    </w:p>
    <w:p w14:paraId="0541FCE3" w14:textId="6273DDC2" w:rsidR="00CF3D5D" w:rsidRDefault="00CF3D5D" w:rsidP="0080479A">
      <w:pPr>
        <w:pStyle w:val="notepara"/>
      </w:pPr>
      <w:r>
        <w:t>(</w:t>
      </w:r>
      <w:r w:rsidR="000C4A41">
        <w:t>g</w:t>
      </w:r>
      <w:r>
        <w:t>)</w:t>
      </w:r>
      <w:r>
        <w:tab/>
        <w:t>re-allocation period;</w:t>
      </w:r>
    </w:p>
    <w:p w14:paraId="56B3B6CC" w14:textId="71A5E29A" w:rsidR="00CF3D5D" w:rsidRDefault="00CF3D5D" w:rsidP="0080479A">
      <w:pPr>
        <w:pStyle w:val="notepara"/>
      </w:pPr>
      <w:r>
        <w:t>(</w:t>
      </w:r>
      <w:r w:rsidR="000C4A41">
        <w:t>h</w:t>
      </w:r>
      <w:r>
        <w:t>)</w:t>
      </w:r>
      <w:r>
        <w:tab/>
        <w:t>spectrum</w:t>
      </w:r>
      <w:r w:rsidR="00210F05">
        <w:t>;</w:t>
      </w:r>
    </w:p>
    <w:p w14:paraId="6E870D97" w14:textId="10E77D11" w:rsidR="00874FA1" w:rsidRDefault="00874FA1" w:rsidP="0080479A">
      <w:pPr>
        <w:pStyle w:val="notepara"/>
      </w:pPr>
      <w:r>
        <w:t>(</w:t>
      </w:r>
      <w:r w:rsidR="000C4A41">
        <w:t>i</w:t>
      </w:r>
      <w:r>
        <w:t>)</w:t>
      </w:r>
      <w:r>
        <w:tab/>
        <w:t>spectrum plan</w:t>
      </w:r>
      <w:r w:rsidR="00B526DC">
        <w:t>;</w:t>
      </w:r>
    </w:p>
    <w:p w14:paraId="1E7CF342" w14:textId="2D481D83" w:rsidR="00B526DC" w:rsidRDefault="00B526DC" w:rsidP="0080479A">
      <w:pPr>
        <w:pStyle w:val="notepara"/>
      </w:pPr>
      <w:r>
        <w:t>(</w:t>
      </w:r>
      <w:r w:rsidR="000C4A41">
        <w:t>j</w:t>
      </w:r>
      <w:r>
        <w:t>)</w:t>
      </w:r>
      <w:r>
        <w:tab/>
        <w:t>spectrum re-allocation declaration.</w:t>
      </w:r>
    </w:p>
    <w:p w14:paraId="35B7B531" w14:textId="29B10B2F" w:rsidR="00BE38CE" w:rsidRDefault="00BE38CE" w:rsidP="00BE38CE">
      <w:pPr>
        <w:pStyle w:val="notetext"/>
      </w:pPr>
      <w:r>
        <w:t xml:space="preserve">Note </w:t>
      </w:r>
      <w:r w:rsidR="002F29D8">
        <w:t>3</w:t>
      </w:r>
      <w:r>
        <w:t>:</w:t>
      </w:r>
      <w:r>
        <w:tab/>
        <w:t xml:space="preserve">Other expressions used in this instrument may be defined in a determination made under subsection 64(1) of the </w:t>
      </w:r>
      <w:r>
        <w:rPr>
          <w:i/>
          <w:iCs/>
        </w:rPr>
        <w:t>Australian Communications and Media Authority Act 2005</w:t>
      </w:r>
      <w:r>
        <w:t>.</w:t>
      </w:r>
    </w:p>
    <w:p w14:paraId="13C406F7" w14:textId="7CB1468F" w:rsidR="00086BF0" w:rsidRDefault="00151A3E" w:rsidP="00086BF0">
      <w:pPr>
        <w:pStyle w:val="ActHead5"/>
      </w:pPr>
      <w:proofErr w:type="gramStart"/>
      <w:r w:rsidRPr="00C3088C">
        <w:rPr>
          <w:rStyle w:val="CharSectno"/>
        </w:rPr>
        <w:t>6</w:t>
      </w:r>
      <w:r w:rsidR="00086BF0" w:rsidRPr="007E3495">
        <w:rPr>
          <w:rStyle w:val="CharSectno"/>
        </w:rPr>
        <w:t xml:space="preserve"> </w:t>
      </w:r>
      <w:r w:rsidR="00086BF0">
        <w:t xml:space="preserve"> References</w:t>
      </w:r>
      <w:proofErr w:type="gramEnd"/>
      <w:r w:rsidR="00086BF0">
        <w:t xml:space="preserve"> to other instruments</w:t>
      </w:r>
    </w:p>
    <w:p w14:paraId="624BF9E2" w14:textId="77777777" w:rsidR="00086BF0" w:rsidRDefault="00086BF0" w:rsidP="00086BF0">
      <w:pPr>
        <w:pStyle w:val="subsection"/>
      </w:pPr>
      <w:r>
        <w:tab/>
      </w:r>
      <w:r>
        <w:tab/>
        <w:t>In this instrument, unless the contrary intention appears:</w:t>
      </w:r>
    </w:p>
    <w:p w14:paraId="17BE503C" w14:textId="77777777" w:rsidR="00086BF0" w:rsidRDefault="00086BF0" w:rsidP="00086BF0">
      <w:pPr>
        <w:pStyle w:val="paragraph"/>
      </w:pPr>
      <w:r>
        <w:tab/>
        <w:t>(a)</w:t>
      </w:r>
      <w:r>
        <w:tab/>
        <w:t>a reference to any other legislative instrument is a reference to that other legislative instrument as in force from time to time; and</w:t>
      </w:r>
    </w:p>
    <w:p w14:paraId="7B18CE4F" w14:textId="6C675C89" w:rsidR="00086BF0" w:rsidRDefault="00086BF0" w:rsidP="00086BF0">
      <w:pPr>
        <w:pStyle w:val="paragraph"/>
        <w:tabs>
          <w:tab w:val="left" w:pos="2160"/>
          <w:tab w:val="left" w:pos="2880"/>
          <w:tab w:val="left" w:pos="3600"/>
          <w:tab w:val="center" w:pos="4513"/>
        </w:tabs>
      </w:pPr>
      <w:r>
        <w:tab/>
        <w:t>(b)</w:t>
      </w:r>
      <w:r>
        <w:tab/>
        <w:t>a reference to any other kind of instrument</w:t>
      </w:r>
      <w:r w:rsidR="00151A3E">
        <w:t xml:space="preserve"> or writing</w:t>
      </w:r>
      <w:r>
        <w:t xml:space="preserve"> is a reference to that other instrument </w:t>
      </w:r>
      <w:r w:rsidR="00151A3E">
        <w:t xml:space="preserve">or writing </w:t>
      </w:r>
      <w:r>
        <w:t>as in force</w:t>
      </w:r>
      <w:r w:rsidR="00151A3E">
        <w:t xml:space="preserve"> or in existence</w:t>
      </w:r>
      <w:r>
        <w:t xml:space="preserve"> from time to time.</w:t>
      </w:r>
    </w:p>
    <w:p w14:paraId="01AF959A" w14:textId="77777777" w:rsidR="00086BF0" w:rsidRDefault="00086BF0" w:rsidP="00086BF0">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80AF3CF" w14:textId="3D76C92D" w:rsidR="00086BF0" w:rsidRDefault="00086BF0" w:rsidP="00086BF0">
      <w:pPr>
        <w:pStyle w:val="notetext"/>
      </w:pPr>
      <w:r>
        <w:t>Note 2:</w:t>
      </w:r>
      <w:r>
        <w:tab/>
        <w:t xml:space="preserve">All Commonwealth Acts and legislative instruments are registered on the Federal Register of Legislation. </w:t>
      </w:r>
    </w:p>
    <w:p w14:paraId="11108A88" w14:textId="5F9908D7" w:rsidR="00151A3E" w:rsidRDefault="00151A3E" w:rsidP="00086BF0">
      <w:pPr>
        <w:pStyle w:val="notetext"/>
      </w:pPr>
      <w:r>
        <w:t>Note 3:</w:t>
      </w:r>
      <w:r>
        <w:tab/>
        <w:t>See section 314A of the Act.</w:t>
      </w:r>
    </w:p>
    <w:p w14:paraId="67383540" w14:textId="3BFBE2CF" w:rsidR="00086BF0" w:rsidRDefault="00086BF0" w:rsidP="00086BF0">
      <w:pPr>
        <w:rPr>
          <w:rFonts w:ascii="Times New Roman" w:eastAsia="Times New Roman" w:hAnsi="Times New Roman" w:cs="Times New Roman"/>
          <w:b/>
          <w:kern w:val="28"/>
          <w:sz w:val="24"/>
          <w:szCs w:val="20"/>
          <w:lang w:eastAsia="en-AU"/>
        </w:rPr>
      </w:pPr>
    </w:p>
    <w:bookmarkEnd w:id="2"/>
    <w:p w14:paraId="725FBC0D" w14:textId="77777777" w:rsidR="00086BF0" w:rsidRDefault="00086BF0" w:rsidP="00086BF0">
      <w:pPr>
        <w:spacing w:after="0"/>
        <w:rPr>
          <w:rFonts w:ascii="Times New Roman" w:hAnsi="Times New Roman" w:cs="Times New Roman"/>
          <w:b/>
          <w:sz w:val="24"/>
          <w:szCs w:val="24"/>
        </w:rPr>
        <w:sectPr w:rsidR="00086BF0">
          <w:headerReference w:type="default" r:id="rId15"/>
          <w:footerReference w:type="default" r:id="rId16"/>
          <w:pgSz w:w="11906" w:h="16838"/>
          <w:pgMar w:top="1440" w:right="1440" w:bottom="1440" w:left="1440" w:header="708" w:footer="708" w:gutter="0"/>
          <w:pgNumType w:start="1"/>
          <w:cols w:space="720"/>
        </w:sectPr>
      </w:pPr>
    </w:p>
    <w:p w14:paraId="66305F77" w14:textId="684B8B4A" w:rsidR="00086BF0" w:rsidRPr="00C3088C" w:rsidRDefault="00086BF0" w:rsidP="00C3088C">
      <w:pPr>
        <w:rPr>
          <w:rFonts w:ascii="Times New Roman" w:hAnsi="Times New Roman" w:cs="Times New Roman"/>
          <w:b/>
          <w:bCs/>
          <w:sz w:val="32"/>
          <w:szCs w:val="32"/>
        </w:rPr>
      </w:pPr>
      <w:r w:rsidRPr="00C3088C">
        <w:rPr>
          <w:rFonts w:ascii="Times New Roman" w:hAnsi="Times New Roman" w:cs="Times New Roman"/>
          <w:b/>
          <w:bCs/>
          <w:sz w:val="32"/>
          <w:szCs w:val="32"/>
        </w:rPr>
        <w:lastRenderedPageBreak/>
        <w:t>Part 2—</w:t>
      </w:r>
      <w:r w:rsidR="00AA629F">
        <w:rPr>
          <w:rFonts w:ascii="Times New Roman" w:hAnsi="Times New Roman" w:cs="Times New Roman"/>
          <w:b/>
          <w:bCs/>
          <w:sz w:val="32"/>
          <w:szCs w:val="32"/>
        </w:rPr>
        <w:t xml:space="preserve">Conditions </w:t>
      </w:r>
    </w:p>
    <w:p w14:paraId="68CB38E3" w14:textId="6B35EF85" w:rsidR="00086BF0" w:rsidRPr="002F29D8" w:rsidRDefault="007E5053" w:rsidP="00086BF0">
      <w:pPr>
        <w:pStyle w:val="ActHead5"/>
      </w:pPr>
      <w:bookmarkStart w:id="6" w:name="_Toc444596036"/>
      <w:proofErr w:type="gramStart"/>
      <w:r>
        <w:rPr>
          <w:rStyle w:val="CharSectno"/>
        </w:rPr>
        <w:t>7</w:t>
      </w:r>
      <w:r w:rsidR="00086BF0" w:rsidRPr="002F29D8">
        <w:t xml:space="preserve">  </w:t>
      </w:r>
      <w:bookmarkEnd w:id="6"/>
      <w:r w:rsidR="00AB7077">
        <w:t>Application</w:t>
      </w:r>
      <w:proofErr w:type="gramEnd"/>
      <w:r w:rsidR="00AB7077">
        <w:t xml:space="preserve"> of Part</w:t>
      </w:r>
    </w:p>
    <w:p w14:paraId="2418C846" w14:textId="004DB614" w:rsidR="00521629" w:rsidRDefault="00521629" w:rsidP="00086BF0">
      <w:pPr>
        <w:pStyle w:val="subsection"/>
      </w:pPr>
      <w:r>
        <w:tab/>
      </w:r>
      <w:r w:rsidR="00663B87">
        <w:tab/>
      </w:r>
      <w:r w:rsidR="00DF40E8">
        <w:t xml:space="preserve">Each section in this Part sets out a condition to be satisfied by </w:t>
      </w:r>
      <w:r w:rsidR="004C1402">
        <w:t xml:space="preserve">the operation of </w:t>
      </w:r>
      <w:r w:rsidR="00DF40E8">
        <w:t xml:space="preserve">a device </w:t>
      </w:r>
      <w:r w:rsidR="00B64944">
        <w:t>under an apparatus licence</w:t>
      </w:r>
      <w:r w:rsidR="004C1402">
        <w:t>,</w:t>
      </w:r>
      <w:r w:rsidR="00B64944">
        <w:t xml:space="preserve"> for </w:t>
      </w:r>
      <w:r w:rsidR="004C1402">
        <w:t>the purposes of subsection 100(4A) of the Act.</w:t>
      </w:r>
    </w:p>
    <w:p w14:paraId="01808360" w14:textId="15E28F9F" w:rsidR="004C1402" w:rsidRPr="002F29D8" w:rsidRDefault="007E5053" w:rsidP="004C1402">
      <w:pPr>
        <w:pStyle w:val="ActHead5"/>
      </w:pPr>
      <w:proofErr w:type="gramStart"/>
      <w:r>
        <w:t>8</w:t>
      </w:r>
      <w:r w:rsidR="004C1402" w:rsidRPr="002F29D8">
        <w:t xml:space="preserve">  </w:t>
      </w:r>
      <w:r w:rsidR="00894846">
        <w:t>Consistency</w:t>
      </w:r>
      <w:proofErr w:type="gramEnd"/>
      <w:r w:rsidR="00894846">
        <w:t xml:space="preserve"> with </w:t>
      </w:r>
      <w:r w:rsidR="0073714C">
        <w:t>Act, instruments and procedural documentation</w:t>
      </w:r>
    </w:p>
    <w:p w14:paraId="3A3CAB54" w14:textId="413C153D" w:rsidR="004C1402" w:rsidRDefault="004C1402" w:rsidP="004C1402">
      <w:pPr>
        <w:pStyle w:val="subsection"/>
      </w:pPr>
      <w:r>
        <w:tab/>
      </w:r>
      <w:r w:rsidR="001E75C4">
        <w:t>(1)</w:t>
      </w:r>
      <w:r>
        <w:tab/>
      </w:r>
      <w:r w:rsidR="0073714C">
        <w:t xml:space="preserve">The operation </w:t>
      </w:r>
      <w:r w:rsidR="00426674">
        <w:t xml:space="preserve">of a device under </w:t>
      </w:r>
      <w:r w:rsidR="00746DC5">
        <w:t>the</w:t>
      </w:r>
      <w:r w:rsidR="009E24A8">
        <w:t xml:space="preserve"> apparatus</w:t>
      </w:r>
      <w:r w:rsidR="00426674">
        <w:t xml:space="preserve"> licence must be consistent with:</w:t>
      </w:r>
    </w:p>
    <w:p w14:paraId="7FE620B0" w14:textId="1A5603B2" w:rsidR="00426674" w:rsidRDefault="00426674" w:rsidP="00426674">
      <w:pPr>
        <w:pStyle w:val="paragraph"/>
      </w:pPr>
      <w:r>
        <w:tab/>
        <w:t>(a)</w:t>
      </w:r>
      <w:r>
        <w:tab/>
        <w:t>the Act;</w:t>
      </w:r>
    </w:p>
    <w:p w14:paraId="70D878B6" w14:textId="1133C16E" w:rsidR="00426674" w:rsidRDefault="00426674" w:rsidP="00426674">
      <w:pPr>
        <w:pStyle w:val="paragraph"/>
      </w:pPr>
      <w:r>
        <w:tab/>
        <w:t>(b)</w:t>
      </w:r>
      <w:r>
        <w:tab/>
      </w:r>
      <w:r w:rsidR="001E75C4">
        <w:t xml:space="preserve">subject to subsection (2), </w:t>
      </w:r>
      <w:r>
        <w:t>the spectrum plan;</w:t>
      </w:r>
    </w:p>
    <w:p w14:paraId="73B9BAA2" w14:textId="2BDF895B" w:rsidR="00426674" w:rsidRDefault="00426674" w:rsidP="00426674">
      <w:pPr>
        <w:pStyle w:val="paragraph"/>
      </w:pPr>
      <w:r>
        <w:tab/>
        <w:t>(c)</w:t>
      </w:r>
      <w:r>
        <w:tab/>
      </w:r>
      <w:r w:rsidR="00A60690">
        <w:t xml:space="preserve">subject to subsection (2), </w:t>
      </w:r>
      <w:r>
        <w:t>any applicable frequency band plan;</w:t>
      </w:r>
    </w:p>
    <w:p w14:paraId="39A536E2" w14:textId="5ED2A45E" w:rsidR="00582888" w:rsidRDefault="00582888" w:rsidP="00426674">
      <w:pPr>
        <w:pStyle w:val="paragraph"/>
      </w:pPr>
      <w:r>
        <w:tab/>
        <w:t>(d)</w:t>
      </w:r>
      <w:r>
        <w:tab/>
        <w:t>subject to subsection (2)</w:t>
      </w:r>
      <w:r w:rsidR="000A6280">
        <w:t xml:space="preserve">, any </w:t>
      </w:r>
      <w:r w:rsidR="00C43DA0">
        <w:t xml:space="preserve">applicable </w:t>
      </w:r>
      <w:r w:rsidR="000A6280">
        <w:t xml:space="preserve">condition </w:t>
      </w:r>
      <w:r w:rsidR="004D5E41">
        <w:t>specified in a determination made under subsection 110</w:t>
      </w:r>
      <w:proofErr w:type="gramStart"/>
      <w:r w:rsidR="004D5E41">
        <w:t>A(</w:t>
      </w:r>
      <w:proofErr w:type="gramEnd"/>
      <w:r w:rsidR="004D5E41">
        <w:t>1) or (2) of the Act;</w:t>
      </w:r>
    </w:p>
    <w:p w14:paraId="2D2EB227" w14:textId="371406A9" w:rsidR="00426674" w:rsidRDefault="00426674" w:rsidP="00426674">
      <w:pPr>
        <w:pStyle w:val="paragraph"/>
      </w:pPr>
      <w:r>
        <w:tab/>
        <w:t>(</w:t>
      </w:r>
      <w:r w:rsidR="00C43DA0">
        <w:t>e</w:t>
      </w:r>
      <w:r>
        <w:t>)</w:t>
      </w:r>
      <w:r>
        <w:tab/>
        <w:t xml:space="preserve">except to the extent </w:t>
      </w:r>
      <w:r w:rsidR="00CA76E2">
        <w:t>any of the following</w:t>
      </w:r>
      <w:r>
        <w:t xml:space="preserve"> is inconsistent with </w:t>
      </w:r>
      <w:r w:rsidR="00573979">
        <w:t>the Act or any legislative instrument made under the Act:</w:t>
      </w:r>
    </w:p>
    <w:p w14:paraId="17380D28" w14:textId="26E71CE7" w:rsidR="00573979" w:rsidRDefault="00573979" w:rsidP="00573979">
      <w:pPr>
        <w:pStyle w:val="paragraphsub"/>
      </w:pPr>
      <w:r>
        <w:tab/>
        <w:t>(i)</w:t>
      </w:r>
      <w:r>
        <w:tab/>
        <w:t>any procedura</w:t>
      </w:r>
      <w:r w:rsidR="00703E6E">
        <w:t xml:space="preserve">l </w:t>
      </w:r>
      <w:r w:rsidR="00447B03">
        <w:t>document</w:t>
      </w:r>
      <w:r w:rsidR="00F13575">
        <w:t>, specified in the frequency assignment certificate,</w:t>
      </w:r>
      <w:r w:rsidR="00447B03">
        <w:t xml:space="preserve"> that applies to the frequency</w:t>
      </w:r>
      <w:r w:rsidR="004F58C2">
        <w:t xml:space="preserve"> or frequencies, or the frequency channel, on which the device would operate;</w:t>
      </w:r>
    </w:p>
    <w:p w14:paraId="28865E98" w14:textId="3F706F14" w:rsidR="004F58C2" w:rsidRDefault="004F58C2" w:rsidP="00573979">
      <w:pPr>
        <w:pStyle w:val="paragraphsub"/>
      </w:pPr>
      <w:r>
        <w:tab/>
        <w:t>(ii)</w:t>
      </w:r>
      <w:r>
        <w:tab/>
        <w:t xml:space="preserve">if </w:t>
      </w:r>
      <w:r w:rsidR="00F13575">
        <w:t>subparagraph (i) does not apply</w:t>
      </w:r>
      <w:r>
        <w:t xml:space="preserve"> – the interference management criteria:</w:t>
      </w:r>
    </w:p>
    <w:p w14:paraId="24322650" w14:textId="365D8351" w:rsidR="004F58C2" w:rsidRDefault="00367298" w:rsidP="00367298">
      <w:pPr>
        <w:pStyle w:val="paragraphsub"/>
        <w:tabs>
          <w:tab w:val="clear" w:pos="1985"/>
          <w:tab w:val="right" w:pos="2552"/>
        </w:tabs>
        <w:ind w:left="2977" w:hanging="2977"/>
      </w:pPr>
      <w:r>
        <w:tab/>
      </w:r>
      <w:r w:rsidR="004F58C2">
        <w:t>(A)</w:t>
      </w:r>
      <w:r>
        <w:tab/>
        <w:t>devised and used by the accredited person;</w:t>
      </w:r>
      <w:r w:rsidR="00C60BE3">
        <w:t xml:space="preserve"> and</w:t>
      </w:r>
    </w:p>
    <w:p w14:paraId="1E49C8EE" w14:textId="09250933" w:rsidR="00C60BE3" w:rsidRPr="00C74BB6" w:rsidRDefault="00C60BE3" w:rsidP="00367298">
      <w:pPr>
        <w:pStyle w:val="paragraphsub"/>
        <w:tabs>
          <w:tab w:val="clear" w:pos="1985"/>
          <w:tab w:val="right" w:pos="2552"/>
        </w:tabs>
        <w:ind w:left="2977" w:hanging="2977"/>
      </w:pPr>
      <w:r>
        <w:tab/>
        <w:t>(B)</w:t>
      </w:r>
      <w:r>
        <w:tab/>
        <w:t xml:space="preserve">recorded by the </w:t>
      </w:r>
      <w:r w:rsidR="00C74BB6">
        <w:t xml:space="preserve">accredited person in accordance with the </w:t>
      </w:r>
      <w:r w:rsidR="00C74BB6">
        <w:rPr>
          <w:i/>
          <w:iCs/>
        </w:rPr>
        <w:t>Radiocommunications Accreditation</w:t>
      </w:r>
      <w:r w:rsidR="00F66624">
        <w:rPr>
          <w:i/>
          <w:iCs/>
        </w:rPr>
        <w:t xml:space="preserve"> (General</w:t>
      </w:r>
      <w:r w:rsidR="00C74BB6">
        <w:rPr>
          <w:i/>
          <w:iCs/>
        </w:rPr>
        <w:t>) Rules 2021</w:t>
      </w:r>
      <w:r w:rsidR="00C74BB6">
        <w:t>.</w:t>
      </w:r>
    </w:p>
    <w:p w14:paraId="42461C05" w14:textId="165059F6" w:rsidR="001E75C4" w:rsidRDefault="001E75C4" w:rsidP="001E75C4">
      <w:pPr>
        <w:pStyle w:val="subsection"/>
      </w:pPr>
      <w:r>
        <w:tab/>
        <w:t>(2)</w:t>
      </w:r>
      <w:r>
        <w:tab/>
      </w:r>
      <w:r w:rsidR="00AA00BB">
        <w:t>The o</w:t>
      </w:r>
      <w:r w:rsidR="001F7FD1">
        <w:t xml:space="preserve">peration of a device under </w:t>
      </w:r>
      <w:r w:rsidR="00746DC5">
        <w:t>the</w:t>
      </w:r>
      <w:r w:rsidR="009E24A8">
        <w:t xml:space="preserve"> apparatus</w:t>
      </w:r>
      <w:r w:rsidR="001F7FD1">
        <w:t xml:space="preserve"> licence may be inconsistent with the spectrum plan</w:t>
      </w:r>
      <w:r w:rsidR="00F46785">
        <w:t>,</w:t>
      </w:r>
      <w:r w:rsidR="00A60690">
        <w:t xml:space="preserve"> an applicable frequency band plan</w:t>
      </w:r>
      <w:r w:rsidR="00F46785">
        <w:t>, or a</w:t>
      </w:r>
      <w:r w:rsidR="00C43DA0">
        <w:t>n applicable</w:t>
      </w:r>
      <w:r w:rsidR="00F46785">
        <w:t xml:space="preserve"> </w:t>
      </w:r>
      <w:r w:rsidR="00C43DA0">
        <w:t xml:space="preserve">condition specified in a </w:t>
      </w:r>
      <w:r w:rsidR="00F46785">
        <w:t xml:space="preserve">determination made </w:t>
      </w:r>
      <w:r w:rsidR="00371F01">
        <w:t>under subsection 110</w:t>
      </w:r>
      <w:proofErr w:type="gramStart"/>
      <w:r w:rsidR="00371F01">
        <w:t>A(</w:t>
      </w:r>
      <w:proofErr w:type="gramEnd"/>
      <w:r w:rsidR="00371F01">
        <w:t>1) or (2) of the Act,</w:t>
      </w:r>
      <w:r w:rsidR="001F7FD1">
        <w:t xml:space="preserve"> if:</w:t>
      </w:r>
    </w:p>
    <w:p w14:paraId="3A5BADE2" w14:textId="7CCD7FDD" w:rsidR="009E24A8" w:rsidRDefault="009E24A8" w:rsidP="009E24A8">
      <w:pPr>
        <w:pStyle w:val="paragraph"/>
      </w:pPr>
      <w:r>
        <w:tab/>
        <w:t>(a)</w:t>
      </w:r>
      <w:r>
        <w:tab/>
        <w:t>the apparatus licence is of a kind mentioned</w:t>
      </w:r>
      <w:r w:rsidR="00A60690">
        <w:t xml:space="preserve"> in subsection 104(1) of the Act; and</w:t>
      </w:r>
      <w:r>
        <w:t xml:space="preserve"> </w:t>
      </w:r>
    </w:p>
    <w:p w14:paraId="6A2A8F5D" w14:textId="5B947723" w:rsidR="009E24A8" w:rsidRDefault="009E24A8" w:rsidP="009E24A8">
      <w:pPr>
        <w:pStyle w:val="paragraph"/>
      </w:pPr>
      <w:r>
        <w:tab/>
        <w:t>(b)</w:t>
      </w:r>
      <w:r>
        <w:tab/>
      </w:r>
      <w:r w:rsidR="00A60690">
        <w:t xml:space="preserve">the accredited person has consulted with the ACMA before </w:t>
      </w:r>
      <w:r w:rsidR="00516234">
        <w:t>issuing a frequency assignment certificate in relation to the licence.</w:t>
      </w:r>
    </w:p>
    <w:p w14:paraId="3FBEEF32" w14:textId="239800AB" w:rsidR="00342B97" w:rsidRPr="002F29D8" w:rsidRDefault="007E5053" w:rsidP="00342B97">
      <w:pPr>
        <w:pStyle w:val="ActHead5"/>
      </w:pPr>
      <w:proofErr w:type="gramStart"/>
      <w:r>
        <w:rPr>
          <w:rStyle w:val="CharSectno"/>
        </w:rPr>
        <w:t>9</w:t>
      </w:r>
      <w:r w:rsidR="00342B97" w:rsidRPr="002F29D8">
        <w:t xml:space="preserve">  </w:t>
      </w:r>
      <w:r w:rsidR="008C28EA">
        <w:t>Belief</w:t>
      </w:r>
      <w:proofErr w:type="gramEnd"/>
      <w:r w:rsidR="008C28EA">
        <w:t xml:space="preserve"> that </w:t>
      </w:r>
      <w:r w:rsidR="00342B97">
        <w:t>ACMA would issue the licence</w:t>
      </w:r>
    </w:p>
    <w:p w14:paraId="3D36E0BC" w14:textId="41D13C33" w:rsidR="001F7FD1" w:rsidRDefault="002D6093" w:rsidP="001E75C4">
      <w:pPr>
        <w:pStyle w:val="subsection"/>
      </w:pPr>
      <w:r>
        <w:tab/>
      </w:r>
      <w:r>
        <w:tab/>
      </w:r>
      <w:r w:rsidR="00A910C7">
        <w:t>The operation of a device under the apparatus licence</w:t>
      </w:r>
      <w:r w:rsidR="005E72F1">
        <w:t xml:space="preserve"> must be such that the accredited person believes, on reasonable grounds, that the ACMA would issue an apparatus licence authorising operation of the device:</w:t>
      </w:r>
    </w:p>
    <w:p w14:paraId="7AA532C9" w14:textId="0A1C358F" w:rsidR="005E72F1" w:rsidRDefault="005E72F1" w:rsidP="005E72F1">
      <w:pPr>
        <w:pStyle w:val="paragraph"/>
      </w:pPr>
      <w:r>
        <w:tab/>
        <w:t>(a)</w:t>
      </w:r>
      <w:r>
        <w:tab/>
        <w:t>on a frequency or frequencies, or on a frequency channel;</w:t>
      </w:r>
    </w:p>
    <w:p w14:paraId="773F7441" w14:textId="167A0A95" w:rsidR="005E72F1" w:rsidRDefault="005E72F1" w:rsidP="005E72F1">
      <w:pPr>
        <w:pStyle w:val="paragraph"/>
      </w:pPr>
      <w:r>
        <w:tab/>
        <w:t>(b)</w:t>
      </w:r>
      <w:r>
        <w:tab/>
        <w:t>at a constancy;</w:t>
      </w:r>
    </w:p>
    <w:p w14:paraId="62F4C421" w14:textId="095931DA" w:rsidR="005E72F1" w:rsidRDefault="005E72F1" w:rsidP="005E72F1">
      <w:pPr>
        <w:pStyle w:val="paragraph"/>
      </w:pPr>
      <w:r>
        <w:tab/>
        <w:t>(c)</w:t>
      </w:r>
      <w:r>
        <w:tab/>
        <w:t>at a location;</w:t>
      </w:r>
    </w:p>
    <w:p w14:paraId="3DDA3EEE" w14:textId="4B2EFE0F" w:rsidR="005E72F1" w:rsidRDefault="005E72F1" w:rsidP="005E72F1">
      <w:pPr>
        <w:pStyle w:val="paragraph"/>
      </w:pPr>
      <w:r>
        <w:tab/>
        <w:t>(d)</w:t>
      </w:r>
      <w:r>
        <w:tab/>
        <w:t>subject t</w:t>
      </w:r>
      <w:r w:rsidR="00FA1063">
        <w:t xml:space="preserve">o </w:t>
      </w:r>
      <w:r w:rsidR="00D37CDF">
        <w:t xml:space="preserve">the </w:t>
      </w:r>
      <w:r w:rsidR="00FA1063">
        <w:t>technical conditions;</w:t>
      </w:r>
    </w:p>
    <w:p w14:paraId="4FA35099" w14:textId="7B5751C6" w:rsidR="00FA1063" w:rsidRDefault="00FA1063" w:rsidP="00FA1063">
      <w:pPr>
        <w:pStyle w:val="subsection"/>
        <w:spacing w:before="60"/>
      </w:pPr>
      <w:r>
        <w:tab/>
      </w:r>
      <w:r>
        <w:tab/>
        <w:t>specified in the frequency assignment certificate issued by the accredited person.</w:t>
      </w:r>
    </w:p>
    <w:p w14:paraId="071ACAD9" w14:textId="5F268070" w:rsidR="00342B97" w:rsidRPr="002F29D8" w:rsidRDefault="00342B97" w:rsidP="00342B97">
      <w:pPr>
        <w:pStyle w:val="ActHead5"/>
      </w:pPr>
      <w:proofErr w:type="gramStart"/>
      <w:r w:rsidRPr="003E3A24">
        <w:rPr>
          <w:rStyle w:val="CharSectno"/>
        </w:rPr>
        <w:t>1</w:t>
      </w:r>
      <w:r w:rsidR="007E5053">
        <w:rPr>
          <w:rStyle w:val="CharSectno"/>
        </w:rPr>
        <w:t>0</w:t>
      </w:r>
      <w:r w:rsidRPr="002F29D8">
        <w:t xml:space="preserve">  </w:t>
      </w:r>
      <w:r>
        <w:t>Special</w:t>
      </w:r>
      <w:proofErr w:type="gramEnd"/>
      <w:r>
        <w:t xml:space="preserve"> cases – where spectrum licen</w:t>
      </w:r>
      <w:r w:rsidR="002A60EC">
        <w:t>ces planned or issued</w:t>
      </w:r>
    </w:p>
    <w:p w14:paraId="450B44E1" w14:textId="195E72D8" w:rsidR="00A47AB5" w:rsidRDefault="00F376D7" w:rsidP="004C1402">
      <w:pPr>
        <w:pStyle w:val="subsection"/>
      </w:pPr>
      <w:r>
        <w:tab/>
        <w:t>(</w:t>
      </w:r>
      <w:r w:rsidR="002A60EC">
        <w:t>1</w:t>
      </w:r>
      <w:r>
        <w:t>)</w:t>
      </w:r>
      <w:r>
        <w:tab/>
      </w:r>
      <w:r w:rsidR="00681425">
        <w:t xml:space="preserve">If the </w:t>
      </w:r>
      <w:r w:rsidR="0027533F">
        <w:t xml:space="preserve">apparatus licence is of a kind mentioned in subsection 105(1) or </w:t>
      </w:r>
      <w:r w:rsidR="007345D5">
        <w:t xml:space="preserve">(2) of the Act, </w:t>
      </w:r>
      <w:r w:rsidR="008F6620">
        <w:t xml:space="preserve">the operation of a device under the apparatus </w:t>
      </w:r>
      <w:r w:rsidR="004D7A92">
        <w:t xml:space="preserve">licence </w:t>
      </w:r>
      <w:r w:rsidR="00644185">
        <w:t xml:space="preserve">must be such that </w:t>
      </w:r>
      <w:r w:rsidR="00FF01E9">
        <w:t>the accredited person believes, on reasonable grounds, that</w:t>
      </w:r>
      <w:r w:rsidR="009E0D57">
        <w:t xml:space="preserve"> the ACMA would issue an apparatus licence authorising operation of the device in accordance with subsection 105(3) of the Act.</w:t>
      </w:r>
    </w:p>
    <w:p w14:paraId="4752434F" w14:textId="31A1CF5B" w:rsidR="009E0D57" w:rsidRDefault="009E0D57" w:rsidP="00EA379B">
      <w:pPr>
        <w:pStyle w:val="subsection"/>
        <w:keepLines/>
      </w:pPr>
      <w:r>
        <w:lastRenderedPageBreak/>
        <w:tab/>
        <w:t>(</w:t>
      </w:r>
      <w:r w:rsidR="002A60EC">
        <w:t>2</w:t>
      </w:r>
      <w:r>
        <w:t>)</w:t>
      </w:r>
      <w:r>
        <w:tab/>
        <w:t>For the purposes of subsection (</w:t>
      </w:r>
      <w:r w:rsidR="002A60EC">
        <w:t>1</w:t>
      </w:r>
      <w:r>
        <w:t xml:space="preserve">), </w:t>
      </w:r>
      <w:r w:rsidR="00126151">
        <w:t xml:space="preserve">in order to believe, on reasonable grounds, that the ACMA would issue an apparatus licence authorising operation of the device in accordance with subsection 105(3) of the Act, the </w:t>
      </w:r>
      <w:r w:rsidR="009F221B">
        <w:t>accredited person must have consulted with the ACMA before forming the belief.</w:t>
      </w:r>
    </w:p>
    <w:p w14:paraId="2F99F5C6" w14:textId="6C68A3A0" w:rsidR="00FD5A65" w:rsidRDefault="009F221B" w:rsidP="004C1402">
      <w:pPr>
        <w:pStyle w:val="subsection"/>
      </w:pPr>
      <w:r>
        <w:tab/>
        <w:t>(</w:t>
      </w:r>
      <w:r w:rsidR="002A60EC">
        <w:t>3</w:t>
      </w:r>
      <w:r>
        <w:t>)</w:t>
      </w:r>
      <w:r>
        <w:tab/>
      </w:r>
      <w:r w:rsidR="00857957">
        <w:t>If</w:t>
      </w:r>
      <w:r w:rsidR="00FD5A65">
        <w:t>:</w:t>
      </w:r>
    </w:p>
    <w:p w14:paraId="7DF92980" w14:textId="17F038C3" w:rsidR="009F221B" w:rsidRDefault="00FD5A65" w:rsidP="00FD5A65">
      <w:pPr>
        <w:pStyle w:val="paragraph"/>
      </w:pPr>
      <w:r>
        <w:tab/>
        <w:t>(a)</w:t>
      </w:r>
      <w:r>
        <w:tab/>
      </w:r>
      <w:r w:rsidR="008E5694">
        <w:t xml:space="preserve">a </w:t>
      </w:r>
      <w:r w:rsidR="004E7723">
        <w:t xml:space="preserve">spectrum </w:t>
      </w:r>
      <w:r w:rsidR="008E5694">
        <w:t>re-allocation declaration states that a part or parts of the spectrum should be re-allocated</w:t>
      </w:r>
      <w:r w:rsidR="007967EE">
        <w:t>, with respect to one or more specified areas</w:t>
      </w:r>
      <w:r w:rsidR="008E5694">
        <w:t>; and</w:t>
      </w:r>
    </w:p>
    <w:p w14:paraId="7AB11505" w14:textId="15EFC00D" w:rsidR="00E55FA3" w:rsidRDefault="008E5694" w:rsidP="00FD5A65">
      <w:pPr>
        <w:pStyle w:val="paragraph"/>
      </w:pPr>
      <w:r>
        <w:tab/>
        <w:t>(b)</w:t>
      </w:r>
      <w:r>
        <w:tab/>
      </w:r>
      <w:r w:rsidR="00E55FA3">
        <w:t>the declaration specifies a re-allocation period; and</w:t>
      </w:r>
    </w:p>
    <w:p w14:paraId="4507216D" w14:textId="57689053" w:rsidR="008E5694" w:rsidRDefault="00E55FA3" w:rsidP="00FD5A65">
      <w:pPr>
        <w:pStyle w:val="paragraph"/>
      </w:pPr>
      <w:r>
        <w:tab/>
        <w:t>(c)</w:t>
      </w:r>
      <w:r>
        <w:tab/>
        <w:t>the apparatus licence</w:t>
      </w:r>
      <w:r w:rsidR="00533954">
        <w:t>, if issued,</w:t>
      </w:r>
      <w:r>
        <w:t xml:space="preserve"> would authorise operation of </w:t>
      </w:r>
      <w:r w:rsidR="00EF4396">
        <w:t>a</w:t>
      </w:r>
      <w:r>
        <w:t xml:space="preserve"> device </w:t>
      </w:r>
      <w:r w:rsidR="006605BF">
        <w:t>in one or more of those parts of the spectrum, in one or more of those areas</w:t>
      </w:r>
      <w:r w:rsidR="00A90F7B">
        <w:t>; and</w:t>
      </w:r>
    </w:p>
    <w:p w14:paraId="28AB32D0" w14:textId="206915A5" w:rsidR="00A90F7B" w:rsidRDefault="00A90F7B" w:rsidP="00FD5A65">
      <w:pPr>
        <w:pStyle w:val="paragraph"/>
      </w:pPr>
      <w:r>
        <w:tab/>
        <w:t>(d)</w:t>
      </w:r>
      <w:r>
        <w:tab/>
        <w:t xml:space="preserve">the apparatus licence, if issued, would </w:t>
      </w:r>
      <w:r w:rsidR="00265702">
        <w:t>reasonably be likely to be issued during the re-allocation period;</w:t>
      </w:r>
    </w:p>
    <w:p w14:paraId="7A701BC0" w14:textId="6B4C5D3C" w:rsidR="00265702" w:rsidRDefault="00265702" w:rsidP="00265702">
      <w:pPr>
        <w:pStyle w:val="subsection"/>
        <w:spacing w:before="60"/>
      </w:pPr>
      <w:r>
        <w:tab/>
      </w:r>
      <w:r>
        <w:tab/>
        <w:t>the operation of a device under the apparatus licence must be such that the accredited person believes, on reasonable grounds, that the ACMA would issue an apparatus licence authorising operation of the device in accordance with subsection 153</w:t>
      </w:r>
      <w:proofErr w:type="gramStart"/>
      <w:r>
        <w:t>P(</w:t>
      </w:r>
      <w:proofErr w:type="gramEnd"/>
      <w:r>
        <w:t>2) of the Act.</w:t>
      </w:r>
    </w:p>
    <w:p w14:paraId="2DD24249" w14:textId="4EA79637" w:rsidR="00265702" w:rsidRDefault="00265702" w:rsidP="00265702">
      <w:pPr>
        <w:pStyle w:val="subsection"/>
      </w:pPr>
      <w:r>
        <w:tab/>
        <w:t>(</w:t>
      </w:r>
      <w:r w:rsidR="00072C70">
        <w:t>4</w:t>
      </w:r>
      <w:r>
        <w:t>)</w:t>
      </w:r>
      <w:r>
        <w:tab/>
        <w:t>For the purposes of subsection (</w:t>
      </w:r>
      <w:r w:rsidR="002A60EC">
        <w:t>3</w:t>
      </w:r>
      <w:r>
        <w:t>), in order to believe, on reasonable grounds, that the ACMA would issue an apparatus licence authorising operation of the device in accordance with subsection 1</w:t>
      </w:r>
      <w:r w:rsidR="00A60D80">
        <w:t>53</w:t>
      </w:r>
      <w:proofErr w:type="gramStart"/>
      <w:r w:rsidR="00A60D80">
        <w:t>P(</w:t>
      </w:r>
      <w:proofErr w:type="gramEnd"/>
      <w:r w:rsidR="00A60D80">
        <w:t>2)</w:t>
      </w:r>
      <w:r>
        <w:t xml:space="preserve"> of the Act, the accredited person must have consulted with the ACMA before forming the belief.</w:t>
      </w:r>
    </w:p>
    <w:sectPr w:rsidR="00265702" w:rsidSect="00957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5BC1C" w14:textId="77777777" w:rsidR="00A94D90" w:rsidRDefault="00A94D90" w:rsidP="0017734A">
      <w:pPr>
        <w:spacing w:after="0" w:line="240" w:lineRule="auto"/>
      </w:pPr>
      <w:r>
        <w:separator/>
      </w:r>
    </w:p>
  </w:endnote>
  <w:endnote w:type="continuationSeparator" w:id="0">
    <w:p w14:paraId="7E8005DE" w14:textId="77777777" w:rsidR="00A94D90" w:rsidRDefault="00A94D90"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51C7" w14:textId="77777777" w:rsidR="00EA4921" w:rsidRDefault="00EA4921" w:rsidP="0080479A">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(Conditions of Frequency Assignment Certificates – Apparatus Licences) Determination 2021</w:t>
    </w:r>
  </w:p>
  <w:p w14:paraId="588FDB04" w14:textId="77777777" w:rsidR="00EA4921" w:rsidRPr="0080479A" w:rsidRDefault="00EA4921" w:rsidP="0080479A">
    <w:pPr>
      <w:pStyle w:val="Footer"/>
      <w:pBdr>
        <w:top w:val="single" w:sz="4" w:space="1" w:color="auto"/>
      </w:pBd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Arabic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619E" w14:textId="77777777" w:rsidR="00A94D90" w:rsidRDefault="00A94D90" w:rsidP="0017734A">
      <w:pPr>
        <w:spacing w:after="0" w:line="240" w:lineRule="auto"/>
      </w:pPr>
      <w:r>
        <w:separator/>
      </w:r>
    </w:p>
  </w:footnote>
  <w:footnote w:type="continuationSeparator" w:id="0">
    <w:p w14:paraId="700427C3" w14:textId="77777777" w:rsidR="00A94D90" w:rsidRDefault="00A94D90"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C251" w14:textId="5097FA25" w:rsidR="00137A77" w:rsidRPr="00F03566" w:rsidRDefault="00137A77" w:rsidP="009272AD">
    <w:pPr>
      <w:pStyle w:val="Header"/>
      <w:pBdr>
        <w:bottom w:val="single" w:sz="4" w:space="1" w:color="auto"/>
      </w:pBdr>
      <w:rPr>
        <w:rFonts w:ascii="Times New Roman" w:hAnsi="Times New Roman" w:cs="Times New Roman"/>
      </w:rPr>
    </w:pPr>
    <w:r w:rsidRPr="00F03566">
      <w:rPr>
        <w:rFonts w:ascii="Times New Roman" w:hAnsi="Times New Roman" w:cs="Times New Roman"/>
      </w:rPr>
      <w:t>Section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STYLEREF  CharSectno  \* MERGEFORMAT </w:instrText>
    </w:r>
    <w:r>
      <w:rPr>
        <w:rFonts w:ascii="Times New Roman" w:hAnsi="Times New Roman" w:cs="Times New Roman"/>
      </w:rPr>
      <w:fldChar w:fldCharType="separate"/>
    </w:r>
    <w:r w:rsidR="003E6FDD">
      <w:rPr>
        <w:rFonts w:ascii="Times New Roman" w:hAnsi="Times New Roman" w:cs="Times New Roman"/>
        <w:noProof/>
      </w:rPr>
      <w:t>10</w:t>
    </w:r>
    <w:r>
      <w:rP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1"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6"/>
  </w:num>
  <w:num w:numId="5">
    <w:abstractNumId w:val="4"/>
  </w:num>
  <w:num w:numId="6">
    <w:abstractNumId w:val="2"/>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24C6B"/>
    <w:rsid w:val="000340E0"/>
    <w:rsid w:val="00044E44"/>
    <w:rsid w:val="000461CE"/>
    <w:rsid w:val="000609BF"/>
    <w:rsid w:val="00072C70"/>
    <w:rsid w:val="00072F88"/>
    <w:rsid w:val="000808B7"/>
    <w:rsid w:val="00082E71"/>
    <w:rsid w:val="00086BF0"/>
    <w:rsid w:val="00087F5A"/>
    <w:rsid w:val="00097890"/>
    <w:rsid w:val="000A6280"/>
    <w:rsid w:val="000B6CCF"/>
    <w:rsid w:val="000C4A41"/>
    <w:rsid w:val="000D6066"/>
    <w:rsid w:val="000E35B9"/>
    <w:rsid w:val="000F1010"/>
    <w:rsid w:val="000F19F5"/>
    <w:rsid w:val="000F1CE3"/>
    <w:rsid w:val="000F2057"/>
    <w:rsid w:val="000F66BF"/>
    <w:rsid w:val="00106333"/>
    <w:rsid w:val="00115BEC"/>
    <w:rsid w:val="00123757"/>
    <w:rsid w:val="00126151"/>
    <w:rsid w:val="00127A70"/>
    <w:rsid w:val="00137A77"/>
    <w:rsid w:val="00151A3E"/>
    <w:rsid w:val="00152CE6"/>
    <w:rsid w:val="00160F8E"/>
    <w:rsid w:val="00163BC3"/>
    <w:rsid w:val="00173306"/>
    <w:rsid w:val="0017734A"/>
    <w:rsid w:val="00183F81"/>
    <w:rsid w:val="00184898"/>
    <w:rsid w:val="00195074"/>
    <w:rsid w:val="001A2B69"/>
    <w:rsid w:val="001A4B39"/>
    <w:rsid w:val="001B035A"/>
    <w:rsid w:val="001B2574"/>
    <w:rsid w:val="001B67D5"/>
    <w:rsid w:val="001C1648"/>
    <w:rsid w:val="001C3477"/>
    <w:rsid w:val="001D7DF2"/>
    <w:rsid w:val="001E0709"/>
    <w:rsid w:val="001E45EA"/>
    <w:rsid w:val="001E75C4"/>
    <w:rsid w:val="001F7FD1"/>
    <w:rsid w:val="00200E01"/>
    <w:rsid w:val="00210F05"/>
    <w:rsid w:val="00215AC2"/>
    <w:rsid w:val="002332A2"/>
    <w:rsid w:val="00235322"/>
    <w:rsid w:val="002359DE"/>
    <w:rsid w:val="00241A43"/>
    <w:rsid w:val="00254F5B"/>
    <w:rsid w:val="00255605"/>
    <w:rsid w:val="002569B5"/>
    <w:rsid w:val="00265702"/>
    <w:rsid w:val="00266BDD"/>
    <w:rsid w:val="00271791"/>
    <w:rsid w:val="0027533F"/>
    <w:rsid w:val="0028558B"/>
    <w:rsid w:val="00285E4D"/>
    <w:rsid w:val="00291C8D"/>
    <w:rsid w:val="002A60EC"/>
    <w:rsid w:val="002B73D8"/>
    <w:rsid w:val="002D6093"/>
    <w:rsid w:val="002E5B01"/>
    <w:rsid w:val="002F0E3F"/>
    <w:rsid w:val="002F29D8"/>
    <w:rsid w:val="002F7598"/>
    <w:rsid w:val="003166CF"/>
    <w:rsid w:val="00342B97"/>
    <w:rsid w:val="00361EFC"/>
    <w:rsid w:val="003634E5"/>
    <w:rsid w:val="00367298"/>
    <w:rsid w:val="00371F01"/>
    <w:rsid w:val="00372D68"/>
    <w:rsid w:val="00390079"/>
    <w:rsid w:val="00395204"/>
    <w:rsid w:val="003973D0"/>
    <w:rsid w:val="003A41A6"/>
    <w:rsid w:val="003B2C48"/>
    <w:rsid w:val="003B438F"/>
    <w:rsid w:val="003B64CF"/>
    <w:rsid w:val="003C0096"/>
    <w:rsid w:val="003C04E8"/>
    <w:rsid w:val="003D77B3"/>
    <w:rsid w:val="003E0038"/>
    <w:rsid w:val="003E3A24"/>
    <w:rsid w:val="003E6FDD"/>
    <w:rsid w:val="004055AE"/>
    <w:rsid w:val="00407F81"/>
    <w:rsid w:val="00416E07"/>
    <w:rsid w:val="00417B8B"/>
    <w:rsid w:val="00424038"/>
    <w:rsid w:val="00426674"/>
    <w:rsid w:val="00434B53"/>
    <w:rsid w:val="004361D9"/>
    <w:rsid w:val="00440610"/>
    <w:rsid w:val="00441D0D"/>
    <w:rsid w:val="00447B03"/>
    <w:rsid w:val="0047264D"/>
    <w:rsid w:val="00474059"/>
    <w:rsid w:val="0047513B"/>
    <w:rsid w:val="004A5C8E"/>
    <w:rsid w:val="004B4796"/>
    <w:rsid w:val="004C1402"/>
    <w:rsid w:val="004D5E41"/>
    <w:rsid w:val="004D6B79"/>
    <w:rsid w:val="004D7A92"/>
    <w:rsid w:val="004E1D6A"/>
    <w:rsid w:val="004E3164"/>
    <w:rsid w:val="004E3C7A"/>
    <w:rsid w:val="004E7723"/>
    <w:rsid w:val="004F58C2"/>
    <w:rsid w:val="00500836"/>
    <w:rsid w:val="00502445"/>
    <w:rsid w:val="00507D03"/>
    <w:rsid w:val="00516234"/>
    <w:rsid w:val="00520CF1"/>
    <w:rsid w:val="00521629"/>
    <w:rsid w:val="005231D2"/>
    <w:rsid w:val="00533889"/>
    <w:rsid w:val="00533954"/>
    <w:rsid w:val="005354B4"/>
    <w:rsid w:val="005455A9"/>
    <w:rsid w:val="00550295"/>
    <w:rsid w:val="0055734B"/>
    <w:rsid w:val="00573979"/>
    <w:rsid w:val="00582888"/>
    <w:rsid w:val="00583F0E"/>
    <w:rsid w:val="005957A6"/>
    <w:rsid w:val="005A348E"/>
    <w:rsid w:val="005A3582"/>
    <w:rsid w:val="005C0555"/>
    <w:rsid w:val="005C33FB"/>
    <w:rsid w:val="005D43B5"/>
    <w:rsid w:val="005E72F1"/>
    <w:rsid w:val="005F1E60"/>
    <w:rsid w:val="005F474D"/>
    <w:rsid w:val="00610EBE"/>
    <w:rsid w:val="0062190D"/>
    <w:rsid w:val="00622B17"/>
    <w:rsid w:val="00634D67"/>
    <w:rsid w:val="00634EE0"/>
    <w:rsid w:val="00640849"/>
    <w:rsid w:val="006437D6"/>
    <w:rsid w:val="00644185"/>
    <w:rsid w:val="006453A3"/>
    <w:rsid w:val="00653160"/>
    <w:rsid w:val="006605BF"/>
    <w:rsid w:val="00663B87"/>
    <w:rsid w:val="006807EA"/>
    <w:rsid w:val="00681361"/>
    <w:rsid w:val="00681425"/>
    <w:rsid w:val="00693D4F"/>
    <w:rsid w:val="006A7A4F"/>
    <w:rsid w:val="006C0251"/>
    <w:rsid w:val="006C3B4C"/>
    <w:rsid w:val="006D36DE"/>
    <w:rsid w:val="006D7EC0"/>
    <w:rsid w:val="006E3D4D"/>
    <w:rsid w:val="006E5B82"/>
    <w:rsid w:val="006E6902"/>
    <w:rsid w:val="006F5CF2"/>
    <w:rsid w:val="006F662B"/>
    <w:rsid w:val="00703828"/>
    <w:rsid w:val="00703E6E"/>
    <w:rsid w:val="00705BF8"/>
    <w:rsid w:val="0071142C"/>
    <w:rsid w:val="00712304"/>
    <w:rsid w:val="00713674"/>
    <w:rsid w:val="00720581"/>
    <w:rsid w:val="00721966"/>
    <w:rsid w:val="007304C6"/>
    <w:rsid w:val="00733FB0"/>
    <w:rsid w:val="007345D5"/>
    <w:rsid w:val="00736535"/>
    <w:rsid w:val="0073714C"/>
    <w:rsid w:val="00746DC5"/>
    <w:rsid w:val="00763880"/>
    <w:rsid w:val="00770264"/>
    <w:rsid w:val="00782ADA"/>
    <w:rsid w:val="007926F9"/>
    <w:rsid w:val="007949D2"/>
    <w:rsid w:val="007967EE"/>
    <w:rsid w:val="007A529E"/>
    <w:rsid w:val="007C5215"/>
    <w:rsid w:val="007D093E"/>
    <w:rsid w:val="007E0BA9"/>
    <w:rsid w:val="007E3495"/>
    <w:rsid w:val="007E5053"/>
    <w:rsid w:val="00800926"/>
    <w:rsid w:val="008027D1"/>
    <w:rsid w:val="0080479A"/>
    <w:rsid w:val="0081244E"/>
    <w:rsid w:val="00812A22"/>
    <w:rsid w:val="00813607"/>
    <w:rsid w:val="00814838"/>
    <w:rsid w:val="00815C60"/>
    <w:rsid w:val="008164F9"/>
    <w:rsid w:val="00822DC7"/>
    <w:rsid w:val="00826636"/>
    <w:rsid w:val="00830EAA"/>
    <w:rsid w:val="00834C08"/>
    <w:rsid w:val="0084690E"/>
    <w:rsid w:val="00854E86"/>
    <w:rsid w:val="00857957"/>
    <w:rsid w:val="008611F3"/>
    <w:rsid w:val="0086239F"/>
    <w:rsid w:val="00874FA1"/>
    <w:rsid w:val="00885DC2"/>
    <w:rsid w:val="00892659"/>
    <w:rsid w:val="0089278F"/>
    <w:rsid w:val="00894846"/>
    <w:rsid w:val="00895EE2"/>
    <w:rsid w:val="00896A23"/>
    <w:rsid w:val="008C28EA"/>
    <w:rsid w:val="008C35F4"/>
    <w:rsid w:val="008D642E"/>
    <w:rsid w:val="008E36FA"/>
    <w:rsid w:val="008E5694"/>
    <w:rsid w:val="008E63C0"/>
    <w:rsid w:val="008F015D"/>
    <w:rsid w:val="008F0D09"/>
    <w:rsid w:val="008F21DF"/>
    <w:rsid w:val="008F6620"/>
    <w:rsid w:val="008F7F0C"/>
    <w:rsid w:val="00903870"/>
    <w:rsid w:val="0090641C"/>
    <w:rsid w:val="0091334B"/>
    <w:rsid w:val="0091792E"/>
    <w:rsid w:val="009272AD"/>
    <w:rsid w:val="00936E66"/>
    <w:rsid w:val="00954745"/>
    <w:rsid w:val="00955661"/>
    <w:rsid w:val="00957210"/>
    <w:rsid w:val="00966602"/>
    <w:rsid w:val="00966DA5"/>
    <w:rsid w:val="009737FD"/>
    <w:rsid w:val="0098090D"/>
    <w:rsid w:val="00987A5F"/>
    <w:rsid w:val="00995CF5"/>
    <w:rsid w:val="009A1A94"/>
    <w:rsid w:val="009B2167"/>
    <w:rsid w:val="009B3E70"/>
    <w:rsid w:val="009D6FC4"/>
    <w:rsid w:val="009E0D57"/>
    <w:rsid w:val="009E2417"/>
    <w:rsid w:val="009E24A8"/>
    <w:rsid w:val="009E2B64"/>
    <w:rsid w:val="009E40BF"/>
    <w:rsid w:val="009F221B"/>
    <w:rsid w:val="00A01BAA"/>
    <w:rsid w:val="00A02032"/>
    <w:rsid w:val="00A0671A"/>
    <w:rsid w:val="00A20F36"/>
    <w:rsid w:val="00A363E1"/>
    <w:rsid w:val="00A47AB5"/>
    <w:rsid w:val="00A533E4"/>
    <w:rsid w:val="00A55DDE"/>
    <w:rsid w:val="00A60690"/>
    <w:rsid w:val="00A60D80"/>
    <w:rsid w:val="00A67C2C"/>
    <w:rsid w:val="00A81619"/>
    <w:rsid w:val="00A86AC1"/>
    <w:rsid w:val="00A87309"/>
    <w:rsid w:val="00A90F7B"/>
    <w:rsid w:val="00A910C7"/>
    <w:rsid w:val="00A94D90"/>
    <w:rsid w:val="00A953D7"/>
    <w:rsid w:val="00A965A3"/>
    <w:rsid w:val="00AA00BB"/>
    <w:rsid w:val="00AA163A"/>
    <w:rsid w:val="00AA2A44"/>
    <w:rsid w:val="00AA3B6C"/>
    <w:rsid w:val="00AA4D2B"/>
    <w:rsid w:val="00AA629F"/>
    <w:rsid w:val="00AB59B9"/>
    <w:rsid w:val="00AB5EEB"/>
    <w:rsid w:val="00AB7077"/>
    <w:rsid w:val="00AC2F50"/>
    <w:rsid w:val="00AC4736"/>
    <w:rsid w:val="00AC5FC8"/>
    <w:rsid w:val="00AD14AA"/>
    <w:rsid w:val="00AD1EEA"/>
    <w:rsid w:val="00AE1333"/>
    <w:rsid w:val="00AE1ECA"/>
    <w:rsid w:val="00AE50D5"/>
    <w:rsid w:val="00B13B65"/>
    <w:rsid w:val="00B22FA4"/>
    <w:rsid w:val="00B25107"/>
    <w:rsid w:val="00B2530B"/>
    <w:rsid w:val="00B27A20"/>
    <w:rsid w:val="00B34A4D"/>
    <w:rsid w:val="00B3586F"/>
    <w:rsid w:val="00B526DC"/>
    <w:rsid w:val="00B613A8"/>
    <w:rsid w:val="00B64000"/>
    <w:rsid w:val="00B64944"/>
    <w:rsid w:val="00B7359B"/>
    <w:rsid w:val="00B7605A"/>
    <w:rsid w:val="00B90F17"/>
    <w:rsid w:val="00B94518"/>
    <w:rsid w:val="00BA0A19"/>
    <w:rsid w:val="00BA4326"/>
    <w:rsid w:val="00BA4D77"/>
    <w:rsid w:val="00BA6EFA"/>
    <w:rsid w:val="00BA7DB7"/>
    <w:rsid w:val="00BB4CC6"/>
    <w:rsid w:val="00BB5634"/>
    <w:rsid w:val="00BB6893"/>
    <w:rsid w:val="00BC1795"/>
    <w:rsid w:val="00BC30F7"/>
    <w:rsid w:val="00BD77C9"/>
    <w:rsid w:val="00BE095C"/>
    <w:rsid w:val="00BE17DF"/>
    <w:rsid w:val="00BE38CE"/>
    <w:rsid w:val="00BE4BC7"/>
    <w:rsid w:val="00BF15CC"/>
    <w:rsid w:val="00BF40A1"/>
    <w:rsid w:val="00C04BC4"/>
    <w:rsid w:val="00C06DAC"/>
    <w:rsid w:val="00C15143"/>
    <w:rsid w:val="00C153AF"/>
    <w:rsid w:val="00C16724"/>
    <w:rsid w:val="00C1741A"/>
    <w:rsid w:val="00C227FB"/>
    <w:rsid w:val="00C25DB4"/>
    <w:rsid w:val="00C3088C"/>
    <w:rsid w:val="00C323A5"/>
    <w:rsid w:val="00C34CDB"/>
    <w:rsid w:val="00C362E2"/>
    <w:rsid w:val="00C43DA0"/>
    <w:rsid w:val="00C46A22"/>
    <w:rsid w:val="00C5287B"/>
    <w:rsid w:val="00C60BE3"/>
    <w:rsid w:val="00C74BB6"/>
    <w:rsid w:val="00C76D9C"/>
    <w:rsid w:val="00C9448D"/>
    <w:rsid w:val="00CA0E18"/>
    <w:rsid w:val="00CA3BA6"/>
    <w:rsid w:val="00CA76E2"/>
    <w:rsid w:val="00CA7C72"/>
    <w:rsid w:val="00CB7288"/>
    <w:rsid w:val="00CC64DD"/>
    <w:rsid w:val="00CD2FCD"/>
    <w:rsid w:val="00CD3E45"/>
    <w:rsid w:val="00CD47EB"/>
    <w:rsid w:val="00CE70E3"/>
    <w:rsid w:val="00CF37D7"/>
    <w:rsid w:val="00CF3D5D"/>
    <w:rsid w:val="00CF3DD9"/>
    <w:rsid w:val="00CF4A41"/>
    <w:rsid w:val="00CF5FCD"/>
    <w:rsid w:val="00D0172E"/>
    <w:rsid w:val="00D15825"/>
    <w:rsid w:val="00D16C9A"/>
    <w:rsid w:val="00D25F52"/>
    <w:rsid w:val="00D302AD"/>
    <w:rsid w:val="00D31F3F"/>
    <w:rsid w:val="00D37716"/>
    <w:rsid w:val="00D37CDF"/>
    <w:rsid w:val="00D510ED"/>
    <w:rsid w:val="00D51B66"/>
    <w:rsid w:val="00D56CCA"/>
    <w:rsid w:val="00D62DCD"/>
    <w:rsid w:val="00D65F59"/>
    <w:rsid w:val="00D74283"/>
    <w:rsid w:val="00D96593"/>
    <w:rsid w:val="00DA3F1E"/>
    <w:rsid w:val="00DA578C"/>
    <w:rsid w:val="00DC0CDF"/>
    <w:rsid w:val="00DC0FD7"/>
    <w:rsid w:val="00DC31AF"/>
    <w:rsid w:val="00DE3020"/>
    <w:rsid w:val="00DF1F13"/>
    <w:rsid w:val="00DF40E8"/>
    <w:rsid w:val="00DF736B"/>
    <w:rsid w:val="00E1191F"/>
    <w:rsid w:val="00E13491"/>
    <w:rsid w:val="00E2555D"/>
    <w:rsid w:val="00E318F7"/>
    <w:rsid w:val="00E43CFB"/>
    <w:rsid w:val="00E458FD"/>
    <w:rsid w:val="00E469AF"/>
    <w:rsid w:val="00E55FA3"/>
    <w:rsid w:val="00E618B6"/>
    <w:rsid w:val="00E65411"/>
    <w:rsid w:val="00E7332E"/>
    <w:rsid w:val="00E7377B"/>
    <w:rsid w:val="00E90B30"/>
    <w:rsid w:val="00E92381"/>
    <w:rsid w:val="00E934DA"/>
    <w:rsid w:val="00EA379B"/>
    <w:rsid w:val="00EA4921"/>
    <w:rsid w:val="00EB610B"/>
    <w:rsid w:val="00EC54C3"/>
    <w:rsid w:val="00EC5B45"/>
    <w:rsid w:val="00ED2E8B"/>
    <w:rsid w:val="00ED333F"/>
    <w:rsid w:val="00ED5AB2"/>
    <w:rsid w:val="00ED5FA2"/>
    <w:rsid w:val="00EE0370"/>
    <w:rsid w:val="00EF4396"/>
    <w:rsid w:val="00F03D61"/>
    <w:rsid w:val="00F07A2C"/>
    <w:rsid w:val="00F13575"/>
    <w:rsid w:val="00F1448E"/>
    <w:rsid w:val="00F24128"/>
    <w:rsid w:val="00F24A40"/>
    <w:rsid w:val="00F31EC9"/>
    <w:rsid w:val="00F376D7"/>
    <w:rsid w:val="00F43109"/>
    <w:rsid w:val="00F44523"/>
    <w:rsid w:val="00F46785"/>
    <w:rsid w:val="00F62C1E"/>
    <w:rsid w:val="00F63280"/>
    <w:rsid w:val="00F66624"/>
    <w:rsid w:val="00F66969"/>
    <w:rsid w:val="00F77DB5"/>
    <w:rsid w:val="00F856A6"/>
    <w:rsid w:val="00F85ED9"/>
    <w:rsid w:val="00F87D34"/>
    <w:rsid w:val="00F90642"/>
    <w:rsid w:val="00F91C48"/>
    <w:rsid w:val="00FA1063"/>
    <w:rsid w:val="00FB1145"/>
    <w:rsid w:val="00FB59C1"/>
    <w:rsid w:val="00FC6029"/>
    <w:rsid w:val="00FC634C"/>
    <w:rsid w:val="00FC69E6"/>
    <w:rsid w:val="00FD0C5A"/>
    <w:rsid w:val="00FD323F"/>
    <w:rsid w:val="00FD584D"/>
    <w:rsid w:val="00FD5A55"/>
    <w:rsid w:val="00FD5A65"/>
    <w:rsid w:val="00FE0457"/>
    <w:rsid w:val="00FF01E9"/>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EA5BEE"/>
  <w15:chartTrackingRefBased/>
  <w15:docId w15:val="{EA33A4A4-10E3-4434-BDEE-1513ADC7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Subsection"/>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character" w:styleId="UnresolvedMention">
    <w:name w:val="Unresolved Mention"/>
    <w:basedOn w:val="DefaultParagraphFont"/>
    <w:uiPriority w:val="99"/>
    <w:semiHidden/>
    <w:unhideWhenUsed/>
    <w:rsid w:val="00CF5FCD"/>
    <w:rPr>
      <w:color w:val="605E5C"/>
      <w:shd w:val="clear" w:color="auto" w:fill="E1DFDD"/>
    </w:rPr>
  </w:style>
  <w:style w:type="paragraph" w:customStyle="1" w:styleId="Item">
    <w:name w:val="Item"/>
    <w:aliases w:val="i"/>
    <w:basedOn w:val="Normal"/>
    <w:next w:val="Normal"/>
    <w:link w:val="ItemChar"/>
    <w:rsid w:val="00C153AF"/>
    <w:pPr>
      <w:keepLines/>
      <w:spacing w:before="80" w:after="0" w:line="240" w:lineRule="auto"/>
      <w:ind w:left="709"/>
    </w:pPr>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link w:val="subsection2Char"/>
    <w:rsid w:val="00C153AF"/>
    <w:pPr>
      <w:spacing w:before="40" w:after="0" w:line="240" w:lineRule="auto"/>
      <w:ind w:left="1134"/>
    </w:pPr>
    <w:rPr>
      <w:rFonts w:ascii="Times New Roman" w:eastAsia="Times New Roman" w:hAnsi="Times New Roman" w:cs="Times New Roman"/>
      <w:szCs w:val="20"/>
      <w:lang w:eastAsia="en-AU"/>
    </w:rPr>
  </w:style>
  <w:style w:type="paragraph" w:styleId="ListNumber">
    <w:name w:val="List Number"/>
    <w:rsid w:val="00C153AF"/>
    <w:pPr>
      <w:numPr>
        <w:numId w:val="10"/>
      </w:numPr>
      <w:tabs>
        <w:tab w:val="clear" w:pos="360"/>
        <w:tab w:val="num" w:pos="4242"/>
      </w:tabs>
      <w:spacing w:after="0" w:line="240" w:lineRule="auto"/>
      <w:ind w:left="3521" w:hanging="1043"/>
    </w:pPr>
    <w:rPr>
      <w:rFonts w:ascii="Times New Roman" w:eastAsia="Times New Roman" w:hAnsi="Times New Roman" w:cs="Times New Roman"/>
      <w:szCs w:val="24"/>
      <w:lang w:eastAsia="en-AU"/>
    </w:rPr>
  </w:style>
  <w:style w:type="character" w:customStyle="1" w:styleId="ItemChar">
    <w:name w:val="Item Char"/>
    <w:aliases w:val="i Char"/>
    <w:basedOn w:val="DefaultParagraphFont"/>
    <w:link w:val="Item"/>
    <w:rsid w:val="00C153AF"/>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C153AF"/>
    <w:rPr>
      <w:rFonts w:ascii="Times New Roman" w:eastAsia="Times New Roman" w:hAnsi="Times New Roman" w:cs="Times New Roman"/>
      <w:szCs w:val="20"/>
      <w:lang w:eastAsia="en-AU"/>
    </w:rPr>
  </w:style>
  <w:style w:type="paragraph" w:customStyle="1" w:styleId="Transitional">
    <w:name w:val="Transitional"/>
    <w:aliases w:val="tr"/>
    <w:basedOn w:val="Normal"/>
    <w:next w:val="Normal"/>
    <w:rsid w:val="00C153AF"/>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subsection2Char">
    <w:name w:val="subsection2 Char"/>
    <w:aliases w:val="ss2 Char"/>
    <w:link w:val="subsection2"/>
    <w:rsid w:val="00C153AF"/>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c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UQVA7MFFXVNW-343728570-1011</_dlc_DocId>
    <_dlc_DocIdUrl xmlns="04b8ec43-391f-4ce4-8841-d6a482add564">
      <Url>http://collaboration/organisation/auth/Chair/Auth/_layouts/15/DocIdRedir.aspx?ID=UQVA7MFFXVNW-343728570-1011</Url>
      <Description>UQVA7MFFXVNW-343728570-1011</Description>
    </_dlc_DocIdUrl>
  </documentManagement>
</p:properties>
</file>

<file path=customXml/itemProps1.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2.xml><?xml version="1.0" encoding="utf-8"?>
<ds:datastoreItem xmlns:ds="http://schemas.openxmlformats.org/officeDocument/2006/customXml" ds:itemID="{2106F893-B58D-40D2-B7DA-551D71120899}">
  <ds:schemaRefs>
    <ds:schemaRef ds:uri="http://schemas.microsoft.com/sharepoint/events"/>
  </ds:schemaRefs>
</ds:datastoreItem>
</file>

<file path=customXml/itemProps3.xml><?xml version="1.0" encoding="utf-8"?>
<ds:datastoreItem xmlns:ds="http://schemas.openxmlformats.org/officeDocument/2006/customXml" ds:itemID="{762F4E33-DB29-4DED-9CBC-878395546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217AF2-025A-489C-B213-0C63FD70CEB0}">
  <ds:schemaRefs>
    <ds:schemaRef ds:uri="http://schemas.microsoft.com/sharepoint/v3/contenttype/forms"/>
  </ds:schemaRefs>
</ds:datastoreItem>
</file>

<file path=customXml/itemProps5.xml><?xml version="1.0" encoding="utf-8"?>
<ds:datastoreItem xmlns:ds="http://schemas.openxmlformats.org/officeDocument/2006/customXml" ds:itemID="{5A6A1459-A477-46EA-9CB4-A77073B0AF7A}">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Instrument Template</dc:title>
  <dc:subject/>
  <dc:creator>Annette Vella</dc:creator>
  <cp:keywords/>
  <dc:description/>
  <cp:lastModifiedBy>Morgan Vaudrey</cp:lastModifiedBy>
  <cp:revision>8</cp:revision>
  <cp:lastPrinted>2016-10-19T01:54:00Z</cp:lastPrinted>
  <dcterms:created xsi:type="dcterms:W3CDTF">2021-05-25T22:07:00Z</dcterms:created>
  <dcterms:modified xsi:type="dcterms:W3CDTF">2021-06-10T05:51:00Z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9de27d76-a71f-4147-903d-6dcbc7e8ade6</vt:lpwstr>
  </property>
</Properties>
</file>