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B971" w14:textId="77777777" w:rsidR="005E317F" w:rsidRDefault="005E317F" w:rsidP="005E317F">
      <w:pPr>
        <w:rPr>
          <w:sz w:val="28"/>
        </w:rPr>
      </w:pPr>
      <w:r>
        <w:rPr>
          <w:noProof/>
          <w:lang w:eastAsia="en-AU"/>
        </w:rPr>
        <w:drawing>
          <wp:inline distT="0" distB="0" distL="0" distR="0" wp14:anchorId="588BFE7D" wp14:editId="0DAEF9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16F86D" w14:textId="77777777" w:rsidR="005E317F" w:rsidRDefault="005E317F" w:rsidP="005E317F">
      <w:pPr>
        <w:rPr>
          <w:sz w:val="19"/>
        </w:rPr>
      </w:pPr>
    </w:p>
    <w:p w14:paraId="23450EF1" w14:textId="275E8D20" w:rsidR="005E317F" w:rsidRPr="00E500D4" w:rsidRDefault="00596AD9" w:rsidP="005E317F">
      <w:pPr>
        <w:pStyle w:val="ShortT"/>
      </w:pPr>
      <w:r>
        <w:t>An</w:t>
      </w:r>
      <w:r w:rsidR="0066089E">
        <w:t>ti-Money Laundering and Counter</w:t>
      </w:r>
      <w:r w:rsidR="0066089E">
        <w:noBreakHyphen/>
      </w:r>
      <w:r>
        <w:t>Terrorism Financing Rules Amendment Instrument 202</w:t>
      </w:r>
      <w:r w:rsidR="00927E40">
        <w:t>1</w:t>
      </w:r>
      <w:r>
        <w:t xml:space="preserve"> </w:t>
      </w:r>
      <w:r w:rsidRPr="000C1506">
        <w:t xml:space="preserve">(No. </w:t>
      </w:r>
      <w:r w:rsidR="00927E40">
        <w:t>1</w:t>
      </w:r>
      <w:r w:rsidRPr="000C1506">
        <w:t>)</w:t>
      </w:r>
    </w:p>
    <w:p w14:paraId="2B5B06E0" w14:textId="7586686C" w:rsidR="005E317F" w:rsidRPr="00DA182D" w:rsidRDefault="005E317F" w:rsidP="005E317F">
      <w:pPr>
        <w:pStyle w:val="SignCoverPageStart"/>
        <w:spacing w:before="240"/>
        <w:ind w:right="91"/>
        <w:rPr>
          <w:szCs w:val="22"/>
        </w:rPr>
      </w:pPr>
      <w:r w:rsidRPr="00DA182D">
        <w:rPr>
          <w:szCs w:val="22"/>
        </w:rPr>
        <w:t xml:space="preserve">I, </w:t>
      </w:r>
      <w:r w:rsidR="00421B91">
        <w:rPr>
          <w:szCs w:val="22"/>
        </w:rPr>
        <w:t>Nicole Rose</w:t>
      </w:r>
      <w:r w:rsidRPr="00DA182D">
        <w:rPr>
          <w:szCs w:val="22"/>
        </w:rPr>
        <w:t xml:space="preserve">, </w:t>
      </w:r>
      <w:r w:rsidR="00596AD9">
        <w:rPr>
          <w:szCs w:val="22"/>
        </w:rPr>
        <w:t>Chief Executive Officer, Australian Transaction Reports and Analysis Centre</w:t>
      </w:r>
      <w:r w:rsidRPr="00DA182D">
        <w:rPr>
          <w:szCs w:val="22"/>
        </w:rPr>
        <w:t xml:space="preserve">, </w:t>
      </w:r>
      <w:r>
        <w:rPr>
          <w:szCs w:val="22"/>
        </w:rPr>
        <w:t xml:space="preserve">make </w:t>
      </w:r>
      <w:r w:rsidR="00920058">
        <w:rPr>
          <w:szCs w:val="22"/>
        </w:rPr>
        <w:t>the following legislative instrument</w:t>
      </w:r>
      <w:r w:rsidR="00596AD9" w:rsidRPr="00DA182D">
        <w:rPr>
          <w:szCs w:val="22"/>
        </w:rPr>
        <w:t>.</w:t>
      </w:r>
    </w:p>
    <w:p w14:paraId="6E0CBA64" w14:textId="2A31FDFF" w:rsidR="00C365DF" w:rsidRDefault="005E317F" w:rsidP="005E317F">
      <w:pPr>
        <w:keepNext/>
        <w:spacing w:before="300" w:line="240" w:lineRule="atLeast"/>
        <w:ind w:right="397"/>
        <w:jc w:val="both"/>
        <w:rPr>
          <w:szCs w:val="22"/>
        </w:rPr>
      </w:pPr>
      <w:r>
        <w:rPr>
          <w:szCs w:val="22"/>
        </w:rPr>
        <w:t>Dated</w:t>
      </w:r>
      <w:r w:rsidRPr="00001A63">
        <w:rPr>
          <w:szCs w:val="22"/>
        </w:rPr>
        <w:tab/>
      </w:r>
      <w:r w:rsidR="00534ACC">
        <w:rPr>
          <w:szCs w:val="22"/>
        </w:rPr>
        <w:t>15 June 2021</w:t>
      </w:r>
    </w:p>
    <w:p w14:paraId="378A1D19" w14:textId="4BA0ACA9" w:rsidR="00C365DF" w:rsidRDefault="005E317F" w:rsidP="005E317F">
      <w:pPr>
        <w:keepNext/>
        <w:spacing w:before="300" w:line="240" w:lineRule="atLeast"/>
        <w:ind w:right="397"/>
        <w:jc w:val="both"/>
        <w:rPr>
          <w:szCs w:val="22"/>
        </w:rPr>
      </w:pPr>
      <w:r w:rsidRPr="00001A63">
        <w:rPr>
          <w:szCs w:val="22"/>
        </w:rPr>
        <w:tab/>
      </w:r>
    </w:p>
    <w:p w14:paraId="6B61E1B2" w14:textId="44A0ED21" w:rsidR="00C365DF" w:rsidRDefault="00534ACC" w:rsidP="00C365DF">
      <w:pPr>
        <w:keepNext/>
        <w:spacing w:before="300" w:line="240" w:lineRule="atLeast"/>
        <w:ind w:right="397"/>
        <w:jc w:val="both"/>
        <w:rPr>
          <w:szCs w:val="22"/>
        </w:rPr>
      </w:pPr>
      <w:r>
        <w:rPr>
          <w:szCs w:val="22"/>
        </w:rPr>
        <w:t>[</w:t>
      </w:r>
      <w:proofErr w:type="gramStart"/>
      <w:r>
        <w:rPr>
          <w:szCs w:val="22"/>
        </w:rPr>
        <w:t>signed</w:t>
      </w:r>
      <w:proofErr w:type="gramEnd"/>
      <w:r>
        <w:rPr>
          <w:szCs w:val="22"/>
        </w:rPr>
        <w:t>]</w:t>
      </w:r>
    </w:p>
    <w:p w14:paraId="14556034" w14:textId="056E1680" w:rsidR="005E317F" w:rsidRDefault="00596AD9" w:rsidP="00C365DF">
      <w:pPr>
        <w:keepNext/>
        <w:spacing w:before="300" w:line="240" w:lineRule="atLeast"/>
        <w:ind w:right="397"/>
        <w:jc w:val="both"/>
        <w:rPr>
          <w:b/>
          <w:szCs w:val="22"/>
        </w:rPr>
      </w:pPr>
      <w:r w:rsidRPr="00596AD9">
        <w:rPr>
          <w:szCs w:val="22"/>
        </w:rPr>
        <w:t>Nicole Rose</w:t>
      </w:r>
      <w:r>
        <w:rPr>
          <w:szCs w:val="22"/>
        </w:rPr>
        <w:t xml:space="preserve"> PSM</w:t>
      </w:r>
    </w:p>
    <w:p w14:paraId="2A585959" w14:textId="77777777" w:rsidR="00596AD9" w:rsidRDefault="00596AD9" w:rsidP="00596AD9">
      <w:pPr>
        <w:pStyle w:val="SignCoverPageEnd"/>
        <w:ind w:right="91"/>
        <w:rPr>
          <w:sz w:val="22"/>
        </w:rPr>
      </w:pPr>
      <w:r>
        <w:rPr>
          <w:sz w:val="22"/>
        </w:rPr>
        <w:t>Chief Executive Officer</w:t>
      </w:r>
    </w:p>
    <w:p w14:paraId="1A68767D" w14:textId="77777777" w:rsidR="00596AD9" w:rsidRDefault="00596AD9" w:rsidP="005E317F">
      <w:pPr>
        <w:pStyle w:val="SignCoverPageEnd"/>
        <w:ind w:right="91"/>
        <w:rPr>
          <w:sz w:val="22"/>
        </w:rPr>
      </w:pPr>
      <w:r>
        <w:rPr>
          <w:sz w:val="22"/>
        </w:rPr>
        <w:t>Australian Transaction Reports and Analysis Centre</w:t>
      </w:r>
    </w:p>
    <w:p w14:paraId="34965401" w14:textId="77777777" w:rsidR="00596AD9" w:rsidRPr="00596AD9" w:rsidRDefault="00596AD9" w:rsidP="00596AD9">
      <w:pPr>
        <w:rPr>
          <w:lang w:eastAsia="en-AU"/>
        </w:rPr>
      </w:pPr>
    </w:p>
    <w:p w14:paraId="062185DB" w14:textId="77777777" w:rsidR="00596AD9" w:rsidRPr="00596AD9" w:rsidRDefault="00596AD9" w:rsidP="00596AD9">
      <w:pPr>
        <w:rPr>
          <w:lang w:eastAsia="en-AU"/>
        </w:rPr>
      </w:pPr>
    </w:p>
    <w:p w14:paraId="4F18CDB7" w14:textId="77777777" w:rsidR="00B20990" w:rsidRDefault="00B20990" w:rsidP="00B20990"/>
    <w:p w14:paraId="0598D74D"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53885513" w14:textId="77777777" w:rsidR="00B20990" w:rsidRDefault="00B20990" w:rsidP="00B20990">
      <w:pPr>
        <w:outlineLvl w:val="0"/>
        <w:rPr>
          <w:sz w:val="36"/>
        </w:rPr>
      </w:pPr>
      <w:r w:rsidRPr="007A1328">
        <w:rPr>
          <w:sz w:val="36"/>
        </w:rPr>
        <w:lastRenderedPageBreak/>
        <w:t>Contents</w:t>
      </w:r>
    </w:p>
    <w:bookmarkStart w:id="0" w:name="BKCheck15B_2"/>
    <w:bookmarkEnd w:id="0"/>
    <w:p w14:paraId="3034AB45" w14:textId="77777777" w:rsidR="007A1C57"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A1C57">
        <w:rPr>
          <w:noProof/>
        </w:rPr>
        <w:t>1  Name</w:t>
      </w:r>
      <w:r w:rsidR="007A1C57">
        <w:rPr>
          <w:noProof/>
        </w:rPr>
        <w:tab/>
      </w:r>
      <w:r w:rsidR="007A1C57">
        <w:rPr>
          <w:noProof/>
        </w:rPr>
        <w:fldChar w:fldCharType="begin"/>
      </w:r>
      <w:r w:rsidR="007A1C57">
        <w:rPr>
          <w:noProof/>
        </w:rPr>
        <w:instrText xml:space="preserve"> PAGEREF _Toc33014476 \h </w:instrText>
      </w:r>
      <w:r w:rsidR="007A1C57">
        <w:rPr>
          <w:noProof/>
        </w:rPr>
      </w:r>
      <w:r w:rsidR="007A1C57">
        <w:rPr>
          <w:noProof/>
        </w:rPr>
        <w:fldChar w:fldCharType="separate"/>
      </w:r>
      <w:r w:rsidR="007A1C57">
        <w:rPr>
          <w:noProof/>
        </w:rPr>
        <w:t>1</w:t>
      </w:r>
      <w:r w:rsidR="007A1C57">
        <w:rPr>
          <w:noProof/>
        </w:rPr>
        <w:fldChar w:fldCharType="end"/>
      </w:r>
    </w:p>
    <w:p w14:paraId="6F9B4916" w14:textId="77777777" w:rsidR="007A1C57" w:rsidRDefault="007A1C5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_Toc33014477 \h </w:instrText>
      </w:r>
      <w:r>
        <w:rPr>
          <w:noProof/>
        </w:rPr>
      </w:r>
      <w:r>
        <w:rPr>
          <w:noProof/>
        </w:rPr>
        <w:fldChar w:fldCharType="separate"/>
      </w:r>
      <w:r>
        <w:rPr>
          <w:noProof/>
        </w:rPr>
        <w:t>1</w:t>
      </w:r>
      <w:r>
        <w:rPr>
          <w:noProof/>
        </w:rPr>
        <w:fldChar w:fldCharType="end"/>
      </w:r>
    </w:p>
    <w:p w14:paraId="334FB4B9" w14:textId="77777777" w:rsidR="007A1C57" w:rsidRDefault="007A1C5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_Toc33014478 \h </w:instrText>
      </w:r>
      <w:r>
        <w:rPr>
          <w:noProof/>
        </w:rPr>
      </w:r>
      <w:r>
        <w:rPr>
          <w:noProof/>
        </w:rPr>
        <w:fldChar w:fldCharType="separate"/>
      </w:r>
      <w:r>
        <w:rPr>
          <w:noProof/>
        </w:rPr>
        <w:t>1</w:t>
      </w:r>
      <w:r>
        <w:rPr>
          <w:noProof/>
        </w:rPr>
        <w:fldChar w:fldCharType="end"/>
      </w:r>
    </w:p>
    <w:p w14:paraId="13D4EE0F" w14:textId="77777777" w:rsidR="007A1C57" w:rsidRDefault="007A1C5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_Toc33014479 \h </w:instrText>
      </w:r>
      <w:r>
        <w:rPr>
          <w:noProof/>
        </w:rPr>
      </w:r>
      <w:r>
        <w:rPr>
          <w:noProof/>
        </w:rPr>
        <w:fldChar w:fldCharType="separate"/>
      </w:r>
      <w:r>
        <w:rPr>
          <w:noProof/>
        </w:rPr>
        <w:t>1</w:t>
      </w:r>
      <w:r>
        <w:rPr>
          <w:noProof/>
        </w:rPr>
        <w:fldChar w:fldCharType="end"/>
      </w:r>
    </w:p>
    <w:p w14:paraId="6ABD688C" w14:textId="77777777" w:rsidR="007A1C57" w:rsidRDefault="007A1C57">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2C2424">
        <w:rPr>
          <w:b w:val="0"/>
          <w:noProof/>
          <w:sz w:val="18"/>
          <w:szCs w:val="18"/>
        </w:rPr>
        <w:fldChar w:fldCharType="begin"/>
      </w:r>
      <w:r w:rsidRPr="002C2424">
        <w:rPr>
          <w:b w:val="0"/>
          <w:noProof/>
          <w:sz w:val="18"/>
          <w:szCs w:val="18"/>
        </w:rPr>
        <w:instrText xml:space="preserve"> PAGEREF _Toc33014480 \h </w:instrText>
      </w:r>
      <w:r w:rsidRPr="002C2424">
        <w:rPr>
          <w:b w:val="0"/>
          <w:noProof/>
          <w:sz w:val="18"/>
          <w:szCs w:val="18"/>
        </w:rPr>
      </w:r>
      <w:r w:rsidRPr="002C2424">
        <w:rPr>
          <w:b w:val="0"/>
          <w:noProof/>
          <w:sz w:val="18"/>
          <w:szCs w:val="18"/>
        </w:rPr>
        <w:fldChar w:fldCharType="separate"/>
      </w:r>
      <w:r w:rsidRPr="002C2424">
        <w:rPr>
          <w:b w:val="0"/>
          <w:noProof/>
          <w:sz w:val="18"/>
          <w:szCs w:val="18"/>
        </w:rPr>
        <w:t>2</w:t>
      </w:r>
      <w:r w:rsidRPr="002C2424">
        <w:rPr>
          <w:b w:val="0"/>
          <w:noProof/>
          <w:sz w:val="18"/>
          <w:szCs w:val="18"/>
        </w:rPr>
        <w:fldChar w:fldCharType="end"/>
      </w:r>
    </w:p>
    <w:p w14:paraId="7F60BE6A" w14:textId="77777777" w:rsidR="007A1C57" w:rsidRDefault="007A1C57">
      <w:pPr>
        <w:pStyle w:val="TOC9"/>
        <w:rPr>
          <w:rFonts w:asciiTheme="minorHAnsi" w:eastAsiaTheme="minorEastAsia" w:hAnsiTheme="minorHAnsi" w:cstheme="minorBidi"/>
          <w:i w:val="0"/>
          <w:noProof/>
          <w:kern w:val="0"/>
          <w:sz w:val="22"/>
          <w:szCs w:val="22"/>
        </w:rPr>
      </w:pPr>
      <w:r>
        <w:rPr>
          <w:noProof/>
        </w:rPr>
        <w:t>Anti-Money Laundering and Counter-Terrorism Financing Rules Instrument 2007 (No. 1)</w:t>
      </w:r>
      <w:r>
        <w:rPr>
          <w:noProof/>
        </w:rPr>
        <w:tab/>
      </w:r>
      <w:r w:rsidRPr="002C2424">
        <w:rPr>
          <w:i w:val="0"/>
          <w:noProof/>
          <w:sz w:val="18"/>
          <w:szCs w:val="18"/>
        </w:rPr>
        <w:fldChar w:fldCharType="begin"/>
      </w:r>
      <w:r w:rsidRPr="002C2424">
        <w:rPr>
          <w:i w:val="0"/>
          <w:noProof/>
          <w:sz w:val="18"/>
          <w:szCs w:val="18"/>
        </w:rPr>
        <w:instrText xml:space="preserve"> PAGEREF _Toc33014481 \h </w:instrText>
      </w:r>
      <w:r w:rsidRPr="002C2424">
        <w:rPr>
          <w:i w:val="0"/>
          <w:noProof/>
          <w:sz w:val="18"/>
          <w:szCs w:val="18"/>
        </w:rPr>
      </w:r>
      <w:r w:rsidRPr="002C2424">
        <w:rPr>
          <w:i w:val="0"/>
          <w:noProof/>
          <w:sz w:val="18"/>
          <w:szCs w:val="18"/>
        </w:rPr>
        <w:fldChar w:fldCharType="separate"/>
      </w:r>
      <w:r w:rsidRPr="002C2424">
        <w:rPr>
          <w:i w:val="0"/>
          <w:noProof/>
          <w:sz w:val="18"/>
          <w:szCs w:val="18"/>
        </w:rPr>
        <w:t>2</w:t>
      </w:r>
      <w:r w:rsidRPr="002C2424">
        <w:rPr>
          <w:i w:val="0"/>
          <w:noProof/>
          <w:sz w:val="18"/>
          <w:szCs w:val="18"/>
        </w:rPr>
        <w:fldChar w:fldCharType="end"/>
      </w:r>
    </w:p>
    <w:p w14:paraId="3D75D681" w14:textId="77777777" w:rsidR="00B20990" w:rsidRDefault="00B20990" w:rsidP="005E317F">
      <w:r w:rsidRPr="005E317F">
        <w:rPr>
          <w:rFonts w:cs="Times New Roman"/>
          <w:sz w:val="20"/>
        </w:rPr>
        <w:fldChar w:fldCharType="end"/>
      </w:r>
    </w:p>
    <w:p w14:paraId="6CB2DF36" w14:textId="77777777" w:rsidR="00B20990" w:rsidRDefault="00B20990" w:rsidP="00B20990"/>
    <w:p w14:paraId="252A1E58" w14:textId="5815DDA6" w:rsidR="007C29E7" w:rsidRDefault="007C29E7" w:rsidP="00B20990"/>
    <w:p w14:paraId="212BCEEE" w14:textId="77777777" w:rsidR="007C29E7" w:rsidRPr="007C29E7" w:rsidRDefault="007C29E7" w:rsidP="007C29E7"/>
    <w:p w14:paraId="3FE59A85" w14:textId="77777777" w:rsidR="007C29E7" w:rsidRPr="007C29E7" w:rsidRDefault="007C29E7" w:rsidP="007C29E7"/>
    <w:p w14:paraId="692770BE" w14:textId="77777777" w:rsidR="007C29E7" w:rsidRPr="007C29E7" w:rsidRDefault="007C29E7" w:rsidP="007C29E7"/>
    <w:p w14:paraId="5BCF69C1" w14:textId="77777777" w:rsidR="007C29E7" w:rsidRPr="007C29E7" w:rsidRDefault="007C29E7" w:rsidP="007C29E7"/>
    <w:p w14:paraId="3B5BF468" w14:textId="77777777" w:rsidR="007C29E7" w:rsidRPr="007C29E7" w:rsidRDefault="007C29E7" w:rsidP="007C29E7"/>
    <w:p w14:paraId="35FEFB4F" w14:textId="77777777" w:rsidR="007C29E7" w:rsidRPr="007C29E7" w:rsidRDefault="007C29E7" w:rsidP="007C29E7"/>
    <w:p w14:paraId="59E507F0" w14:textId="5AF86685" w:rsidR="007C29E7" w:rsidRDefault="007C29E7" w:rsidP="007C29E7">
      <w:pPr>
        <w:tabs>
          <w:tab w:val="left" w:pos="6136"/>
        </w:tabs>
      </w:pPr>
      <w:r>
        <w:tab/>
      </w:r>
      <w:bookmarkStart w:id="1" w:name="_GoBack"/>
      <w:bookmarkEnd w:id="1"/>
    </w:p>
    <w:p w14:paraId="07BA6078" w14:textId="2A9543D6" w:rsidR="00B20990" w:rsidRPr="007C29E7" w:rsidRDefault="007C29E7" w:rsidP="007C29E7">
      <w:pPr>
        <w:tabs>
          <w:tab w:val="left" w:pos="6136"/>
        </w:tabs>
        <w:sectPr w:rsidR="00B20990" w:rsidRPr="007C29E7" w:rsidSect="00BE77B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tab/>
      </w:r>
    </w:p>
    <w:p w14:paraId="5BDAD608" w14:textId="77777777" w:rsidR="005E317F" w:rsidRPr="009C2562" w:rsidRDefault="005E317F" w:rsidP="005E317F">
      <w:pPr>
        <w:pStyle w:val="ActHead5"/>
      </w:pPr>
      <w:bookmarkStart w:id="2" w:name="_Toc33014476"/>
      <w:proofErr w:type="gramStart"/>
      <w:r w:rsidRPr="009C2562">
        <w:rPr>
          <w:rStyle w:val="CharSectno"/>
        </w:rPr>
        <w:lastRenderedPageBreak/>
        <w:t>1</w:t>
      </w:r>
      <w:r w:rsidRPr="009C2562">
        <w:t xml:space="preserve">  Name</w:t>
      </w:r>
      <w:bookmarkEnd w:id="2"/>
      <w:proofErr w:type="gramEnd"/>
    </w:p>
    <w:p w14:paraId="7551D65B" w14:textId="501AAF94" w:rsidR="005E317F" w:rsidRDefault="005E317F" w:rsidP="005E317F">
      <w:pPr>
        <w:pStyle w:val="subsection"/>
      </w:pPr>
      <w:r w:rsidRPr="009C2562">
        <w:tab/>
      </w:r>
      <w:r w:rsidRPr="009C2562">
        <w:tab/>
      </w:r>
      <w:r w:rsidR="00596AD9" w:rsidRPr="009C2562">
        <w:t xml:space="preserve">This </w:t>
      </w:r>
      <w:r w:rsidR="00596AD9">
        <w:t xml:space="preserve">instrument </w:t>
      </w:r>
      <w:r w:rsidR="00596AD9" w:rsidRPr="009C2562">
        <w:t xml:space="preserve">is </w:t>
      </w:r>
      <w:r w:rsidR="00596AD9" w:rsidRPr="00F64003">
        <w:rPr>
          <w:szCs w:val="22"/>
        </w:rPr>
        <w:t>the</w:t>
      </w:r>
      <w:bookmarkStart w:id="3" w:name="BKCheck15B_3"/>
      <w:bookmarkEnd w:id="3"/>
      <w:r w:rsidR="00596AD9">
        <w:rPr>
          <w:szCs w:val="22"/>
        </w:rPr>
        <w:t xml:space="preserve"> </w:t>
      </w:r>
      <w:r w:rsidR="00596AD9" w:rsidRPr="000C1506">
        <w:rPr>
          <w:i/>
          <w:szCs w:val="22"/>
        </w:rPr>
        <w:fldChar w:fldCharType="begin"/>
      </w:r>
      <w:r w:rsidR="00596AD9" w:rsidRPr="000C1506">
        <w:rPr>
          <w:i/>
          <w:szCs w:val="22"/>
        </w:rPr>
        <w:instrText xml:space="preserve"> STYLEREF  ShortT </w:instrText>
      </w:r>
      <w:r w:rsidR="00596AD9" w:rsidRPr="000C1506">
        <w:rPr>
          <w:i/>
          <w:szCs w:val="22"/>
        </w:rPr>
        <w:fldChar w:fldCharType="separate"/>
      </w:r>
      <w:r w:rsidR="00596AD9" w:rsidRPr="000C1506">
        <w:rPr>
          <w:i/>
          <w:noProof/>
          <w:szCs w:val="22"/>
        </w:rPr>
        <w:t>Anti-Money Laundering and Counter-Terrorism Financing</w:t>
      </w:r>
      <w:r w:rsidR="003B4358">
        <w:rPr>
          <w:i/>
          <w:noProof/>
          <w:szCs w:val="22"/>
        </w:rPr>
        <w:t xml:space="preserve"> Rules Amendment Instrument 2021</w:t>
      </w:r>
      <w:r w:rsidR="00596AD9" w:rsidRPr="000C1506">
        <w:rPr>
          <w:i/>
          <w:noProof/>
          <w:szCs w:val="22"/>
        </w:rPr>
        <w:t xml:space="preserve"> (No. </w:t>
      </w:r>
      <w:r w:rsidR="003B4358">
        <w:rPr>
          <w:i/>
          <w:noProof/>
          <w:szCs w:val="22"/>
        </w:rPr>
        <w:t>1</w:t>
      </w:r>
      <w:r w:rsidR="00596AD9" w:rsidRPr="000C1506">
        <w:rPr>
          <w:i/>
          <w:noProof/>
          <w:szCs w:val="22"/>
        </w:rPr>
        <w:t>)</w:t>
      </w:r>
      <w:r w:rsidR="00596AD9" w:rsidRPr="000C1506">
        <w:rPr>
          <w:i/>
          <w:szCs w:val="22"/>
        </w:rPr>
        <w:fldChar w:fldCharType="end"/>
      </w:r>
      <w:r w:rsidR="00596AD9" w:rsidRPr="000C1506">
        <w:rPr>
          <w:szCs w:val="22"/>
        </w:rPr>
        <w:t>.</w:t>
      </w:r>
    </w:p>
    <w:p w14:paraId="7B55EA09" w14:textId="1A1D68A6" w:rsidR="00920058" w:rsidRPr="003422B4" w:rsidRDefault="005E317F" w:rsidP="00272CE3">
      <w:pPr>
        <w:pStyle w:val="ActHead5"/>
      </w:pPr>
      <w:bookmarkStart w:id="4" w:name="_Toc33014477"/>
      <w:proofErr w:type="gramStart"/>
      <w:r w:rsidRPr="009C2562">
        <w:rPr>
          <w:rStyle w:val="CharSectno"/>
        </w:rPr>
        <w:t>2</w:t>
      </w:r>
      <w:r w:rsidRPr="009C2562">
        <w:t xml:space="preserve">  Commencement</w:t>
      </w:r>
      <w:bookmarkEnd w:id="4"/>
      <w:proofErr w:type="gramEnd"/>
    </w:p>
    <w:p w14:paraId="2C2EAB26" w14:textId="77777777" w:rsidR="00920058" w:rsidRPr="003422B4" w:rsidRDefault="00920058" w:rsidP="00920058">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15689511" w14:textId="77777777" w:rsidR="00920058" w:rsidRPr="003422B4" w:rsidRDefault="00920058" w:rsidP="0092005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20058" w:rsidRPr="003422B4" w14:paraId="65E238E9" w14:textId="77777777" w:rsidTr="00BE77B7">
        <w:trPr>
          <w:tblHeader/>
        </w:trPr>
        <w:tc>
          <w:tcPr>
            <w:tcW w:w="8364" w:type="dxa"/>
            <w:gridSpan w:val="3"/>
            <w:tcBorders>
              <w:top w:val="single" w:sz="12" w:space="0" w:color="auto"/>
              <w:bottom w:val="single" w:sz="6" w:space="0" w:color="auto"/>
            </w:tcBorders>
            <w:shd w:val="clear" w:color="auto" w:fill="auto"/>
            <w:hideMark/>
          </w:tcPr>
          <w:p w14:paraId="682B72DB" w14:textId="77777777" w:rsidR="00920058" w:rsidRPr="003422B4" w:rsidRDefault="00920058" w:rsidP="00BE77B7">
            <w:pPr>
              <w:pStyle w:val="TableHeading"/>
            </w:pPr>
            <w:r w:rsidRPr="003422B4">
              <w:t>Commencement information</w:t>
            </w:r>
          </w:p>
        </w:tc>
      </w:tr>
      <w:tr w:rsidR="00920058" w:rsidRPr="003422B4" w14:paraId="7A1295DF" w14:textId="77777777" w:rsidTr="00BE77B7">
        <w:trPr>
          <w:tblHeader/>
        </w:trPr>
        <w:tc>
          <w:tcPr>
            <w:tcW w:w="2127" w:type="dxa"/>
            <w:tcBorders>
              <w:top w:val="single" w:sz="6" w:space="0" w:color="auto"/>
              <w:bottom w:val="single" w:sz="6" w:space="0" w:color="auto"/>
            </w:tcBorders>
            <w:shd w:val="clear" w:color="auto" w:fill="auto"/>
            <w:hideMark/>
          </w:tcPr>
          <w:p w14:paraId="32AE3E6D" w14:textId="77777777" w:rsidR="00920058" w:rsidRPr="003422B4" w:rsidRDefault="00920058" w:rsidP="00BE77B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19DB822" w14:textId="77777777" w:rsidR="00920058" w:rsidRPr="003422B4" w:rsidRDefault="00920058" w:rsidP="00BE77B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AADD6B3" w14:textId="77777777" w:rsidR="00920058" w:rsidRPr="003422B4" w:rsidRDefault="00920058" w:rsidP="00BE77B7">
            <w:pPr>
              <w:pStyle w:val="TableHeading"/>
            </w:pPr>
            <w:r w:rsidRPr="003422B4">
              <w:t>Column 3</w:t>
            </w:r>
          </w:p>
        </w:tc>
      </w:tr>
      <w:tr w:rsidR="00920058" w:rsidRPr="003422B4" w14:paraId="1B527FD7" w14:textId="77777777" w:rsidTr="00BE77B7">
        <w:trPr>
          <w:tblHeader/>
        </w:trPr>
        <w:tc>
          <w:tcPr>
            <w:tcW w:w="2127" w:type="dxa"/>
            <w:tcBorders>
              <w:top w:val="single" w:sz="6" w:space="0" w:color="auto"/>
              <w:bottom w:val="single" w:sz="12" w:space="0" w:color="auto"/>
            </w:tcBorders>
            <w:shd w:val="clear" w:color="auto" w:fill="auto"/>
            <w:hideMark/>
          </w:tcPr>
          <w:p w14:paraId="360C8E2A" w14:textId="77777777" w:rsidR="00920058" w:rsidRPr="003422B4" w:rsidRDefault="00920058" w:rsidP="00BE77B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AB6A85E" w14:textId="77777777" w:rsidR="00920058" w:rsidRPr="003422B4" w:rsidRDefault="00920058" w:rsidP="00BE77B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C65E015" w14:textId="77777777" w:rsidR="00920058" w:rsidRPr="003422B4" w:rsidRDefault="00920058" w:rsidP="00BE77B7">
            <w:pPr>
              <w:pStyle w:val="TableHeading"/>
            </w:pPr>
            <w:r w:rsidRPr="003422B4">
              <w:t>Date/Details</w:t>
            </w:r>
          </w:p>
        </w:tc>
      </w:tr>
      <w:tr w:rsidR="00920058" w:rsidRPr="00F32CF4" w14:paraId="30B54747" w14:textId="77777777" w:rsidTr="00BE77B7">
        <w:trPr>
          <w:tblHeader/>
        </w:trPr>
        <w:tc>
          <w:tcPr>
            <w:tcW w:w="2127" w:type="dxa"/>
            <w:tcBorders>
              <w:top w:val="single" w:sz="12" w:space="0" w:color="auto"/>
              <w:bottom w:val="single" w:sz="6" w:space="0" w:color="auto"/>
            </w:tcBorders>
            <w:shd w:val="clear" w:color="auto" w:fill="auto"/>
          </w:tcPr>
          <w:p w14:paraId="46FF1879" w14:textId="77777777" w:rsidR="00920058" w:rsidRPr="003422B4" w:rsidRDefault="00920058" w:rsidP="00BE77B7">
            <w:pPr>
              <w:pStyle w:val="Tabletext"/>
              <w:spacing w:after="60"/>
            </w:pPr>
            <w:r w:rsidRPr="003422B4">
              <w:t xml:space="preserve">1.  </w:t>
            </w:r>
            <w:r>
              <w:t>Sections 1 to 4 and anything in this instrument not elsewhere covered by this table</w:t>
            </w:r>
          </w:p>
        </w:tc>
        <w:tc>
          <w:tcPr>
            <w:tcW w:w="4394" w:type="dxa"/>
            <w:tcBorders>
              <w:top w:val="single" w:sz="12" w:space="0" w:color="auto"/>
              <w:bottom w:val="single" w:sz="6" w:space="0" w:color="auto"/>
            </w:tcBorders>
            <w:shd w:val="clear" w:color="auto" w:fill="auto"/>
          </w:tcPr>
          <w:p w14:paraId="435AAABB" w14:textId="661BAFA8" w:rsidR="00920058" w:rsidRPr="003422B4" w:rsidRDefault="00CC2184" w:rsidP="00BE77B7">
            <w:pPr>
              <w:pStyle w:val="Tabletext"/>
              <w:spacing w:after="60"/>
            </w:pPr>
            <w:r>
              <w:t>17 June 2021</w:t>
            </w:r>
          </w:p>
        </w:tc>
        <w:tc>
          <w:tcPr>
            <w:tcW w:w="1843" w:type="dxa"/>
            <w:tcBorders>
              <w:top w:val="single" w:sz="12" w:space="0" w:color="auto"/>
              <w:bottom w:val="single" w:sz="6" w:space="0" w:color="auto"/>
            </w:tcBorders>
            <w:shd w:val="clear" w:color="auto" w:fill="auto"/>
          </w:tcPr>
          <w:p w14:paraId="08549A6F" w14:textId="77777777" w:rsidR="00920058" w:rsidRPr="003422B4" w:rsidRDefault="00920058" w:rsidP="00BE77B7">
            <w:pPr>
              <w:pStyle w:val="Tabletext"/>
              <w:spacing w:after="60"/>
            </w:pPr>
          </w:p>
        </w:tc>
      </w:tr>
      <w:tr w:rsidR="00920058" w:rsidRPr="003422B4" w14:paraId="3DF1848E" w14:textId="77777777" w:rsidTr="00BE77B7">
        <w:tc>
          <w:tcPr>
            <w:tcW w:w="2127" w:type="dxa"/>
            <w:tcBorders>
              <w:top w:val="single" w:sz="6" w:space="0" w:color="auto"/>
              <w:bottom w:val="single" w:sz="12" w:space="0" w:color="auto"/>
            </w:tcBorders>
            <w:shd w:val="clear" w:color="auto" w:fill="auto"/>
            <w:hideMark/>
          </w:tcPr>
          <w:p w14:paraId="357C360D" w14:textId="77777777" w:rsidR="00920058" w:rsidRPr="003A6229" w:rsidRDefault="00920058" w:rsidP="00BE77B7">
            <w:pPr>
              <w:pStyle w:val="Tabletext"/>
              <w:spacing w:after="60"/>
              <w:rPr>
                <w:i/>
              </w:rPr>
            </w:pPr>
            <w:r>
              <w:t>2</w:t>
            </w:r>
            <w:r w:rsidRPr="003422B4">
              <w:t xml:space="preserve">.  </w:t>
            </w:r>
            <w:r w:rsidRPr="00E76157">
              <w:t>Schedule 1</w:t>
            </w:r>
          </w:p>
        </w:tc>
        <w:tc>
          <w:tcPr>
            <w:tcW w:w="4394" w:type="dxa"/>
            <w:tcBorders>
              <w:top w:val="single" w:sz="6" w:space="0" w:color="auto"/>
              <w:bottom w:val="single" w:sz="12" w:space="0" w:color="auto"/>
            </w:tcBorders>
            <w:shd w:val="clear" w:color="auto" w:fill="auto"/>
            <w:hideMark/>
          </w:tcPr>
          <w:p w14:paraId="79326098" w14:textId="4A4D864A" w:rsidR="00920058" w:rsidRPr="00113481" w:rsidRDefault="00920058" w:rsidP="00BE77B7">
            <w:pPr>
              <w:pStyle w:val="Tabletext"/>
              <w:spacing w:after="60"/>
            </w:pPr>
            <w:r>
              <w:t>17 June 2021</w:t>
            </w:r>
          </w:p>
        </w:tc>
        <w:tc>
          <w:tcPr>
            <w:tcW w:w="1843" w:type="dxa"/>
            <w:tcBorders>
              <w:top w:val="single" w:sz="6" w:space="0" w:color="auto"/>
              <w:bottom w:val="single" w:sz="12" w:space="0" w:color="auto"/>
            </w:tcBorders>
            <w:shd w:val="clear" w:color="auto" w:fill="auto"/>
          </w:tcPr>
          <w:p w14:paraId="1CB09930" w14:textId="77777777" w:rsidR="00920058" w:rsidRPr="00B43C50" w:rsidRDefault="00920058" w:rsidP="00BE77B7">
            <w:pPr>
              <w:pStyle w:val="Tabletext"/>
              <w:spacing w:after="60"/>
              <w:rPr>
                <w:i/>
              </w:rPr>
            </w:pPr>
          </w:p>
        </w:tc>
      </w:tr>
    </w:tbl>
    <w:p w14:paraId="75770550" w14:textId="77777777" w:rsidR="00920058" w:rsidRPr="003422B4" w:rsidRDefault="00920058" w:rsidP="00920058">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7213C412" w14:textId="77777777" w:rsidR="00920058" w:rsidRPr="003422B4" w:rsidRDefault="00920058" w:rsidP="00920058">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14:paraId="19DEDCF8" w14:textId="0703BF4B" w:rsidR="005E317F" w:rsidRPr="00232984" w:rsidRDefault="005E317F" w:rsidP="005E317F">
      <w:pPr>
        <w:pStyle w:val="subsection"/>
      </w:pPr>
    </w:p>
    <w:p w14:paraId="15CFD8A2" w14:textId="77777777" w:rsidR="005E317F" w:rsidRPr="009C2562" w:rsidRDefault="005E317F" w:rsidP="005E317F">
      <w:pPr>
        <w:pStyle w:val="ActHead5"/>
      </w:pPr>
      <w:bookmarkStart w:id="5" w:name="_Toc33014478"/>
      <w:proofErr w:type="gramStart"/>
      <w:r w:rsidRPr="009C2562">
        <w:rPr>
          <w:rStyle w:val="CharSectno"/>
        </w:rPr>
        <w:t>3</w:t>
      </w:r>
      <w:r w:rsidRPr="009C2562">
        <w:t xml:space="preserve">  Authority</w:t>
      </w:r>
      <w:bookmarkEnd w:id="5"/>
      <w:proofErr w:type="gramEnd"/>
    </w:p>
    <w:p w14:paraId="61B67DB7" w14:textId="77777777" w:rsidR="005E317F" w:rsidRPr="009C2562" w:rsidRDefault="005E317F" w:rsidP="005E317F">
      <w:pPr>
        <w:pStyle w:val="subsection"/>
      </w:pPr>
      <w:r w:rsidRPr="009C2562">
        <w:tab/>
      </w:r>
      <w:r w:rsidRPr="009C2562">
        <w:tab/>
      </w:r>
      <w:r w:rsidR="00596AD9" w:rsidRPr="009C2562">
        <w:t xml:space="preserve">This instrument </w:t>
      </w:r>
      <w:proofErr w:type="gramStart"/>
      <w:r w:rsidR="00596AD9" w:rsidRPr="009C2562">
        <w:t>is made</w:t>
      </w:r>
      <w:proofErr w:type="gramEnd"/>
      <w:r w:rsidR="00596AD9" w:rsidRPr="009C2562">
        <w:t xml:space="preserve"> under </w:t>
      </w:r>
      <w:r w:rsidR="00596AD9">
        <w:t xml:space="preserve">section 229 of the </w:t>
      </w:r>
      <w:r w:rsidR="00596AD9" w:rsidRPr="00F64003">
        <w:rPr>
          <w:i/>
        </w:rPr>
        <w:t>Anti-Money Laundering and Counter-Terrorism Financing Act 2006</w:t>
      </w:r>
      <w:r w:rsidR="00596AD9" w:rsidRPr="009C2562">
        <w:t>.</w:t>
      </w:r>
    </w:p>
    <w:p w14:paraId="3101BE88" w14:textId="77777777" w:rsidR="005E317F" w:rsidRPr="006065DA" w:rsidRDefault="005E317F" w:rsidP="005E317F">
      <w:pPr>
        <w:pStyle w:val="ActHead5"/>
      </w:pPr>
      <w:bookmarkStart w:id="6" w:name="_Toc33014479"/>
      <w:proofErr w:type="gramStart"/>
      <w:r w:rsidRPr="006065DA">
        <w:t>4  Schedules</w:t>
      </w:r>
      <w:bookmarkEnd w:id="6"/>
      <w:proofErr w:type="gramEnd"/>
    </w:p>
    <w:p w14:paraId="2AF73436" w14:textId="77777777" w:rsidR="005E317F" w:rsidRDefault="005E317F" w:rsidP="005E317F">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689AB60F" w14:textId="77777777" w:rsidR="005E317F" w:rsidRDefault="005E317F" w:rsidP="005E317F">
      <w:pPr>
        <w:pStyle w:val="ActHead6"/>
        <w:pageBreakBefore/>
      </w:pPr>
      <w:bookmarkStart w:id="7" w:name="_Toc33014480"/>
      <w:r w:rsidRPr="00DB64FC">
        <w:rPr>
          <w:rStyle w:val="CharAmSchNo"/>
        </w:rPr>
        <w:lastRenderedPageBreak/>
        <w:t>Schedule 1</w:t>
      </w:r>
      <w:r>
        <w:t>—</w:t>
      </w:r>
      <w:r w:rsidRPr="00DB64FC">
        <w:rPr>
          <w:rStyle w:val="CharAmSchText"/>
        </w:rPr>
        <w:t>Amendments</w:t>
      </w:r>
      <w:bookmarkEnd w:id="7"/>
    </w:p>
    <w:p w14:paraId="1247515E" w14:textId="77777777" w:rsidR="005E317F" w:rsidRDefault="003B0342" w:rsidP="003B0342">
      <w:pPr>
        <w:pStyle w:val="ActHead9"/>
        <w:ind w:left="0" w:firstLine="0"/>
      </w:pPr>
      <w:bookmarkStart w:id="8" w:name="_Toc33014481"/>
      <w:r>
        <w:t>Anti-Money Laundering and Counter-Terrorism Financing Rules Instrument 2007 (No. 1)</w:t>
      </w:r>
      <w:bookmarkEnd w:id="8"/>
    </w:p>
    <w:p w14:paraId="5509368C" w14:textId="6591C46D" w:rsidR="005E317F" w:rsidRDefault="005E317F" w:rsidP="005E317F">
      <w:pPr>
        <w:pStyle w:val="ItemHead"/>
      </w:pPr>
      <w:proofErr w:type="gramStart"/>
      <w:r>
        <w:t xml:space="preserve">1  </w:t>
      </w:r>
      <w:r w:rsidR="003B0342">
        <w:t>Chapter</w:t>
      </w:r>
      <w:proofErr w:type="gramEnd"/>
      <w:r w:rsidR="003B0342">
        <w:t xml:space="preserve"> </w:t>
      </w:r>
      <w:r w:rsidR="006C31BC">
        <w:t>3</w:t>
      </w:r>
    </w:p>
    <w:p w14:paraId="21F2C929" w14:textId="6425A082" w:rsidR="00BF048B" w:rsidRDefault="005E317F" w:rsidP="00272CE3">
      <w:pPr>
        <w:pStyle w:val="Item"/>
      </w:pPr>
      <w:r w:rsidRPr="00AC2C51">
        <w:t xml:space="preserve">Repeal </w:t>
      </w:r>
      <w:r w:rsidR="00920058">
        <w:t>the chapter</w:t>
      </w:r>
      <w:r w:rsidR="003B0342" w:rsidRPr="00AC2C51">
        <w:t>, substitute</w:t>
      </w:r>
      <w:r w:rsidR="00AF5C54" w:rsidRPr="00AC2C51">
        <w:t>:</w:t>
      </w:r>
    </w:p>
    <w:p w14:paraId="2279D1E6" w14:textId="1EF46C7D" w:rsidR="006C31BC" w:rsidRPr="006C31BC" w:rsidRDefault="006C31BC" w:rsidP="00272CE3">
      <w:pPr>
        <w:keepNext/>
        <w:tabs>
          <w:tab w:val="left" w:pos="2410"/>
        </w:tabs>
        <w:spacing w:before="220" w:after="360" w:line="240" w:lineRule="auto"/>
        <w:rPr>
          <w:rFonts w:eastAsia="Times New Roman" w:cs="Times New Roman"/>
          <w:sz w:val="32"/>
          <w:szCs w:val="32"/>
          <w:lang w:eastAsia="en-AU"/>
        </w:rPr>
      </w:pPr>
      <w:r w:rsidRPr="006C31BC">
        <w:rPr>
          <w:rFonts w:ascii="Arial" w:eastAsia="Times New Roman" w:hAnsi="Arial" w:cs="Times New Roman"/>
          <w:b/>
          <w:sz w:val="32"/>
          <w:szCs w:val="32"/>
          <w:lang w:eastAsia="en-AU"/>
        </w:rPr>
        <w:t>CHAPTER 3</w:t>
      </w:r>
      <w:r w:rsidRPr="006C31BC">
        <w:rPr>
          <w:rFonts w:ascii="Arial" w:eastAsia="Times New Roman" w:hAnsi="Arial" w:cs="Times New Roman"/>
          <w:b/>
          <w:sz w:val="32"/>
          <w:szCs w:val="32"/>
          <w:lang w:eastAsia="en-AU"/>
        </w:rPr>
        <w:tab/>
        <w:t>Correspondent Banking</w:t>
      </w:r>
    </w:p>
    <w:p w14:paraId="36763999" w14:textId="77777777" w:rsidR="006C31BC" w:rsidRPr="006C31BC" w:rsidRDefault="006C31BC" w:rsidP="006C31BC">
      <w:pPr>
        <w:spacing w:before="240" w:line="240" w:lineRule="auto"/>
        <w:ind w:left="1440" w:hanging="1440"/>
        <w:rPr>
          <w:rFonts w:eastAsia="Times New Roman" w:cs="Times New Roman"/>
          <w:b/>
          <w:sz w:val="24"/>
          <w:szCs w:val="24"/>
        </w:rPr>
      </w:pPr>
      <w:r w:rsidRPr="006C31BC">
        <w:rPr>
          <w:rFonts w:eastAsia="Times New Roman" w:cs="Times New Roman"/>
          <w:b/>
          <w:sz w:val="24"/>
          <w:szCs w:val="24"/>
        </w:rPr>
        <w:t>Part 3.1—Entry into a correspondent banking relationship</w:t>
      </w:r>
      <w:r w:rsidRPr="006C31BC">
        <w:rPr>
          <w:rFonts w:eastAsia="Times New Roman" w:cs="Times New Roman"/>
          <w:sz w:val="24"/>
          <w:szCs w:val="24"/>
        </w:rPr>
        <w:t xml:space="preserve"> </w:t>
      </w:r>
    </w:p>
    <w:p w14:paraId="708C82A3"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3.1.1</w:t>
      </w:r>
      <w:r w:rsidRPr="006C31BC">
        <w:rPr>
          <w:rFonts w:eastAsia="Times New Roman" w:cs="Times New Roman"/>
          <w:szCs w:val="24"/>
          <w:lang w:eastAsia="en-AU"/>
        </w:rPr>
        <w:tab/>
        <w:t xml:space="preserve">This Part </w:t>
      </w:r>
      <w:proofErr w:type="gramStart"/>
      <w:r w:rsidRPr="006C31BC">
        <w:rPr>
          <w:rFonts w:eastAsia="Times New Roman" w:cs="Times New Roman"/>
          <w:szCs w:val="24"/>
          <w:lang w:eastAsia="en-AU"/>
        </w:rPr>
        <w:t>is made</w:t>
      </w:r>
      <w:proofErr w:type="gramEnd"/>
      <w:r w:rsidRPr="006C31BC">
        <w:rPr>
          <w:rFonts w:eastAsia="Times New Roman" w:cs="Times New Roman"/>
          <w:szCs w:val="24"/>
          <w:lang w:eastAsia="en-AU"/>
        </w:rPr>
        <w:t xml:space="preserve"> for subsection 96(1) of the Act.</w:t>
      </w:r>
    </w:p>
    <w:p w14:paraId="597CA22C" w14:textId="77777777" w:rsidR="006C31BC" w:rsidRPr="006C31BC" w:rsidRDefault="006C31BC" w:rsidP="006C31BC">
      <w:pPr>
        <w:spacing w:before="240" w:line="240" w:lineRule="auto"/>
        <w:ind w:left="851" w:hanging="851"/>
        <w:rPr>
          <w:rFonts w:eastAsia="Times New Roman" w:cs="Times New Roman"/>
          <w:i/>
          <w:color w:val="FF0000"/>
          <w:szCs w:val="24"/>
          <w:lang w:eastAsia="en-AU"/>
        </w:rPr>
      </w:pPr>
      <w:r w:rsidRPr="006C31BC">
        <w:rPr>
          <w:rFonts w:eastAsia="Times New Roman" w:cs="Times New Roman"/>
          <w:i/>
          <w:szCs w:val="24"/>
          <w:lang w:eastAsia="en-AU"/>
        </w:rPr>
        <w:t>Carrying out an initial assessment</w:t>
      </w:r>
    </w:p>
    <w:p w14:paraId="1D664EAC" w14:textId="3A9E7C2B"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3.1.2</w:t>
      </w:r>
      <w:r w:rsidRPr="006C31BC">
        <w:rPr>
          <w:rFonts w:eastAsia="Times New Roman" w:cs="Times New Roman"/>
          <w:szCs w:val="24"/>
          <w:lang w:eastAsia="en-AU"/>
        </w:rPr>
        <w:tab/>
        <w:t xml:space="preserve">The first institution (the </w:t>
      </w:r>
      <w:r w:rsidRPr="006C31BC">
        <w:rPr>
          <w:rFonts w:eastAsia="Times New Roman" w:cs="Times New Roman"/>
          <w:b/>
          <w:i/>
          <w:szCs w:val="24"/>
          <w:lang w:eastAsia="en-AU"/>
        </w:rPr>
        <w:t>correspondent</w:t>
      </w:r>
      <w:r w:rsidRPr="006C31BC">
        <w:rPr>
          <w:rFonts w:eastAsia="Times New Roman" w:cs="Times New Roman"/>
          <w:szCs w:val="24"/>
          <w:lang w:eastAsia="en-AU"/>
        </w:rPr>
        <w:t xml:space="preserve">) must </w:t>
      </w:r>
      <w:r w:rsidR="002C2424">
        <w:rPr>
          <w:rFonts w:eastAsia="Times New Roman" w:cs="Times New Roman"/>
          <w:szCs w:val="24"/>
          <w:lang w:eastAsia="en-AU"/>
        </w:rPr>
        <w:t>conduct</w:t>
      </w:r>
      <w:r w:rsidRPr="006C31BC">
        <w:rPr>
          <w:rFonts w:eastAsia="Times New Roman" w:cs="Times New Roman"/>
          <w:szCs w:val="24"/>
          <w:lang w:eastAsia="en-AU"/>
        </w:rPr>
        <w:t xml:space="preserve"> due diligence </w:t>
      </w:r>
      <w:r w:rsidR="002C2424">
        <w:rPr>
          <w:rFonts w:eastAsia="Times New Roman" w:cs="Times New Roman"/>
          <w:szCs w:val="24"/>
          <w:lang w:eastAsia="en-AU"/>
        </w:rPr>
        <w:t xml:space="preserve">to </w:t>
      </w:r>
      <w:r w:rsidRPr="006C31BC">
        <w:rPr>
          <w:rFonts w:eastAsia="Times New Roman" w:cs="Times New Roman"/>
          <w:szCs w:val="24"/>
          <w:lang w:eastAsia="en-AU"/>
        </w:rPr>
        <w:t xml:space="preserve">assess the money laundering, financing of terrorism or other serious crime risks associated with entry into a correspondent banking relationship with another financial institution (the </w:t>
      </w:r>
      <w:r w:rsidRPr="006C31BC">
        <w:rPr>
          <w:rFonts w:eastAsia="Times New Roman" w:cs="Times New Roman"/>
          <w:b/>
          <w:i/>
          <w:szCs w:val="24"/>
          <w:lang w:eastAsia="en-AU"/>
        </w:rPr>
        <w:t>respondent</w:t>
      </w:r>
      <w:r w:rsidRPr="006C31BC">
        <w:rPr>
          <w:rFonts w:eastAsia="Times New Roman" w:cs="Times New Roman"/>
          <w:szCs w:val="24"/>
          <w:lang w:eastAsia="en-AU"/>
        </w:rPr>
        <w:t>)</w:t>
      </w:r>
      <w:r w:rsidR="0034202A">
        <w:rPr>
          <w:rFonts w:eastAsia="Times New Roman" w:cs="Times New Roman"/>
          <w:szCs w:val="24"/>
          <w:lang w:eastAsia="en-AU"/>
        </w:rPr>
        <w:t xml:space="preserve"> </w:t>
      </w:r>
      <w:r w:rsidR="0034202A" w:rsidRPr="00BB4E42">
        <w:rPr>
          <w:rFonts w:eastAsia="Times New Roman" w:cs="Times New Roman"/>
          <w:szCs w:val="24"/>
          <w:lang w:eastAsia="en-AU"/>
        </w:rPr>
        <w:t xml:space="preserve">that will involve a </w:t>
      </w:r>
      <w:proofErr w:type="spellStart"/>
      <w:r w:rsidR="0034202A" w:rsidRPr="00BB4E42">
        <w:rPr>
          <w:rFonts w:eastAsia="Times New Roman" w:cs="Times New Roman"/>
          <w:szCs w:val="24"/>
          <w:lang w:eastAsia="en-AU"/>
        </w:rPr>
        <w:t>vostro</w:t>
      </w:r>
      <w:proofErr w:type="spellEnd"/>
      <w:r w:rsidR="0034202A" w:rsidRPr="00BB4E42">
        <w:rPr>
          <w:rFonts w:eastAsia="Times New Roman" w:cs="Times New Roman"/>
          <w:szCs w:val="24"/>
          <w:lang w:eastAsia="en-AU"/>
        </w:rPr>
        <w:t xml:space="preserve"> account</w:t>
      </w:r>
      <w:r w:rsidRPr="0033545B">
        <w:rPr>
          <w:rFonts w:eastAsia="Times New Roman" w:cs="Times New Roman"/>
          <w:szCs w:val="24"/>
          <w:lang w:eastAsia="en-AU"/>
        </w:rPr>
        <w:t>.</w:t>
      </w:r>
    </w:p>
    <w:p w14:paraId="78E4EA68"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3.1.3</w:t>
      </w:r>
      <w:r w:rsidRPr="006C31BC">
        <w:rPr>
          <w:rFonts w:eastAsia="Times New Roman" w:cs="Times New Roman"/>
          <w:szCs w:val="24"/>
          <w:lang w:eastAsia="en-AU"/>
        </w:rPr>
        <w:tab/>
        <w:t>The correspondent must consider the following factors when assessing money laundering, financing of terrorism or other serious crime risks:</w:t>
      </w:r>
    </w:p>
    <w:p w14:paraId="01019464"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(1)</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ownership, control and management structures of:</w:t>
      </w:r>
    </w:p>
    <w:p w14:paraId="34A67681" w14:textId="77777777" w:rsidR="006C31BC" w:rsidRPr="006C31BC" w:rsidRDefault="006C31BC" w:rsidP="006C31BC">
      <w:pPr>
        <w:spacing w:before="240" w:line="240" w:lineRule="auto"/>
        <w:ind w:left="1418"/>
        <w:rPr>
          <w:rFonts w:eastAsia="Times New Roman" w:cs="Times New Roman"/>
          <w:szCs w:val="24"/>
          <w:lang w:eastAsia="en-AU"/>
        </w:rPr>
      </w:pPr>
      <w:r w:rsidRPr="006C31BC">
        <w:rPr>
          <w:rFonts w:eastAsia="Times New Roman" w:cs="Times New Roman"/>
          <w:szCs w:val="24"/>
          <w:lang w:eastAsia="en-AU"/>
        </w:rPr>
        <w:t>(a)</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respondent; and </w:t>
      </w:r>
    </w:p>
    <w:p w14:paraId="711CF2DA" w14:textId="77777777" w:rsidR="006C31BC" w:rsidRPr="006C31BC" w:rsidRDefault="006C31BC" w:rsidP="006C31BC">
      <w:pPr>
        <w:spacing w:before="240" w:line="240" w:lineRule="auto"/>
        <w:ind w:left="1418"/>
        <w:rPr>
          <w:rFonts w:eastAsia="Times New Roman" w:cs="Times New Roman"/>
          <w:szCs w:val="24"/>
          <w:lang w:eastAsia="en-AU"/>
        </w:rPr>
      </w:pPr>
      <w:r w:rsidRPr="006C31BC">
        <w:rPr>
          <w:rFonts w:eastAsia="Times New Roman" w:cs="Times New Roman"/>
          <w:szCs w:val="24"/>
          <w:lang w:eastAsia="en-AU"/>
        </w:rPr>
        <w:t>(b)</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ultimate parent company of the respondent, if any; </w:t>
      </w:r>
    </w:p>
    <w:p w14:paraId="7E9D7F2E"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(2)</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nature, size, and complexity of the respondent’s business, including:</w:t>
      </w:r>
    </w:p>
    <w:p w14:paraId="7B24F22E" w14:textId="77777777" w:rsidR="006C31BC" w:rsidRPr="006C31BC" w:rsidRDefault="006C31BC" w:rsidP="006C31BC">
      <w:pPr>
        <w:spacing w:before="240" w:line="240" w:lineRule="auto"/>
        <w:ind w:left="2127" w:hanging="709"/>
        <w:rPr>
          <w:rFonts w:eastAsia="Times New Roman" w:cs="Times New Roman"/>
          <w:szCs w:val="24"/>
          <w:lang w:eastAsia="en-AU"/>
        </w:rPr>
      </w:pPr>
      <w:r w:rsidRPr="006C31BC">
        <w:rPr>
          <w:rFonts w:eastAsia="Times New Roman" w:cs="Times New Roman"/>
          <w:szCs w:val="24"/>
          <w:lang w:eastAsia="en-AU"/>
        </w:rPr>
        <w:t>(a)</w:t>
      </w:r>
      <w:r w:rsidRPr="006C31BC">
        <w:rPr>
          <w:rFonts w:eastAsia="Times New Roman" w:cs="Times New Roman"/>
          <w:szCs w:val="24"/>
          <w:lang w:eastAsia="en-AU"/>
        </w:rPr>
        <w:tab/>
      </w:r>
      <w:proofErr w:type="gramStart"/>
      <w:r w:rsidRPr="006C31BC">
        <w:rPr>
          <w:rFonts w:eastAsia="Times New Roman" w:cs="Times New Roman"/>
          <w:szCs w:val="24"/>
          <w:lang w:eastAsia="en-AU"/>
        </w:rPr>
        <w:t>its</w:t>
      </w:r>
      <w:proofErr w:type="gramEnd"/>
      <w:r w:rsidRPr="006C31BC">
        <w:rPr>
          <w:rFonts w:eastAsia="Times New Roman" w:cs="Times New Roman"/>
          <w:szCs w:val="24"/>
          <w:lang w:eastAsia="en-AU"/>
        </w:rPr>
        <w:t xml:space="preserve"> products, services, delivery channels and customer types; and </w:t>
      </w:r>
    </w:p>
    <w:p w14:paraId="536BD342" w14:textId="5683E727" w:rsidR="006C31BC" w:rsidRPr="006C31BC" w:rsidRDefault="006C31BC" w:rsidP="006C31BC">
      <w:pPr>
        <w:spacing w:before="240" w:line="240" w:lineRule="auto"/>
        <w:ind w:left="2127" w:hanging="709"/>
        <w:rPr>
          <w:rFonts w:eastAsia="Times New Roman" w:cs="Times New Roman"/>
          <w:szCs w:val="24"/>
          <w:lang w:eastAsia="en-AU"/>
        </w:rPr>
      </w:pPr>
      <w:r w:rsidRPr="006C31BC">
        <w:rPr>
          <w:rFonts w:eastAsia="Times New Roman" w:cs="Times New Roman"/>
          <w:szCs w:val="24"/>
          <w:lang w:eastAsia="en-AU"/>
        </w:rPr>
        <w:t>(b)</w:t>
      </w:r>
      <w:r w:rsidRPr="006C31BC">
        <w:rPr>
          <w:rFonts w:eastAsia="Times New Roman" w:cs="Times New Roman"/>
          <w:szCs w:val="24"/>
          <w:lang w:eastAsia="en-AU"/>
        </w:rPr>
        <w:tab/>
        <w:t xml:space="preserve">the types of transactions carried out </w:t>
      </w:r>
      <w:r w:rsidR="00155483" w:rsidRPr="00155483">
        <w:rPr>
          <w:rFonts w:eastAsia="Times New Roman" w:cs="Times New Roman"/>
          <w:szCs w:val="24"/>
          <w:lang w:eastAsia="en-AU"/>
        </w:rPr>
        <w:t xml:space="preserve">on behalf of underlying customers </w:t>
      </w:r>
      <w:r w:rsidRPr="006C31BC">
        <w:rPr>
          <w:rFonts w:eastAsia="Times New Roman" w:cs="Times New Roman"/>
          <w:szCs w:val="24"/>
          <w:lang w:eastAsia="en-AU"/>
        </w:rPr>
        <w:t>as part of the correspondent banking relationship</w:t>
      </w:r>
      <w:r w:rsidR="00155483">
        <w:rPr>
          <w:rFonts w:eastAsia="Times New Roman" w:cs="Times New Roman"/>
          <w:szCs w:val="24"/>
          <w:lang w:eastAsia="en-AU"/>
        </w:rPr>
        <w:t xml:space="preserve"> and the services provided to underlying customers that relate to such transactions</w:t>
      </w:r>
      <w:r w:rsidRPr="006C31BC">
        <w:rPr>
          <w:rFonts w:eastAsia="Times New Roman" w:cs="Times New Roman"/>
          <w:szCs w:val="24"/>
          <w:lang w:eastAsia="en-AU"/>
        </w:rPr>
        <w:t>;</w:t>
      </w:r>
    </w:p>
    <w:p w14:paraId="6A947140"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(3)</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country or countries in which:</w:t>
      </w:r>
    </w:p>
    <w:p w14:paraId="5BC9A221" w14:textId="77777777" w:rsidR="006C31BC" w:rsidRPr="006C31BC" w:rsidRDefault="006C31BC" w:rsidP="006C31BC">
      <w:pPr>
        <w:spacing w:before="240" w:line="240" w:lineRule="auto"/>
        <w:ind w:left="2127" w:hanging="709"/>
        <w:rPr>
          <w:rFonts w:eastAsia="Times New Roman" w:cs="Times New Roman"/>
          <w:szCs w:val="24"/>
          <w:lang w:eastAsia="en-AU"/>
        </w:rPr>
      </w:pPr>
      <w:r w:rsidRPr="006C31BC">
        <w:rPr>
          <w:rFonts w:eastAsia="Times New Roman" w:cs="Times New Roman"/>
          <w:szCs w:val="24"/>
          <w:lang w:eastAsia="en-AU"/>
        </w:rPr>
        <w:t>(a)</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respondent operates or resides; and</w:t>
      </w:r>
    </w:p>
    <w:p w14:paraId="615DABD2" w14:textId="77777777" w:rsidR="006C31BC" w:rsidRPr="006C31BC" w:rsidRDefault="006C31BC" w:rsidP="006C31BC">
      <w:pPr>
        <w:spacing w:before="240" w:line="240" w:lineRule="auto"/>
        <w:ind w:left="2127" w:hanging="709"/>
        <w:rPr>
          <w:rFonts w:eastAsia="Times New Roman" w:cs="Times New Roman"/>
          <w:szCs w:val="24"/>
          <w:lang w:eastAsia="en-AU"/>
        </w:rPr>
      </w:pPr>
      <w:r w:rsidRPr="006C31BC">
        <w:rPr>
          <w:rFonts w:eastAsia="Times New Roman" w:cs="Times New Roman"/>
          <w:szCs w:val="24"/>
          <w:lang w:eastAsia="en-AU"/>
        </w:rPr>
        <w:t>(b)</w:t>
      </w:r>
      <w:r w:rsidRPr="006C31BC">
        <w:rPr>
          <w:rFonts w:eastAsia="Times New Roman" w:cs="Times New Roman"/>
          <w:szCs w:val="24"/>
          <w:lang w:eastAsia="en-AU"/>
        </w:rPr>
        <w:tab/>
      </w:r>
      <w:proofErr w:type="gramStart"/>
      <w:r w:rsidRPr="006C31BC">
        <w:rPr>
          <w:rFonts w:eastAsia="Times New Roman" w:cs="Times New Roman"/>
          <w:szCs w:val="24"/>
          <w:lang w:eastAsia="en-AU"/>
        </w:rPr>
        <w:t>if</w:t>
      </w:r>
      <w:proofErr w:type="gramEnd"/>
      <w:r w:rsidRPr="006C31BC">
        <w:rPr>
          <w:rFonts w:eastAsia="Times New Roman" w:cs="Times New Roman"/>
          <w:szCs w:val="24"/>
          <w:lang w:eastAsia="en-AU"/>
        </w:rPr>
        <w:t xml:space="preserve"> the ultimate parent company of the respondent has group-wide anti-money laundering and counter-terrorism financing systems and controls, and the respondent operates within the requirements of those controls—</w:t>
      </w:r>
      <w:r w:rsidRPr="002C2424">
        <w:rPr>
          <w:rFonts w:eastAsia="Times New Roman" w:cs="Times New Roman"/>
          <w:szCs w:val="24"/>
          <w:lang w:eastAsia="en-AU"/>
        </w:rPr>
        <w:t>the ultimate</w:t>
      </w:r>
      <w:r w:rsidRPr="006C31BC">
        <w:rPr>
          <w:rFonts w:eastAsia="Times New Roman" w:cs="Times New Roman"/>
          <w:szCs w:val="24"/>
          <w:lang w:eastAsia="en-AU"/>
        </w:rPr>
        <w:t xml:space="preserve"> parent company operates or resides;</w:t>
      </w:r>
    </w:p>
    <w:p w14:paraId="61957D57" w14:textId="77777777" w:rsidR="006C31BC" w:rsidRPr="006C31BC" w:rsidRDefault="006C31BC" w:rsidP="006C31BC">
      <w:pPr>
        <w:shd w:val="clear" w:color="auto" w:fill="FFFFFF"/>
        <w:spacing w:before="122" w:line="240" w:lineRule="auto"/>
        <w:ind w:left="2269" w:hanging="851"/>
        <w:rPr>
          <w:rFonts w:eastAsia="Times New Roman" w:cs="Times New Roman"/>
          <w:color w:val="000000"/>
          <w:sz w:val="18"/>
          <w:szCs w:val="18"/>
          <w:lang w:eastAsia="en-AU"/>
        </w:rPr>
      </w:pPr>
      <w:r w:rsidRPr="006C31BC">
        <w:rPr>
          <w:rFonts w:eastAsia="Times New Roman" w:cs="Times New Roman"/>
          <w:color w:val="000000"/>
          <w:sz w:val="18"/>
          <w:szCs w:val="18"/>
          <w:lang w:eastAsia="en-AU"/>
        </w:rPr>
        <w:t xml:space="preserve">Note 1:       </w:t>
      </w:r>
      <w:r w:rsidRPr="006C31BC">
        <w:rPr>
          <w:rFonts w:eastAsia="Times New Roman" w:cs="Times New Roman"/>
          <w:b/>
          <w:i/>
          <w:color w:val="000000"/>
          <w:sz w:val="18"/>
          <w:szCs w:val="18"/>
          <w:lang w:eastAsia="en-AU"/>
        </w:rPr>
        <w:t xml:space="preserve">Country </w:t>
      </w:r>
      <w:r w:rsidRPr="006C31BC">
        <w:rPr>
          <w:rFonts w:eastAsia="Times New Roman" w:cs="Times New Roman"/>
          <w:color w:val="000000"/>
          <w:sz w:val="18"/>
          <w:szCs w:val="18"/>
          <w:lang w:eastAsia="en-AU"/>
        </w:rPr>
        <w:t xml:space="preserve">has the meaning given by </w:t>
      </w:r>
      <w:r w:rsidRPr="006C31BC">
        <w:rPr>
          <w:rFonts w:eastAsia="Times New Roman" w:cs="Times New Roman"/>
          <w:sz w:val="18"/>
          <w:szCs w:val="18"/>
          <w:lang w:eastAsia="en-AU"/>
        </w:rPr>
        <w:t xml:space="preserve">section 5 of the Act. </w:t>
      </w:r>
    </w:p>
    <w:p w14:paraId="3EF65B95" w14:textId="34B7EFF1" w:rsidR="005F48B9" w:rsidRDefault="006C31BC" w:rsidP="006C31BC">
      <w:pPr>
        <w:shd w:val="clear" w:color="auto" w:fill="FFFFFF"/>
        <w:spacing w:before="122" w:line="240" w:lineRule="auto"/>
        <w:ind w:left="2269" w:hanging="851"/>
        <w:rPr>
          <w:rFonts w:eastAsia="Times New Roman" w:cs="Times New Roman"/>
          <w:sz w:val="24"/>
          <w:szCs w:val="24"/>
          <w:lang w:eastAsia="en-AU"/>
        </w:rPr>
      </w:pPr>
      <w:r w:rsidRPr="006C31BC">
        <w:rPr>
          <w:rFonts w:eastAsia="Times New Roman" w:cs="Times New Roman"/>
          <w:color w:val="000000"/>
          <w:sz w:val="18"/>
          <w:szCs w:val="18"/>
          <w:lang w:eastAsia="en-AU"/>
        </w:rPr>
        <w:t xml:space="preserve">Note 2:       A foreign country may include a region or regions. These regions may have a different risk profile to each other or the rest of the foreign country.  </w:t>
      </w:r>
    </w:p>
    <w:p w14:paraId="0F7CB02C" w14:textId="77777777" w:rsidR="005F48B9" w:rsidRPr="005F48B9" w:rsidRDefault="005F48B9" w:rsidP="005F48B9">
      <w:pPr>
        <w:rPr>
          <w:rFonts w:eastAsia="Times New Roman" w:cs="Times New Roman"/>
          <w:sz w:val="24"/>
          <w:szCs w:val="24"/>
          <w:lang w:eastAsia="en-AU"/>
        </w:rPr>
      </w:pPr>
    </w:p>
    <w:p w14:paraId="375F708A" w14:textId="77777777" w:rsidR="005F48B9" w:rsidRPr="005F48B9" w:rsidRDefault="005F48B9" w:rsidP="005F48B9">
      <w:pPr>
        <w:rPr>
          <w:rFonts w:eastAsia="Times New Roman" w:cs="Times New Roman"/>
          <w:sz w:val="24"/>
          <w:szCs w:val="24"/>
          <w:lang w:eastAsia="en-AU"/>
        </w:rPr>
      </w:pPr>
    </w:p>
    <w:p w14:paraId="646B555C" w14:textId="77777777" w:rsidR="005F48B9" w:rsidRPr="005F48B9" w:rsidRDefault="005F48B9" w:rsidP="005F48B9">
      <w:pPr>
        <w:rPr>
          <w:rFonts w:eastAsia="Times New Roman" w:cs="Times New Roman"/>
          <w:sz w:val="24"/>
          <w:szCs w:val="24"/>
          <w:lang w:eastAsia="en-AU"/>
        </w:rPr>
      </w:pPr>
    </w:p>
    <w:p w14:paraId="42E86D0E" w14:textId="77777777" w:rsidR="005F48B9" w:rsidRPr="005F48B9" w:rsidRDefault="005F48B9" w:rsidP="005F48B9">
      <w:pPr>
        <w:rPr>
          <w:rFonts w:eastAsia="Times New Roman" w:cs="Times New Roman"/>
          <w:sz w:val="24"/>
          <w:szCs w:val="24"/>
          <w:lang w:eastAsia="en-AU"/>
        </w:rPr>
      </w:pPr>
    </w:p>
    <w:p w14:paraId="38EF0203" w14:textId="77777777" w:rsidR="005F48B9" w:rsidRPr="005F48B9" w:rsidRDefault="005F48B9" w:rsidP="005F48B9">
      <w:pPr>
        <w:rPr>
          <w:rFonts w:eastAsia="Times New Roman" w:cs="Times New Roman"/>
          <w:sz w:val="24"/>
          <w:szCs w:val="24"/>
          <w:lang w:eastAsia="en-AU"/>
        </w:rPr>
      </w:pPr>
    </w:p>
    <w:p w14:paraId="23BBCCB1" w14:textId="77777777" w:rsidR="006C31BC" w:rsidRPr="005F48B9" w:rsidRDefault="006C31BC" w:rsidP="005F48B9">
      <w:pPr>
        <w:rPr>
          <w:rFonts w:eastAsia="Times New Roman" w:cs="Times New Roman"/>
          <w:sz w:val="24"/>
          <w:szCs w:val="24"/>
          <w:lang w:eastAsia="en-AU"/>
        </w:rPr>
      </w:pPr>
    </w:p>
    <w:p w14:paraId="0C2428F7"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(4)</w:t>
      </w:r>
      <w:r w:rsidRPr="006C31BC">
        <w:rPr>
          <w:rFonts w:eastAsia="Times New Roman" w:cs="Times New Roman"/>
          <w:szCs w:val="24"/>
          <w:lang w:eastAsia="en-AU"/>
        </w:rPr>
        <w:tab/>
        <w:t>the existence and quality of any anti-money laundering and counter-terrorism financing regulation and supervision in the country or countries identified under subparagraph (3) and the respondent’s compliance practices in relation to those regulations;</w:t>
      </w:r>
      <w:r w:rsidRPr="006C31BC" w:rsidDel="00F64B63">
        <w:rPr>
          <w:rFonts w:eastAsia="Times New Roman" w:cs="Times New Roman"/>
          <w:szCs w:val="24"/>
          <w:lang w:eastAsia="en-AU"/>
        </w:rPr>
        <w:t xml:space="preserve"> </w:t>
      </w:r>
    </w:p>
    <w:p w14:paraId="62444A4B"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(5)</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adequacy and effectiveness of the respondent’s anti-money laundering and counter-terrorism financing systems and controls;</w:t>
      </w:r>
    </w:p>
    <w:p w14:paraId="70E312C8"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(6)</w:t>
      </w:r>
      <w:r w:rsidRPr="006C31BC">
        <w:rPr>
          <w:rFonts w:eastAsia="Times New Roman" w:cs="Times New Roman"/>
          <w:szCs w:val="24"/>
          <w:lang w:eastAsia="en-AU"/>
        </w:rPr>
        <w:tab/>
        <w:t xml:space="preserve">publicly-available information relating to the reputation of the respondent and any related bodies corporate, including whether the respondent has been the subject </w:t>
      </w:r>
      <w:proofErr w:type="gramStart"/>
      <w:r w:rsidRPr="006C31BC">
        <w:rPr>
          <w:rFonts w:eastAsia="Times New Roman" w:cs="Times New Roman"/>
          <w:szCs w:val="24"/>
          <w:lang w:eastAsia="en-AU"/>
        </w:rPr>
        <w:t>of</w:t>
      </w:r>
      <w:proofErr w:type="gramEnd"/>
      <w:r w:rsidRPr="006C31BC">
        <w:rPr>
          <w:rFonts w:eastAsia="Times New Roman" w:cs="Times New Roman"/>
          <w:szCs w:val="24"/>
          <w:lang w:eastAsia="en-AU"/>
        </w:rPr>
        <w:t>:</w:t>
      </w:r>
    </w:p>
    <w:p w14:paraId="5254864E" w14:textId="157756CC" w:rsidR="006C31BC" w:rsidRPr="004E2E26" w:rsidRDefault="006C31BC" w:rsidP="006C31BC">
      <w:pPr>
        <w:spacing w:before="240" w:line="240" w:lineRule="auto"/>
        <w:ind w:left="2127" w:hanging="709"/>
        <w:rPr>
          <w:rFonts w:eastAsia="Times New Roman" w:cs="Times New Roman"/>
          <w:szCs w:val="24"/>
          <w:lang w:eastAsia="en-AU"/>
        </w:rPr>
      </w:pPr>
      <w:r w:rsidRPr="006C31BC">
        <w:rPr>
          <w:rFonts w:eastAsia="Times New Roman" w:cs="Times New Roman"/>
          <w:szCs w:val="24"/>
          <w:lang w:eastAsia="en-AU"/>
        </w:rPr>
        <w:t>(a)</w:t>
      </w:r>
      <w:r w:rsidRPr="006C31BC">
        <w:rPr>
          <w:rFonts w:eastAsia="Times New Roman" w:cs="Times New Roman"/>
          <w:szCs w:val="24"/>
          <w:lang w:eastAsia="en-AU"/>
        </w:rPr>
        <w:tab/>
      </w:r>
      <w:proofErr w:type="gramStart"/>
      <w:r w:rsidR="00297D1D" w:rsidRPr="004E2E26">
        <w:rPr>
          <w:rFonts w:eastAsia="Times New Roman" w:cs="Times New Roman"/>
          <w:szCs w:val="24"/>
          <w:lang w:eastAsia="en-AU"/>
        </w:rPr>
        <w:t>a</w:t>
      </w:r>
      <w:proofErr w:type="gramEnd"/>
      <w:r w:rsidR="00297D1D" w:rsidRPr="004E2E26">
        <w:rPr>
          <w:rFonts w:eastAsia="Times New Roman" w:cs="Times New Roman"/>
          <w:szCs w:val="24"/>
          <w:lang w:eastAsia="en-AU"/>
        </w:rPr>
        <w:t xml:space="preserve"> regulatory </w:t>
      </w:r>
      <w:r w:rsidRPr="004E2E26">
        <w:rPr>
          <w:rFonts w:eastAsia="Times New Roman" w:cs="Times New Roman"/>
          <w:szCs w:val="24"/>
          <w:lang w:eastAsia="en-AU"/>
        </w:rPr>
        <w:t xml:space="preserve">investigation relating to </w:t>
      </w:r>
      <w:r w:rsidR="00297D1D" w:rsidRPr="004E2E26">
        <w:rPr>
          <w:rFonts w:eastAsia="Times New Roman" w:cs="Times New Roman"/>
          <w:szCs w:val="24"/>
          <w:lang w:eastAsia="en-AU"/>
        </w:rPr>
        <w:t>implementation of anti-money laundering, counter-terrorism financing or sanctions obligations</w:t>
      </w:r>
      <w:r w:rsidRPr="004E2E26">
        <w:rPr>
          <w:rFonts w:eastAsia="Times New Roman" w:cs="Times New Roman"/>
          <w:szCs w:val="24"/>
          <w:lang w:eastAsia="en-AU"/>
        </w:rPr>
        <w:t>; or</w:t>
      </w:r>
    </w:p>
    <w:p w14:paraId="0FB13DB9" w14:textId="2150CC52" w:rsidR="006C31BC" w:rsidRPr="006C31BC" w:rsidRDefault="006C31BC" w:rsidP="006C31BC">
      <w:pPr>
        <w:spacing w:before="240" w:line="240" w:lineRule="auto"/>
        <w:ind w:left="2127" w:hanging="709"/>
        <w:rPr>
          <w:rFonts w:eastAsia="Times New Roman" w:cs="Times New Roman"/>
          <w:szCs w:val="24"/>
          <w:lang w:eastAsia="en-AU"/>
        </w:rPr>
      </w:pPr>
      <w:r w:rsidRPr="004E2E26">
        <w:rPr>
          <w:rFonts w:eastAsia="Times New Roman" w:cs="Times New Roman"/>
          <w:szCs w:val="24"/>
          <w:lang w:eastAsia="en-AU"/>
        </w:rPr>
        <w:t>(b)</w:t>
      </w:r>
      <w:r w:rsidRPr="004E2E26">
        <w:rPr>
          <w:rFonts w:eastAsia="Times New Roman" w:cs="Times New Roman"/>
          <w:szCs w:val="24"/>
          <w:lang w:eastAsia="en-AU"/>
        </w:rPr>
        <w:tab/>
      </w:r>
      <w:proofErr w:type="gramStart"/>
      <w:r w:rsidRPr="004E2E26">
        <w:rPr>
          <w:rFonts w:eastAsia="Times New Roman" w:cs="Times New Roman"/>
          <w:szCs w:val="24"/>
          <w:lang w:eastAsia="en-AU"/>
        </w:rPr>
        <w:t>adverse</w:t>
      </w:r>
      <w:proofErr w:type="gramEnd"/>
      <w:r w:rsidRPr="004E2E26">
        <w:rPr>
          <w:rFonts w:eastAsia="Times New Roman" w:cs="Times New Roman"/>
          <w:szCs w:val="24"/>
          <w:lang w:eastAsia="en-AU"/>
        </w:rPr>
        <w:t xml:space="preserve"> regulatory action relating to </w:t>
      </w:r>
      <w:r w:rsidR="00297D1D" w:rsidRPr="004E2E26">
        <w:rPr>
          <w:rFonts w:eastAsia="Times New Roman" w:cs="Times New Roman"/>
          <w:szCs w:val="24"/>
          <w:lang w:eastAsia="en-AU"/>
        </w:rPr>
        <w:t>implementation of anti-money laundering, counter-terrorism financing or sanctions obligations</w:t>
      </w:r>
      <w:r w:rsidRPr="004E2E26">
        <w:rPr>
          <w:rFonts w:eastAsia="Times New Roman" w:cs="Times New Roman"/>
          <w:szCs w:val="24"/>
          <w:lang w:eastAsia="en-AU"/>
        </w:rPr>
        <w:t>; or</w:t>
      </w:r>
    </w:p>
    <w:p w14:paraId="1D999E74" w14:textId="6AC5B98E" w:rsidR="006C31BC" w:rsidRPr="006C31BC" w:rsidRDefault="006C31BC" w:rsidP="006C31BC">
      <w:pPr>
        <w:spacing w:before="240" w:line="240" w:lineRule="auto"/>
        <w:ind w:left="2127" w:hanging="709"/>
        <w:rPr>
          <w:rFonts w:eastAsia="Times New Roman" w:cs="Times New Roman"/>
          <w:szCs w:val="24"/>
          <w:lang w:eastAsia="en-AU"/>
        </w:rPr>
      </w:pPr>
      <w:r w:rsidRPr="006C31BC">
        <w:rPr>
          <w:rFonts w:eastAsia="Times New Roman" w:cs="Times New Roman"/>
          <w:szCs w:val="24"/>
          <w:lang w:eastAsia="en-AU"/>
        </w:rPr>
        <w:t>(c)</w:t>
      </w:r>
      <w:r w:rsidRPr="006C31BC">
        <w:rPr>
          <w:rFonts w:eastAsia="Times New Roman" w:cs="Times New Roman"/>
          <w:szCs w:val="24"/>
          <w:lang w:eastAsia="en-AU"/>
        </w:rPr>
        <w:tab/>
      </w:r>
      <w:proofErr w:type="gramStart"/>
      <w:r w:rsidR="00297D1D">
        <w:rPr>
          <w:rFonts w:eastAsia="Times New Roman" w:cs="Times New Roman"/>
          <w:szCs w:val="24"/>
          <w:lang w:eastAsia="en-AU"/>
        </w:rPr>
        <w:t>an</w:t>
      </w:r>
      <w:proofErr w:type="gramEnd"/>
      <w:r w:rsidR="00297D1D">
        <w:rPr>
          <w:rFonts w:eastAsia="Times New Roman" w:cs="Times New Roman"/>
          <w:szCs w:val="24"/>
          <w:lang w:eastAsia="en-AU"/>
        </w:rPr>
        <w:t xml:space="preserve"> investigation or </w:t>
      </w:r>
      <w:r w:rsidRPr="006C31BC">
        <w:rPr>
          <w:rFonts w:eastAsia="Times New Roman" w:cs="Times New Roman"/>
          <w:szCs w:val="24"/>
          <w:lang w:eastAsia="en-AU"/>
        </w:rPr>
        <w:t>criminal or civil proceedings relating to money laundering, financing of terrorism or other serious crimes;</w:t>
      </w:r>
    </w:p>
    <w:p w14:paraId="29607D1E" w14:textId="77777777" w:rsidR="006C31BC" w:rsidRPr="006C31BC" w:rsidRDefault="006C31BC" w:rsidP="006C31BC">
      <w:pPr>
        <w:spacing w:before="240" w:line="240" w:lineRule="auto"/>
        <w:ind w:left="1418" w:hanging="567"/>
        <w:rPr>
          <w:rFonts w:eastAsia="Times New Roman" w:cs="Times New Roman"/>
          <w:szCs w:val="22"/>
          <w:lang w:eastAsia="en-AU"/>
        </w:rPr>
      </w:pPr>
      <w:r w:rsidRPr="006C31BC" w:rsidDel="003D024B">
        <w:rPr>
          <w:rFonts w:eastAsia="Times New Roman" w:cs="Times New Roman"/>
          <w:szCs w:val="24"/>
          <w:lang w:eastAsia="en-AU"/>
        </w:rPr>
        <w:t xml:space="preserve"> </w:t>
      </w:r>
      <w:r w:rsidRPr="006C31BC">
        <w:rPr>
          <w:rFonts w:eastAsia="Times New Roman" w:cs="Times New Roman"/>
          <w:szCs w:val="24"/>
          <w:lang w:eastAsia="en-AU"/>
        </w:rPr>
        <w:t>(7)</w:t>
      </w:r>
      <w:r w:rsidRPr="006C31BC">
        <w:rPr>
          <w:rFonts w:eastAsia="Times New Roman" w:cs="Times New Roman"/>
          <w:szCs w:val="24"/>
          <w:lang w:eastAsia="en-AU"/>
        </w:rPr>
        <w:tab/>
      </w:r>
      <w:proofErr w:type="gramStart"/>
      <w:r w:rsidRPr="006C31BC">
        <w:rPr>
          <w:rFonts w:eastAsia="Times New Roman" w:cs="Times New Roman"/>
          <w:szCs w:val="24"/>
          <w:lang w:eastAsia="en-AU"/>
        </w:rPr>
        <w:t>if</w:t>
      </w:r>
      <w:proofErr w:type="gramEnd"/>
      <w:r w:rsidRPr="006C31BC">
        <w:rPr>
          <w:rFonts w:eastAsia="Times New Roman" w:cs="Times New Roman"/>
          <w:szCs w:val="24"/>
          <w:lang w:eastAsia="en-AU"/>
        </w:rPr>
        <w:t xml:space="preserve"> the correspondent maintains </w:t>
      </w:r>
      <w:proofErr w:type="spellStart"/>
      <w:r w:rsidRPr="006C31BC">
        <w:rPr>
          <w:rFonts w:eastAsia="Times New Roman" w:cs="Times New Roman"/>
          <w:szCs w:val="24"/>
          <w:lang w:eastAsia="en-AU"/>
        </w:rPr>
        <w:t>vostro</w:t>
      </w:r>
      <w:proofErr w:type="spellEnd"/>
      <w:r w:rsidRPr="006C31BC">
        <w:rPr>
          <w:rFonts w:eastAsia="Times New Roman" w:cs="Times New Roman"/>
          <w:szCs w:val="24"/>
          <w:lang w:eastAsia="en-AU"/>
        </w:rPr>
        <w:t xml:space="preserve"> accounts that can be accessed directly by the customers of the respondent (</w:t>
      </w:r>
      <w:r w:rsidRPr="006C31BC">
        <w:rPr>
          <w:rFonts w:eastAsia="Times New Roman" w:cs="Times New Roman"/>
          <w:b/>
          <w:i/>
          <w:szCs w:val="24"/>
          <w:lang w:eastAsia="en-AU"/>
        </w:rPr>
        <w:t>payable-through accounts</w:t>
      </w:r>
      <w:r w:rsidRPr="006C31BC">
        <w:rPr>
          <w:rFonts w:eastAsia="Times New Roman" w:cs="Times New Roman"/>
          <w:szCs w:val="24"/>
          <w:lang w:eastAsia="en-AU"/>
        </w:rPr>
        <w:t>)</w:t>
      </w:r>
      <w:r w:rsidRPr="006C31BC">
        <w:rPr>
          <w:rFonts w:eastAsia="Times New Roman" w:cs="Times New Roman"/>
          <w:sz w:val="20"/>
          <w:lang w:eastAsia="en-AU"/>
        </w:rPr>
        <w:t>—</w:t>
      </w:r>
      <w:r w:rsidRPr="006C31BC">
        <w:rPr>
          <w:rFonts w:eastAsia="Times New Roman" w:cs="Times New Roman"/>
          <w:szCs w:val="22"/>
          <w:lang w:eastAsia="en-AU"/>
        </w:rPr>
        <w:t>the respondent:</w:t>
      </w:r>
    </w:p>
    <w:p w14:paraId="75ACAB7B" w14:textId="77777777" w:rsidR="006C31BC" w:rsidRPr="006C31BC" w:rsidRDefault="006C31BC" w:rsidP="006C31BC">
      <w:pPr>
        <w:numPr>
          <w:ilvl w:val="12"/>
          <w:numId w:val="0"/>
        </w:numPr>
        <w:spacing w:before="240" w:line="240" w:lineRule="auto"/>
        <w:ind w:left="1985" w:hanging="567"/>
        <w:rPr>
          <w:rFonts w:eastAsia="Times New Roman" w:cs="Times New Roman"/>
          <w:szCs w:val="22"/>
          <w:lang w:eastAsia="en-AU"/>
        </w:rPr>
      </w:pPr>
      <w:r w:rsidRPr="006C31BC">
        <w:rPr>
          <w:rFonts w:eastAsia="Times New Roman" w:cs="Times New Roman"/>
          <w:szCs w:val="22"/>
          <w:lang w:eastAsia="en-AU"/>
        </w:rPr>
        <w:t>(a)</w:t>
      </w:r>
      <w:r w:rsidRPr="006C31BC">
        <w:rPr>
          <w:rFonts w:eastAsia="Times New Roman" w:cs="Times New Roman"/>
          <w:szCs w:val="22"/>
          <w:lang w:eastAsia="en-AU"/>
        </w:rPr>
        <w:tab/>
      </w:r>
      <w:proofErr w:type="gramStart"/>
      <w:r w:rsidRPr="006C31BC">
        <w:rPr>
          <w:rFonts w:eastAsia="Times New Roman" w:cs="Times New Roman"/>
          <w:szCs w:val="22"/>
          <w:lang w:eastAsia="en-AU"/>
        </w:rPr>
        <w:t>conducts</w:t>
      </w:r>
      <w:proofErr w:type="gramEnd"/>
      <w:r w:rsidRPr="006C31BC">
        <w:rPr>
          <w:rFonts w:eastAsia="Times New Roman" w:cs="Times New Roman"/>
          <w:szCs w:val="22"/>
          <w:lang w:eastAsia="en-AU"/>
        </w:rPr>
        <w:t xml:space="preserve"> customer due diligence and ongoing customer due diligence in relation to those customers; and</w:t>
      </w:r>
    </w:p>
    <w:p w14:paraId="7C3B87BD" w14:textId="77777777" w:rsidR="006C31BC" w:rsidRPr="006C31BC" w:rsidRDefault="006C31BC" w:rsidP="006C31BC">
      <w:pPr>
        <w:numPr>
          <w:ilvl w:val="12"/>
          <w:numId w:val="0"/>
        </w:numPr>
        <w:spacing w:before="240" w:line="240" w:lineRule="auto"/>
        <w:ind w:left="1985" w:hanging="567"/>
        <w:rPr>
          <w:rFonts w:eastAsia="Times New Roman" w:cs="Times New Roman"/>
          <w:szCs w:val="22"/>
          <w:lang w:eastAsia="en-AU"/>
        </w:rPr>
      </w:pPr>
      <w:r w:rsidRPr="006C31BC">
        <w:rPr>
          <w:rFonts w:eastAsia="Times New Roman" w:cs="Times New Roman"/>
          <w:szCs w:val="22"/>
          <w:lang w:eastAsia="en-AU"/>
        </w:rPr>
        <w:t>(b)</w:t>
      </w:r>
      <w:r w:rsidRPr="006C31BC">
        <w:rPr>
          <w:rFonts w:eastAsia="Times New Roman" w:cs="Times New Roman"/>
          <w:szCs w:val="22"/>
          <w:lang w:eastAsia="en-AU"/>
        </w:rPr>
        <w:tab/>
        <w:t>is able to provide to the correspondent, on request, the documents, data or other information obtained when conducting customer due diligence and ongoing customer due diligence in relation to those customers.</w:t>
      </w:r>
    </w:p>
    <w:p w14:paraId="12D359D2" w14:textId="77777777" w:rsidR="006C31BC" w:rsidRPr="006C31BC" w:rsidRDefault="006C31BC" w:rsidP="006C31BC">
      <w:pPr>
        <w:spacing w:before="240" w:line="240" w:lineRule="auto"/>
        <w:ind w:left="1440" w:hanging="1440"/>
        <w:rPr>
          <w:rFonts w:eastAsia="Times New Roman" w:cs="Times New Roman"/>
          <w:i/>
          <w:szCs w:val="24"/>
        </w:rPr>
      </w:pPr>
      <w:r w:rsidRPr="006C31BC">
        <w:rPr>
          <w:rFonts w:eastAsia="Times New Roman" w:cs="Times New Roman"/>
          <w:i/>
          <w:szCs w:val="24"/>
        </w:rPr>
        <w:t>Requirement for senior officer approval</w:t>
      </w:r>
    </w:p>
    <w:p w14:paraId="51298004"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3.1.4</w:t>
      </w:r>
      <w:r w:rsidRPr="006C31BC">
        <w:rPr>
          <w:rFonts w:eastAsia="Times New Roman" w:cs="Times New Roman"/>
          <w:szCs w:val="24"/>
          <w:lang w:eastAsia="en-AU"/>
        </w:rPr>
        <w:tab/>
        <w:t>The senior officer of the correspondent (</w:t>
      </w:r>
      <w:r w:rsidRPr="006C31BC">
        <w:rPr>
          <w:rFonts w:eastAsia="Times New Roman" w:cs="Times New Roman"/>
          <w:b/>
          <w:i/>
          <w:szCs w:val="24"/>
          <w:lang w:eastAsia="en-AU"/>
        </w:rPr>
        <w:t>senior officer</w:t>
      </w:r>
      <w:r w:rsidRPr="006C31BC">
        <w:rPr>
          <w:rFonts w:eastAsia="Times New Roman" w:cs="Times New Roman"/>
          <w:b/>
          <w:szCs w:val="24"/>
          <w:lang w:eastAsia="en-AU"/>
        </w:rPr>
        <w:t>)</w:t>
      </w:r>
      <w:r w:rsidRPr="006C31BC">
        <w:rPr>
          <w:rFonts w:eastAsia="Times New Roman" w:cs="Times New Roman"/>
          <w:szCs w:val="24"/>
          <w:lang w:eastAsia="en-AU"/>
        </w:rPr>
        <w:t xml:space="preserve"> must have regard to:</w:t>
      </w:r>
    </w:p>
    <w:p w14:paraId="4020F22B"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(1)</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money laundering, financing of terrorism or other serious crime risks assessed in the written record of the due diligence assessment; and</w:t>
      </w:r>
    </w:p>
    <w:p w14:paraId="4AF737DC"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(2)</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adequacy and effectiveness of the correspondent’s anti-money laundering and counter-terrorism financing program to manage those risks;</w:t>
      </w:r>
    </w:p>
    <w:p w14:paraId="0926BD67" w14:textId="77777777" w:rsidR="006C31BC" w:rsidRPr="006C31BC" w:rsidRDefault="006C31BC" w:rsidP="006C31BC">
      <w:pPr>
        <w:spacing w:before="240" w:line="240" w:lineRule="auto"/>
        <w:ind w:left="1418" w:hanging="567"/>
        <w:rPr>
          <w:rFonts w:eastAsia="Times New Roman" w:cs="Times New Roman"/>
          <w:szCs w:val="24"/>
          <w:lang w:eastAsia="en-AU"/>
        </w:rPr>
      </w:pPr>
      <w:proofErr w:type="gramStart"/>
      <w:r w:rsidRPr="006C31BC">
        <w:rPr>
          <w:rFonts w:eastAsia="Times New Roman" w:cs="Times New Roman"/>
          <w:szCs w:val="24"/>
          <w:lang w:eastAsia="en-AU"/>
        </w:rPr>
        <w:t>before</w:t>
      </w:r>
      <w:proofErr w:type="gramEnd"/>
      <w:r w:rsidRPr="006C31BC">
        <w:rPr>
          <w:rFonts w:eastAsia="Times New Roman" w:cs="Times New Roman"/>
          <w:szCs w:val="24"/>
          <w:lang w:eastAsia="en-AU"/>
        </w:rPr>
        <w:t xml:space="preserve"> approving entry into a correspondent banking relationship.</w:t>
      </w:r>
    </w:p>
    <w:p w14:paraId="2E3CE106"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lastRenderedPageBreak/>
        <w:t>3.1.5</w:t>
      </w:r>
      <w:r w:rsidRPr="006C31BC">
        <w:rPr>
          <w:rFonts w:eastAsia="Times New Roman" w:cs="Times New Roman"/>
          <w:szCs w:val="24"/>
          <w:lang w:eastAsia="en-AU"/>
        </w:rPr>
        <w:tab/>
        <w:t>If the correspondent maintains payable-through accounts, the senior officer must be satisfied that the respondent:</w:t>
      </w:r>
    </w:p>
    <w:p w14:paraId="70917D64" w14:textId="77777777" w:rsidR="006C31BC" w:rsidRPr="006C31BC" w:rsidRDefault="006C31BC" w:rsidP="006C31BC">
      <w:pPr>
        <w:spacing w:before="240" w:line="240" w:lineRule="auto"/>
        <w:ind w:left="1418" w:hanging="567"/>
        <w:rPr>
          <w:rFonts w:eastAsia="Times New Roman" w:cs="Times New Roman"/>
          <w:szCs w:val="22"/>
          <w:lang w:eastAsia="en-AU"/>
        </w:rPr>
      </w:pPr>
      <w:r w:rsidRPr="006C31BC">
        <w:rPr>
          <w:rFonts w:eastAsia="Times New Roman" w:cs="Times New Roman"/>
          <w:szCs w:val="24"/>
          <w:lang w:eastAsia="en-AU"/>
        </w:rPr>
        <w:t>(1)</w:t>
      </w:r>
      <w:r w:rsidRPr="006C31BC">
        <w:rPr>
          <w:rFonts w:eastAsia="Times New Roman" w:cs="Times New Roman"/>
          <w:szCs w:val="24"/>
          <w:lang w:eastAsia="en-AU"/>
        </w:rPr>
        <w:tab/>
      </w:r>
      <w:proofErr w:type="gramStart"/>
      <w:r w:rsidRPr="006C31BC">
        <w:rPr>
          <w:rFonts w:eastAsia="Times New Roman" w:cs="Times New Roman"/>
          <w:szCs w:val="22"/>
          <w:lang w:eastAsia="en-AU"/>
        </w:rPr>
        <w:t>verifies</w:t>
      </w:r>
      <w:proofErr w:type="gramEnd"/>
      <w:r w:rsidRPr="006C31BC">
        <w:rPr>
          <w:rFonts w:eastAsia="Times New Roman" w:cs="Times New Roman"/>
          <w:szCs w:val="22"/>
          <w:lang w:eastAsia="en-AU"/>
        </w:rPr>
        <w:t xml:space="preserve"> the identify of, and conducts ongoing customer due diligence in relation to, customers before they have access to those accounts; and</w:t>
      </w:r>
    </w:p>
    <w:p w14:paraId="188459D8" w14:textId="77777777" w:rsidR="006C31BC" w:rsidRPr="006C31BC" w:rsidRDefault="006C31BC" w:rsidP="006C31BC">
      <w:pPr>
        <w:spacing w:before="240" w:line="240" w:lineRule="auto"/>
        <w:ind w:left="1418" w:hanging="567"/>
        <w:rPr>
          <w:rFonts w:eastAsia="Times New Roman" w:cs="Times New Roman"/>
          <w:szCs w:val="22"/>
          <w:lang w:eastAsia="en-AU"/>
        </w:rPr>
      </w:pPr>
      <w:r w:rsidRPr="006C31BC">
        <w:rPr>
          <w:rFonts w:eastAsia="Times New Roman" w:cs="Times New Roman"/>
          <w:szCs w:val="24"/>
          <w:lang w:eastAsia="en-AU"/>
        </w:rPr>
        <w:t>(2)</w:t>
      </w:r>
      <w:r w:rsidRPr="006C31BC">
        <w:rPr>
          <w:rFonts w:eastAsia="Times New Roman" w:cs="Times New Roman"/>
          <w:szCs w:val="24"/>
          <w:lang w:eastAsia="en-AU"/>
        </w:rPr>
        <w:tab/>
      </w:r>
      <w:proofErr w:type="gramStart"/>
      <w:r w:rsidRPr="006C31BC">
        <w:rPr>
          <w:rFonts w:eastAsia="Times New Roman" w:cs="Times New Roman"/>
          <w:szCs w:val="22"/>
          <w:lang w:eastAsia="en-AU"/>
        </w:rPr>
        <w:t>is</w:t>
      </w:r>
      <w:proofErr w:type="gramEnd"/>
      <w:r w:rsidRPr="006C31BC">
        <w:rPr>
          <w:rFonts w:eastAsia="Times New Roman" w:cs="Times New Roman"/>
          <w:szCs w:val="22"/>
          <w:lang w:eastAsia="en-AU"/>
        </w:rPr>
        <w:t xml:space="preserve"> able to provide the correspondent, on request, the documents, data, or other information obtained when conducing customer due diligence and ongoing customer due diligence in relation to the customers that have access to those accounts. </w:t>
      </w:r>
    </w:p>
    <w:p w14:paraId="28777854" w14:textId="77777777" w:rsidR="006C31BC" w:rsidRPr="006C31BC" w:rsidRDefault="006C31BC" w:rsidP="006C31BC">
      <w:pPr>
        <w:spacing w:before="240" w:line="240" w:lineRule="auto"/>
        <w:ind w:left="1440" w:hanging="1440"/>
        <w:rPr>
          <w:rFonts w:eastAsia="Times New Roman" w:cs="Times New Roman"/>
          <w:b/>
          <w:sz w:val="24"/>
          <w:szCs w:val="24"/>
        </w:rPr>
      </w:pPr>
      <w:r w:rsidRPr="006C31BC">
        <w:rPr>
          <w:rFonts w:eastAsia="Times New Roman" w:cs="Times New Roman"/>
          <w:b/>
          <w:sz w:val="24"/>
          <w:szCs w:val="24"/>
        </w:rPr>
        <w:t>Part 3.2—Ongoing assessments of a correspondent banking relationship</w:t>
      </w:r>
      <w:r w:rsidRPr="006C31BC">
        <w:rPr>
          <w:rFonts w:eastAsia="Times New Roman" w:cs="Times New Roman"/>
          <w:sz w:val="24"/>
          <w:szCs w:val="24"/>
        </w:rPr>
        <w:t xml:space="preserve"> </w:t>
      </w:r>
    </w:p>
    <w:p w14:paraId="0A500596"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3.2.1</w:t>
      </w:r>
      <w:r w:rsidRPr="006C31BC">
        <w:rPr>
          <w:rFonts w:eastAsia="Times New Roman" w:cs="Times New Roman"/>
          <w:szCs w:val="24"/>
          <w:lang w:eastAsia="en-AU"/>
        </w:rPr>
        <w:tab/>
        <w:t xml:space="preserve">This Part </w:t>
      </w:r>
      <w:proofErr w:type="gramStart"/>
      <w:r w:rsidRPr="006C31BC">
        <w:rPr>
          <w:rFonts w:eastAsia="Times New Roman" w:cs="Times New Roman"/>
          <w:szCs w:val="24"/>
          <w:lang w:eastAsia="en-AU"/>
        </w:rPr>
        <w:t>is made</w:t>
      </w:r>
      <w:proofErr w:type="gramEnd"/>
      <w:r w:rsidRPr="006C31BC">
        <w:rPr>
          <w:rFonts w:eastAsia="Times New Roman" w:cs="Times New Roman"/>
          <w:szCs w:val="24"/>
          <w:lang w:eastAsia="en-AU"/>
        </w:rPr>
        <w:t xml:space="preserve"> for subsection 96(3) of the Act.</w:t>
      </w:r>
    </w:p>
    <w:p w14:paraId="3AF30184" w14:textId="77777777" w:rsidR="006C31BC" w:rsidRPr="006C31BC" w:rsidRDefault="006C31BC" w:rsidP="006C31BC">
      <w:pPr>
        <w:spacing w:before="240" w:line="240" w:lineRule="auto"/>
        <w:ind w:left="1440" w:hanging="1440"/>
        <w:rPr>
          <w:rFonts w:eastAsia="Times New Roman" w:cs="Times New Roman"/>
          <w:i/>
          <w:szCs w:val="24"/>
        </w:rPr>
      </w:pPr>
      <w:r w:rsidRPr="006C31BC">
        <w:rPr>
          <w:rFonts w:eastAsia="Times New Roman" w:cs="Times New Roman"/>
          <w:i/>
          <w:szCs w:val="24"/>
        </w:rPr>
        <w:t>Carrying out ongoing assessments</w:t>
      </w:r>
    </w:p>
    <w:p w14:paraId="178DFD5F" w14:textId="191D7DE0"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3.2.2</w:t>
      </w:r>
      <w:r w:rsidRPr="006C31BC">
        <w:rPr>
          <w:rFonts w:eastAsia="Times New Roman" w:cs="Times New Roman"/>
          <w:szCs w:val="24"/>
          <w:lang w:eastAsia="en-AU"/>
        </w:rPr>
        <w:tab/>
        <w:t xml:space="preserve">The first institution (the </w:t>
      </w:r>
      <w:r w:rsidRPr="006C31BC">
        <w:rPr>
          <w:rFonts w:eastAsia="Times New Roman" w:cs="Times New Roman"/>
          <w:b/>
          <w:i/>
          <w:szCs w:val="24"/>
          <w:lang w:eastAsia="en-AU"/>
        </w:rPr>
        <w:t>correspondent</w:t>
      </w:r>
      <w:r w:rsidRPr="006C31BC">
        <w:rPr>
          <w:rFonts w:eastAsia="Times New Roman" w:cs="Times New Roman"/>
          <w:szCs w:val="24"/>
          <w:lang w:eastAsia="en-AU"/>
        </w:rPr>
        <w:t xml:space="preserve">) must </w:t>
      </w:r>
      <w:r w:rsidR="0015558D">
        <w:rPr>
          <w:rFonts w:eastAsia="Times New Roman" w:cs="Times New Roman"/>
          <w:szCs w:val="24"/>
          <w:lang w:eastAsia="en-AU"/>
        </w:rPr>
        <w:t xml:space="preserve">conduct due diligence to </w:t>
      </w:r>
      <w:r w:rsidRPr="006C31BC">
        <w:rPr>
          <w:rFonts w:eastAsia="Times New Roman" w:cs="Times New Roman"/>
          <w:szCs w:val="24"/>
          <w:lang w:eastAsia="en-AU"/>
        </w:rPr>
        <w:t xml:space="preserve">assess the money laundering, financing of terrorism or other serious crime risks of a correspondent banking relationship with another financial institution (the </w:t>
      </w:r>
      <w:r w:rsidRPr="006C31BC">
        <w:rPr>
          <w:rFonts w:eastAsia="Times New Roman" w:cs="Times New Roman"/>
          <w:b/>
          <w:i/>
          <w:szCs w:val="24"/>
          <w:lang w:eastAsia="en-AU"/>
        </w:rPr>
        <w:t>respondent</w:t>
      </w:r>
      <w:r w:rsidRPr="006C31BC">
        <w:rPr>
          <w:rFonts w:eastAsia="Times New Roman" w:cs="Times New Roman"/>
          <w:szCs w:val="24"/>
          <w:lang w:eastAsia="en-AU"/>
        </w:rPr>
        <w:t>)</w:t>
      </w:r>
      <w:r w:rsidR="0034202A">
        <w:rPr>
          <w:rFonts w:eastAsia="Times New Roman" w:cs="Times New Roman"/>
          <w:szCs w:val="24"/>
          <w:lang w:eastAsia="en-AU"/>
        </w:rPr>
        <w:t xml:space="preserve"> </w:t>
      </w:r>
      <w:r w:rsidR="0034202A" w:rsidRPr="00272CE3">
        <w:rPr>
          <w:rFonts w:eastAsia="Times New Roman" w:cs="Times New Roman"/>
          <w:szCs w:val="24"/>
          <w:lang w:eastAsia="en-AU"/>
        </w:rPr>
        <w:t xml:space="preserve">that involves a </w:t>
      </w:r>
      <w:proofErr w:type="spellStart"/>
      <w:r w:rsidR="0034202A" w:rsidRPr="00272CE3">
        <w:rPr>
          <w:rFonts w:eastAsia="Times New Roman" w:cs="Times New Roman"/>
          <w:szCs w:val="24"/>
          <w:lang w:eastAsia="en-AU"/>
        </w:rPr>
        <w:t>vostro</w:t>
      </w:r>
      <w:proofErr w:type="spellEnd"/>
      <w:r w:rsidR="0034202A" w:rsidRPr="00272CE3">
        <w:rPr>
          <w:rFonts w:eastAsia="Times New Roman" w:cs="Times New Roman"/>
          <w:szCs w:val="24"/>
          <w:lang w:eastAsia="en-AU"/>
        </w:rPr>
        <w:t xml:space="preserve"> account</w:t>
      </w:r>
      <w:r w:rsidRPr="00272CE3">
        <w:rPr>
          <w:rFonts w:eastAsia="Times New Roman" w:cs="Times New Roman"/>
          <w:szCs w:val="24"/>
          <w:lang w:eastAsia="en-AU"/>
        </w:rPr>
        <w:t>.</w:t>
      </w:r>
    </w:p>
    <w:p w14:paraId="3D3DE5E0"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3.2.3</w:t>
      </w:r>
      <w:r w:rsidRPr="006C31BC">
        <w:rPr>
          <w:rFonts w:eastAsia="Times New Roman" w:cs="Times New Roman"/>
          <w:szCs w:val="24"/>
          <w:lang w:eastAsia="en-AU"/>
        </w:rPr>
        <w:tab/>
        <w:t xml:space="preserve">The correspondent must consider the factors set out in subparagraphs 3.1.3(1)–(7) when assessing </w:t>
      </w:r>
      <w:proofErr w:type="gramStart"/>
      <w:r w:rsidRPr="006C31BC">
        <w:rPr>
          <w:rFonts w:eastAsia="Times New Roman" w:cs="Times New Roman"/>
          <w:szCs w:val="24"/>
          <w:lang w:eastAsia="en-AU"/>
        </w:rPr>
        <w:t>money laundering</w:t>
      </w:r>
      <w:proofErr w:type="gramEnd"/>
      <w:r w:rsidRPr="006C31BC">
        <w:rPr>
          <w:rFonts w:eastAsia="Times New Roman" w:cs="Times New Roman"/>
          <w:szCs w:val="24"/>
          <w:lang w:eastAsia="en-AU"/>
        </w:rPr>
        <w:t>, financing of terrorism or other serious crime risks.</w:t>
      </w:r>
    </w:p>
    <w:p w14:paraId="0AA89D57" w14:textId="77777777" w:rsidR="006C31BC" w:rsidRPr="006C31BC" w:rsidRDefault="006C31BC" w:rsidP="006C31BC">
      <w:pPr>
        <w:spacing w:before="240" w:line="240" w:lineRule="auto"/>
        <w:ind w:left="851" w:hanging="851"/>
        <w:rPr>
          <w:rFonts w:eastAsia="Times New Roman" w:cs="Times New Roman"/>
          <w:i/>
          <w:szCs w:val="24"/>
          <w:lang w:eastAsia="en-AU"/>
        </w:rPr>
      </w:pPr>
      <w:r w:rsidRPr="006C31BC">
        <w:rPr>
          <w:rFonts w:eastAsia="Times New Roman" w:cs="Times New Roman"/>
          <w:i/>
          <w:szCs w:val="24"/>
          <w:lang w:eastAsia="en-AU"/>
        </w:rPr>
        <w:t>Timing of ongoing assessments</w:t>
      </w:r>
    </w:p>
    <w:p w14:paraId="01A8D9B7" w14:textId="77777777" w:rsidR="006C31BC" w:rsidRPr="006C31BC" w:rsidRDefault="006C31BC" w:rsidP="006C31BC">
      <w:pPr>
        <w:spacing w:before="240" w:line="240" w:lineRule="auto"/>
        <w:ind w:left="851" w:hanging="851"/>
        <w:rPr>
          <w:rFonts w:eastAsia="Times New Roman" w:cs="Times New Roman"/>
          <w:szCs w:val="24"/>
          <w:lang w:eastAsia="en-AU"/>
        </w:rPr>
      </w:pPr>
      <w:r w:rsidRPr="006C31BC">
        <w:rPr>
          <w:rFonts w:eastAsia="Times New Roman" w:cs="Times New Roman"/>
          <w:szCs w:val="24"/>
          <w:lang w:eastAsia="en-AU"/>
        </w:rPr>
        <w:t>3.2.4</w:t>
      </w:r>
      <w:r w:rsidRPr="006C31BC">
        <w:rPr>
          <w:rFonts w:eastAsia="Times New Roman" w:cs="Times New Roman"/>
          <w:szCs w:val="24"/>
          <w:lang w:eastAsia="en-AU"/>
        </w:rPr>
        <w:tab/>
        <w:t xml:space="preserve">The correspondent must conduct assessments at times determined appropriate by the correspondent, based on consideration of: </w:t>
      </w:r>
    </w:p>
    <w:p w14:paraId="45B5036B"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(1)</w:t>
      </w:r>
      <w:r w:rsidRPr="006C31BC">
        <w:rPr>
          <w:rFonts w:eastAsia="Times New Roman" w:cs="Times New Roman"/>
          <w:szCs w:val="24"/>
          <w:lang w:eastAsia="en-AU"/>
        </w:rPr>
        <w:tab/>
      </w:r>
      <w:proofErr w:type="gramStart"/>
      <w:r w:rsidRPr="006C31BC">
        <w:rPr>
          <w:rFonts w:eastAsia="Times New Roman" w:cs="Times New Roman"/>
          <w:szCs w:val="24"/>
          <w:lang w:eastAsia="en-AU"/>
        </w:rPr>
        <w:t>the</w:t>
      </w:r>
      <w:proofErr w:type="gramEnd"/>
      <w:r w:rsidRPr="006C31BC">
        <w:rPr>
          <w:rFonts w:eastAsia="Times New Roman" w:cs="Times New Roman"/>
          <w:szCs w:val="24"/>
          <w:lang w:eastAsia="en-AU"/>
        </w:rPr>
        <w:t xml:space="preserve"> level of money laundering, financing of terrorism or other serious crime risks of the correspondent banking relationship; and</w:t>
      </w:r>
      <w:r w:rsidRPr="006C31BC">
        <w:rPr>
          <w:rFonts w:eastAsia="Times New Roman" w:cs="Times New Roman"/>
          <w:szCs w:val="22"/>
          <w:lang w:eastAsia="en-AU"/>
        </w:rPr>
        <w:t xml:space="preserve"> </w:t>
      </w:r>
    </w:p>
    <w:p w14:paraId="4C50F3B7" w14:textId="77777777" w:rsidR="006C31BC" w:rsidRPr="006C31BC" w:rsidRDefault="006C31BC" w:rsidP="006C31BC">
      <w:pPr>
        <w:spacing w:before="240" w:line="240" w:lineRule="auto"/>
        <w:ind w:left="1418" w:hanging="567"/>
        <w:rPr>
          <w:rFonts w:eastAsia="Times New Roman" w:cs="Times New Roman"/>
          <w:szCs w:val="24"/>
          <w:lang w:eastAsia="en-AU"/>
        </w:rPr>
      </w:pPr>
      <w:r w:rsidRPr="006C31BC">
        <w:rPr>
          <w:rFonts w:eastAsia="Times New Roman" w:cs="Times New Roman"/>
          <w:szCs w:val="24"/>
          <w:lang w:eastAsia="en-AU"/>
        </w:rPr>
        <w:t>(2)</w:t>
      </w:r>
      <w:r w:rsidRPr="006C31BC">
        <w:rPr>
          <w:rFonts w:eastAsia="Times New Roman" w:cs="Times New Roman"/>
          <w:szCs w:val="24"/>
          <w:lang w:eastAsia="en-AU"/>
        </w:rPr>
        <w:tab/>
      </w:r>
      <w:proofErr w:type="gramStart"/>
      <w:r w:rsidRPr="006C31BC">
        <w:rPr>
          <w:rFonts w:eastAsia="Times New Roman" w:cs="Times New Roman"/>
          <w:szCs w:val="24"/>
          <w:lang w:eastAsia="en-AU"/>
        </w:rPr>
        <w:t>any</w:t>
      </w:r>
      <w:proofErr w:type="gramEnd"/>
      <w:r w:rsidRPr="006C31BC">
        <w:rPr>
          <w:rFonts w:eastAsia="Times New Roman" w:cs="Times New Roman"/>
          <w:szCs w:val="24"/>
          <w:lang w:eastAsia="en-AU"/>
        </w:rPr>
        <w:t xml:space="preserve"> material change in respect of those risks;</w:t>
      </w:r>
    </w:p>
    <w:p w14:paraId="58A2A299" w14:textId="77777777" w:rsidR="006C31BC" w:rsidRPr="006C31BC" w:rsidRDefault="006C31BC" w:rsidP="006C31BC">
      <w:pPr>
        <w:spacing w:before="240" w:line="240" w:lineRule="auto"/>
        <w:ind w:left="851"/>
        <w:rPr>
          <w:rFonts w:eastAsia="Times New Roman" w:cs="Times New Roman"/>
          <w:szCs w:val="24"/>
          <w:lang w:eastAsia="en-AU"/>
        </w:rPr>
      </w:pPr>
      <w:proofErr w:type="gramStart"/>
      <w:r w:rsidRPr="006C31BC">
        <w:rPr>
          <w:rFonts w:eastAsia="Times New Roman" w:cs="Times New Roman"/>
          <w:szCs w:val="22"/>
          <w:lang w:eastAsia="en-AU"/>
        </w:rPr>
        <w:t>but</w:t>
      </w:r>
      <w:proofErr w:type="gramEnd"/>
      <w:r w:rsidRPr="006C31BC">
        <w:rPr>
          <w:rFonts w:eastAsia="Times New Roman" w:cs="Times New Roman"/>
          <w:szCs w:val="22"/>
          <w:lang w:eastAsia="en-AU"/>
        </w:rPr>
        <w:t xml:space="preserve"> in any event, at least every two years.</w:t>
      </w:r>
    </w:p>
    <w:p w14:paraId="6ECFD9D5" w14:textId="513D4119" w:rsidR="007D480F" w:rsidRDefault="007D480F" w:rsidP="007D480F">
      <w:pPr>
        <w:pStyle w:val="ItemHead"/>
      </w:pPr>
      <w:proofErr w:type="gramStart"/>
      <w:r>
        <w:t>2  Chapter</w:t>
      </w:r>
      <w:proofErr w:type="gramEnd"/>
      <w:r>
        <w:t xml:space="preserve"> 6</w:t>
      </w:r>
    </w:p>
    <w:p w14:paraId="79C2E950" w14:textId="00EBE763" w:rsidR="007D480F" w:rsidRDefault="007D480F" w:rsidP="00D41D2D">
      <w:pPr>
        <w:pStyle w:val="Item"/>
        <w:rPr>
          <w:rStyle w:val="CharDivNo"/>
          <w:rFonts w:eastAsiaTheme="minorHAnsi" w:cstheme="minorBidi"/>
          <w:szCs w:val="32"/>
          <w:lang w:eastAsia="en-US"/>
        </w:rPr>
      </w:pPr>
      <w:r w:rsidRPr="00AC2C51">
        <w:t xml:space="preserve">Repeal </w:t>
      </w:r>
      <w:r w:rsidR="00787BFB">
        <w:t>the chapter</w:t>
      </w:r>
      <w:r w:rsidRPr="00AC2C51">
        <w:t>, substitute:</w:t>
      </w:r>
    </w:p>
    <w:p w14:paraId="3653CF8D" w14:textId="14075E8C" w:rsidR="007D480F" w:rsidRPr="00627958" w:rsidRDefault="007D480F" w:rsidP="00D41D2D">
      <w:pPr>
        <w:pStyle w:val="HD"/>
        <w:tabs>
          <w:tab w:val="left" w:pos="2410"/>
        </w:tabs>
        <w:spacing w:before="220" w:after="360"/>
        <w:ind w:left="0" w:firstLine="0"/>
        <w:rPr>
          <w:rStyle w:val="CharDivNo"/>
          <w:sz w:val="32"/>
          <w:szCs w:val="32"/>
        </w:rPr>
      </w:pPr>
      <w:r w:rsidRPr="00627958">
        <w:rPr>
          <w:rStyle w:val="CharDivNo"/>
          <w:szCs w:val="32"/>
        </w:rPr>
        <w:t xml:space="preserve">CHAPTER 6 </w:t>
      </w:r>
      <w:r w:rsidRPr="00627958">
        <w:rPr>
          <w:rStyle w:val="CharDivNo"/>
          <w:szCs w:val="32"/>
        </w:rPr>
        <w:tab/>
        <w:t>Verification of identity</w:t>
      </w:r>
    </w:p>
    <w:p w14:paraId="3A7D51B6" w14:textId="6881DCDD" w:rsidR="000062B9" w:rsidRDefault="007D480F" w:rsidP="00D41D2D">
      <w:pPr>
        <w:spacing w:before="240" w:line="240" w:lineRule="auto"/>
        <w:ind w:left="1440" w:hanging="1440"/>
        <w:rPr>
          <w:szCs w:val="22"/>
        </w:rPr>
      </w:pPr>
      <w:r w:rsidRPr="000062B9">
        <w:rPr>
          <w:rFonts w:eastAsia="Times New Roman" w:cs="Times New Roman"/>
          <w:b/>
          <w:sz w:val="24"/>
          <w:szCs w:val="24"/>
        </w:rPr>
        <w:t>Part 6.1—Re-verification of KYC information</w:t>
      </w:r>
    </w:p>
    <w:p w14:paraId="78A6405D" w14:textId="35EF5ADB" w:rsidR="007D480F" w:rsidRPr="00CB1612" w:rsidRDefault="007D480F" w:rsidP="00D41D2D">
      <w:pPr>
        <w:spacing w:before="240" w:after="240"/>
        <w:ind w:left="720" w:hanging="720"/>
        <w:rPr>
          <w:szCs w:val="22"/>
        </w:rPr>
      </w:pPr>
      <w:r w:rsidRPr="00CB1612">
        <w:rPr>
          <w:szCs w:val="22"/>
        </w:rPr>
        <w:t>6.1.1</w:t>
      </w:r>
      <w:r w:rsidRPr="00CB1612">
        <w:rPr>
          <w:szCs w:val="22"/>
        </w:rPr>
        <w:tab/>
        <w:t>This Part is made for</w:t>
      </w:r>
      <w:r>
        <w:rPr>
          <w:szCs w:val="22"/>
        </w:rPr>
        <w:t xml:space="preserve"> subparagraph 35(1</w:t>
      </w:r>
      <w:proofErr w:type="gramStart"/>
      <w:r>
        <w:rPr>
          <w:szCs w:val="22"/>
        </w:rPr>
        <w:t>)(</w:t>
      </w:r>
      <w:proofErr w:type="gramEnd"/>
      <w:r>
        <w:rPr>
          <w:szCs w:val="22"/>
        </w:rPr>
        <w:t>b) and subsection 35(2) of the Act.</w:t>
      </w:r>
    </w:p>
    <w:p w14:paraId="1D002367" w14:textId="77777777" w:rsidR="007D480F" w:rsidRPr="00177B1F" w:rsidRDefault="007D480F" w:rsidP="007D480F">
      <w:pPr>
        <w:spacing w:after="240"/>
        <w:ind w:left="720" w:hanging="720"/>
        <w:rPr>
          <w:szCs w:val="22"/>
        </w:rPr>
      </w:pPr>
      <w:r>
        <w:t>6.1.2</w:t>
      </w:r>
      <w:r w:rsidRPr="00177B1F">
        <w:rPr>
          <w:szCs w:val="22"/>
        </w:rPr>
        <w:tab/>
        <w:t>A reporting entity must take the action set out in paragraph 6.</w:t>
      </w:r>
      <w:r>
        <w:rPr>
          <w:szCs w:val="22"/>
        </w:rPr>
        <w:t>1</w:t>
      </w:r>
      <w:r w:rsidRPr="00177B1F">
        <w:rPr>
          <w:szCs w:val="22"/>
        </w:rPr>
        <w:t>.</w:t>
      </w:r>
      <w:r>
        <w:rPr>
          <w:szCs w:val="22"/>
        </w:rPr>
        <w:t>3</w:t>
      </w:r>
      <w:r w:rsidRPr="00177B1F">
        <w:rPr>
          <w:szCs w:val="22"/>
        </w:rPr>
        <w:t xml:space="preserve"> if: </w:t>
      </w:r>
    </w:p>
    <w:p w14:paraId="295AE463" w14:textId="77777777" w:rsidR="007D480F" w:rsidRPr="00177B1F" w:rsidRDefault="007D480F" w:rsidP="007D480F">
      <w:pPr>
        <w:pStyle w:val="ListParagraph"/>
        <w:numPr>
          <w:ilvl w:val="0"/>
          <w:numId w:val="21"/>
        </w:numPr>
        <w:spacing w:after="240" w:line="240" w:lineRule="auto"/>
        <w:contextualSpacing w:val="0"/>
        <w:rPr>
          <w:szCs w:val="22"/>
        </w:rPr>
      </w:pPr>
      <w:bookmarkStart w:id="9" w:name="_Toc37946382"/>
      <w:bookmarkStart w:id="10" w:name="_Toc37945008"/>
      <w:bookmarkEnd w:id="9"/>
      <w:bookmarkEnd w:id="10"/>
      <w:r w:rsidRPr="00177B1F">
        <w:rPr>
          <w:szCs w:val="22"/>
        </w:rPr>
        <w:t>the reporting entity suspects on reasonable grounds that the customer is not the person that customer claims to be; or</w:t>
      </w:r>
    </w:p>
    <w:p w14:paraId="1EF865C3" w14:textId="77777777" w:rsidR="007D480F" w:rsidRDefault="007D480F" w:rsidP="007D480F">
      <w:pPr>
        <w:pStyle w:val="ListParagraph"/>
        <w:numPr>
          <w:ilvl w:val="0"/>
          <w:numId w:val="21"/>
        </w:numPr>
        <w:spacing w:after="240" w:line="240" w:lineRule="auto"/>
        <w:contextualSpacing w:val="0"/>
        <w:rPr>
          <w:szCs w:val="22"/>
        </w:rPr>
      </w:pPr>
      <w:r w:rsidRPr="00177B1F">
        <w:rPr>
          <w:szCs w:val="22"/>
        </w:rPr>
        <w:lastRenderedPageBreak/>
        <w:t>the reporting entity has doubts about the veracity or adequacy of documents or information previously obtained for the purpose of identifying or verifying</w:t>
      </w:r>
      <w:r>
        <w:rPr>
          <w:szCs w:val="22"/>
        </w:rPr>
        <w:t>:</w:t>
      </w:r>
    </w:p>
    <w:p w14:paraId="3A649B5E" w14:textId="77777777" w:rsidR="007D480F" w:rsidRPr="00D41D2D" w:rsidRDefault="007D480F" w:rsidP="00D41D2D">
      <w:pPr>
        <w:spacing w:before="240" w:line="240" w:lineRule="auto"/>
        <w:ind w:left="2127" w:hanging="709"/>
        <w:rPr>
          <w:rFonts w:eastAsia="Times New Roman" w:cs="Times New Roman"/>
          <w:szCs w:val="24"/>
          <w:lang w:eastAsia="en-AU"/>
        </w:rPr>
      </w:pPr>
      <w:r w:rsidRPr="00D41D2D">
        <w:rPr>
          <w:rFonts w:eastAsia="Times New Roman" w:cs="Times New Roman"/>
          <w:szCs w:val="24"/>
          <w:lang w:eastAsia="en-AU"/>
        </w:rPr>
        <w:t>(a)</w:t>
      </w:r>
      <w:r w:rsidRPr="00D41D2D">
        <w:rPr>
          <w:rFonts w:eastAsia="Times New Roman" w:cs="Times New Roman"/>
          <w:szCs w:val="24"/>
          <w:lang w:eastAsia="en-AU"/>
        </w:rPr>
        <w:tab/>
      </w:r>
      <w:proofErr w:type="gramStart"/>
      <w:r w:rsidRPr="00D41D2D">
        <w:rPr>
          <w:rFonts w:eastAsia="Times New Roman" w:cs="Times New Roman"/>
          <w:szCs w:val="24"/>
          <w:lang w:eastAsia="en-AU"/>
        </w:rPr>
        <w:t>the</w:t>
      </w:r>
      <w:proofErr w:type="gramEnd"/>
      <w:r w:rsidRPr="00D41D2D">
        <w:rPr>
          <w:rFonts w:eastAsia="Times New Roman" w:cs="Times New Roman"/>
          <w:szCs w:val="24"/>
          <w:lang w:eastAsia="en-AU"/>
        </w:rPr>
        <w:t xml:space="preserve"> customer; and </w:t>
      </w:r>
    </w:p>
    <w:p w14:paraId="40A94176" w14:textId="77777777" w:rsidR="007D480F" w:rsidRPr="00D41D2D" w:rsidRDefault="007D480F" w:rsidP="00D41D2D">
      <w:pPr>
        <w:spacing w:before="240" w:line="240" w:lineRule="auto"/>
        <w:ind w:left="2127" w:hanging="709"/>
        <w:rPr>
          <w:rFonts w:eastAsia="Times New Roman" w:cs="Times New Roman"/>
          <w:szCs w:val="24"/>
          <w:lang w:eastAsia="en-AU"/>
        </w:rPr>
      </w:pPr>
      <w:r w:rsidRPr="00D41D2D">
        <w:rPr>
          <w:rFonts w:eastAsia="Times New Roman" w:cs="Times New Roman"/>
          <w:szCs w:val="24"/>
          <w:lang w:eastAsia="en-AU"/>
        </w:rPr>
        <w:t>(b)</w:t>
      </w:r>
      <w:r w:rsidRPr="00D41D2D">
        <w:rPr>
          <w:rFonts w:eastAsia="Times New Roman" w:cs="Times New Roman"/>
          <w:szCs w:val="24"/>
          <w:lang w:eastAsia="en-AU"/>
        </w:rPr>
        <w:tab/>
      </w:r>
      <w:proofErr w:type="gramStart"/>
      <w:r w:rsidRPr="00D41D2D">
        <w:rPr>
          <w:rFonts w:eastAsia="Times New Roman" w:cs="Times New Roman"/>
          <w:szCs w:val="24"/>
          <w:lang w:eastAsia="en-AU"/>
        </w:rPr>
        <w:t>the</w:t>
      </w:r>
      <w:proofErr w:type="gramEnd"/>
      <w:r w:rsidRPr="00D41D2D">
        <w:rPr>
          <w:rFonts w:eastAsia="Times New Roman" w:cs="Times New Roman"/>
          <w:szCs w:val="24"/>
          <w:lang w:eastAsia="en-AU"/>
        </w:rPr>
        <w:t xml:space="preserve"> beneficial owner of the customer (if any); and</w:t>
      </w:r>
    </w:p>
    <w:p w14:paraId="48191E81" w14:textId="7C486663" w:rsidR="007D480F" w:rsidRDefault="007D480F" w:rsidP="00272CE3">
      <w:pPr>
        <w:spacing w:before="240" w:after="240" w:line="240" w:lineRule="auto"/>
        <w:ind w:left="2127" w:hanging="709"/>
        <w:rPr>
          <w:szCs w:val="22"/>
        </w:rPr>
      </w:pPr>
      <w:r w:rsidRPr="00D41D2D">
        <w:rPr>
          <w:rFonts w:eastAsia="Times New Roman" w:cs="Times New Roman"/>
          <w:szCs w:val="24"/>
          <w:lang w:eastAsia="en-AU"/>
        </w:rPr>
        <w:t>(c)</w:t>
      </w:r>
      <w:r w:rsidRPr="00D41D2D">
        <w:rPr>
          <w:rFonts w:eastAsia="Times New Roman" w:cs="Times New Roman"/>
          <w:szCs w:val="24"/>
          <w:lang w:eastAsia="en-AU"/>
        </w:rPr>
        <w:tab/>
      </w:r>
      <w:proofErr w:type="gramStart"/>
      <w:r w:rsidRPr="00D41D2D">
        <w:rPr>
          <w:rFonts w:eastAsia="Times New Roman" w:cs="Times New Roman"/>
          <w:szCs w:val="24"/>
          <w:lang w:eastAsia="en-AU"/>
        </w:rPr>
        <w:t>a</w:t>
      </w:r>
      <w:proofErr w:type="gramEnd"/>
      <w:r w:rsidRPr="00D41D2D">
        <w:rPr>
          <w:rFonts w:eastAsia="Times New Roman" w:cs="Times New Roman"/>
          <w:szCs w:val="24"/>
          <w:lang w:eastAsia="en-AU"/>
        </w:rPr>
        <w:t xml:space="preserve"> person purporting to act on behalf of the customer (if any).</w:t>
      </w:r>
    </w:p>
    <w:p w14:paraId="350E70E9" w14:textId="18CE9439" w:rsidR="007D480F" w:rsidRPr="00177B1F" w:rsidRDefault="007D480F" w:rsidP="007D480F">
      <w:pPr>
        <w:spacing w:after="240"/>
        <w:ind w:left="720" w:hanging="720"/>
        <w:rPr>
          <w:szCs w:val="22"/>
        </w:rPr>
      </w:pPr>
      <w:r w:rsidRPr="00177B1F">
        <w:rPr>
          <w:szCs w:val="22"/>
        </w:rPr>
        <w:t>6.</w:t>
      </w:r>
      <w:r>
        <w:rPr>
          <w:szCs w:val="22"/>
        </w:rPr>
        <w:t>1</w:t>
      </w:r>
      <w:r w:rsidRPr="00177B1F">
        <w:rPr>
          <w:szCs w:val="22"/>
        </w:rPr>
        <w:t>.</w:t>
      </w:r>
      <w:r>
        <w:rPr>
          <w:szCs w:val="22"/>
        </w:rPr>
        <w:t>3</w:t>
      </w:r>
      <w:r w:rsidRPr="00177B1F">
        <w:rPr>
          <w:szCs w:val="22"/>
        </w:rPr>
        <w:tab/>
        <w:t xml:space="preserve">The reporting entity must, as soon as practicable, take reasonable measures </w:t>
      </w:r>
      <w:proofErr w:type="gramStart"/>
      <w:r w:rsidRPr="00177B1F">
        <w:rPr>
          <w:szCs w:val="22"/>
        </w:rPr>
        <w:t>to</w:t>
      </w:r>
      <w:proofErr w:type="gramEnd"/>
      <w:r w:rsidRPr="00177B1F">
        <w:rPr>
          <w:szCs w:val="22"/>
        </w:rPr>
        <w:t>:</w:t>
      </w:r>
    </w:p>
    <w:p w14:paraId="060E753D" w14:textId="77777777" w:rsidR="007D480F" w:rsidRPr="00177B1F" w:rsidRDefault="007D480F" w:rsidP="007D480F">
      <w:pPr>
        <w:pStyle w:val="ListParagraph"/>
        <w:numPr>
          <w:ilvl w:val="0"/>
          <w:numId w:val="23"/>
        </w:numPr>
        <w:spacing w:after="240" w:line="240" w:lineRule="auto"/>
        <w:contextualSpacing w:val="0"/>
        <w:rPr>
          <w:szCs w:val="22"/>
        </w:rPr>
      </w:pPr>
      <w:r w:rsidRPr="00177B1F">
        <w:rPr>
          <w:szCs w:val="22"/>
        </w:rPr>
        <w:t xml:space="preserve">obtain and verify additional KYC information; or </w:t>
      </w:r>
    </w:p>
    <w:p w14:paraId="73B4496C" w14:textId="77777777" w:rsidR="007D480F" w:rsidRPr="00177B1F" w:rsidRDefault="007D480F" w:rsidP="007D480F">
      <w:pPr>
        <w:pStyle w:val="ListParagraph"/>
        <w:numPr>
          <w:ilvl w:val="0"/>
          <w:numId w:val="23"/>
        </w:numPr>
        <w:spacing w:after="240" w:line="240" w:lineRule="auto"/>
        <w:contextualSpacing w:val="0"/>
        <w:rPr>
          <w:szCs w:val="22"/>
        </w:rPr>
      </w:pPr>
      <w:r w:rsidRPr="00177B1F">
        <w:rPr>
          <w:szCs w:val="22"/>
        </w:rPr>
        <w:t>update and verify existing KYC information;</w:t>
      </w:r>
    </w:p>
    <w:p w14:paraId="6671B123" w14:textId="77777777" w:rsidR="007D480F" w:rsidRDefault="007D480F" w:rsidP="007D480F">
      <w:pPr>
        <w:spacing w:after="240"/>
        <w:ind w:left="720"/>
        <w:rPr>
          <w:szCs w:val="22"/>
        </w:rPr>
      </w:pPr>
      <w:proofErr w:type="gramStart"/>
      <w:r>
        <w:rPr>
          <w:szCs w:val="22"/>
        </w:rPr>
        <w:t>so</w:t>
      </w:r>
      <w:proofErr w:type="gramEnd"/>
      <w:r>
        <w:rPr>
          <w:szCs w:val="22"/>
        </w:rPr>
        <w:t xml:space="preserve"> that </w:t>
      </w:r>
      <w:r w:rsidRPr="00177B1F">
        <w:rPr>
          <w:szCs w:val="22"/>
        </w:rPr>
        <w:t xml:space="preserve">the reporting entity </w:t>
      </w:r>
      <w:r>
        <w:rPr>
          <w:szCs w:val="22"/>
        </w:rPr>
        <w:t>is</w:t>
      </w:r>
      <w:r w:rsidRPr="00177B1F">
        <w:rPr>
          <w:szCs w:val="22"/>
        </w:rPr>
        <w:t xml:space="preserve"> </w:t>
      </w:r>
      <w:r>
        <w:rPr>
          <w:szCs w:val="22"/>
        </w:rPr>
        <w:t xml:space="preserve">reasonably </w:t>
      </w:r>
      <w:r w:rsidRPr="00177B1F">
        <w:rPr>
          <w:szCs w:val="22"/>
        </w:rPr>
        <w:t xml:space="preserve">satisfied that </w:t>
      </w:r>
      <w:r>
        <w:rPr>
          <w:szCs w:val="22"/>
        </w:rPr>
        <w:t>the customer, beneficial owner or person purporting to act on behalf of the customer is the person that the customer, beneficial owner or person purporting to act on behalf of the customer claims to be</w:t>
      </w:r>
      <w:r w:rsidRPr="00177B1F">
        <w:rPr>
          <w:szCs w:val="22"/>
        </w:rPr>
        <w:t>.</w:t>
      </w:r>
    </w:p>
    <w:p w14:paraId="32A58420" w14:textId="77777777" w:rsidR="007D480F" w:rsidRPr="00F079D5" w:rsidRDefault="007D480F" w:rsidP="007D480F">
      <w:pPr>
        <w:ind w:left="1440" w:hanging="720"/>
        <w:rPr>
          <w:color w:val="000000" w:themeColor="text1"/>
          <w:sz w:val="18"/>
          <w:szCs w:val="18"/>
        </w:rPr>
      </w:pPr>
      <w:r>
        <w:rPr>
          <w:color w:val="000000" w:themeColor="text1"/>
          <w:sz w:val="18"/>
          <w:szCs w:val="18"/>
        </w:rPr>
        <w:t>Note</w:t>
      </w:r>
      <w:r w:rsidRPr="00F079D5">
        <w:rPr>
          <w:color w:val="000000" w:themeColor="text1"/>
          <w:sz w:val="18"/>
          <w:szCs w:val="18"/>
        </w:rPr>
        <w:t>:</w:t>
      </w:r>
      <w:r w:rsidRPr="00F079D5">
        <w:rPr>
          <w:color w:val="000000" w:themeColor="text1"/>
          <w:sz w:val="18"/>
          <w:szCs w:val="18"/>
        </w:rPr>
        <w:tab/>
        <w:t>A reporting entity is not required to take any measures that would contravene the tipping off offence in section 123 of the Act.</w:t>
      </w:r>
    </w:p>
    <w:p w14:paraId="12CA957F" w14:textId="77777777" w:rsidR="007D480F" w:rsidRPr="000062B9" w:rsidRDefault="007D480F" w:rsidP="000062B9">
      <w:pPr>
        <w:spacing w:before="240" w:line="240" w:lineRule="auto"/>
        <w:ind w:left="1440" w:hanging="1440"/>
        <w:rPr>
          <w:rFonts w:eastAsia="Times New Roman" w:cs="Times New Roman"/>
          <w:b/>
          <w:sz w:val="24"/>
          <w:szCs w:val="24"/>
        </w:rPr>
      </w:pPr>
      <w:r w:rsidRPr="000062B9">
        <w:rPr>
          <w:rFonts w:eastAsia="Times New Roman" w:cs="Times New Roman"/>
          <w:b/>
          <w:sz w:val="24"/>
          <w:szCs w:val="24"/>
        </w:rPr>
        <w:t>Part 6.2—Verification of identity of pre-commencement customers</w:t>
      </w:r>
    </w:p>
    <w:p w14:paraId="00D5E2C3" w14:textId="2D0D714D" w:rsidR="007D480F" w:rsidRPr="0014595D" w:rsidRDefault="007D480F" w:rsidP="00D41D2D">
      <w:pPr>
        <w:spacing w:before="240" w:after="240"/>
        <w:ind w:left="720" w:hanging="720"/>
        <w:rPr>
          <w:szCs w:val="22"/>
        </w:rPr>
      </w:pPr>
      <w:r>
        <w:rPr>
          <w:szCs w:val="22"/>
        </w:rPr>
        <w:t>6.2</w:t>
      </w:r>
      <w:r w:rsidRPr="00CB1612">
        <w:rPr>
          <w:szCs w:val="22"/>
        </w:rPr>
        <w:t>.1</w:t>
      </w:r>
      <w:r w:rsidRPr="00CB1612">
        <w:rPr>
          <w:szCs w:val="22"/>
        </w:rPr>
        <w:tab/>
        <w:t xml:space="preserve">This Part </w:t>
      </w:r>
      <w:proofErr w:type="gramStart"/>
      <w:r w:rsidRPr="00CB1612">
        <w:rPr>
          <w:szCs w:val="22"/>
        </w:rPr>
        <w:t>is made</w:t>
      </w:r>
      <w:proofErr w:type="gramEnd"/>
      <w:r w:rsidRPr="00CB1612">
        <w:rPr>
          <w:szCs w:val="22"/>
        </w:rPr>
        <w:t xml:space="preserve"> for</w:t>
      </w:r>
      <w:r>
        <w:rPr>
          <w:szCs w:val="22"/>
        </w:rPr>
        <w:t xml:space="preserve"> subsection 29(2) of the Act.</w:t>
      </w:r>
    </w:p>
    <w:p w14:paraId="2868FA1B" w14:textId="77777777" w:rsidR="007D480F" w:rsidRDefault="007D480F" w:rsidP="007D480F">
      <w:pPr>
        <w:tabs>
          <w:tab w:val="left" w:pos="284"/>
          <w:tab w:val="left" w:pos="567"/>
          <w:tab w:val="left" w:pos="709"/>
        </w:tabs>
        <w:spacing w:after="240"/>
        <w:ind w:left="720" w:hanging="720"/>
      </w:pPr>
      <w:r>
        <w:t xml:space="preserve">6.2.2     If a suspicious </w:t>
      </w:r>
      <w:proofErr w:type="gramStart"/>
      <w:r>
        <w:t>matter reporting</w:t>
      </w:r>
      <w:proofErr w:type="gramEnd"/>
      <w:r>
        <w:t xml:space="preserve"> obligation arises for a pre-commencement customer, t</w:t>
      </w:r>
      <w:r w:rsidRPr="003C37E0">
        <w:t xml:space="preserve">he reporting entity must take one or more </w:t>
      </w:r>
      <w:r>
        <w:t>of the following actions as appropriate:</w:t>
      </w:r>
    </w:p>
    <w:p w14:paraId="5E4F982D" w14:textId="77777777" w:rsidR="007D480F" w:rsidRPr="002170D8" w:rsidRDefault="007D480F" w:rsidP="007D480F">
      <w:pPr>
        <w:pStyle w:val="ListParagraph"/>
        <w:numPr>
          <w:ilvl w:val="0"/>
          <w:numId w:val="22"/>
        </w:numPr>
        <w:spacing w:after="240" w:line="240" w:lineRule="auto"/>
        <w:contextualSpacing w:val="0"/>
        <w:rPr>
          <w:szCs w:val="22"/>
        </w:rPr>
      </w:pPr>
      <w:r w:rsidRPr="002170D8">
        <w:rPr>
          <w:szCs w:val="22"/>
        </w:rPr>
        <w:t>carry out the applicable customer identification procedure unless the reporting entity has previously carried out</w:t>
      </w:r>
      <w:r>
        <w:rPr>
          <w:szCs w:val="22"/>
        </w:rPr>
        <w:t>,</w:t>
      </w:r>
      <w:r w:rsidRPr="002170D8">
        <w:rPr>
          <w:szCs w:val="22"/>
        </w:rPr>
        <w:t xml:space="preserve"> or been deemed to have carried out</w:t>
      </w:r>
      <w:r>
        <w:rPr>
          <w:szCs w:val="22"/>
        </w:rPr>
        <w:t>,</w:t>
      </w:r>
      <w:r w:rsidRPr="002170D8">
        <w:rPr>
          <w:szCs w:val="22"/>
        </w:rPr>
        <w:t xml:space="preserve"> that procedure or a comparable procedure;</w:t>
      </w:r>
    </w:p>
    <w:p w14:paraId="2E8DEECC" w14:textId="77777777" w:rsidR="007D480F" w:rsidRPr="002170D8" w:rsidRDefault="007D480F" w:rsidP="007D480F">
      <w:pPr>
        <w:pStyle w:val="ListParagraph"/>
        <w:numPr>
          <w:ilvl w:val="0"/>
          <w:numId w:val="22"/>
        </w:numPr>
        <w:spacing w:after="240" w:line="240" w:lineRule="auto"/>
        <w:contextualSpacing w:val="0"/>
        <w:rPr>
          <w:szCs w:val="22"/>
        </w:rPr>
      </w:pPr>
      <w:r w:rsidRPr="002170D8">
        <w:rPr>
          <w:szCs w:val="22"/>
        </w:rPr>
        <w:t xml:space="preserve">collect additional KYC information </w:t>
      </w:r>
      <w:r>
        <w:rPr>
          <w:szCs w:val="22"/>
        </w:rPr>
        <w:t>about</w:t>
      </w:r>
      <w:r w:rsidRPr="002170D8">
        <w:rPr>
          <w:szCs w:val="22"/>
        </w:rPr>
        <w:t xml:space="preserve"> the customer; </w:t>
      </w:r>
    </w:p>
    <w:p w14:paraId="160ECE3F" w14:textId="77777777" w:rsidR="007D480F" w:rsidRPr="002170D8" w:rsidRDefault="007D480F" w:rsidP="007D480F">
      <w:pPr>
        <w:pStyle w:val="ListParagraph"/>
        <w:numPr>
          <w:ilvl w:val="0"/>
          <w:numId w:val="22"/>
        </w:numPr>
        <w:spacing w:after="240" w:line="240" w:lineRule="auto"/>
        <w:contextualSpacing w:val="0"/>
        <w:rPr>
          <w:szCs w:val="22"/>
        </w:rPr>
      </w:pPr>
      <w:r w:rsidRPr="002170D8">
        <w:rPr>
          <w:szCs w:val="22"/>
        </w:rPr>
        <w:t xml:space="preserve">verify </w:t>
      </w:r>
      <w:r>
        <w:rPr>
          <w:szCs w:val="22"/>
        </w:rPr>
        <w:t xml:space="preserve">the </w:t>
      </w:r>
      <w:r w:rsidRPr="002170D8">
        <w:rPr>
          <w:szCs w:val="22"/>
        </w:rPr>
        <w:t>KYC information</w:t>
      </w:r>
      <w:r>
        <w:rPr>
          <w:szCs w:val="22"/>
        </w:rPr>
        <w:t xml:space="preserve"> obtained under subparagraph (2) </w:t>
      </w:r>
      <w:r w:rsidRPr="002170D8">
        <w:rPr>
          <w:szCs w:val="22"/>
        </w:rPr>
        <w:t>from reliable and independent sources;</w:t>
      </w:r>
    </w:p>
    <w:p w14:paraId="510AFAF6" w14:textId="77777777" w:rsidR="007D480F" w:rsidRDefault="007D480F" w:rsidP="007D480F">
      <w:pPr>
        <w:spacing w:after="240"/>
        <w:ind w:left="720"/>
      </w:pPr>
      <w:proofErr w:type="gramStart"/>
      <w:r>
        <w:rPr>
          <w:szCs w:val="22"/>
        </w:rPr>
        <w:t>so</w:t>
      </w:r>
      <w:proofErr w:type="gramEnd"/>
      <w:r>
        <w:rPr>
          <w:szCs w:val="22"/>
        </w:rPr>
        <w:t xml:space="preserve"> that </w:t>
      </w:r>
      <w:r w:rsidRPr="003C37E0">
        <w:t xml:space="preserve">the reporting entity </w:t>
      </w:r>
      <w:r>
        <w:t>is</w:t>
      </w:r>
      <w:r w:rsidRPr="003C37E0">
        <w:t xml:space="preserve"> reasonably satisfied that the customer is the person that </w:t>
      </w:r>
      <w:r>
        <w:t>the customer</w:t>
      </w:r>
      <w:r w:rsidRPr="003C37E0">
        <w:t xml:space="preserve"> claims to be.</w:t>
      </w:r>
    </w:p>
    <w:p w14:paraId="2D4A926D" w14:textId="569A787D" w:rsidR="007D480F" w:rsidRDefault="007D480F" w:rsidP="007D480F">
      <w:pPr>
        <w:tabs>
          <w:tab w:val="left" w:pos="284"/>
          <w:tab w:val="left" w:pos="567"/>
          <w:tab w:val="left" w:pos="709"/>
        </w:tabs>
        <w:spacing w:after="240"/>
        <w:ind w:left="720" w:hanging="720"/>
      </w:pPr>
      <w:r>
        <w:t xml:space="preserve">6.2.3     The reporting entity must take the required action or actions as soon as practicable after the day on which the suspicious </w:t>
      </w:r>
      <w:proofErr w:type="gramStart"/>
      <w:r>
        <w:t>matter reporting</w:t>
      </w:r>
      <w:proofErr w:type="gramEnd"/>
      <w:r>
        <w:t xml:space="preserve"> obligation arose.</w:t>
      </w:r>
    </w:p>
    <w:p w14:paraId="20E01805" w14:textId="77777777" w:rsidR="007D480F" w:rsidRPr="00F079D5" w:rsidRDefault="007D480F" w:rsidP="00D41D2D">
      <w:pPr>
        <w:spacing w:after="240"/>
        <w:ind w:left="1440" w:hanging="720"/>
        <w:rPr>
          <w:color w:val="000000" w:themeColor="text1"/>
          <w:sz w:val="18"/>
          <w:szCs w:val="18"/>
        </w:rPr>
      </w:pPr>
      <w:r>
        <w:rPr>
          <w:color w:val="000000" w:themeColor="text1"/>
          <w:sz w:val="18"/>
          <w:szCs w:val="18"/>
        </w:rPr>
        <w:t>Note</w:t>
      </w:r>
      <w:r w:rsidRPr="00F079D5">
        <w:rPr>
          <w:color w:val="000000" w:themeColor="text1"/>
          <w:sz w:val="18"/>
          <w:szCs w:val="18"/>
        </w:rPr>
        <w:t>:</w:t>
      </w:r>
      <w:r w:rsidRPr="00F079D5">
        <w:rPr>
          <w:color w:val="000000" w:themeColor="text1"/>
          <w:sz w:val="18"/>
          <w:szCs w:val="18"/>
        </w:rPr>
        <w:tab/>
        <w:t>A reporting entity is not required to take any measures that would contravene the tipping off offence in section 123 of the Act.</w:t>
      </w:r>
    </w:p>
    <w:p w14:paraId="1C2CDA94" w14:textId="77777777" w:rsidR="007D480F" w:rsidRPr="00627958" w:rsidRDefault="007D480F" w:rsidP="007D480F">
      <w:pPr>
        <w:spacing w:after="240"/>
        <w:rPr>
          <w:b/>
          <w:bCs/>
          <w:sz w:val="24"/>
        </w:rPr>
      </w:pPr>
      <w:r w:rsidRPr="00627958">
        <w:rPr>
          <w:b/>
          <w:bCs/>
          <w:sz w:val="24"/>
        </w:rPr>
        <w:t>Part 6.3—Verification of identity of low-risk service customers</w:t>
      </w:r>
    </w:p>
    <w:p w14:paraId="7FCA205A" w14:textId="77777777" w:rsidR="007D480F" w:rsidRPr="007B0701" w:rsidRDefault="007D480F" w:rsidP="007D480F">
      <w:pPr>
        <w:spacing w:after="240"/>
        <w:ind w:left="720" w:hanging="720"/>
        <w:rPr>
          <w:szCs w:val="22"/>
        </w:rPr>
      </w:pPr>
      <w:r>
        <w:rPr>
          <w:szCs w:val="22"/>
        </w:rPr>
        <w:t>6.3</w:t>
      </w:r>
      <w:r w:rsidRPr="00CB1612">
        <w:rPr>
          <w:szCs w:val="22"/>
        </w:rPr>
        <w:t>.1</w:t>
      </w:r>
      <w:r w:rsidRPr="00CB1612">
        <w:rPr>
          <w:szCs w:val="22"/>
        </w:rPr>
        <w:tab/>
        <w:t xml:space="preserve">This Part </w:t>
      </w:r>
      <w:proofErr w:type="gramStart"/>
      <w:r w:rsidRPr="00CB1612">
        <w:rPr>
          <w:szCs w:val="22"/>
        </w:rPr>
        <w:t>is made</w:t>
      </w:r>
      <w:proofErr w:type="gramEnd"/>
      <w:r w:rsidRPr="00CB1612">
        <w:rPr>
          <w:szCs w:val="22"/>
        </w:rPr>
        <w:t xml:space="preserve"> for</w:t>
      </w:r>
      <w:r>
        <w:rPr>
          <w:szCs w:val="22"/>
        </w:rPr>
        <w:t xml:space="preserve"> subsection 31(2) of the Act.</w:t>
      </w:r>
    </w:p>
    <w:p w14:paraId="08480C91" w14:textId="77777777" w:rsidR="007D480F" w:rsidRPr="003C37E0" w:rsidRDefault="007D480F" w:rsidP="007D480F">
      <w:pPr>
        <w:spacing w:after="240"/>
        <w:ind w:left="720" w:hanging="720"/>
      </w:pPr>
      <w:r w:rsidRPr="003C37E0">
        <w:lastRenderedPageBreak/>
        <w:t>6.</w:t>
      </w:r>
      <w:r>
        <w:t>3</w:t>
      </w:r>
      <w:r w:rsidRPr="003C37E0">
        <w:t>.</w:t>
      </w:r>
      <w:r>
        <w:t>2</w:t>
      </w:r>
      <w:r w:rsidRPr="003C37E0">
        <w:t xml:space="preserve"> </w:t>
      </w:r>
      <w:r>
        <w:t xml:space="preserve">    If a suspicious matter obligation arises for a low-risk service customer, t</w:t>
      </w:r>
      <w:r w:rsidRPr="003C37E0">
        <w:t>he reporting entity must take one or more of the</w:t>
      </w:r>
      <w:r>
        <w:t xml:space="preserve"> following</w:t>
      </w:r>
      <w:r w:rsidRPr="003C37E0">
        <w:t xml:space="preserve"> actions </w:t>
      </w:r>
      <w:r>
        <w:t>as appropriate</w:t>
      </w:r>
      <w:r w:rsidRPr="003C37E0">
        <w:t>:</w:t>
      </w:r>
    </w:p>
    <w:p w14:paraId="4F16D17E" w14:textId="77777777" w:rsidR="007D480F" w:rsidRPr="002170D8" w:rsidRDefault="007D480F" w:rsidP="007D480F">
      <w:pPr>
        <w:pStyle w:val="ListParagraph"/>
        <w:numPr>
          <w:ilvl w:val="0"/>
          <w:numId w:val="24"/>
        </w:numPr>
        <w:spacing w:after="240" w:line="240" w:lineRule="auto"/>
        <w:contextualSpacing w:val="0"/>
        <w:rPr>
          <w:szCs w:val="22"/>
        </w:rPr>
      </w:pPr>
      <w:r w:rsidRPr="002170D8">
        <w:rPr>
          <w:szCs w:val="22"/>
        </w:rPr>
        <w:t>carry out the applicable customer identification procedure unless the reporting entity has previously carried out</w:t>
      </w:r>
      <w:r>
        <w:rPr>
          <w:szCs w:val="22"/>
        </w:rPr>
        <w:t>,</w:t>
      </w:r>
      <w:r w:rsidRPr="002170D8">
        <w:rPr>
          <w:szCs w:val="22"/>
        </w:rPr>
        <w:t xml:space="preserve"> or been deemed to have carried out</w:t>
      </w:r>
      <w:r>
        <w:rPr>
          <w:szCs w:val="22"/>
        </w:rPr>
        <w:t>,</w:t>
      </w:r>
      <w:r w:rsidRPr="002170D8">
        <w:rPr>
          <w:szCs w:val="22"/>
        </w:rPr>
        <w:t xml:space="preserve"> that procedure or a comparable procedure;</w:t>
      </w:r>
    </w:p>
    <w:p w14:paraId="396FBF2B" w14:textId="77777777" w:rsidR="007D480F" w:rsidRPr="002170D8" w:rsidRDefault="007D480F" w:rsidP="007D480F">
      <w:pPr>
        <w:pStyle w:val="ListParagraph"/>
        <w:numPr>
          <w:ilvl w:val="0"/>
          <w:numId w:val="24"/>
        </w:numPr>
        <w:spacing w:after="240" w:line="240" w:lineRule="auto"/>
        <w:contextualSpacing w:val="0"/>
        <w:rPr>
          <w:szCs w:val="22"/>
        </w:rPr>
      </w:pPr>
      <w:r w:rsidRPr="002170D8">
        <w:rPr>
          <w:szCs w:val="22"/>
        </w:rPr>
        <w:t xml:space="preserve">collect additional KYC information </w:t>
      </w:r>
      <w:r>
        <w:rPr>
          <w:szCs w:val="22"/>
        </w:rPr>
        <w:t>about</w:t>
      </w:r>
      <w:r w:rsidRPr="002170D8">
        <w:rPr>
          <w:szCs w:val="22"/>
        </w:rPr>
        <w:t xml:space="preserve"> the customer; </w:t>
      </w:r>
    </w:p>
    <w:p w14:paraId="0F0599C9" w14:textId="77777777" w:rsidR="007D480F" w:rsidRPr="002170D8" w:rsidRDefault="007D480F" w:rsidP="007D480F">
      <w:pPr>
        <w:pStyle w:val="ListParagraph"/>
        <w:numPr>
          <w:ilvl w:val="0"/>
          <w:numId w:val="24"/>
        </w:numPr>
        <w:spacing w:after="240" w:line="240" w:lineRule="auto"/>
        <w:contextualSpacing w:val="0"/>
        <w:rPr>
          <w:szCs w:val="22"/>
        </w:rPr>
      </w:pPr>
      <w:r w:rsidRPr="002170D8">
        <w:rPr>
          <w:szCs w:val="22"/>
        </w:rPr>
        <w:t xml:space="preserve">verify </w:t>
      </w:r>
      <w:r>
        <w:rPr>
          <w:szCs w:val="22"/>
        </w:rPr>
        <w:t xml:space="preserve">the </w:t>
      </w:r>
      <w:r w:rsidRPr="002170D8">
        <w:rPr>
          <w:szCs w:val="22"/>
        </w:rPr>
        <w:t>KYC information</w:t>
      </w:r>
      <w:r>
        <w:rPr>
          <w:szCs w:val="22"/>
        </w:rPr>
        <w:t xml:space="preserve"> obtained under subparagraph (2) </w:t>
      </w:r>
      <w:r w:rsidRPr="002170D8">
        <w:rPr>
          <w:szCs w:val="22"/>
        </w:rPr>
        <w:t>from reliable and independent sources;</w:t>
      </w:r>
    </w:p>
    <w:p w14:paraId="64E95A3B" w14:textId="77777777" w:rsidR="007D480F" w:rsidRDefault="007D480F" w:rsidP="007D480F">
      <w:pPr>
        <w:spacing w:after="240"/>
        <w:ind w:left="709"/>
        <w:rPr>
          <w:szCs w:val="22"/>
        </w:rPr>
      </w:pPr>
      <w:proofErr w:type="gramStart"/>
      <w:r>
        <w:rPr>
          <w:szCs w:val="22"/>
        </w:rPr>
        <w:t>so</w:t>
      </w:r>
      <w:proofErr w:type="gramEnd"/>
      <w:r>
        <w:rPr>
          <w:szCs w:val="22"/>
        </w:rPr>
        <w:t xml:space="preserve"> that</w:t>
      </w:r>
      <w:r w:rsidRPr="002170D8">
        <w:rPr>
          <w:szCs w:val="22"/>
        </w:rPr>
        <w:t xml:space="preserve"> the reporting entity </w:t>
      </w:r>
      <w:r>
        <w:rPr>
          <w:szCs w:val="22"/>
        </w:rPr>
        <w:t>is</w:t>
      </w:r>
      <w:r w:rsidRPr="002170D8">
        <w:rPr>
          <w:szCs w:val="22"/>
        </w:rPr>
        <w:t xml:space="preserve"> reasonably satisfied that the customer is the person that </w:t>
      </w:r>
      <w:r>
        <w:rPr>
          <w:szCs w:val="22"/>
        </w:rPr>
        <w:t>the customer</w:t>
      </w:r>
      <w:r w:rsidRPr="002170D8">
        <w:rPr>
          <w:szCs w:val="22"/>
        </w:rPr>
        <w:t xml:space="preserve"> claims to be.</w:t>
      </w:r>
    </w:p>
    <w:p w14:paraId="67377BB2" w14:textId="77777777" w:rsidR="007D480F" w:rsidRPr="00234F4D" w:rsidRDefault="007D480F" w:rsidP="007D480F">
      <w:pPr>
        <w:tabs>
          <w:tab w:val="left" w:pos="284"/>
          <w:tab w:val="left" w:pos="567"/>
          <w:tab w:val="left" w:pos="709"/>
        </w:tabs>
        <w:spacing w:after="240"/>
        <w:ind w:left="720" w:hanging="720"/>
      </w:pPr>
      <w:r>
        <w:t xml:space="preserve">6.3.3     The reporting entity must take the required action or actions as soon as practicable after the day on which the suspicious </w:t>
      </w:r>
      <w:proofErr w:type="gramStart"/>
      <w:r>
        <w:t>matter reporting</w:t>
      </w:r>
      <w:proofErr w:type="gramEnd"/>
      <w:r>
        <w:t xml:space="preserve"> obligation arose.</w:t>
      </w:r>
    </w:p>
    <w:p w14:paraId="56915BF1" w14:textId="75755A7F" w:rsidR="007D480F" w:rsidRDefault="007D480F" w:rsidP="007D480F">
      <w:pPr>
        <w:ind w:left="1440" w:hanging="720"/>
        <w:rPr>
          <w:color w:val="000000" w:themeColor="text1"/>
          <w:sz w:val="18"/>
          <w:szCs w:val="18"/>
        </w:rPr>
      </w:pPr>
      <w:r>
        <w:rPr>
          <w:color w:val="000000" w:themeColor="text1"/>
          <w:sz w:val="18"/>
          <w:szCs w:val="18"/>
        </w:rPr>
        <w:t>Note</w:t>
      </w:r>
      <w:r w:rsidRPr="00F079D5">
        <w:rPr>
          <w:color w:val="000000" w:themeColor="text1"/>
          <w:sz w:val="18"/>
          <w:szCs w:val="18"/>
        </w:rPr>
        <w:t>:</w:t>
      </w:r>
      <w:r w:rsidRPr="00F079D5">
        <w:rPr>
          <w:color w:val="000000" w:themeColor="text1"/>
          <w:sz w:val="18"/>
          <w:szCs w:val="18"/>
        </w:rPr>
        <w:tab/>
        <w:t>A reporting entity is not required to take any measures that would contravene the tipping off offence in section 123 of the Act.</w:t>
      </w:r>
    </w:p>
    <w:p w14:paraId="01294A09" w14:textId="21204C5F" w:rsidR="00A309A8" w:rsidRDefault="00A309A8" w:rsidP="00A309A8">
      <w:pPr>
        <w:pStyle w:val="ItemHead"/>
      </w:pPr>
      <w:proofErr w:type="gramStart"/>
      <w:r>
        <w:t>3  Chapter</w:t>
      </w:r>
      <w:proofErr w:type="gramEnd"/>
      <w:r>
        <w:t xml:space="preserve"> </w:t>
      </w:r>
      <w:r w:rsidR="00B1719A">
        <w:t>7</w:t>
      </w:r>
    </w:p>
    <w:p w14:paraId="786D2462" w14:textId="11AC8D3D" w:rsidR="00B1719A" w:rsidRDefault="00A309A8" w:rsidP="00272CE3">
      <w:pPr>
        <w:pStyle w:val="Item"/>
      </w:pPr>
      <w:r w:rsidRPr="00AC2C51">
        <w:t xml:space="preserve">Repeal </w:t>
      </w:r>
      <w:r w:rsidR="00787BFB">
        <w:t>the chapter</w:t>
      </w:r>
      <w:r w:rsidRPr="00AC2C51">
        <w:t>, substitute:</w:t>
      </w:r>
    </w:p>
    <w:p w14:paraId="0C1EDCD7" w14:textId="7209AE35" w:rsidR="00A309A8" w:rsidRPr="00A309A8" w:rsidRDefault="00A309A8" w:rsidP="00D41D2D">
      <w:pPr>
        <w:keepNext/>
        <w:tabs>
          <w:tab w:val="left" w:pos="2410"/>
        </w:tabs>
        <w:spacing w:before="220" w:after="360" w:line="240" w:lineRule="auto"/>
        <w:ind w:left="2410" w:hanging="2410"/>
        <w:rPr>
          <w:rFonts w:ascii="Arial" w:eastAsia="Times New Roman" w:hAnsi="Arial" w:cs="Arial"/>
          <w:b/>
          <w:sz w:val="32"/>
          <w:szCs w:val="32"/>
          <w:lang w:eastAsia="en-AU"/>
        </w:rPr>
      </w:pPr>
      <w:r w:rsidRPr="00A309A8">
        <w:rPr>
          <w:rFonts w:ascii="Arial" w:eastAsia="Times New Roman" w:hAnsi="Arial" w:cs="Arial"/>
          <w:b/>
          <w:sz w:val="32"/>
          <w:szCs w:val="32"/>
          <w:lang w:eastAsia="en-AU"/>
        </w:rPr>
        <w:t>CHAPTER 7</w:t>
      </w:r>
      <w:r w:rsidRPr="00A309A8">
        <w:rPr>
          <w:rFonts w:ascii="Arial" w:eastAsia="Times New Roman" w:hAnsi="Arial" w:cs="Arial"/>
          <w:b/>
          <w:sz w:val="32"/>
          <w:szCs w:val="32"/>
          <w:lang w:eastAsia="en-AU"/>
        </w:rPr>
        <w:tab/>
        <w:t>Reliance on third parties</w:t>
      </w:r>
    </w:p>
    <w:p w14:paraId="170AC9CC" w14:textId="77777777" w:rsidR="00A309A8" w:rsidRPr="00A309A8" w:rsidRDefault="00A309A8" w:rsidP="00A309A8">
      <w:pPr>
        <w:spacing w:before="240" w:line="240" w:lineRule="auto"/>
        <w:ind w:left="1440" w:hanging="1440"/>
        <w:rPr>
          <w:rFonts w:eastAsia="Times New Roman" w:cs="Times New Roman"/>
          <w:b/>
          <w:sz w:val="24"/>
          <w:szCs w:val="24"/>
        </w:rPr>
      </w:pPr>
      <w:r w:rsidRPr="00A309A8">
        <w:rPr>
          <w:rFonts w:eastAsia="Times New Roman" w:cs="Times New Roman"/>
          <w:b/>
          <w:sz w:val="24"/>
          <w:szCs w:val="24"/>
        </w:rPr>
        <w:t>Part 7.1—Reliance</w:t>
      </w:r>
    </w:p>
    <w:p w14:paraId="13EC589A" w14:textId="77777777" w:rsidR="00A309A8" w:rsidRPr="00A309A8" w:rsidRDefault="00A309A8" w:rsidP="00A309A8">
      <w:pPr>
        <w:spacing w:before="240" w:line="240" w:lineRule="auto"/>
        <w:ind w:left="851" w:hanging="851"/>
        <w:rPr>
          <w:rFonts w:eastAsia="Times New Roman" w:cs="Times New Roman"/>
          <w:color w:val="FF0000"/>
          <w:szCs w:val="24"/>
          <w:lang w:eastAsia="en-AU"/>
        </w:rPr>
      </w:pPr>
      <w:r w:rsidRPr="00A309A8">
        <w:rPr>
          <w:rFonts w:eastAsia="Times New Roman" w:cs="Times New Roman"/>
          <w:szCs w:val="24"/>
          <w:lang w:eastAsia="en-AU"/>
        </w:rPr>
        <w:t xml:space="preserve">7.1.1 </w:t>
      </w:r>
      <w:r w:rsidRPr="00A309A8">
        <w:rPr>
          <w:rFonts w:eastAsia="Times New Roman" w:cs="Times New Roman"/>
          <w:szCs w:val="24"/>
          <w:lang w:eastAsia="en-AU"/>
        </w:rPr>
        <w:tab/>
        <w:t xml:space="preserve">This Part is made for paragraphs </w:t>
      </w:r>
      <w:proofErr w:type="gramStart"/>
      <w:r w:rsidRPr="00A309A8">
        <w:rPr>
          <w:rFonts w:eastAsia="Times New Roman" w:cs="Times New Roman"/>
          <w:szCs w:val="24"/>
          <w:lang w:eastAsia="en-AU"/>
        </w:rPr>
        <w:t>37A(</w:t>
      </w:r>
      <w:proofErr w:type="gramEnd"/>
      <w:r w:rsidRPr="00A309A8">
        <w:rPr>
          <w:rFonts w:eastAsia="Times New Roman" w:cs="Times New Roman"/>
          <w:szCs w:val="24"/>
          <w:lang w:eastAsia="en-AU"/>
        </w:rPr>
        <w:t>1)(a) and 38(b) of the Act.</w:t>
      </w:r>
    </w:p>
    <w:p w14:paraId="6D0FB5FA" w14:textId="77777777" w:rsidR="00A309A8" w:rsidRPr="00A309A8" w:rsidRDefault="00A309A8" w:rsidP="00A309A8">
      <w:pPr>
        <w:spacing w:before="240" w:line="240" w:lineRule="auto"/>
        <w:rPr>
          <w:rFonts w:eastAsia="Times New Roman" w:cs="Times New Roman"/>
          <w:i/>
          <w:szCs w:val="24"/>
          <w:lang w:eastAsia="en-AU"/>
        </w:rPr>
      </w:pPr>
      <w:r w:rsidRPr="00A309A8">
        <w:rPr>
          <w:rFonts w:eastAsia="Times New Roman" w:cs="Times New Roman"/>
          <w:i/>
          <w:szCs w:val="24"/>
          <w:lang w:eastAsia="en-AU"/>
        </w:rPr>
        <w:t xml:space="preserve">Other procedures that </w:t>
      </w:r>
      <w:proofErr w:type="gramStart"/>
      <w:r w:rsidRPr="00A309A8">
        <w:rPr>
          <w:rFonts w:eastAsia="Times New Roman" w:cs="Times New Roman"/>
          <w:i/>
          <w:szCs w:val="24"/>
          <w:lang w:eastAsia="en-AU"/>
        </w:rPr>
        <w:t>may be relied on</w:t>
      </w:r>
      <w:proofErr w:type="gramEnd"/>
      <w:r w:rsidRPr="00A309A8">
        <w:rPr>
          <w:rFonts w:eastAsia="Times New Roman" w:cs="Times New Roman"/>
          <w:i/>
          <w:szCs w:val="24"/>
          <w:lang w:eastAsia="en-AU"/>
        </w:rPr>
        <w:t xml:space="preserve"> for customer identification</w:t>
      </w:r>
    </w:p>
    <w:p w14:paraId="0EC53434" w14:textId="77777777"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t>7.1.2</w:t>
      </w:r>
      <w:r w:rsidRPr="00A309A8">
        <w:rPr>
          <w:rFonts w:eastAsia="Times New Roman" w:cs="Times New Roman"/>
          <w:szCs w:val="24"/>
          <w:lang w:eastAsia="en-AU"/>
        </w:rPr>
        <w:tab/>
        <w:t xml:space="preserve">The procedures in paragraph 7.1.3 </w:t>
      </w:r>
      <w:proofErr w:type="gramStart"/>
      <w:r w:rsidRPr="00A309A8">
        <w:rPr>
          <w:rFonts w:eastAsia="Times New Roman" w:cs="Times New Roman"/>
          <w:szCs w:val="24"/>
          <w:lang w:eastAsia="en-AU"/>
        </w:rPr>
        <w:t>are prescribed</w:t>
      </w:r>
      <w:proofErr w:type="gramEnd"/>
      <w:r w:rsidRPr="00A309A8">
        <w:rPr>
          <w:rFonts w:eastAsia="Times New Roman" w:cs="Times New Roman"/>
          <w:szCs w:val="24"/>
          <w:lang w:eastAsia="en-AU"/>
        </w:rPr>
        <w:t>.</w:t>
      </w:r>
    </w:p>
    <w:p w14:paraId="3E707673" w14:textId="44EAE4F6"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t>7.1.3</w:t>
      </w:r>
      <w:r w:rsidRPr="00A309A8">
        <w:rPr>
          <w:rFonts w:eastAsia="Times New Roman" w:cs="Times New Roman"/>
          <w:szCs w:val="24"/>
          <w:lang w:eastAsia="en-AU"/>
        </w:rPr>
        <w:tab/>
        <w:t xml:space="preserve">Customer due diligence procedures (however described) that comply with one or more laws of a foreign country </w:t>
      </w:r>
      <w:r w:rsidR="009F0D4C">
        <w:rPr>
          <w:rFonts w:eastAsia="Times New Roman" w:cs="Times New Roman"/>
          <w:szCs w:val="24"/>
          <w:lang w:eastAsia="en-AU"/>
        </w:rPr>
        <w:t>giving</w:t>
      </w:r>
      <w:r w:rsidRPr="00A309A8">
        <w:rPr>
          <w:rFonts w:eastAsia="Times New Roman" w:cs="Times New Roman"/>
          <w:szCs w:val="24"/>
          <w:lang w:eastAsia="en-AU"/>
        </w:rPr>
        <w:t xml:space="preserve"> effect to the FATF Recommendations relating to customer due diligence and record-keeping and require the other person to:</w:t>
      </w:r>
    </w:p>
    <w:p w14:paraId="7B7CDF28" w14:textId="77777777" w:rsidR="00A309A8" w:rsidRPr="00A309A8" w:rsidRDefault="00A309A8" w:rsidP="00A309A8">
      <w:pPr>
        <w:spacing w:before="240" w:line="240" w:lineRule="auto"/>
        <w:ind w:left="1418" w:hanging="567"/>
        <w:rPr>
          <w:rFonts w:eastAsia="Times New Roman" w:cs="Times New Roman"/>
          <w:szCs w:val="24"/>
          <w:lang w:eastAsia="en-AU"/>
        </w:rPr>
      </w:pPr>
      <w:r w:rsidRPr="00A309A8">
        <w:rPr>
          <w:rFonts w:eastAsia="Times New Roman" w:cs="Times New Roman"/>
          <w:szCs w:val="24"/>
          <w:lang w:eastAsia="en-AU"/>
        </w:rPr>
        <w:t>(1)</w:t>
      </w:r>
      <w:r w:rsidRPr="00A309A8">
        <w:rPr>
          <w:rFonts w:eastAsia="Times New Roman" w:cs="Times New Roman"/>
          <w:szCs w:val="24"/>
          <w:lang w:eastAsia="en-AU"/>
        </w:rPr>
        <w:tab/>
        <w:t>identify the customer and verify the customer’s identity using reliable and independent sources, so that the other person is satisfied that it knows who the customer is; and</w:t>
      </w:r>
    </w:p>
    <w:p w14:paraId="008A0961" w14:textId="77777777" w:rsidR="00A309A8" w:rsidRPr="00A309A8" w:rsidRDefault="00A309A8" w:rsidP="00A309A8">
      <w:pPr>
        <w:spacing w:before="240" w:line="240" w:lineRule="auto"/>
        <w:ind w:left="1418" w:hanging="567"/>
        <w:rPr>
          <w:rFonts w:eastAsia="Times New Roman" w:cs="Times New Roman"/>
          <w:szCs w:val="24"/>
          <w:lang w:eastAsia="en-AU"/>
        </w:rPr>
      </w:pPr>
      <w:r w:rsidRPr="00A309A8">
        <w:rPr>
          <w:rFonts w:eastAsia="Times New Roman" w:cs="Times New Roman"/>
          <w:szCs w:val="24"/>
          <w:lang w:eastAsia="en-AU"/>
        </w:rPr>
        <w:t>(2)</w:t>
      </w:r>
      <w:r w:rsidRPr="00A309A8">
        <w:rPr>
          <w:rFonts w:eastAsia="Times New Roman" w:cs="Times New Roman"/>
          <w:szCs w:val="24"/>
          <w:lang w:eastAsia="en-AU"/>
        </w:rPr>
        <w:tab/>
        <w:t>identify the beneficial owner of the customer and take reasonable measures to verify the identity of the beneficial owner, so that the other person is satisfied that it knows who the beneficial owner is; and</w:t>
      </w:r>
    </w:p>
    <w:p w14:paraId="4A968DDA" w14:textId="77777777" w:rsidR="00A309A8" w:rsidRPr="00A309A8" w:rsidRDefault="00A309A8" w:rsidP="00A309A8">
      <w:pPr>
        <w:spacing w:before="240" w:line="240" w:lineRule="auto"/>
        <w:ind w:left="1418" w:hanging="567"/>
        <w:rPr>
          <w:rFonts w:eastAsia="Times New Roman" w:cs="Times New Roman"/>
          <w:szCs w:val="24"/>
          <w:lang w:eastAsia="en-AU"/>
        </w:rPr>
      </w:pPr>
      <w:r w:rsidRPr="00A309A8">
        <w:rPr>
          <w:rFonts w:eastAsia="Times New Roman" w:cs="Times New Roman"/>
          <w:szCs w:val="24"/>
          <w:lang w:eastAsia="en-AU"/>
        </w:rPr>
        <w:t>(3)</w:t>
      </w:r>
      <w:r w:rsidRPr="00A309A8">
        <w:rPr>
          <w:rFonts w:eastAsia="Times New Roman" w:cs="Times New Roman"/>
          <w:szCs w:val="24"/>
          <w:lang w:eastAsia="en-AU"/>
        </w:rPr>
        <w:tab/>
      </w:r>
      <w:proofErr w:type="gramStart"/>
      <w:r w:rsidRPr="00A309A8">
        <w:rPr>
          <w:rFonts w:eastAsia="Times New Roman" w:cs="Times New Roman"/>
          <w:szCs w:val="24"/>
          <w:lang w:eastAsia="en-AU"/>
        </w:rPr>
        <w:t>identify</w:t>
      </w:r>
      <w:proofErr w:type="gramEnd"/>
      <w:r w:rsidRPr="00A309A8">
        <w:rPr>
          <w:rFonts w:eastAsia="Times New Roman" w:cs="Times New Roman"/>
          <w:szCs w:val="24"/>
          <w:lang w:eastAsia="en-AU"/>
        </w:rPr>
        <w:t xml:space="preserve"> a person acting on behalf of the customer and take reasonable steps to verify the person’s identity and authority to act on behalf of the customer, so that the other person is satisfied that it knows who the person is and that the person has authority to act on behalf of the customer.</w:t>
      </w:r>
    </w:p>
    <w:p w14:paraId="0CCCC635" w14:textId="77777777" w:rsidR="00A309A8" w:rsidRPr="00A309A8" w:rsidRDefault="00A309A8" w:rsidP="00A309A8">
      <w:pPr>
        <w:shd w:val="clear" w:color="auto" w:fill="FFFFFF"/>
        <w:spacing w:before="122" w:line="240" w:lineRule="auto"/>
        <w:ind w:left="2269" w:hanging="851"/>
        <w:rPr>
          <w:rFonts w:eastAsia="Times New Roman" w:cs="Times New Roman"/>
          <w:color w:val="000000"/>
          <w:sz w:val="18"/>
          <w:szCs w:val="18"/>
          <w:lang w:eastAsia="en-AU"/>
        </w:rPr>
      </w:pPr>
      <w:r w:rsidRPr="00A309A8">
        <w:rPr>
          <w:rFonts w:eastAsia="Times New Roman" w:cs="Times New Roman"/>
          <w:color w:val="000000"/>
          <w:sz w:val="18"/>
          <w:szCs w:val="18"/>
          <w:lang w:eastAsia="en-AU"/>
        </w:rPr>
        <w:t xml:space="preserve">Note 1:       </w:t>
      </w:r>
      <w:r w:rsidRPr="00A309A8">
        <w:rPr>
          <w:rFonts w:eastAsia="Times New Roman" w:cs="Times New Roman"/>
          <w:b/>
          <w:i/>
          <w:color w:val="000000"/>
          <w:sz w:val="18"/>
          <w:szCs w:val="18"/>
          <w:lang w:eastAsia="en-AU"/>
        </w:rPr>
        <w:t xml:space="preserve">Country </w:t>
      </w:r>
      <w:r w:rsidRPr="00A309A8">
        <w:rPr>
          <w:rFonts w:eastAsia="Times New Roman" w:cs="Times New Roman"/>
          <w:color w:val="000000"/>
          <w:sz w:val="18"/>
          <w:szCs w:val="18"/>
          <w:lang w:eastAsia="en-AU"/>
        </w:rPr>
        <w:t xml:space="preserve">has meaning given by </w:t>
      </w:r>
      <w:r w:rsidRPr="00A309A8">
        <w:rPr>
          <w:rFonts w:eastAsia="Times New Roman" w:cs="Times New Roman"/>
          <w:sz w:val="18"/>
          <w:szCs w:val="18"/>
          <w:lang w:eastAsia="en-AU"/>
        </w:rPr>
        <w:t>section 5 of the Act.</w:t>
      </w:r>
    </w:p>
    <w:p w14:paraId="26DC8E50" w14:textId="77777777" w:rsidR="00A309A8" w:rsidRPr="00A309A8" w:rsidRDefault="00A309A8" w:rsidP="00A309A8">
      <w:pPr>
        <w:shd w:val="clear" w:color="auto" w:fill="FFFFFF"/>
        <w:spacing w:before="122" w:line="240" w:lineRule="auto"/>
        <w:ind w:left="2269" w:hanging="851"/>
        <w:rPr>
          <w:rFonts w:eastAsia="Times New Roman" w:cs="Times New Roman"/>
          <w:color w:val="000000"/>
          <w:sz w:val="18"/>
          <w:szCs w:val="18"/>
          <w:lang w:eastAsia="en-AU"/>
        </w:rPr>
      </w:pPr>
      <w:r w:rsidRPr="00A309A8">
        <w:rPr>
          <w:rFonts w:eastAsia="Times New Roman" w:cs="Times New Roman"/>
          <w:color w:val="000000"/>
          <w:sz w:val="18"/>
          <w:szCs w:val="18"/>
          <w:lang w:eastAsia="en-AU"/>
        </w:rPr>
        <w:lastRenderedPageBreak/>
        <w:t xml:space="preserve">Note 2:       A foreign country may include a region or regions. These regions may have a different risk profile to each other or the rest of the foreign country.  </w:t>
      </w:r>
    </w:p>
    <w:p w14:paraId="764C493C" w14:textId="77777777" w:rsidR="00A309A8" w:rsidRPr="00A309A8" w:rsidRDefault="00A309A8" w:rsidP="00A309A8">
      <w:pPr>
        <w:spacing w:before="240" w:line="240" w:lineRule="auto"/>
        <w:ind w:left="1440" w:hanging="1440"/>
        <w:rPr>
          <w:rFonts w:eastAsia="Times New Roman" w:cs="Times New Roman"/>
          <w:b/>
          <w:sz w:val="24"/>
          <w:szCs w:val="24"/>
        </w:rPr>
      </w:pPr>
      <w:r w:rsidRPr="00A309A8">
        <w:rPr>
          <w:rFonts w:eastAsia="Times New Roman" w:cs="Times New Roman"/>
          <w:b/>
          <w:sz w:val="24"/>
          <w:szCs w:val="24"/>
        </w:rPr>
        <w:t>Part 7.2—Ongoing reliance under an agreement or arrangement</w:t>
      </w:r>
    </w:p>
    <w:p w14:paraId="67A26926" w14:textId="77777777" w:rsidR="00A309A8" w:rsidRPr="00A309A8" w:rsidRDefault="00A309A8" w:rsidP="00A309A8">
      <w:pPr>
        <w:spacing w:before="240" w:line="240" w:lineRule="auto"/>
        <w:ind w:left="851" w:hanging="851"/>
        <w:rPr>
          <w:rFonts w:eastAsia="Times New Roman" w:cs="Times New Roman"/>
          <w:color w:val="FF0000"/>
          <w:szCs w:val="24"/>
          <w:lang w:eastAsia="en-AU"/>
        </w:rPr>
      </w:pPr>
      <w:r w:rsidRPr="00A309A8">
        <w:rPr>
          <w:rFonts w:eastAsia="Times New Roman" w:cs="Times New Roman"/>
          <w:szCs w:val="24"/>
          <w:lang w:eastAsia="en-AU"/>
        </w:rPr>
        <w:t xml:space="preserve">7.2.1 </w:t>
      </w:r>
      <w:r w:rsidRPr="00A309A8">
        <w:rPr>
          <w:rFonts w:eastAsia="Times New Roman" w:cs="Times New Roman"/>
          <w:szCs w:val="24"/>
          <w:lang w:eastAsia="en-AU"/>
        </w:rPr>
        <w:tab/>
        <w:t xml:space="preserve">This Part is made for paragraph </w:t>
      </w:r>
      <w:proofErr w:type="gramStart"/>
      <w:r w:rsidRPr="00A309A8">
        <w:rPr>
          <w:rFonts w:eastAsia="Times New Roman" w:cs="Times New Roman"/>
          <w:szCs w:val="24"/>
          <w:lang w:eastAsia="en-AU"/>
        </w:rPr>
        <w:t>37A(</w:t>
      </w:r>
      <w:proofErr w:type="gramEnd"/>
      <w:r w:rsidRPr="00A309A8">
        <w:rPr>
          <w:rFonts w:eastAsia="Times New Roman" w:cs="Times New Roman"/>
          <w:szCs w:val="24"/>
          <w:lang w:eastAsia="en-AU"/>
        </w:rPr>
        <w:t>1)(b) and subsection 37B(1) of the Act.</w:t>
      </w:r>
    </w:p>
    <w:p w14:paraId="5CA8B570" w14:textId="77777777" w:rsidR="00A309A8" w:rsidRPr="00A309A8" w:rsidRDefault="00A309A8" w:rsidP="00A309A8">
      <w:pPr>
        <w:spacing w:before="240" w:line="240" w:lineRule="auto"/>
        <w:rPr>
          <w:rFonts w:eastAsia="Times New Roman" w:cs="Times New Roman"/>
          <w:i/>
          <w:szCs w:val="24"/>
          <w:lang w:eastAsia="en-AU"/>
        </w:rPr>
      </w:pPr>
      <w:r w:rsidRPr="00A309A8">
        <w:rPr>
          <w:rFonts w:eastAsia="Times New Roman" w:cs="Times New Roman"/>
          <w:i/>
          <w:szCs w:val="24"/>
          <w:lang w:eastAsia="en-AU"/>
        </w:rPr>
        <w:t>Requirements relating to agreements or arrangements for reliance</w:t>
      </w:r>
    </w:p>
    <w:p w14:paraId="4F457356" w14:textId="77777777"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t>7.2.2</w:t>
      </w:r>
      <w:r w:rsidRPr="00A309A8">
        <w:rPr>
          <w:rFonts w:eastAsia="Times New Roman" w:cs="Times New Roman"/>
          <w:szCs w:val="24"/>
          <w:lang w:eastAsia="en-AU"/>
        </w:rPr>
        <w:tab/>
        <w:t xml:space="preserve">The following requirements </w:t>
      </w:r>
      <w:proofErr w:type="gramStart"/>
      <w:r w:rsidRPr="00A309A8">
        <w:rPr>
          <w:rFonts w:eastAsia="Times New Roman" w:cs="Times New Roman"/>
          <w:szCs w:val="24"/>
          <w:lang w:eastAsia="en-AU"/>
        </w:rPr>
        <w:t>are prescribed</w:t>
      </w:r>
      <w:proofErr w:type="gramEnd"/>
      <w:r w:rsidRPr="00A309A8">
        <w:rPr>
          <w:rFonts w:eastAsia="Times New Roman" w:cs="Times New Roman"/>
          <w:szCs w:val="24"/>
          <w:lang w:eastAsia="en-AU"/>
        </w:rPr>
        <w:t>:</w:t>
      </w:r>
    </w:p>
    <w:p w14:paraId="3666886E"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4"/>
          <w:lang w:eastAsia="en-AU"/>
        </w:rPr>
        <w:t>(1)</w:t>
      </w:r>
      <w:r w:rsidRPr="00A309A8">
        <w:rPr>
          <w:rFonts w:eastAsia="Times New Roman" w:cs="Times New Roman"/>
          <w:szCs w:val="24"/>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written agreement or arrangement must: </w:t>
      </w:r>
    </w:p>
    <w:p w14:paraId="168CA3CD" w14:textId="77777777"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r w:rsidRPr="00A309A8">
        <w:rPr>
          <w:rFonts w:eastAsia="Times New Roman" w:cs="Times New Roman"/>
          <w:szCs w:val="22"/>
          <w:lang w:eastAsia="en-AU"/>
        </w:rPr>
        <w:t>(a)</w:t>
      </w:r>
      <w:r w:rsidRPr="00A309A8">
        <w:rPr>
          <w:rFonts w:eastAsia="Times New Roman" w:cs="Times New Roman"/>
          <w:szCs w:val="22"/>
          <w:lang w:eastAsia="en-AU"/>
        </w:rPr>
        <w:tab/>
      </w:r>
      <w:proofErr w:type="gramStart"/>
      <w:r w:rsidRPr="00A309A8">
        <w:rPr>
          <w:rFonts w:eastAsia="Times New Roman" w:cs="Times New Roman"/>
          <w:szCs w:val="22"/>
          <w:lang w:eastAsia="en-AU"/>
        </w:rPr>
        <w:t>document</w:t>
      </w:r>
      <w:proofErr w:type="gramEnd"/>
      <w:r w:rsidRPr="00A309A8">
        <w:rPr>
          <w:rFonts w:eastAsia="Times New Roman" w:cs="Times New Roman"/>
          <w:szCs w:val="22"/>
          <w:lang w:eastAsia="en-AU"/>
        </w:rPr>
        <w:t xml:space="preserve"> the responsibilities of the first entity and the other person; and</w:t>
      </w:r>
    </w:p>
    <w:p w14:paraId="2C74C006" w14:textId="77777777" w:rsidR="00A309A8" w:rsidRPr="00A309A8" w:rsidRDefault="00A309A8" w:rsidP="00A309A8">
      <w:pPr>
        <w:numPr>
          <w:ilvl w:val="12"/>
          <w:numId w:val="0"/>
        </w:numPr>
        <w:spacing w:before="240" w:line="240" w:lineRule="auto"/>
        <w:ind w:left="1985" w:hanging="567"/>
        <w:rPr>
          <w:rFonts w:eastAsia="Times New Roman" w:cs="Times New Roman"/>
          <w:szCs w:val="22"/>
          <w:lang w:val="en" w:eastAsia="en-AU"/>
        </w:rPr>
      </w:pPr>
      <w:r w:rsidRPr="00A309A8">
        <w:rPr>
          <w:rFonts w:eastAsia="Times New Roman" w:cs="Times New Roman"/>
          <w:szCs w:val="22"/>
          <w:lang w:eastAsia="en-AU"/>
        </w:rPr>
        <w:t>(b)</w:t>
      </w:r>
      <w:r w:rsidRPr="00A309A8">
        <w:rPr>
          <w:rFonts w:eastAsia="Times New Roman" w:cs="Times New Roman"/>
          <w:szCs w:val="22"/>
          <w:lang w:eastAsia="en-AU"/>
        </w:rPr>
        <w:tab/>
      </w:r>
      <w:proofErr w:type="gramStart"/>
      <w:r w:rsidRPr="00A309A8">
        <w:rPr>
          <w:rFonts w:eastAsia="Times New Roman" w:cs="Times New Roman"/>
          <w:szCs w:val="22"/>
          <w:lang w:eastAsia="en-AU"/>
        </w:rPr>
        <w:t>enable</w:t>
      </w:r>
      <w:proofErr w:type="gramEnd"/>
      <w:r w:rsidRPr="00A309A8">
        <w:rPr>
          <w:rFonts w:eastAsia="Times New Roman" w:cs="Times New Roman"/>
          <w:szCs w:val="22"/>
          <w:lang w:eastAsia="en-AU"/>
        </w:rPr>
        <w:t xml:space="preserve"> the first entity to obtain </w:t>
      </w:r>
      <w:r w:rsidRPr="00A309A8">
        <w:rPr>
          <w:rFonts w:eastAsia="Times New Roman" w:cs="Times New Roman"/>
          <w:szCs w:val="22"/>
          <w:lang w:val="en" w:eastAsia="en-AU"/>
        </w:rPr>
        <w:t>all required KYC information relating to the identity of:</w:t>
      </w:r>
    </w:p>
    <w:p w14:paraId="15F763C6" w14:textId="77777777" w:rsidR="00A309A8" w:rsidRPr="00A309A8" w:rsidRDefault="00A309A8" w:rsidP="009F0D4C">
      <w:pPr>
        <w:numPr>
          <w:ilvl w:val="1"/>
          <w:numId w:val="25"/>
        </w:numPr>
        <w:spacing w:before="240" w:line="240" w:lineRule="auto"/>
        <w:ind w:left="2552" w:hanging="567"/>
        <w:rPr>
          <w:rFonts w:eastAsia="Times New Roman" w:cs="Times New Roman"/>
          <w:szCs w:val="22"/>
          <w:lang w:eastAsia="en-AU"/>
        </w:rPr>
      </w:pPr>
      <w:r w:rsidRPr="00A309A8">
        <w:rPr>
          <w:rFonts w:eastAsia="Times New Roman" w:cs="Times New Roman"/>
          <w:szCs w:val="22"/>
          <w:lang w:eastAsia="en-AU"/>
        </w:rPr>
        <w:t>the customer; and</w:t>
      </w:r>
    </w:p>
    <w:p w14:paraId="4EBB623E" w14:textId="77777777" w:rsidR="00A309A8" w:rsidRPr="00A309A8" w:rsidRDefault="00A309A8" w:rsidP="00A309A8">
      <w:pPr>
        <w:numPr>
          <w:ilvl w:val="1"/>
          <w:numId w:val="25"/>
        </w:numPr>
        <w:spacing w:before="240" w:line="240" w:lineRule="auto"/>
        <w:ind w:left="2552" w:hanging="567"/>
        <w:rPr>
          <w:rFonts w:eastAsia="Times New Roman" w:cs="Times New Roman"/>
          <w:szCs w:val="22"/>
          <w:lang w:eastAsia="en-AU"/>
        </w:rPr>
      </w:pPr>
      <w:r w:rsidRPr="00A309A8">
        <w:rPr>
          <w:rFonts w:eastAsia="Times New Roman" w:cs="Times New Roman"/>
          <w:szCs w:val="22"/>
          <w:lang w:eastAsia="en-AU"/>
        </w:rPr>
        <w:t>the beneficial owner of the customer (if any); and</w:t>
      </w:r>
    </w:p>
    <w:p w14:paraId="05B4D106" w14:textId="77777777" w:rsidR="00A309A8" w:rsidRPr="00A309A8" w:rsidRDefault="00A309A8" w:rsidP="00A309A8">
      <w:pPr>
        <w:numPr>
          <w:ilvl w:val="1"/>
          <w:numId w:val="25"/>
        </w:numPr>
        <w:spacing w:before="240" w:line="240" w:lineRule="auto"/>
        <w:ind w:left="2552" w:hanging="567"/>
        <w:rPr>
          <w:rFonts w:eastAsia="Times New Roman" w:cs="Times New Roman"/>
          <w:szCs w:val="22"/>
          <w:lang w:eastAsia="en-AU"/>
        </w:rPr>
      </w:pPr>
      <w:r w:rsidRPr="00A309A8">
        <w:rPr>
          <w:rFonts w:eastAsia="Times New Roman" w:cs="Times New Roman"/>
          <w:szCs w:val="22"/>
          <w:lang w:eastAsia="en-AU"/>
        </w:rPr>
        <w:t>a person acting on behalf of the customer (if any);</w:t>
      </w:r>
    </w:p>
    <w:p w14:paraId="04C38742" w14:textId="77777777" w:rsidR="00A309A8" w:rsidRPr="00A309A8" w:rsidRDefault="00A309A8" w:rsidP="00A309A8">
      <w:pPr>
        <w:numPr>
          <w:ilvl w:val="12"/>
          <w:numId w:val="0"/>
        </w:numPr>
        <w:spacing w:before="240" w:line="240" w:lineRule="auto"/>
        <w:ind w:left="1985"/>
        <w:rPr>
          <w:rFonts w:eastAsia="Times New Roman" w:cs="Times New Roman"/>
          <w:szCs w:val="22"/>
          <w:lang w:eastAsia="en-AU"/>
        </w:rPr>
      </w:pPr>
      <w:proofErr w:type="gramStart"/>
      <w:r w:rsidRPr="00A309A8">
        <w:rPr>
          <w:rFonts w:eastAsia="Times New Roman" w:cs="Times New Roman"/>
          <w:szCs w:val="22"/>
          <w:lang w:val="en" w:eastAsia="en-AU"/>
        </w:rPr>
        <w:t>before</w:t>
      </w:r>
      <w:proofErr w:type="gramEnd"/>
      <w:r w:rsidRPr="00A309A8">
        <w:rPr>
          <w:rFonts w:eastAsia="Times New Roman" w:cs="Times New Roman"/>
          <w:szCs w:val="22"/>
          <w:lang w:val="en" w:eastAsia="en-AU"/>
        </w:rPr>
        <w:t xml:space="preserve"> commencing to provide a designated service to the customer; and</w:t>
      </w:r>
    </w:p>
    <w:p w14:paraId="5C28ABAB" w14:textId="13FC8731"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proofErr w:type="gramStart"/>
      <w:r w:rsidRPr="00A309A8">
        <w:rPr>
          <w:rFonts w:eastAsia="Times New Roman" w:cs="Times New Roman"/>
          <w:szCs w:val="22"/>
          <w:lang w:eastAsia="en-AU"/>
        </w:rPr>
        <w:t>(c)</w:t>
      </w:r>
      <w:r w:rsidRPr="00A309A8">
        <w:rPr>
          <w:rFonts w:eastAsia="Times New Roman" w:cs="Times New Roman"/>
          <w:szCs w:val="22"/>
          <w:lang w:eastAsia="en-AU"/>
        </w:rPr>
        <w:tab/>
        <w:t xml:space="preserve">enable the first entity to obtain a record of the applicable customer identification procedures or the other procedures (as specified in </w:t>
      </w:r>
      <w:r w:rsidR="009F0D4C">
        <w:rPr>
          <w:rFonts w:eastAsia="Times New Roman" w:cs="Times New Roman"/>
          <w:szCs w:val="22"/>
          <w:lang w:eastAsia="en-AU"/>
        </w:rPr>
        <w:t xml:space="preserve">this </w:t>
      </w:r>
      <w:r w:rsidRPr="00A309A8">
        <w:rPr>
          <w:rFonts w:eastAsia="Times New Roman" w:cs="Times New Roman"/>
          <w:szCs w:val="22"/>
          <w:lang w:eastAsia="en-AU"/>
        </w:rPr>
        <w:t>paragraph) carried out by the other person to verify the identity of the customer, the beneficial owner of the customer or a person acting on behalf of the customer, and all relevant documents, data and information obtained by the other person in the course of carrying out those procedures (</w:t>
      </w:r>
      <w:r w:rsidRPr="00A309A8">
        <w:rPr>
          <w:rFonts w:eastAsia="Times New Roman" w:cs="Times New Roman"/>
          <w:b/>
          <w:i/>
          <w:szCs w:val="22"/>
          <w:lang w:eastAsia="en-AU"/>
        </w:rPr>
        <w:t>verification information</w:t>
      </w:r>
      <w:r w:rsidRPr="00A309A8">
        <w:rPr>
          <w:rFonts w:eastAsia="Times New Roman" w:cs="Times New Roman"/>
          <w:szCs w:val="22"/>
          <w:lang w:eastAsia="en-AU"/>
        </w:rPr>
        <w:t>):</w:t>
      </w:r>
      <w:proofErr w:type="gramEnd"/>
    </w:p>
    <w:p w14:paraId="1F4E9DE8" w14:textId="700E0D5E" w:rsidR="00A309A8" w:rsidRPr="00A309A8" w:rsidRDefault="00A309A8" w:rsidP="0043498B">
      <w:pPr>
        <w:numPr>
          <w:ilvl w:val="0"/>
          <w:numId w:val="33"/>
        </w:numPr>
        <w:spacing w:before="240" w:line="240" w:lineRule="auto"/>
        <w:ind w:left="2552" w:hanging="567"/>
        <w:rPr>
          <w:rFonts w:eastAsia="Times New Roman" w:cs="Times New Roman"/>
          <w:szCs w:val="22"/>
          <w:lang w:eastAsia="en-AU"/>
        </w:rPr>
      </w:pPr>
      <w:r w:rsidRPr="00A309A8">
        <w:rPr>
          <w:rFonts w:eastAsia="Times New Roman" w:cs="Times New Roman"/>
          <w:szCs w:val="22"/>
          <w:lang w:eastAsia="en-AU"/>
        </w:rPr>
        <w:t xml:space="preserve">immediately, in accordance with terms of the agreement or arrangement relating to the management of relevant documents and electronic data relating to identification and verification; or </w:t>
      </w:r>
    </w:p>
    <w:p w14:paraId="260C9E81" w14:textId="4B9F933B" w:rsidR="00A309A8" w:rsidRPr="00A309A8" w:rsidRDefault="00A309A8" w:rsidP="0043498B">
      <w:pPr>
        <w:numPr>
          <w:ilvl w:val="0"/>
          <w:numId w:val="33"/>
        </w:numPr>
        <w:spacing w:before="240" w:line="240" w:lineRule="auto"/>
        <w:ind w:left="2552" w:hanging="567"/>
        <w:rPr>
          <w:rFonts w:eastAsia="Times New Roman" w:cs="Times New Roman"/>
          <w:szCs w:val="22"/>
          <w:lang w:eastAsia="en-AU"/>
        </w:rPr>
      </w:pPr>
      <w:r w:rsidRPr="00A309A8">
        <w:rPr>
          <w:rFonts w:eastAsia="Times New Roman" w:cs="Times New Roman"/>
          <w:szCs w:val="22"/>
          <w:lang w:eastAsia="en-AU"/>
        </w:rPr>
        <w:t>as soon as practicable following a request from the first entity to the other person;</w:t>
      </w:r>
      <w:r w:rsidR="009F0D4C">
        <w:rPr>
          <w:rFonts w:eastAsia="Times New Roman" w:cs="Times New Roman"/>
          <w:szCs w:val="22"/>
          <w:lang w:eastAsia="en-AU"/>
        </w:rPr>
        <w:t xml:space="preserve"> and</w:t>
      </w:r>
    </w:p>
    <w:p w14:paraId="4D2990CE" w14:textId="77777777"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r w:rsidRPr="00A309A8">
        <w:rPr>
          <w:rFonts w:eastAsia="Times New Roman" w:cs="Times New Roman"/>
          <w:szCs w:val="22"/>
          <w:lang w:eastAsia="en-AU"/>
        </w:rPr>
        <w:t>(d)</w:t>
      </w:r>
      <w:r w:rsidRPr="00A309A8">
        <w:rPr>
          <w:rFonts w:eastAsia="Times New Roman" w:cs="Times New Roman"/>
          <w:szCs w:val="22"/>
          <w:lang w:eastAsia="en-AU"/>
        </w:rPr>
        <w:tab/>
      </w:r>
      <w:proofErr w:type="gramStart"/>
      <w:r w:rsidRPr="00A309A8">
        <w:rPr>
          <w:rFonts w:eastAsia="Times New Roman" w:cs="Times New Roman"/>
          <w:szCs w:val="22"/>
          <w:lang w:eastAsia="en-AU"/>
        </w:rPr>
        <w:t>be</w:t>
      </w:r>
      <w:proofErr w:type="gramEnd"/>
      <w:r w:rsidRPr="00A309A8">
        <w:rPr>
          <w:rFonts w:eastAsia="Times New Roman" w:cs="Times New Roman"/>
          <w:szCs w:val="22"/>
          <w:lang w:eastAsia="en-AU"/>
        </w:rPr>
        <w:t xml:space="preserve"> approved by the governing board or a senior managing official of the first entity; </w:t>
      </w:r>
    </w:p>
    <w:p w14:paraId="4EA515C9" w14:textId="77777777" w:rsidR="00A309A8" w:rsidRPr="00A309A8" w:rsidRDefault="00A309A8" w:rsidP="00A309A8">
      <w:pPr>
        <w:spacing w:before="240" w:line="240" w:lineRule="auto"/>
        <w:ind w:left="1418" w:hanging="567"/>
        <w:rPr>
          <w:rFonts w:eastAsia="Times New Roman" w:cs="Times New Roman"/>
          <w:szCs w:val="24"/>
          <w:lang w:eastAsia="en-AU"/>
        </w:rPr>
      </w:pPr>
      <w:r w:rsidRPr="00A309A8">
        <w:rPr>
          <w:rFonts w:eastAsia="Times New Roman" w:cs="Times New Roman"/>
          <w:szCs w:val="22"/>
          <w:lang w:eastAsia="en-AU"/>
        </w:rPr>
        <w:t>(2)</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first entity must determine: </w:t>
      </w:r>
    </w:p>
    <w:p w14:paraId="2E41AFE4" w14:textId="77777777"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r w:rsidRPr="00A309A8">
        <w:rPr>
          <w:rFonts w:eastAsia="Times New Roman" w:cs="Times New Roman"/>
          <w:sz w:val="24"/>
          <w:szCs w:val="24"/>
          <w:lang w:eastAsia="en-AU"/>
        </w:rPr>
        <w:t>(a)</w:t>
      </w:r>
      <w:r w:rsidRPr="00A309A8">
        <w:rPr>
          <w:rFonts w:eastAsia="Times New Roman" w:cs="Times New Roman"/>
          <w:sz w:val="24"/>
          <w:szCs w:val="24"/>
          <w:lang w:eastAsia="en-AU"/>
        </w:rPr>
        <w:tab/>
      </w:r>
      <w:r w:rsidRPr="00A309A8">
        <w:rPr>
          <w:rFonts w:eastAsia="Times New Roman" w:cs="Times New Roman"/>
          <w:szCs w:val="22"/>
          <w:lang w:eastAsia="en-AU"/>
        </w:rPr>
        <w:t>the type and level of money laundering, financing of terrorism or other serious crime risks that the first entity may reasonably be expected to face in its provision of designated services; and</w:t>
      </w:r>
    </w:p>
    <w:p w14:paraId="29057893" w14:textId="77777777"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r w:rsidRPr="00A309A8">
        <w:rPr>
          <w:rFonts w:eastAsia="Times New Roman" w:cs="Times New Roman"/>
          <w:szCs w:val="22"/>
          <w:lang w:eastAsia="en-AU"/>
        </w:rPr>
        <w:lastRenderedPageBreak/>
        <w:t>(b)</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nature, size, and complexity of the other person’s business, including its products, services, delivery channels, and customer types; and</w:t>
      </w:r>
    </w:p>
    <w:p w14:paraId="51EF6276" w14:textId="77777777" w:rsidR="00A309A8" w:rsidRPr="00A309A8" w:rsidRDefault="00A309A8" w:rsidP="00A309A8">
      <w:pPr>
        <w:numPr>
          <w:ilvl w:val="12"/>
          <w:numId w:val="0"/>
        </w:numPr>
        <w:spacing w:before="240" w:line="240" w:lineRule="auto"/>
        <w:ind w:left="1985" w:hanging="567"/>
        <w:rPr>
          <w:rFonts w:eastAsia="Times New Roman" w:cs="Times New Roman"/>
          <w:szCs w:val="22"/>
          <w:highlight w:val="yellow"/>
          <w:lang w:eastAsia="en-AU"/>
        </w:rPr>
      </w:pPr>
      <w:r w:rsidRPr="00A309A8">
        <w:rPr>
          <w:rFonts w:eastAsia="Times New Roman" w:cs="Times New Roman"/>
          <w:szCs w:val="22"/>
          <w:lang w:eastAsia="en-AU"/>
        </w:rPr>
        <w:t>(c)</w:t>
      </w:r>
      <w:r w:rsidRPr="00A309A8">
        <w:rPr>
          <w:rFonts w:eastAsia="Times New Roman" w:cs="Times New Roman"/>
          <w:szCs w:val="22"/>
          <w:lang w:eastAsia="en-AU"/>
        </w:rPr>
        <w:tab/>
        <w:t xml:space="preserve">the level of money laundering, financing of terrorism or other serious crime risks in the country or countries in which the other person operates or resides; </w:t>
      </w:r>
    </w:p>
    <w:p w14:paraId="67A13882"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(3)</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other person must be:</w:t>
      </w:r>
    </w:p>
    <w:p w14:paraId="2F01C5CB" w14:textId="77777777"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r w:rsidRPr="00A309A8">
        <w:rPr>
          <w:rFonts w:eastAsia="Times New Roman" w:cs="Times New Roman"/>
          <w:szCs w:val="22"/>
          <w:lang w:eastAsia="en-AU"/>
        </w:rPr>
        <w:t xml:space="preserve">(a)     </w:t>
      </w:r>
      <w:proofErr w:type="gramStart"/>
      <w:r w:rsidRPr="00A309A8">
        <w:rPr>
          <w:rFonts w:eastAsia="Times New Roman" w:cs="Times New Roman"/>
          <w:szCs w:val="22"/>
          <w:lang w:eastAsia="en-AU"/>
        </w:rPr>
        <w:t>a</w:t>
      </w:r>
      <w:proofErr w:type="gramEnd"/>
      <w:r w:rsidRPr="00A309A8">
        <w:rPr>
          <w:rFonts w:eastAsia="Times New Roman" w:cs="Times New Roman"/>
          <w:szCs w:val="22"/>
          <w:lang w:eastAsia="en-AU"/>
        </w:rPr>
        <w:t xml:space="preserve"> reporting entity; or</w:t>
      </w:r>
    </w:p>
    <w:p w14:paraId="720DCC2B" w14:textId="461CE36C" w:rsidR="00A309A8" w:rsidRPr="00A309A8" w:rsidRDefault="00A309A8" w:rsidP="00A309A8">
      <w:pPr>
        <w:numPr>
          <w:ilvl w:val="12"/>
          <w:numId w:val="0"/>
        </w:numPr>
        <w:spacing w:before="240" w:line="240" w:lineRule="auto"/>
        <w:ind w:left="1985" w:hanging="567"/>
        <w:rPr>
          <w:rFonts w:eastAsia="Times New Roman" w:cs="Times New Roman"/>
          <w:szCs w:val="22"/>
          <w:lang w:eastAsia="en-AU"/>
        </w:rPr>
      </w:pPr>
      <w:r w:rsidRPr="00A309A8">
        <w:rPr>
          <w:rFonts w:eastAsia="Times New Roman" w:cs="Times New Roman"/>
          <w:szCs w:val="22"/>
          <w:lang w:eastAsia="en-AU"/>
        </w:rPr>
        <w:t xml:space="preserve">(b)     a foreign entity regulated by one or more laws of a foreign country </w:t>
      </w:r>
      <w:r w:rsidR="009F0D4C">
        <w:rPr>
          <w:rFonts w:eastAsia="Times New Roman" w:cs="Times New Roman"/>
          <w:szCs w:val="22"/>
          <w:lang w:eastAsia="en-AU"/>
        </w:rPr>
        <w:t xml:space="preserve">giving </w:t>
      </w:r>
      <w:r w:rsidRPr="00A309A8">
        <w:rPr>
          <w:rFonts w:eastAsia="Times New Roman" w:cs="Times New Roman"/>
          <w:szCs w:val="22"/>
          <w:lang w:eastAsia="en-AU"/>
        </w:rPr>
        <w:t>effect to the FATF Recommendations relating to customer due diligence and record-keeping (</w:t>
      </w:r>
      <w:r w:rsidRPr="00A309A8">
        <w:rPr>
          <w:rFonts w:eastAsia="Times New Roman" w:cs="Times New Roman"/>
          <w:b/>
          <w:i/>
          <w:szCs w:val="22"/>
          <w:lang w:eastAsia="en-AU"/>
        </w:rPr>
        <w:t>equivalent CDD and record-keeping obligations</w:t>
      </w:r>
      <w:r w:rsidRPr="00A309A8">
        <w:rPr>
          <w:rFonts w:eastAsia="Times New Roman" w:cs="Times New Roman"/>
          <w:szCs w:val="22"/>
          <w:lang w:eastAsia="en-AU"/>
        </w:rPr>
        <w:t xml:space="preserve">); </w:t>
      </w:r>
    </w:p>
    <w:p w14:paraId="165E7C25"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(4)</w:t>
      </w:r>
      <w:r w:rsidRPr="00A309A8">
        <w:rPr>
          <w:rFonts w:eastAsia="Times New Roman" w:cs="Times New Roman"/>
          <w:szCs w:val="22"/>
          <w:lang w:eastAsia="en-AU"/>
        </w:rPr>
        <w:tab/>
      </w:r>
      <w:proofErr w:type="gramStart"/>
      <w:r w:rsidRPr="00A309A8">
        <w:rPr>
          <w:rFonts w:eastAsia="Times New Roman" w:cs="Times New Roman"/>
          <w:szCs w:val="22"/>
          <w:lang w:eastAsia="en-AU"/>
        </w:rPr>
        <w:t>if</w:t>
      </w:r>
      <w:proofErr w:type="gramEnd"/>
      <w:r w:rsidRPr="00A309A8">
        <w:rPr>
          <w:rFonts w:eastAsia="Times New Roman" w:cs="Times New Roman"/>
          <w:szCs w:val="22"/>
          <w:lang w:eastAsia="en-AU"/>
        </w:rPr>
        <w:t xml:space="preserve"> the other person is a reporting entity, the other person must have measures in place to comply with their obligations under Parts 2 and 10 of the Act; </w:t>
      </w:r>
    </w:p>
    <w:p w14:paraId="41CD47EC"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(5)</w:t>
      </w:r>
      <w:r w:rsidRPr="00A309A8">
        <w:rPr>
          <w:rFonts w:eastAsia="Times New Roman" w:cs="Times New Roman"/>
          <w:szCs w:val="22"/>
          <w:lang w:eastAsia="en-AU"/>
        </w:rPr>
        <w:tab/>
      </w:r>
      <w:proofErr w:type="gramStart"/>
      <w:r w:rsidRPr="00A309A8">
        <w:rPr>
          <w:rFonts w:eastAsia="Times New Roman" w:cs="Times New Roman"/>
          <w:szCs w:val="22"/>
          <w:lang w:eastAsia="en-AU"/>
        </w:rPr>
        <w:t>if</w:t>
      </w:r>
      <w:proofErr w:type="gramEnd"/>
      <w:r w:rsidRPr="00A309A8">
        <w:rPr>
          <w:rFonts w:eastAsia="Times New Roman" w:cs="Times New Roman"/>
          <w:szCs w:val="22"/>
          <w:lang w:eastAsia="en-AU"/>
        </w:rPr>
        <w:t xml:space="preserve"> the other person is a foreign entity, the other person must have measures in place to comply with the equivalent CDD and record-keeping obligations. </w:t>
      </w:r>
    </w:p>
    <w:p w14:paraId="7B4CF036" w14:textId="4C88788B" w:rsidR="00A309A8" w:rsidRPr="0043498B" w:rsidRDefault="00A309A8" w:rsidP="0043498B">
      <w:pPr>
        <w:spacing w:before="240" w:line="240" w:lineRule="auto"/>
        <w:ind w:left="1441" w:hanging="590"/>
        <w:rPr>
          <w:rFonts w:eastAsia="Times New Roman" w:cs="Times New Roman"/>
          <w:sz w:val="18"/>
          <w:szCs w:val="18"/>
          <w:lang w:eastAsia="en-AU"/>
        </w:rPr>
      </w:pPr>
      <w:r w:rsidRPr="009F0D4C">
        <w:rPr>
          <w:rFonts w:eastAsia="Times New Roman" w:cs="Times New Roman"/>
          <w:sz w:val="18"/>
          <w:szCs w:val="18"/>
          <w:lang w:eastAsia="en-AU"/>
        </w:rPr>
        <w:t xml:space="preserve">Note: </w:t>
      </w:r>
      <w:r w:rsidRPr="009F0D4C">
        <w:rPr>
          <w:rFonts w:eastAsia="Times New Roman" w:cs="Times New Roman"/>
          <w:sz w:val="18"/>
          <w:szCs w:val="18"/>
          <w:lang w:eastAsia="en-AU"/>
        </w:rPr>
        <w:tab/>
        <w:t xml:space="preserve">Paragraph 37A(2)(d) and section 32 require the first entity to obtain the KYC information referred to in </w:t>
      </w:r>
      <w:r w:rsidR="009F0D4C">
        <w:rPr>
          <w:rFonts w:eastAsia="Times New Roman" w:cs="Times New Roman"/>
          <w:sz w:val="18"/>
          <w:szCs w:val="18"/>
          <w:lang w:eastAsia="en-AU"/>
        </w:rPr>
        <w:t>subparagraph</w:t>
      </w:r>
      <w:r w:rsidR="009F0D4C" w:rsidRPr="009F0D4C">
        <w:rPr>
          <w:rFonts w:eastAsia="Times New Roman" w:cs="Times New Roman"/>
          <w:sz w:val="18"/>
          <w:szCs w:val="18"/>
          <w:lang w:eastAsia="en-AU"/>
        </w:rPr>
        <w:t xml:space="preserve"> </w:t>
      </w:r>
      <w:r w:rsidRPr="009F0D4C">
        <w:rPr>
          <w:rFonts w:eastAsia="Times New Roman" w:cs="Times New Roman"/>
          <w:sz w:val="18"/>
          <w:szCs w:val="18"/>
          <w:lang w:eastAsia="en-AU"/>
        </w:rPr>
        <w:t>7.2.2(1)(b) from the other person before commencing to provide a designated service.</w:t>
      </w:r>
    </w:p>
    <w:p w14:paraId="51A852C2" w14:textId="77777777" w:rsidR="00A309A8" w:rsidRPr="00A309A8" w:rsidRDefault="00A309A8" w:rsidP="00A309A8">
      <w:pPr>
        <w:spacing w:before="240" w:line="240" w:lineRule="auto"/>
        <w:ind w:left="851" w:hanging="851"/>
        <w:rPr>
          <w:rFonts w:eastAsia="Times New Roman" w:cs="Times New Roman"/>
          <w:i/>
          <w:szCs w:val="24"/>
          <w:lang w:eastAsia="en-AU"/>
        </w:rPr>
      </w:pPr>
      <w:r w:rsidRPr="00A309A8">
        <w:rPr>
          <w:rFonts w:eastAsia="Times New Roman" w:cs="Times New Roman"/>
          <w:i/>
          <w:szCs w:val="22"/>
          <w:lang w:eastAsia="en-AU"/>
        </w:rPr>
        <w:t>Regular assessmen</w:t>
      </w:r>
      <w:r w:rsidRPr="00A309A8">
        <w:rPr>
          <w:rFonts w:eastAsia="Times New Roman" w:cs="Times New Roman"/>
          <w:i/>
          <w:szCs w:val="24"/>
          <w:lang w:eastAsia="en-AU"/>
        </w:rPr>
        <w:t>ts of agreements or arrangements for reliance</w:t>
      </w:r>
    </w:p>
    <w:p w14:paraId="417BC228" w14:textId="77777777"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t>7.2.3</w:t>
      </w:r>
      <w:r w:rsidRPr="00A309A8">
        <w:rPr>
          <w:rFonts w:eastAsia="Times New Roman" w:cs="Times New Roman"/>
          <w:szCs w:val="24"/>
          <w:lang w:eastAsia="en-AU"/>
        </w:rPr>
        <w:tab/>
        <w:t>The first entity must carry out regular assessments of the requirements prescribed by paragraph 7.2.2 to ensure that the other person is continuing to meet those requirements.</w:t>
      </w:r>
    </w:p>
    <w:p w14:paraId="43D43EAA" w14:textId="77777777"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t>7.2.4</w:t>
      </w:r>
      <w:r w:rsidRPr="00A309A8">
        <w:rPr>
          <w:rFonts w:eastAsia="Times New Roman" w:cs="Times New Roman"/>
          <w:szCs w:val="24"/>
          <w:lang w:eastAsia="en-AU"/>
        </w:rPr>
        <w:tab/>
        <w:t xml:space="preserve">The assessments </w:t>
      </w:r>
      <w:proofErr w:type="gramStart"/>
      <w:r w:rsidRPr="00A309A8">
        <w:rPr>
          <w:rFonts w:eastAsia="Times New Roman" w:cs="Times New Roman"/>
          <w:szCs w:val="24"/>
          <w:lang w:eastAsia="en-AU"/>
        </w:rPr>
        <w:t>must be carried out</w:t>
      </w:r>
      <w:proofErr w:type="gramEnd"/>
      <w:r w:rsidRPr="00A309A8">
        <w:rPr>
          <w:rFonts w:eastAsia="Times New Roman" w:cs="Times New Roman"/>
          <w:szCs w:val="24"/>
          <w:lang w:eastAsia="en-AU"/>
        </w:rPr>
        <w:t xml:space="preserve"> by the first entity at regular intervals, having regard to: </w:t>
      </w:r>
    </w:p>
    <w:p w14:paraId="4074DA32" w14:textId="77777777" w:rsidR="00A309A8" w:rsidRPr="00A309A8" w:rsidRDefault="00A309A8" w:rsidP="00A309A8">
      <w:pPr>
        <w:spacing w:before="240" w:line="240" w:lineRule="auto"/>
        <w:ind w:left="1418" w:hanging="567"/>
        <w:rPr>
          <w:rFonts w:eastAsia="Times New Roman" w:cs="Times New Roman"/>
          <w:szCs w:val="24"/>
          <w:lang w:eastAsia="en-AU"/>
        </w:rPr>
      </w:pPr>
      <w:r w:rsidRPr="00A309A8">
        <w:rPr>
          <w:rFonts w:eastAsia="Times New Roman" w:cs="Times New Roman"/>
          <w:szCs w:val="24"/>
          <w:lang w:eastAsia="en-AU"/>
        </w:rPr>
        <w:t>(1)</w:t>
      </w:r>
      <w:r w:rsidRPr="00A309A8">
        <w:rPr>
          <w:rFonts w:eastAsia="Times New Roman" w:cs="Times New Roman"/>
          <w:szCs w:val="24"/>
          <w:lang w:eastAsia="en-AU"/>
        </w:rPr>
        <w:tab/>
      </w:r>
      <w:proofErr w:type="gramStart"/>
      <w:r w:rsidRPr="00A309A8">
        <w:rPr>
          <w:rFonts w:eastAsia="Times New Roman" w:cs="Times New Roman"/>
          <w:szCs w:val="24"/>
          <w:lang w:eastAsia="en-AU"/>
        </w:rPr>
        <w:t>the</w:t>
      </w:r>
      <w:proofErr w:type="gramEnd"/>
      <w:r w:rsidRPr="00A309A8">
        <w:rPr>
          <w:rFonts w:eastAsia="Times New Roman" w:cs="Times New Roman"/>
          <w:szCs w:val="24"/>
          <w:lang w:eastAsia="en-AU"/>
        </w:rPr>
        <w:t xml:space="preserve"> type and level of money laundering, financing of terrorism or other serious crime risks faced by the first entity; and</w:t>
      </w:r>
    </w:p>
    <w:p w14:paraId="5DE39338" w14:textId="77777777" w:rsidR="00A309A8" w:rsidRPr="00A309A8" w:rsidRDefault="00A309A8" w:rsidP="00A309A8">
      <w:pPr>
        <w:spacing w:before="240" w:line="240" w:lineRule="auto"/>
        <w:ind w:left="1418" w:hanging="567"/>
        <w:rPr>
          <w:rFonts w:eastAsia="Times New Roman" w:cs="Times New Roman"/>
          <w:szCs w:val="24"/>
          <w:lang w:eastAsia="en-AU"/>
        </w:rPr>
      </w:pPr>
      <w:r w:rsidRPr="00A309A8">
        <w:rPr>
          <w:rFonts w:eastAsia="Times New Roman" w:cs="Times New Roman"/>
          <w:szCs w:val="24"/>
          <w:lang w:eastAsia="en-AU"/>
        </w:rPr>
        <w:t>(2)</w:t>
      </w:r>
      <w:r w:rsidRPr="00A309A8">
        <w:rPr>
          <w:rFonts w:eastAsia="Times New Roman" w:cs="Times New Roman"/>
          <w:szCs w:val="24"/>
          <w:lang w:eastAsia="en-AU"/>
        </w:rPr>
        <w:tab/>
      </w:r>
      <w:proofErr w:type="gramStart"/>
      <w:r w:rsidRPr="00A309A8">
        <w:rPr>
          <w:rFonts w:eastAsia="Times New Roman" w:cs="Times New Roman"/>
          <w:szCs w:val="24"/>
          <w:lang w:eastAsia="en-AU"/>
        </w:rPr>
        <w:t>any</w:t>
      </w:r>
      <w:proofErr w:type="gramEnd"/>
      <w:r w:rsidRPr="00A309A8">
        <w:rPr>
          <w:rFonts w:eastAsia="Times New Roman" w:cs="Times New Roman"/>
          <w:szCs w:val="24"/>
          <w:lang w:eastAsia="en-AU"/>
        </w:rPr>
        <w:t xml:space="preserve"> material change in respect of a matter prescribed by subparagraphs 7.2.2(2)–(5);</w:t>
      </w:r>
    </w:p>
    <w:p w14:paraId="7E93AA20" w14:textId="77777777" w:rsidR="00A309A8" w:rsidRPr="00A309A8" w:rsidRDefault="00A309A8" w:rsidP="00A309A8">
      <w:pPr>
        <w:spacing w:before="240" w:line="240" w:lineRule="auto"/>
        <w:ind w:left="851"/>
        <w:rPr>
          <w:rFonts w:eastAsia="Times New Roman" w:cs="Times New Roman"/>
          <w:szCs w:val="24"/>
          <w:lang w:eastAsia="en-AU"/>
        </w:rPr>
      </w:pPr>
      <w:proofErr w:type="gramStart"/>
      <w:r w:rsidRPr="00A309A8">
        <w:rPr>
          <w:rFonts w:eastAsia="Times New Roman" w:cs="Times New Roman"/>
          <w:szCs w:val="24"/>
          <w:lang w:eastAsia="en-AU"/>
        </w:rPr>
        <w:t>but</w:t>
      </w:r>
      <w:proofErr w:type="gramEnd"/>
      <w:r w:rsidRPr="00A309A8">
        <w:rPr>
          <w:rFonts w:eastAsia="Times New Roman" w:cs="Times New Roman"/>
          <w:szCs w:val="24"/>
          <w:lang w:eastAsia="en-AU"/>
        </w:rPr>
        <w:t xml:space="preserve"> in any event, at least every two years.</w:t>
      </w:r>
    </w:p>
    <w:p w14:paraId="01F28537" w14:textId="61CECD26" w:rsidR="00A309A8" w:rsidRPr="00A309A8" w:rsidRDefault="00A309A8" w:rsidP="00A309A8">
      <w:pPr>
        <w:spacing w:before="240" w:line="240" w:lineRule="auto"/>
        <w:ind w:left="1441" w:hanging="590"/>
        <w:rPr>
          <w:rFonts w:eastAsia="Times New Roman" w:cs="Times New Roman"/>
          <w:sz w:val="18"/>
          <w:szCs w:val="18"/>
          <w:lang w:eastAsia="en-AU"/>
        </w:rPr>
      </w:pPr>
      <w:r w:rsidRPr="00A309A8">
        <w:rPr>
          <w:rFonts w:eastAsia="Times New Roman" w:cs="Times New Roman"/>
          <w:sz w:val="18"/>
          <w:szCs w:val="18"/>
          <w:lang w:eastAsia="en-AU"/>
        </w:rPr>
        <w:t xml:space="preserve">Note: </w:t>
      </w:r>
      <w:r w:rsidRPr="00A309A8">
        <w:rPr>
          <w:rFonts w:eastAsia="Times New Roman" w:cs="Times New Roman"/>
          <w:sz w:val="18"/>
          <w:szCs w:val="18"/>
          <w:lang w:eastAsia="en-AU"/>
        </w:rPr>
        <w:tab/>
        <w:t xml:space="preserve">If the assessment conducted under paragraph 7.2.3 identifies that the requirements </w:t>
      </w:r>
      <w:proofErr w:type="gramStart"/>
      <w:r w:rsidRPr="00A309A8">
        <w:rPr>
          <w:rFonts w:eastAsia="Times New Roman" w:cs="Times New Roman"/>
          <w:sz w:val="18"/>
          <w:szCs w:val="18"/>
          <w:lang w:eastAsia="en-AU"/>
        </w:rPr>
        <w:t>are not being met</w:t>
      </w:r>
      <w:proofErr w:type="gramEnd"/>
      <w:r w:rsidRPr="00A309A8">
        <w:rPr>
          <w:rFonts w:eastAsia="Times New Roman" w:cs="Times New Roman"/>
          <w:sz w:val="18"/>
          <w:szCs w:val="18"/>
          <w:lang w:eastAsia="en-AU"/>
        </w:rPr>
        <w:t xml:space="preserve">, the first entity cannot rely on procedures carried out by the other person until the first entity believes on reasonable grounds that the requirements of paragraph 7.2.2 are being met.  </w:t>
      </w:r>
    </w:p>
    <w:p w14:paraId="4FED3E8F" w14:textId="77777777" w:rsidR="00A309A8" w:rsidRPr="00A309A8" w:rsidRDefault="00A309A8" w:rsidP="00A309A8">
      <w:pPr>
        <w:spacing w:before="240" w:line="240" w:lineRule="auto"/>
        <w:ind w:left="1440" w:hanging="1440"/>
        <w:rPr>
          <w:rFonts w:eastAsia="Times New Roman" w:cs="Times New Roman"/>
          <w:b/>
          <w:sz w:val="24"/>
          <w:szCs w:val="24"/>
        </w:rPr>
      </w:pPr>
      <w:r w:rsidRPr="00A309A8">
        <w:rPr>
          <w:rFonts w:eastAsia="Times New Roman" w:cs="Times New Roman"/>
          <w:b/>
          <w:sz w:val="24"/>
          <w:szCs w:val="24"/>
        </w:rPr>
        <w:t>Part 7.3—Case-by-case reliance</w:t>
      </w:r>
    </w:p>
    <w:p w14:paraId="5B85DAE7" w14:textId="77777777" w:rsidR="00A309A8" w:rsidRPr="00A309A8" w:rsidRDefault="00A309A8" w:rsidP="00A309A8">
      <w:pPr>
        <w:spacing w:before="240" w:line="240" w:lineRule="auto"/>
        <w:ind w:left="851" w:hanging="851"/>
        <w:rPr>
          <w:rFonts w:eastAsia="Times New Roman" w:cs="Times New Roman"/>
          <w:color w:val="FF0000"/>
          <w:szCs w:val="24"/>
          <w:lang w:eastAsia="en-AU"/>
        </w:rPr>
      </w:pPr>
      <w:r w:rsidRPr="00A309A8">
        <w:rPr>
          <w:rFonts w:eastAsia="Times New Roman" w:cs="Times New Roman"/>
          <w:szCs w:val="24"/>
          <w:lang w:eastAsia="en-AU"/>
        </w:rPr>
        <w:t xml:space="preserve">7.3.1 </w:t>
      </w:r>
      <w:r w:rsidRPr="00A309A8">
        <w:rPr>
          <w:rFonts w:eastAsia="Times New Roman" w:cs="Times New Roman"/>
          <w:szCs w:val="24"/>
          <w:lang w:eastAsia="en-AU"/>
        </w:rPr>
        <w:tab/>
        <w:t xml:space="preserve">This Part </w:t>
      </w:r>
      <w:proofErr w:type="gramStart"/>
      <w:r w:rsidRPr="00A309A8">
        <w:rPr>
          <w:rFonts w:eastAsia="Times New Roman" w:cs="Times New Roman"/>
          <w:szCs w:val="24"/>
          <w:lang w:eastAsia="en-AU"/>
        </w:rPr>
        <w:t>is made</w:t>
      </w:r>
      <w:proofErr w:type="gramEnd"/>
      <w:r w:rsidRPr="00A309A8">
        <w:rPr>
          <w:rFonts w:eastAsia="Times New Roman" w:cs="Times New Roman"/>
          <w:szCs w:val="24"/>
          <w:lang w:eastAsia="en-AU"/>
        </w:rPr>
        <w:t xml:space="preserve"> for paragraph 38(e) of the Act.</w:t>
      </w:r>
    </w:p>
    <w:p w14:paraId="392BB06D" w14:textId="77777777"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lastRenderedPageBreak/>
        <w:t>7.3.2</w:t>
      </w:r>
      <w:r w:rsidRPr="00A309A8">
        <w:rPr>
          <w:rFonts w:eastAsia="Times New Roman" w:cs="Times New Roman"/>
          <w:szCs w:val="24"/>
          <w:lang w:eastAsia="en-AU"/>
        </w:rPr>
        <w:tab/>
        <w:t>The first entity may rely on applicable customer identification procedures or other procedures (as prescribed by paragraph 7.1.2) carried out by the other person if:</w:t>
      </w:r>
    </w:p>
    <w:p w14:paraId="5C1C1DA3" w14:textId="2A779E24"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(1)</w:t>
      </w:r>
      <w:r w:rsidRPr="00A309A8">
        <w:rPr>
          <w:rFonts w:eastAsia="Times New Roman" w:cs="Times New Roman"/>
          <w:szCs w:val="22"/>
          <w:lang w:eastAsia="en-AU"/>
        </w:rPr>
        <w:tab/>
      </w:r>
      <w:proofErr w:type="gramStart"/>
      <w:r w:rsidRPr="00A309A8">
        <w:rPr>
          <w:rFonts w:eastAsia="Times New Roman" w:cs="Times New Roman"/>
          <w:szCs w:val="24"/>
          <w:lang w:eastAsia="en-AU"/>
        </w:rPr>
        <w:t>the</w:t>
      </w:r>
      <w:proofErr w:type="gramEnd"/>
      <w:r w:rsidRPr="00A309A8">
        <w:rPr>
          <w:rFonts w:eastAsia="Times New Roman" w:cs="Times New Roman"/>
          <w:szCs w:val="24"/>
          <w:lang w:eastAsia="en-AU"/>
        </w:rPr>
        <w:t xml:space="preserve"> other person satisfies the requirements in subparagraph</w:t>
      </w:r>
      <w:r w:rsidR="009F0D4C">
        <w:rPr>
          <w:rFonts w:eastAsia="Times New Roman" w:cs="Times New Roman"/>
          <w:szCs w:val="24"/>
          <w:lang w:eastAsia="en-AU"/>
        </w:rPr>
        <w:t>s</w:t>
      </w:r>
      <w:r w:rsidRPr="00A309A8">
        <w:rPr>
          <w:rFonts w:eastAsia="Times New Roman" w:cs="Times New Roman"/>
          <w:szCs w:val="24"/>
          <w:lang w:eastAsia="en-AU"/>
        </w:rPr>
        <w:t xml:space="preserve"> 7.2.2(3)–(5);</w:t>
      </w:r>
      <w:r w:rsidRPr="00A309A8">
        <w:rPr>
          <w:rFonts w:eastAsia="Times New Roman" w:cs="Times New Roman"/>
          <w:szCs w:val="22"/>
          <w:lang w:eastAsia="en-AU"/>
        </w:rPr>
        <w:t xml:space="preserve"> and</w:t>
      </w:r>
    </w:p>
    <w:p w14:paraId="3DA9E077"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(2)</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other person has obtained all required KYC information relating to the identity of:</w:t>
      </w:r>
    </w:p>
    <w:p w14:paraId="3914FE70" w14:textId="77777777" w:rsidR="00A309A8" w:rsidRPr="00A309A8" w:rsidRDefault="00A309A8" w:rsidP="00A309A8">
      <w:pPr>
        <w:numPr>
          <w:ilvl w:val="0"/>
          <w:numId w:val="26"/>
        </w:numPr>
        <w:spacing w:before="240" w:line="240" w:lineRule="auto"/>
        <w:rPr>
          <w:rFonts w:eastAsia="Times New Roman" w:cs="Times New Roman"/>
          <w:szCs w:val="22"/>
          <w:lang w:val="en" w:eastAsia="en-AU"/>
        </w:rPr>
      </w:pPr>
      <w:r w:rsidRPr="00A309A8">
        <w:rPr>
          <w:rFonts w:eastAsia="Times New Roman" w:cs="Times New Roman"/>
          <w:szCs w:val="22"/>
          <w:lang w:val="en" w:eastAsia="en-AU"/>
        </w:rPr>
        <w:t>the customer; and</w:t>
      </w:r>
    </w:p>
    <w:p w14:paraId="7571D3EB" w14:textId="77777777" w:rsidR="00A309A8" w:rsidRPr="00A309A8" w:rsidRDefault="00A309A8" w:rsidP="00A309A8">
      <w:pPr>
        <w:numPr>
          <w:ilvl w:val="0"/>
          <w:numId w:val="26"/>
        </w:numPr>
        <w:spacing w:before="240" w:line="240" w:lineRule="auto"/>
        <w:rPr>
          <w:rFonts w:eastAsia="Times New Roman" w:cs="Times New Roman"/>
          <w:szCs w:val="22"/>
          <w:lang w:val="en" w:eastAsia="en-AU"/>
        </w:rPr>
      </w:pPr>
      <w:r w:rsidRPr="00A309A8">
        <w:rPr>
          <w:rFonts w:eastAsia="Times New Roman" w:cs="Times New Roman"/>
          <w:szCs w:val="22"/>
          <w:lang w:val="en" w:eastAsia="en-AU"/>
        </w:rPr>
        <w:t>the beneficial owner of the customer (if any); and</w:t>
      </w:r>
    </w:p>
    <w:p w14:paraId="2ADBD848" w14:textId="77777777" w:rsidR="00A309A8" w:rsidRPr="00A309A8" w:rsidRDefault="00A309A8" w:rsidP="00A309A8">
      <w:pPr>
        <w:numPr>
          <w:ilvl w:val="0"/>
          <w:numId w:val="26"/>
        </w:numPr>
        <w:spacing w:before="240" w:line="240" w:lineRule="auto"/>
        <w:rPr>
          <w:rFonts w:eastAsia="Times New Roman" w:cs="Times New Roman"/>
          <w:szCs w:val="22"/>
          <w:lang w:val="en" w:eastAsia="en-AU"/>
        </w:rPr>
      </w:pPr>
      <w:r w:rsidRPr="00A309A8">
        <w:rPr>
          <w:rFonts w:eastAsia="Times New Roman" w:cs="Times New Roman"/>
          <w:szCs w:val="22"/>
          <w:lang w:val="en" w:eastAsia="en-AU"/>
        </w:rPr>
        <w:t>a person acting on behalf of the customer (if any);</w:t>
      </w:r>
    </w:p>
    <w:p w14:paraId="4F050A03" w14:textId="77777777" w:rsidR="00A309A8" w:rsidRPr="00A309A8" w:rsidRDefault="00A309A8" w:rsidP="00A309A8">
      <w:pPr>
        <w:numPr>
          <w:ilvl w:val="12"/>
          <w:numId w:val="0"/>
        </w:numPr>
        <w:spacing w:before="240" w:line="240" w:lineRule="auto"/>
        <w:ind w:left="1418"/>
        <w:rPr>
          <w:rFonts w:eastAsia="Times New Roman" w:cs="Times New Roman"/>
          <w:szCs w:val="22"/>
          <w:lang w:val="en" w:eastAsia="en-AU"/>
        </w:rPr>
      </w:pPr>
      <w:proofErr w:type="gramStart"/>
      <w:r w:rsidRPr="00A309A8">
        <w:rPr>
          <w:rFonts w:eastAsia="Times New Roman" w:cs="Times New Roman"/>
          <w:szCs w:val="22"/>
          <w:lang w:eastAsia="en-AU"/>
        </w:rPr>
        <w:t>before</w:t>
      </w:r>
      <w:proofErr w:type="gramEnd"/>
      <w:r w:rsidRPr="00A309A8">
        <w:rPr>
          <w:rFonts w:eastAsia="Times New Roman" w:cs="Times New Roman"/>
          <w:szCs w:val="22"/>
          <w:lang w:eastAsia="en-AU"/>
        </w:rPr>
        <w:t xml:space="preserve"> the first entity commences to provide a designated service to the customer; and</w:t>
      </w:r>
    </w:p>
    <w:p w14:paraId="0F5DF65A"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(3)</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first entity has reasonable grounds to believe that the verification information will be:</w:t>
      </w:r>
    </w:p>
    <w:p w14:paraId="22C08555" w14:textId="77777777" w:rsidR="00A309A8" w:rsidRPr="00A309A8" w:rsidRDefault="00A309A8" w:rsidP="00A309A8">
      <w:pPr>
        <w:numPr>
          <w:ilvl w:val="0"/>
          <w:numId w:val="28"/>
        </w:numPr>
        <w:spacing w:before="240" w:line="240" w:lineRule="auto"/>
        <w:rPr>
          <w:rFonts w:eastAsia="Times New Roman" w:cs="Times New Roman"/>
          <w:szCs w:val="22"/>
          <w:lang w:val="en" w:eastAsia="en-AU"/>
        </w:rPr>
      </w:pPr>
      <w:r w:rsidRPr="00A309A8">
        <w:rPr>
          <w:rFonts w:eastAsia="Times New Roman" w:cs="Times New Roman"/>
          <w:szCs w:val="22"/>
          <w:lang w:val="en" w:eastAsia="en-AU"/>
        </w:rPr>
        <w:t xml:space="preserve">immediately available to the first entity </w:t>
      </w:r>
      <w:r w:rsidRPr="00A309A8">
        <w:rPr>
          <w:rFonts w:eastAsia="Times New Roman" w:cs="Times New Roman"/>
          <w:szCs w:val="22"/>
          <w:lang w:eastAsia="en-AU"/>
        </w:rPr>
        <w:t xml:space="preserve">under an agreement in place for the management of relevant documents and electronic data relating to </w:t>
      </w:r>
      <w:r w:rsidRPr="00A309A8">
        <w:rPr>
          <w:rFonts w:eastAsia="Times New Roman" w:cs="Times New Roman"/>
          <w:szCs w:val="22"/>
          <w:lang w:val="en" w:eastAsia="en-AU"/>
        </w:rPr>
        <w:t>identification and verification</w:t>
      </w:r>
      <w:r w:rsidRPr="00A309A8">
        <w:rPr>
          <w:rFonts w:eastAsia="Times New Roman" w:cs="Times New Roman"/>
          <w:szCs w:val="22"/>
          <w:lang w:eastAsia="en-AU"/>
        </w:rPr>
        <w:t>;</w:t>
      </w:r>
      <w:r w:rsidRPr="00A309A8">
        <w:rPr>
          <w:rFonts w:eastAsia="Times New Roman" w:cs="Times New Roman"/>
          <w:szCs w:val="22"/>
          <w:lang w:val="en" w:eastAsia="en-AU"/>
        </w:rPr>
        <w:t xml:space="preserve"> or </w:t>
      </w:r>
    </w:p>
    <w:p w14:paraId="4EC7CEEB" w14:textId="77777777" w:rsidR="00A309A8" w:rsidRPr="00A309A8" w:rsidRDefault="00A309A8" w:rsidP="00A309A8">
      <w:pPr>
        <w:numPr>
          <w:ilvl w:val="0"/>
          <w:numId w:val="28"/>
        </w:numPr>
        <w:spacing w:before="240" w:line="240" w:lineRule="auto"/>
        <w:rPr>
          <w:rFonts w:eastAsia="Times New Roman" w:cs="Times New Roman"/>
          <w:sz w:val="24"/>
          <w:szCs w:val="22"/>
          <w:lang w:eastAsia="en-AU"/>
        </w:rPr>
      </w:pPr>
      <w:proofErr w:type="gramStart"/>
      <w:r w:rsidRPr="00A309A8">
        <w:rPr>
          <w:rFonts w:eastAsia="Times New Roman" w:cs="Times New Roman"/>
          <w:szCs w:val="22"/>
          <w:lang w:val="en" w:eastAsia="en-AU"/>
        </w:rPr>
        <w:t>otherwise</w:t>
      </w:r>
      <w:proofErr w:type="gramEnd"/>
      <w:r w:rsidRPr="00A309A8">
        <w:rPr>
          <w:rFonts w:eastAsia="Times New Roman" w:cs="Times New Roman"/>
          <w:szCs w:val="22"/>
          <w:lang w:val="en" w:eastAsia="en-AU"/>
        </w:rPr>
        <w:t xml:space="preserve"> made available to the first entity as soon as practicable following receipt by the other person of a written request from the first entity, but in any event within 7 calendar days of the request being received.</w:t>
      </w:r>
    </w:p>
    <w:p w14:paraId="2C196A89" w14:textId="4D9C7472" w:rsidR="00A309A8" w:rsidRPr="00A309A8" w:rsidRDefault="00A309A8" w:rsidP="00272CE3">
      <w:pPr>
        <w:spacing w:before="240" w:line="240" w:lineRule="auto"/>
        <w:ind w:left="1440" w:hanging="589"/>
        <w:rPr>
          <w:rFonts w:eastAsia="Times New Roman" w:cs="Times New Roman"/>
          <w:sz w:val="24"/>
          <w:szCs w:val="22"/>
          <w:lang w:eastAsia="en-AU"/>
        </w:rPr>
      </w:pPr>
      <w:proofErr w:type="gramStart"/>
      <w:r w:rsidRPr="00A309A8">
        <w:rPr>
          <w:rFonts w:eastAsia="Times New Roman" w:cs="Times New Roman"/>
          <w:sz w:val="18"/>
          <w:szCs w:val="18"/>
          <w:lang w:eastAsia="en-AU"/>
        </w:rPr>
        <w:t>Note :</w:t>
      </w:r>
      <w:proofErr w:type="gramEnd"/>
      <w:r w:rsidRPr="00A309A8">
        <w:rPr>
          <w:rFonts w:eastAsia="Times New Roman" w:cs="Times New Roman"/>
          <w:sz w:val="18"/>
          <w:szCs w:val="18"/>
          <w:lang w:eastAsia="en-AU"/>
        </w:rPr>
        <w:t xml:space="preserve"> </w:t>
      </w:r>
      <w:r w:rsidRPr="00A309A8">
        <w:rPr>
          <w:rFonts w:eastAsia="Times New Roman" w:cs="Times New Roman"/>
          <w:sz w:val="18"/>
          <w:szCs w:val="18"/>
          <w:lang w:eastAsia="en-AU"/>
        </w:rPr>
        <w:tab/>
        <w:t xml:space="preserve">Subsection 38(c) and section 32 require the first entity to obtain the KYC information referred to in </w:t>
      </w:r>
      <w:r w:rsidR="007913DE">
        <w:rPr>
          <w:rFonts w:eastAsia="Times New Roman" w:cs="Times New Roman"/>
          <w:sz w:val="18"/>
          <w:szCs w:val="18"/>
          <w:lang w:eastAsia="en-AU"/>
        </w:rPr>
        <w:t>subparagraph</w:t>
      </w:r>
      <w:r w:rsidR="007913DE" w:rsidRPr="00A309A8">
        <w:rPr>
          <w:rFonts w:eastAsia="Times New Roman" w:cs="Times New Roman"/>
          <w:sz w:val="18"/>
          <w:szCs w:val="18"/>
          <w:lang w:eastAsia="en-AU"/>
        </w:rPr>
        <w:t> </w:t>
      </w:r>
      <w:r w:rsidRPr="00A309A8">
        <w:rPr>
          <w:rFonts w:eastAsia="Times New Roman" w:cs="Times New Roman"/>
          <w:sz w:val="18"/>
          <w:szCs w:val="18"/>
          <w:lang w:eastAsia="en-AU"/>
        </w:rPr>
        <w:t>7.3.2(2) from the other person before commencing to provide a designated service.</w:t>
      </w:r>
    </w:p>
    <w:p w14:paraId="6618CF14" w14:textId="77777777" w:rsidR="00A309A8" w:rsidRPr="00A309A8" w:rsidRDefault="00A309A8" w:rsidP="00A309A8">
      <w:pPr>
        <w:spacing w:before="240" w:line="240" w:lineRule="auto"/>
        <w:ind w:left="851" w:hanging="851"/>
        <w:rPr>
          <w:rFonts w:eastAsia="Times New Roman" w:cs="Times New Roman"/>
          <w:szCs w:val="22"/>
          <w:lang w:eastAsia="en-AU"/>
        </w:rPr>
      </w:pPr>
      <w:r w:rsidRPr="00A309A8">
        <w:rPr>
          <w:rFonts w:eastAsia="Times New Roman" w:cs="Times New Roman"/>
          <w:szCs w:val="24"/>
          <w:lang w:eastAsia="en-AU"/>
        </w:rPr>
        <w:t>7.3.3</w:t>
      </w:r>
      <w:r w:rsidRPr="00A309A8">
        <w:rPr>
          <w:rFonts w:eastAsia="Times New Roman" w:cs="Times New Roman"/>
          <w:szCs w:val="24"/>
          <w:lang w:eastAsia="en-AU"/>
        </w:rPr>
        <w:tab/>
        <w:t>A belief formed under paragraph 7.3.2 will only be reasonable if the first entity has considered the following factors:</w:t>
      </w:r>
    </w:p>
    <w:p w14:paraId="60CD0CC7"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(1)</w:t>
      </w:r>
      <w:r w:rsidRPr="00A309A8">
        <w:rPr>
          <w:rFonts w:eastAsia="Times New Roman" w:cs="Times New Roman"/>
          <w:szCs w:val="22"/>
          <w:lang w:eastAsia="en-AU"/>
        </w:rPr>
        <w:tab/>
      </w:r>
      <w:proofErr w:type="gramStart"/>
      <w:r w:rsidRPr="00A309A8">
        <w:rPr>
          <w:rFonts w:eastAsia="Times New Roman" w:cs="Times New Roman"/>
          <w:szCs w:val="24"/>
          <w:lang w:eastAsia="en-AU"/>
        </w:rPr>
        <w:t>the</w:t>
      </w:r>
      <w:proofErr w:type="gramEnd"/>
      <w:r w:rsidRPr="00A309A8">
        <w:rPr>
          <w:rFonts w:eastAsia="Times New Roman" w:cs="Times New Roman"/>
          <w:szCs w:val="24"/>
          <w:lang w:eastAsia="en-AU"/>
        </w:rPr>
        <w:t xml:space="preserve"> type and level of money laundering, financing of terrorism or other serious crime risks that the first entity may reasonably be</w:t>
      </w:r>
      <w:r w:rsidRPr="00A309A8">
        <w:rPr>
          <w:rFonts w:eastAsia="Times New Roman" w:cs="Times New Roman"/>
          <w:szCs w:val="22"/>
          <w:lang w:eastAsia="en-AU"/>
        </w:rPr>
        <w:t xml:space="preserve"> expected to face in its provision of the designated services to the customer; </w:t>
      </w:r>
    </w:p>
    <w:p w14:paraId="35701851"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(2)</w:t>
      </w:r>
      <w:r w:rsidRPr="00A309A8">
        <w:rPr>
          <w:rFonts w:eastAsia="Times New Roman" w:cs="Times New Roman"/>
          <w:szCs w:val="22"/>
          <w:lang w:eastAsia="en-AU"/>
        </w:rPr>
        <w:tab/>
      </w:r>
      <w:r w:rsidRPr="00A309A8">
        <w:rPr>
          <w:rFonts w:eastAsia="Times New Roman" w:cs="Times New Roman"/>
          <w:szCs w:val="24"/>
          <w:lang w:eastAsia="en-AU"/>
        </w:rPr>
        <w:t>the level of money laundering, financing of terrorism or other serious crime risks in the country or countries in which the other person operates or resides;</w:t>
      </w:r>
    </w:p>
    <w:p w14:paraId="2861B617"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(3)</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nature, size, and complexity of the other person’s business, including its products, services, delivery channels, and customer types.</w:t>
      </w:r>
    </w:p>
    <w:p w14:paraId="479361F4" w14:textId="77777777" w:rsidR="00A309A8" w:rsidRPr="00A309A8" w:rsidRDefault="00A309A8" w:rsidP="00A309A8">
      <w:pPr>
        <w:spacing w:before="240" w:line="240" w:lineRule="auto"/>
        <w:ind w:left="851" w:hanging="851"/>
        <w:rPr>
          <w:rFonts w:eastAsia="Times New Roman" w:cs="Times New Roman"/>
          <w:szCs w:val="24"/>
          <w:lang w:eastAsia="en-AU"/>
        </w:rPr>
      </w:pPr>
      <w:r w:rsidRPr="00A309A8">
        <w:rPr>
          <w:rFonts w:eastAsia="Times New Roman" w:cs="Times New Roman"/>
          <w:szCs w:val="24"/>
          <w:lang w:eastAsia="en-AU"/>
        </w:rPr>
        <w:t>7.3.4</w:t>
      </w:r>
      <w:r w:rsidRPr="00A309A8">
        <w:rPr>
          <w:rFonts w:eastAsia="Times New Roman" w:cs="Times New Roman"/>
          <w:szCs w:val="24"/>
          <w:lang w:eastAsia="en-AU"/>
        </w:rPr>
        <w:tab/>
        <w:t>The first entity must make a written record that sets out how the first entity met the requirements in paragraphs 7.3.2 and 7.3.3.</w:t>
      </w:r>
    </w:p>
    <w:p w14:paraId="7C21A00F" w14:textId="77777777" w:rsidR="00A309A8" w:rsidRPr="00A309A8" w:rsidRDefault="00A309A8" w:rsidP="00A309A8">
      <w:pPr>
        <w:spacing w:before="240" w:line="240" w:lineRule="auto"/>
        <w:rPr>
          <w:rFonts w:eastAsia="Times New Roman" w:cs="Times New Roman"/>
          <w:i/>
          <w:szCs w:val="22"/>
          <w:lang w:eastAsia="en-AU"/>
        </w:rPr>
      </w:pPr>
      <w:r w:rsidRPr="00A309A8">
        <w:rPr>
          <w:rFonts w:eastAsia="Times New Roman" w:cs="Times New Roman"/>
          <w:i/>
          <w:szCs w:val="22"/>
          <w:lang w:eastAsia="en-AU"/>
        </w:rPr>
        <w:t>Deemed compliance—reliance within a corporate or designed business group</w:t>
      </w:r>
    </w:p>
    <w:p w14:paraId="31065829" w14:textId="77777777" w:rsidR="00A309A8" w:rsidRPr="00A309A8" w:rsidRDefault="00A309A8" w:rsidP="00A309A8">
      <w:pPr>
        <w:spacing w:before="240" w:line="240" w:lineRule="auto"/>
        <w:ind w:left="851" w:hanging="851"/>
        <w:rPr>
          <w:rFonts w:eastAsia="Times New Roman" w:cs="Times New Roman"/>
          <w:szCs w:val="22"/>
          <w:lang w:eastAsia="en-AU"/>
        </w:rPr>
      </w:pPr>
      <w:r w:rsidRPr="00A309A8">
        <w:rPr>
          <w:rFonts w:eastAsia="Times New Roman" w:cs="Times New Roman"/>
          <w:szCs w:val="22"/>
          <w:lang w:eastAsia="en-AU"/>
        </w:rPr>
        <w:t>7.3.5</w:t>
      </w:r>
      <w:r w:rsidRPr="00A309A8">
        <w:rPr>
          <w:rFonts w:eastAsia="Times New Roman" w:cs="Times New Roman"/>
          <w:szCs w:val="22"/>
          <w:lang w:eastAsia="en-AU"/>
        </w:rPr>
        <w:tab/>
        <w:t xml:space="preserve">The first entity </w:t>
      </w:r>
      <w:proofErr w:type="gramStart"/>
      <w:r w:rsidRPr="00A309A8">
        <w:rPr>
          <w:rFonts w:eastAsia="Times New Roman" w:cs="Times New Roman"/>
          <w:szCs w:val="22"/>
          <w:lang w:eastAsia="en-AU"/>
        </w:rPr>
        <w:t>is taken</w:t>
      </w:r>
      <w:proofErr w:type="gramEnd"/>
      <w:r w:rsidRPr="00A309A8">
        <w:rPr>
          <w:rFonts w:eastAsia="Times New Roman" w:cs="Times New Roman"/>
          <w:szCs w:val="22"/>
          <w:lang w:eastAsia="en-AU"/>
        </w:rPr>
        <w:t xml:space="preserve"> to comply with the requirements of paragraphs 7.3.2 and 7.3.3 if the following conditions are met: </w:t>
      </w:r>
    </w:p>
    <w:p w14:paraId="5B70E859"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lastRenderedPageBreak/>
        <w:t>(1)</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first entity relies on the applicable customer identification procedures or other procedures (as specified in paragraph 7.1.2) carried out by another person who is a member of the same corporate group or designated business group; </w:t>
      </w:r>
    </w:p>
    <w:p w14:paraId="158E74CD"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(2)</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first entity and the other person:</w:t>
      </w:r>
    </w:p>
    <w:p w14:paraId="1523A77B" w14:textId="77777777" w:rsidR="00A309A8" w:rsidRPr="00A309A8" w:rsidRDefault="00A309A8" w:rsidP="00A309A8">
      <w:pPr>
        <w:numPr>
          <w:ilvl w:val="0"/>
          <w:numId w:val="27"/>
        </w:numPr>
        <w:spacing w:before="240" w:line="240" w:lineRule="auto"/>
        <w:rPr>
          <w:rFonts w:eastAsia="Times New Roman" w:cs="Times New Roman"/>
          <w:sz w:val="24"/>
          <w:szCs w:val="22"/>
          <w:lang w:val="en" w:eastAsia="en-AU"/>
        </w:rPr>
      </w:pPr>
      <w:r w:rsidRPr="00A309A8">
        <w:rPr>
          <w:rFonts w:eastAsia="Times New Roman" w:cs="Times New Roman"/>
          <w:szCs w:val="22"/>
          <w:lang w:val="en" w:eastAsia="en-AU"/>
        </w:rPr>
        <w:t>apply a joint anti-money laundering and counter terrorism-financing program (</w:t>
      </w:r>
      <w:r w:rsidRPr="00A309A8">
        <w:rPr>
          <w:rFonts w:eastAsia="Times New Roman" w:cs="Times New Roman"/>
          <w:b/>
          <w:i/>
          <w:szCs w:val="22"/>
          <w:lang w:val="en" w:eastAsia="en-AU"/>
        </w:rPr>
        <w:t>AML/CTF program</w:t>
      </w:r>
      <w:r w:rsidRPr="00A309A8">
        <w:rPr>
          <w:rFonts w:eastAsia="Times New Roman" w:cs="Times New Roman"/>
          <w:szCs w:val="22"/>
          <w:lang w:val="en" w:eastAsia="en-AU"/>
        </w:rPr>
        <w:t xml:space="preserve">) or other group-wide measures relating to customer due diligence and record keeping; and </w:t>
      </w:r>
    </w:p>
    <w:p w14:paraId="13DCC658" w14:textId="58A06A88" w:rsidR="00A309A8" w:rsidRPr="00A309A8" w:rsidRDefault="00A309A8" w:rsidP="00A309A8">
      <w:pPr>
        <w:numPr>
          <w:ilvl w:val="0"/>
          <w:numId w:val="27"/>
        </w:numPr>
        <w:spacing w:before="240" w:line="240" w:lineRule="auto"/>
        <w:rPr>
          <w:rFonts w:eastAsia="Times New Roman" w:cs="Times New Roman"/>
          <w:sz w:val="24"/>
          <w:szCs w:val="22"/>
          <w:lang w:val="en" w:eastAsia="en-AU"/>
        </w:rPr>
      </w:pPr>
      <w:r w:rsidRPr="00A309A8">
        <w:rPr>
          <w:rFonts w:eastAsia="Times New Roman" w:cs="Times New Roman"/>
          <w:szCs w:val="22"/>
          <w:lang w:val="en" w:eastAsia="en-AU"/>
        </w:rPr>
        <w:t>have implemented a joint AML/CTF program or other group-wide anti-money laundering and counter terrorism-financing risk-based systems and controls</w:t>
      </w:r>
      <w:r w:rsidRPr="00A309A8">
        <w:rPr>
          <w:rFonts w:eastAsia="Times New Roman" w:cs="Times New Roman"/>
          <w:i/>
          <w:szCs w:val="22"/>
          <w:lang w:val="en" w:eastAsia="en-AU"/>
        </w:rPr>
        <w:t xml:space="preserve"> </w:t>
      </w:r>
      <w:r w:rsidRPr="00A309A8">
        <w:rPr>
          <w:rFonts w:eastAsia="Times New Roman" w:cs="Times New Roman"/>
          <w:szCs w:val="22"/>
          <w:lang w:val="en" w:eastAsia="en-AU"/>
        </w:rPr>
        <w:t xml:space="preserve">consistent with the requirements of the relevant FATF Recommendations; </w:t>
      </w:r>
    </w:p>
    <w:p w14:paraId="17B1DB56" w14:textId="76AE21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(3)</w:t>
      </w:r>
      <w:r w:rsidRPr="00A309A8">
        <w:rPr>
          <w:rFonts w:eastAsia="Times New Roman" w:cs="Times New Roman"/>
          <w:szCs w:val="22"/>
          <w:lang w:eastAsia="en-AU"/>
        </w:rPr>
        <w:tab/>
        <w:t xml:space="preserve">any higher money laundering, financing of terrorism or serious crime risks in the country or countries in which the other person operates or resides are adequately identified, mitigated and managed by the </w:t>
      </w:r>
      <w:r w:rsidR="007913DE">
        <w:rPr>
          <w:rFonts w:eastAsia="Times New Roman" w:cs="Times New Roman"/>
          <w:szCs w:val="22"/>
          <w:lang w:eastAsia="en-AU"/>
        </w:rPr>
        <w:t xml:space="preserve">joint </w:t>
      </w:r>
      <w:r w:rsidRPr="00A309A8">
        <w:rPr>
          <w:rFonts w:eastAsia="Times New Roman" w:cs="Times New Roman"/>
          <w:szCs w:val="22"/>
          <w:lang w:eastAsia="en-AU"/>
        </w:rPr>
        <w:t xml:space="preserve">AML/CTF program and risk-based systems and controls of the corporate group or designated business group; </w:t>
      </w:r>
    </w:p>
    <w:p w14:paraId="1D384304" w14:textId="77777777" w:rsidR="00A309A8" w:rsidRPr="00A309A8" w:rsidRDefault="00A309A8" w:rsidP="00A309A8">
      <w:pPr>
        <w:spacing w:before="240" w:line="240" w:lineRule="auto"/>
        <w:ind w:left="1418" w:hanging="567"/>
        <w:rPr>
          <w:rFonts w:eastAsia="Times New Roman" w:cs="Times New Roman"/>
          <w:szCs w:val="22"/>
          <w:lang w:eastAsia="en-AU"/>
        </w:rPr>
      </w:pPr>
      <w:r w:rsidRPr="00A309A8">
        <w:rPr>
          <w:rFonts w:eastAsia="Times New Roman" w:cs="Times New Roman"/>
          <w:szCs w:val="22"/>
          <w:lang w:eastAsia="en-AU"/>
        </w:rPr>
        <w:t>(4)</w:t>
      </w:r>
      <w:r w:rsidRPr="00A309A8">
        <w:rPr>
          <w:rFonts w:eastAsia="Times New Roman" w:cs="Times New Roman"/>
          <w:szCs w:val="22"/>
          <w:lang w:eastAsia="en-AU"/>
        </w:rPr>
        <w:tab/>
      </w:r>
      <w:proofErr w:type="gramStart"/>
      <w:r w:rsidRPr="00A309A8">
        <w:rPr>
          <w:rFonts w:eastAsia="Times New Roman" w:cs="Times New Roman"/>
          <w:szCs w:val="22"/>
          <w:lang w:eastAsia="en-AU"/>
        </w:rPr>
        <w:t>the</w:t>
      </w:r>
      <w:proofErr w:type="gramEnd"/>
      <w:r w:rsidRPr="00A309A8">
        <w:rPr>
          <w:rFonts w:eastAsia="Times New Roman" w:cs="Times New Roman"/>
          <w:szCs w:val="22"/>
          <w:lang w:eastAsia="en-AU"/>
        </w:rPr>
        <w:t xml:space="preserve"> implementation of the risk-based system and controls mentioned in subparagraphs (2) and (3) are supervised or monitored at a group-level by a body empowered by law to supervise and enforce equivalent CDD and record-keeping obligations.</w:t>
      </w:r>
    </w:p>
    <w:p w14:paraId="126FC2F4" w14:textId="77777777" w:rsidR="00A309A8" w:rsidRPr="00A309A8" w:rsidRDefault="00A309A8" w:rsidP="00A309A8">
      <w:pPr>
        <w:spacing w:before="240" w:line="240" w:lineRule="auto"/>
        <w:ind w:left="1417" w:hanging="566"/>
        <w:rPr>
          <w:rFonts w:eastAsia="Times New Roman" w:cs="Times New Roman"/>
          <w:iCs/>
          <w:sz w:val="18"/>
          <w:szCs w:val="18"/>
          <w:lang w:eastAsia="en-AU"/>
        </w:rPr>
      </w:pPr>
      <w:r w:rsidRPr="00A309A8">
        <w:rPr>
          <w:rFonts w:eastAsia="Times New Roman" w:cs="Times New Roman"/>
          <w:iCs/>
          <w:sz w:val="18"/>
          <w:szCs w:val="18"/>
          <w:lang w:eastAsia="en-AU"/>
        </w:rPr>
        <w:t xml:space="preserve">Note 1: </w:t>
      </w:r>
      <w:r w:rsidRPr="00A309A8">
        <w:rPr>
          <w:rFonts w:eastAsia="Times New Roman" w:cs="Times New Roman"/>
          <w:iCs/>
          <w:sz w:val="18"/>
          <w:szCs w:val="18"/>
          <w:lang w:eastAsia="en-AU"/>
        </w:rPr>
        <w:tab/>
        <w:t xml:space="preserve">If the first entity relies on applicable customer identification procedures or other procedures (as prescribed by paragraph 7.1.2) </w:t>
      </w:r>
      <w:proofErr w:type="gramStart"/>
      <w:r w:rsidRPr="00A309A8">
        <w:rPr>
          <w:rFonts w:eastAsia="Times New Roman" w:cs="Times New Roman"/>
          <w:iCs/>
          <w:sz w:val="18"/>
          <w:szCs w:val="18"/>
          <w:lang w:eastAsia="en-AU"/>
        </w:rPr>
        <w:t>undertaken by another person under Part 7.3, the first entity retains ultimate responsibility for ensuring that</w:t>
      </w:r>
      <w:proofErr w:type="gramEnd"/>
      <w:r w:rsidRPr="00A309A8">
        <w:rPr>
          <w:rFonts w:eastAsia="Times New Roman" w:cs="Times New Roman"/>
          <w:iCs/>
          <w:sz w:val="18"/>
          <w:szCs w:val="18"/>
          <w:lang w:eastAsia="en-AU"/>
        </w:rPr>
        <w:t xml:space="preserve"> all relevant obligations relating to customer identification and verification, and ongoing due diligence under the Act and Rules are met.</w:t>
      </w:r>
    </w:p>
    <w:p w14:paraId="7DF9C5B0" w14:textId="2782B50D" w:rsidR="007D480F" w:rsidRPr="004104BD" w:rsidRDefault="00A309A8" w:rsidP="004104BD">
      <w:pPr>
        <w:spacing w:before="240" w:line="240" w:lineRule="auto"/>
        <w:ind w:left="1417" w:hanging="566"/>
        <w:rPr>
          <w:rFonts w:eastAsia="Times New Roman" w:cs="Times New Roman"/>
          <w:iCs/>
          <w:sz w:val="18"/>
          <w:szCs w:val="18"/>
          <w:lang w:eastAsia="en-AU"/>
        </w:rPr>
      </w:pPr>
      <w:r w:rsidRPr="00A309A8">
        <w:rPr>
          <w:rFonts w:eastAsia="Times New Roman" w:cs="Times New Roman"/>
          <w:iCs/>
          <w:sz w:val="18"/>
          <w:szCs w:val="18"/>
          <w:lang w:eastAsia="en-AU"/>
        </w:rPr>
        <w:t xml:space="preserve">Note 2: </w:t>
      </w:r>
      <w:r w:rsidRPr="00A309A8">
        <w:rPr>
          <w:rFonts w:eastAsia="Times New Roman" w:cs="Times New Roman"/>
          <w:iCs/>
          <w:sz w:val="18"/>
          <w:szCs w:val="18"/>
          <w:lang w:eastAsia="en-AU"/>
        </w:rPr>
        <w:tab/>
        <w:t xml:space="preserve">Reporting entities that collect information about a customer, beneficial owner of a customer, or person acting on behalf of a customer, from a third party will need to consider their obligation under Australian Privacy Principle (APP) 3. An APP entity must only collect personal </w:t>
      </w:r>
      <w:proofErr w:type="gramStart"/>
      <w:r w:rsidRPr="00A309A8">
        <w:rPr>
          <w:rFonts w:eastAsia="Times New Roman" w:cs="Times New Roman"/>
          <w:iCs/>
          <w:sz w:val="18"/>
          <w:szCs w:val="18"/>
          <w:lang w:eastAsia="en-AU"/>
        </w:rPr>
        <w:t>information which is reasonably necessary for one</w:t>
      </w:r>
      <w:proofErr w:type="gramEnd"/>
      <w:r w:rsidRPr="00A309A8">
        <w:rPr>
          <w:rFonts w:eastAsia="Times New Roman" w:cs="Times New Roman"/>
          <w:iCs/>
          <w:sz w:val="18"/>
          <w:szCs w:val="18"/>
          <w:lang w:eastAsia="en-AU"/>
        </w:rPr>
        <w:t xml:space="preserve"> or more of the entity’s functions or activities (</w:t>
      </w:r>
      <w:r w:rsidR="007913DE">
        <w:rPr>
          <w:rFonts w:eastAsia="Times New Roman" w:cs="Times New Roman"/>
          <w:iCs/>
          <w:sz w:val="18"/>
          <w:szCs w:val="18"/>
          <w:lang w:eastAsia="en-AU"/>
        </w:rPr>
        <w:t xml:space="preserve">see </w:t>
      </w:r>
      <w:r w:rsidRPr="00A309A8">
        <w:rPr>
          <w:rFonts w:eastAsia="Times New Roman" w:cs="Times New Roman"/>
          <w:iCs/>
          <w:sz w:val="18"/>
          <w:szCs w:val="18"/>
          <w:lang w:eastAsia="en-AU"/>
        </w:rPr>
        <w:t>APP 3.8).</w:t>
      </w:r>
    </w:p>
    <w:p w14:paraId="7D000C84" w14:textId="760D9903" w:rsidR="00965A8B" w:rsidRDefault="00965A8B" w:rsidP="00965A8B">
      <w:pPr>
        <w:pStyle w:val="ItemHead"/>
      </w:pPr>
      <w:proofErr w:type="gramStart"/>
      <w:r>
        <w:t>4  Chapter</w:t>
      </w:r>
      <w:proofErr w:type="gramEnd"/>
      <w:r>
        <w:t xml:space="preserve"> 10</w:t>
      </w:r>
    </w:p>
    <w:p w14:paraId="05ED2D4D" w14:textId="6A6906CE" w:rsidR="00965A8B" w:rsidRDefault="00965A8B" w:rsidP="00965A8B">
      <w:pPr>
        <w:pStyle w:val="Item"/>
      </w:pPr>
      <w:r w:rsidRPr="00AC2C51">
        <w:t xml:space="preserve">Repeal </w:t>
      </w:r>
      <w:r w:rsidR="007913DE">
        <w:t>the chapter</w:t>
      </w:r>
      <w:r w:rsidRPr="00AC2C51">
        <w:t>, substitute:</w:t>
      </w:r>
    </w:p>
    <w:p w14:paraId="083DDF59" w14:textId="768BE8C0" w:rsidR="00965A8B" w:rsidRPr="00965A8B" w:rsidRDefault="00965A8B" w:rsidP="0043498B">
      <w:pPr>
        <w:keepNext/>
        <w:pageBreakBefore/>
        <w:spacing w:before="360" w:line="240" w:lineRule="auto"/>
        <w:rPr>
          <w:rFonts w:ascii="Arial" w:eastAsia="Times New Roman" w:hAnsi="Arial" w:cs="Times New Roman"/>
          <w:b/>
          <w:sz w:val="32"/>
          <w:szCs w:val="24"/>
        </w:rPr>
      </w:pPr>
      <w:bookmarkStart w:id="11" w:name="_Toc39658035"/>
      <w:bookmarkStart w:id="12" w:name="_Toc37945035"/>
      <w:bookmarkStart w:id="13" w:name="_Toc219540621"/>
      <w:r w:rsidRPr="00965A8B">
        <w:rPr>
          <w:rFonts w:ascii="Arial" w:eastAsia="Times New Roman" w:hAnsi="Arial" w:cs="Times New Roman"/>
          <w:b/>
          <w:sz w:val="32"/>
          <w:szCs w:val="24"/>
        </w:rPr>
        <w:lastRenderedPageBreak/>
        <w:t>CHAPTER 10</w:t>
      </w:r>
      <w:bookmarkEnd w:id="11"/>
      <w:bookmarkEnd w:id="12"/>
      <w:bookmarkEnd w:id="13"/>
    </w:p>
    <w:p w14:paraId="48AE1D84" w14:textId="77777777" w:rsidR="00965A8B" w:rsidRPr="00965A8B" w:rsidRDefault="00965A8B" w:rsidP="00965A8B">
      <w:pPr>
        <w:spacing w:before="240" w:line="240" w:lineRule="auto"/>
        <w:ind w:left="1440" w:hanging="1440"/>
        <w:rPr>
          <w:rFonts w:eastAsia="Times New Roman" w:cs="Times New Roman"/>
          <w:b/>
          <w:sz w:val="24"/>
          <w:szCs w:val="24"/>
        </w:rPr>
      </w:pPr>
      <w:bookmarkStart w:id="14" w:name="_Toc39658036"/>
      <w:bookmarkStart w:id="15" w:name="_Toc37945036"/>
      <w:bookmarkStart w:id="16" w:name="_Toc219540622"/>
      <w:r w:rsidRPr="00965A8B">
        <w:rPr>
          <w:rFonts w:eastAsia="Times New Roman" w:cs="Times New Roman"/>
          <w:b/>
          <w:sz w:val="24"/>
          <w:szCs w:val="24"/>
        </w:rPr>
        <w:t>Part 10.1—Casinos</w:t>
      </w:r>
      <w:bookmarkEnd w:id="14"/>
      <w:bookmarkEnd w:id="15"/>
      <w:bookmarkEnd w:id="16"/>
    </w:p>
    <w:p w14:paraId="5AAF3608"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10.1.1</w:t>
      </w:r>
      <w:r w:rsidRPr="00965A8B">
        <w:rPr>
          <w:rFonts w:eastAsia="Times New Roman" w:cs="Times New Roman"/>
          <w:szCs w:val="22"/>
          <w:lang w:eastAsia="en-AU"/>
        </w:rPr>
        <w:tab/>
        <w:t xml:space="preserve">This Part </w:t>
      </w:r>
      <w:proofErr w:type="gramStart"/>
      <w:r w:rsidRPr="00965A8B">
        <w:rPr>
          <w:rFonts w:eastAsia="Times New Roman" w:cs="Times New Roman"/>
          <w:szCs w:val="22"/>
          <w:lang w:eastAsia="en-AU"/>
        </w:rPr>
        <w:t>is made</w:t>
      </w:r>
      <w:proofErr w:type="gramEnd"/>
      <w:r w:rsidRPr="00965A8B">
        <w:rPr>
          <w:rFonts w:eastAsia="Times New Roman" w:cs="Times New Roman"/>
          <w:szCs w:val="22"/>
          <w:lang w:eastAsia="en-AU"/>
        </w:rPr>
        <w:t xml:space="preserve"> for subsections 39(4), 118(2) and 118(4) of the Act.</w:t>
      </w:r>
    </w:p>
    <w:p w14:paraId="0EB8AC06" w14:textId="77777777" w:rsidR="00965A8B" w:rsidRPr="00965A8B" w:rsidRDefault="00965A8B" w:rsidP="00965A8B">
      <w:pPr>
        <w:tabs>
          <w:tab w:val="left" w:pos="851"/>
        </w:tabs>
        <w:spacing w:before="240" w:line="240" w:lineRule="auto"/>
        <w:ind w:left="851" w:hanging="851"/>
        <w:rPr>
          <w:rFonts w:eastAsia="Times New Roman" w:cs="Times New Roman"/>
          <w:szCs w:val="22"/>
          <w:lang w:eastAsia="en-AU"/>
        </w:rPr>
      </w:pPr>
      <w:r w:rsidRPr="00965A8B">
        <w:rPr>
          <w:rFonts w:eastAsia="Times New Roman" w:cs="Times New Roman"/>
          <w:szCs w:val="22"/>
          <w:lang w:val="en-US" w:eastAsia="en-AU"/>
        </w:rPr>
        <w:t>10.1.2</w:t>
      </w:r>
      <w:r w:rsidRPr="00965A8B">
        <w:rPr>
          <w:rFonts w:eastAsia="Times New Roman" w:cs="Times New Roman"/>
          <w:szCs w:val="22"/>
          <w:lang w:val="en-US" w:eastAsia="en-AU"/>
        </w:rPr>
        <w:tab/>
      </w:r>
      <w:r w:rsidRPr="00965A8B">
        <w:rPr>
          <w:rFonts w:eastAsia="Times New Roman" w:cs="Times New Roman"/>
          <w:szCs w:val="22"/>
          <w:lang w:eastAsia="en-AU"/>
        </w:rPr>
        <w:t>This Part applies to designated services provided by a casino other than online gambling services.</w:t>
      </w:r>
    </w:p>
    <w:p w14:paraId="5DAC10DC" w14:textId="77777777" w:rsidR="00965A8B" w:rsidRPr="00965A8B" w:rsidRDefault="00965A8B" w:rsidP="00965A8B">
      <w:pPr>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Customer identification</w:t>
      </w:r>
    </w:p>
    <w:p w14:paraId="2D0FA7FB"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10.1.3</w:t>
      </w:r>
      <w:r w:rsidRPr="00965A8B">
        <w:rPr>
          <w:rFonts w:eastAsia="Times New Roman" w:cs="Times New Roman"/>
          <w:szCs w:val="22"/>
          <w:lang w:eastAsia="en-AU"/>
        </w:rPr>
        <w:tab/>
        <w:t>Division 4 of Part 2 of the Act, subject to paragraph 10.1.5, does not apply to a designated service that:</w:t>
      </w:r>
    </w:p>
    <w:p w14:paraId="4CAC1CC7"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t>is of a kind described in items 1, 2, 4, 6, 7, 8 or 9 of table 3 in subsection 6(4) of the Act; and</w:t>
      </w:r>
    </w:p>
    <w:p w14:paraId="01D8DAE9"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involves</w:t>
      </w:r>
      <w:proofErr w:type="gramEnd"/>
      <w:r w:rsidRPr="00965A8B">
        <w:rPr>
          <w:rFonts w:eastAsia="Times New Roman" w:cs="Times New Roman"/>
          <w:szCs w:val="22"/>
          <w:lang w:eastAsia="en-AU"/>
        </w:rPr>
        <w:t xml:space="preserve"> an amount less than $10,000.</w:t>
      </w:r>
    </w:p>
    <w:p w14:paraId="7752BD3C"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10.1.4</w:t>
      </w:r>
      <w:r w:rsidRPr="00965A8B">
        <w:rPr>
          <w:rFonts w:eastAsia="Times New Roman" w:cs="Times New Roman"/>
          <w:szCs w:val="22"/>
          <w:lang w:eastAsia="en-AU"/>
        </w:rPr>
        <w:tab/>
        <w:t>Division 4 of Part 2 of the Act, subject to paragraph 10.1.5, does not apply to a designated service that is of a kind described in items 1, 2, 4, 6 or 9 of table 3 in subsection 6(4) of the Act where the service:</w:t>
      </w:r>
    </w:p>
    <w:p w14:paraId="3C32A787"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involves</w:t>
      </w:r>
      <w:proofErr w:type="gramEnd"/>
      <w:r w:rsidRPr="00965A8B">
        <w:rPr>
          <w:rFonts w:eastAsia="Times New Roman" w:cs="Times New Roman"/>
          <w:szCs w:val="22"/>
          <w:lang w:eastAsia="en-AU"/>
        </w:rPr>
        <w:t xml:space="preserve"> an amount of $10,000 or more; and</w:t>
      </w:r>
    </w:p>
    <w:p w14:paraId="7E51B2D7"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involves</w:t>
      </w:r>
      <w:proofErr w:type="gramEnd"/>
      <w:r w:rsidRPr="00965A8B">
        <w:rPr>
          <w:rFonts w:eastAsia="Times New Roman" w:cs="Times New Roman"/>
          <w:szCs w:val="22"/>
          <w:lang w:eastAsia="en-AU"/>
        </w:rPr>
        <w:t xml:space="preserve"> the customer giving or receiving only gaming chips or tokens.</w:t>
      </w:r>
    </w:p>
    <w:p w14:paraId="1F46E947" w14:textId="58ED25E4"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10.1.5</w:t>
      </w:r>
      <w:r w:rsidRPr="00965A8B">
        <w:rPr>
          <w:rFonts w:eastAsia="Times New Roman" w:cs="Times New Roman"/>
          <w:szCs w:val="22"/>
          <w:lang w:eastAsia="en-AU"/>
        </w:rPr>
        <w:tab/>
      </w:r>
      <w:r w:rsidR="00BE77B7">
        <w:rPr>
          <w:rFonts w:eastAsia="Times New Roman" w:cs="Times New Roman"/>
          <w:szCs w:val="22"/>
          <w:lang w:eastAsia="en-AU"/>
        </w:rPr>
        <w:t>An</w:t>
      </w:r>
      <w:r w:rsidR="00BE77B7" w:rsidRPr="00965A8B">
        <w:rPr>
          <w:rFonts w:eastAsia="Times New Roman" w:cs="Times New Roman"/>
          <w:szCs w:val="22"/>
          <w:lang w:eastAsia="en-AU"/>
        </w:rPr>
        <w:t xml:space="preserve"> </w:t>
      </w:r>
      <w:r w:rsidRPr="00965A8B">
        <w:rPr>
          <w:rFonts w:eastAsia="Times New Roman" w:cs="Times New Roman"/>
          <w:szCs w:val="22"/>
          <w:lang w:eastAsia="en-AU"/>
        </w:rPr>
        <w:t>exemption does not apply if the reporting entity determines that it must obtain and verify any KYC information about a customer in accordance with its enhanced customer due diligence program and customer identification program.</w:t>
      </w:r>
    </w:p>
    <w:p w14:paraId="7E701657" w14:textId="77777777" w:rsidR="00965A8B" w:rsidRPr="00965A8B" w:rsidRDefault="00965A8B" w:rsidP="00965A8B">
      <w:pPr>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Verification of identity</w:t>
      </w:r>
    </w:p>
    <w:p w14:paraId="2D1607BC"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10.1.6</w:t>
      </w:r>
      <w:r w:rsidRPr="00965A8B">
        <w:rPr>
          <w:rFonts w:eastAsia="Times New Roman" w:cs="Times New Roman"/>
          <w:szCs w:val="22"/>
          <w:lang w:eastAsia="en-AU"/>
        </w:rPr>
        <w:tab/>
        <w:t xml:space="preserve">Chapter 6 </w:t>
      </w:r>
      <w:proofErr w:type="gramStart"/>
      <w:r w:rsidRPr="00965A8B">
        <w:rPr>
          <w:rFonts w:eastAsia="Times New Roman" w:cs="Times New Roman"/>
          <w:szCs w:val="22"/>
          <w:lang w:eastAsia="en-AU"/>
        </w:rPr>
        <w:t>is modified</w:t>
      </w:r>
      <w:proofErr w:type="gramEnd"/>
      <w:r w:rsidRPr="00965A8B">
        <w:rPr>
          <w:rFonts w:eastAsia="Times New Roman" w:cs="Times New Roman"/>
          <w:szCs w:val="22"/>
          <w:lang w:eastAsia="en-AU"/>
        </w:rPr>
        <w:t xml:space="preserve"> as follows:</w:t>
      </w:r>
    </w:p>
    <w:p w14:paraId="41338227"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specified action in paragraph 6.1.3 must be taken:</w:t>
      </w:r>
    </w:p>
    <w:p w14:paraId="7014D740" w14:textId="77777777" w:rsidR="00965A8B" w:rsidRPr="00965A8B" w:rsidRDefault="00965A8B" w:rsidP="00965A8B">
      <w:pPr>
        <w:numPr>
          <w:ilvl w:val="0"/>
          <w:numId w:val="29"/>
        </w:numPr>
        <w:spacing w:before="240" w:line="240" w:lineRule="auto"/>
        <w:ind w:left="1985" w:hanging="567"/>
        <w:rPr>
          <w:rFonts w:eastAsia="Times New Roman" w:cs="Times New Roman"/>
          <w:szCs w:val="22"/>
          <w:lang w:eastAsia="en-AU"/>
        </w:rPr>
      </w:pPr>
      <w:r w:rsidRPr="00965A8B">
        <w:rPr>
          <w:rFonts w:eastAsia="Times New Roman" w:cs="Times New Roman"/>
          <w:szCs w:val="22"/>
          <w:lang w:eastAsia="en-AU"/>
        </w:rPr>
        <w:t>within 14 days starting after the day on which the circumstance specified in paragraph 6.1.2 comes into existence; or</w:t>
      </w:r>
    </w:p>
    <w:p w14:paraId="6A929E38" w14:textId="77777777" w:rsidR="00965A8B" w:rsidRPr="00965A8B" w:rsidRDefault="00965A8B" w:rsidP="00965A8B">
      <w:pPr>
        <w:numPr>
          <w:ilvl w:val="0"/>
          <w:numId w:val="29"/>
        </w:numPr>
        <w:spacing w:before="240" w:line="240" w:lineRule="auto"/>
        <w:ind w:left="1985" w:hanging="567"/>
        <w:rPr>
          <w:rFonts w:eastAsia="Times New Roman" w:cs="Times New Roman"/>
          <w:szCs w:val="22"/>
          <w:lang w:val="en" w:eastAsia="en-AU"/>
        </w:rPr>
      </w:pPr>
      <w:r w:rsidRPr="00965A8B">
        <w:rPr>
          <w:rFonts w:eastAsia="Times New Roman" w:cs="Times New Roman"/>
          <w:szCs w:val="22"/>
          <w:lang w:eastAsia="en-AU"/>
        </w:rPr>
        <w:t>before the reporting entity commences to provide another designated service to the customer to which Part 2 of the Act applies;</w:t>
      </w:r>
    </w:p>
    <w:p w14:paraId="15CCC0CF"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specified action in paragraph 6.2.2 must be taken:</w:t>
      </w:r>
    </w:p>
    <w:p w14:paraId="6B0D7F57" w14:textId="77777777" w:rsidR="00965A8B" w:rsidRPr="00965A8B" w:rsidRDefault="00965A8B" w:rsidP="00965A8B">
      <w:pPr>
        <w:numPr>
          <w:ilvl w:val="0"/>
          <w:numId w:val="30"/>
        </w:numPr>
        <w:spacing w:before="240" w:line="240" w:lineRule="auto"/>
        <w:rPr>
          <w:rFonts w:eastAsia="Times New Roman" w:cs="Times New Roman"/>
          <w:szCs w:val="22"/>
          <w:lang w:eastAsia="en-AU"/>
        </w:rPr>
      </w:pPr>
      <w:r w:rsidRPr="00965A8B">
        <w:rPr>
          <w:rFonts w:eastAsia="Times New Roman" w:cs="Times New Roman"/>
          <w:szCs w:val="22"/>
          <w:lang w:eastAsia="en-AU"/>
        </w:rPr>
        <w:t>within 14 days starting after the day on which the suspicious matter reporting obligation arose; or</w:t>
      </w:r>
    </w:p>
    <w:p w14:paraId="7FDB2B02" w14:textId="77777777" w:rsidR="00965A8B" w:rsidRPr="00965A8B" w:rsidRDefault="00965A8B" w:rsidP="00965A8B">
      <w:pPr>
        <w:numPr>
          <w:ilvl w:val="0"/>
          <w:numId w:val="30"/>
        </w:numPr>
        <w:spacing w:before="240" w:line="240" w:lineRule="auto"/>
        <w:ind w:left="1985" w:hanging="567"/>
        <w:rPr>
          <w:rFonts w:eastAsia="Times New Roman" w:cs="Times New Roman"/>
          <w:sz w:val="24"/>
          <w:szCs w:val="22"/>
          <w:lang w:val="en" w:eastAsia="en-AU"/>
        </w:rPr>
      </w:pPr>
      <w:r w:rsidRPr="00965A8B">
        <w:rPr>
          <w:rFonts w:eastAsia="Times New Roman" w:cs="Times New Roman"/>
          <w:szCs w:val="22"/>
          <w:lang w:eastAsia="en-AU"/>
        </w:rPr>
        <w:t>before the reporting entity commences to provide another designated service to the customer to which Part 2 of the Act applies;</w:t>
      </w:r>
    </w:p>
    <w:p w14:paraId="160DD60D"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sidDel="00342938">
        <w:rPr>
          <w:rFonts w:eastAsia="Times New Roman" w:cs="Times New Roman"/>
          <w:szCs w:val="22"/>
          <w:lang w:eastAsia="en-AU"/>
        </w:rPr>
        <w:t xml:space="preserve"> </w:t>
      </w:r>
      <w:r w:rsidRPr="00965A8B">
        <w:rPr>
          <w:rFonts w:eastAsia="Times New Roman" w:cs="Times New Roman"/>
          <w:szCs w:val="22"/>
          <w:lang w:eastAsia="en-AU"/>
        </w:rPr>
        <w:t>(3)</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specified action in paragraph 6.3.2 must be taken: </w:t>
      </w:r>
    </w:p>
    <w:p w14:paraId="2BD980F9" w14:textId="77777777" w:rsidR="00965A8B" w:rsidRPr="00965A8B" w:rsidRDefault="00965A8B" w:rsidP="00965A8B">
      <w:pPr>
        <w:numPr>
          <w:ilvl w:val="0"/>
          <w:numId w:val="31"/>
        </w:numPr>
        <w:spacing w:before="240" w:line="240" w:lineRule="auto"/>
        <w:rPr>
          <w:rFonts w:eastAsia="Times New Roman" w:cs="Times New Roman"/>
          <w:sz w:val="24"/>
          <w:szCs w:val="22"/>
          <w:lang w:eastAsia="en-AU"/>
        </w:rPr>
      </w:pPr>
      <w:r w:rsidRPr="00965A8B">
        <w:rPr>
          <w:rFonts w:eastAsia="Times New Roman" w:cs="Times New Roman"/>
          <w:szCs w:val="22"/>
          <w:lang w:eastAsia="en-AU"/>
        </w:rPr>
        <w:lastRenderedPageBreak/>
        <w:t xml:space="preserve">within 14 days starting after the day on which the suspicious matter reporting obligation arose; or </w:t>
      </w:r>
    </w:p>
    <w:p w14:paraId="5235988A" w14:textId="77777777" w:rsidR="00965A8B" w:rsidRPr="00965A8B" w:rsidRDefault="00965A8B" w:rsidP="00965A8B">
      <w:pPr>
        <w:numPr>
          <w:ilvl w:val="0"/>
          <w:numId w:val="31"/>
        </w:numPr>
        <w:spacing w:before="240" w:line="240" w:lineRule="auto"/>
        <w:rPr>
          <w:rFonts w:eastAsia="Times New Roman" w:cs="Times New Roman"/>
          <w:sz w:val="24"/>
          <w:szCs w:val="22"/>
          <w:lang w:eastAsia="en-AU"/>
        </w:rPr>
      </w:pPr>
      <w:r w:rsidRPr="00965A8B">
        <w:rPr>
          <w:rFonts w:eastAsia="Times New Roman" w:cs="Times New Roman"/>
          <w:szCs w:val="22"/>
          <w:lang w:eastAsia="en-AU"/>
        </w:rPr>
        <w:t>before the reporting entity commences to provide another designated service to the customer to which Part 2 of the Act applies;</w:t>
      </w:r>
    </w:p>
    <w:p w14:paraId="6D29B5EE"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(4)</w:t>
      </w:r>
      <w:r w:rsidRPr="00965A8B">
        <w:rPr>
          <w:rFonts w:eastAsia="Times New Roman" w:cs="Times New Roman"/>
          <w:szCs w:val="22"/>
          <w:lang w:eastAsia="en-AU"/>
        </w:rPr>
        <w:tab/>
      </w:r>
      <w:proofErr w:type="gramStart"/>
      <w:r w:rsidRPr="00965A8B">
        <w:rPr>
          <w:rFonts w:eastAsia="Times New Roman" w:cs="Times New Roman"/>
          <w:szCs w:val="22"/>
          <w:lang w:eastAsia="en-AU"/>
        </w:rPr>
        <w:t>paragraphs</w:t>
      </w:r>
      <w:proofErr w:type="gramEnd"/>
      <w:r w:rsidRPr="00965A8B">
        <w:rPr>
          <w:rFonts w:eastAsia="Times New Roman" w:cs="Times New Roman"/>
          <w:szCs w:val="22"/>
          <w:lang w:eastAsia="en-AU"/>
        </w:rPr>
        <w:t xml:space="preserve"> 6.2.3 and 6.3.3 do not apply.</w:t>
      </w:r>
    </w:p>
    <w:p w14:paraId="74355675" w14:textId="77777777" w:rsidR="00965A8B" w:rsidRPr="00965A8B" w:rsidRDefault="00965A8B" w:rsidP="00965A8B">
      <w:pPr>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Record</w:t>
      </w:r>
      <w:r w:rsidRPr="00965A8B">
        <w:rPr>
          <w:rFonts w:eastAsia="Times New Roman" w:cs="Times New Roman"/>
          <w:i/>
          <w:szCs w:val="22"/>
          <w:lang w:eastAsia="en-AU"/>
        </w:rPr>
        <w:noBreakHyphen/>
        <w:t>keeping</w:t>
      </w:r>
    </w:p>
    <w:p w14:paraId="3D42AF08"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10.1.7</w:t>
      </w:r>
      <w:r w:rsidRPr="00965A8B">
        <w:rPr>
          <w:rFonts w:eastAsia="Times New Roman" w:cs="Times New Roman"/>
          <w:szCs w:val="22"/>
          <w:lang w:eastAsia="en-AU"/>
        </w:rPr>
        <w:tab/>
        <w:t>Sections 106 and 107 of the Act do not apply to a designated service of a kind described in:</w:t>
      </w:r>
    </w:p>
    <w:p w14:paraId="4241885E"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items</w:t>
      </w:r>
      <w:proofErr w:type="gramEnd"/>
      <w:r w:rsidRPr="00965A8B">
        <w:rPr>
          <w:rFonts w:eastAsia="Times New Roman" w:cs="Times New Roman"/>
          <w:szCs w:val="22"/>
          <w:lang w:eastAsia="en-AU"/>
        </w:rPr>
        <w:t xml:space="preserve"> 1, 2, or 6 of table 3 in subsection 6(4) of the Act; or</w:t>
      </w:r>
    </w:p>
    <w:p w14:paraId="67195C68"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item</w:t>
      </w:r>
      <w:proofErr w:type="gramEnd"/>
      <w:r w:rsidRPr="00965A8B">
        <w:rPr>
          <w:rFonts w:eastAsia="Times New Roman" w:cs="Times New Roman"/>
          <w:szCs w:val="22"/>
          <w:lang w:eastAsia="en-AU"/>
        </w:rPr>
        <w:t xml:space="preserve"> 4 of table 3 in subsection 6(4) to the extent that the customer is only given gaming chips or tokens when the service is provided.</w:t>
      </w:r>
    </w:p>
    <w:p w14:paraId="52FAEEF3" w14:textId="77777777" w:rsidR="00965A8B" w:rsidRPr="00965A8B" w:rsidRDefault="00965A8B" w:rsidP="00965A8B">
      <w:pPr>
        <w:spacing w:before="240" w:line="240" w:lineRule="auto"/>
        <w:ind w:left="1440" w:hanging="1440"/>
        <w:rPr>
          <w:rFonts w:eastAsia="Times New Roman" w:cs="Times New Roman"/>
          <w:b/>
          <w:sz w:val="24"/>
          <w:szCs w:val="24"/>
        </w:rPr>
      </w:pPr>
      <w:bookmarkStart w:id="17" w:name="_Toc39658037"/>
      <w:bookmarkStart w:id="18" w:name="_Toc37945037"/>
      <w:r w:rsidRPr="00965A8B">
        <w:rPr>
          <w:rFonts w:eastAsia="Times New Roman" w:cs="Times New Roman"/>
          <w:b/>
          <w:sz w:val="24"/>
          <w:szCs w:val="24"/>
        </w:rPr>
        <w:t>Part 10.2—On</w:t>
      </w:r>
      <w:r w:rsidRPr="00965A8B">
        <w:rPr>
          <w:rFonts w:eastAsia="Times New Roman" w:cs="Times New Roman"/>
          <w:b/>
          <w:sz w:val="24"/>
          <w:szCs w:val="24"/>
        </w:rPr>
        <w:noBreakHyphen/>
        <w:t>course bookmakers and totalisator agency boards</w:t>
      </w:r>
      <w:bookmarkEnd w:id="17"/>
      <w:bookmarkEnd w:id="18"/>
    </w:p>
    <w:p w14:paraId="7FADD310"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10.2.1</w:t>
      </w:r>
      <w:r w:rsidRPr="00965A8B">
        <w:rPr>
          <w:rFonts w:eastAsia="Times New Roman" w:cs="Times New Roman"/>
          <w:szCs w:val="22"/>
          <w:lang w:eastAsia="en-AU"/>
        </w:rPr>
        <w:tab/>
        <w:t xml:space="preserve">This Part </w:t>
      </w:r>
      <w:proofErr w:type="gramStart"/>
      <w:r w:rsidRPr="00965A8B">
        <w:rPr>
          <w:rFonts w:eastAsia="Times New Roman" w:cs="Times New Roman"/>
          <w:szCs w:val="22"/>
          <w:lang w:eastAsia="en-AU"/>
        </w:rPr>
        <w:t>is made</w:t>
      </w:r>
      <w:proofErr w:type="gramEnd"/>
      <w:r w:rsidRPr="00965A8B">
        <w:rPr>
          <w:rFonts w:eastAsia="Times New Roman" w:cs="Times New Roman"/>
          <w:szCs w:val="22"/>
          <w:lang w:eastAsia="en-AU"/>
        </w:rPr>
        <w:t xml:space="preserve"> for subsections 39(4), 118(2) and 118(4) of the Act.</w:t>
      </w:r>
    </w:p>
    <w:p w14:paraId="4A871781"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10.2.2</w:t>
      </w:r>
      <w:r w:rsidRPr="00965A8B">
        <w:rPr>
          <w:rFonts w:eastAsia="Times New Roman" w:cs="Times New Roman"/>
          <w:szCs w:val="22"/>
          <w:lang w:eastAsia="en-AU"/>
        </w:rPr>
        <w:tab/>
        <w:t>This Part applies to designated services provided by a reporting entity that is an on</w:t>
      </w:r>
      <w:r w:rsidRPr="00965A8B">
        <w:rPr>
          <w:rFonts w:eastAsia="Times New Roman" w:cs="Times New Roman"/>
          <w:szCs w:val="22"/>
          <w:lang w:eastAsia="en-AU"/>
        </w:rPr>
        <w:noBreakHyphen/>
        <w:t>course bookmaker or a totalisator agency board.</w:t>
      </w:r>
    </w:p>
    <w:p w14:paraId="3B9D9218" w14:textId="77777777" w:rsidR="00965A8B" w:rsidRPr="00965A8B" w:rsidRDefault="00965A8B" w:rsidP="00965A8B">
      <w:pPr>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Customer identification</w:t>
      </w:r>
    </w:p>
    <w:p w14:paraId="26FA8194"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10.2.3</w:t>
      </w:r>
      <w:r w:rsidRPr="00965A8B">
        <w:rPr>
          <w:rFonts w:eastAsia="Times New Roman" w:cs="Times New Roman"/>
          <w:szCs w:val="22"/>
          <w:lang w:eastAsia="en-AU"/>
        </w:rPr>
        <w:tab/>
        <w:t>Division 4 of Part 2 of the Act, subject to paragraph 10.2.5, does not apply to a designated service of a kind described in items 1 or 2 of table 3 in subsection 6(4) of the Act.</w:t>
      </w:r>
    </w:p>
    <w:p w14:paraId="7349E2F4"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10.2.4</w:t>
      </w:r>
      <w:r w:rsidRPr="00965A8B">
        <w:rPr>
          <w:rFonts w:eastAsia="Times New Roman" w:cs="Times New Roman"/>
          <w:szCs w:val="22"/>
          <w:lang w:eastAsia="en-AU"/>
        </w:rPr>
        <w:tab/>
        <w:t>Division 4 of Part 2 of the Act, subject to paragraph 10.2.5, does not apply to a designated service that:</w:t>
      </w:r>
    </w:p>
    <w:p w14:paraId="7494A2D3"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t>is of a kind described in items 4, 7 or 8 of table 3 in subsection 6(4); and</w:t>
      </w:r>
    </w:p>
    <w:p w14:paraId="05375FFB"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involves</w:t>
      </w:r>
      <w:proofErr w:type="gramEnd"/>
      <w:r w:rsidRPr="00965A8B">
        <w:rPr>
          <w:rFonts w:eastAsia="Times New Roman" w:cs="Times New Roman"/>
          <w:szCs w:val="22"/>
          <w:lang w:eastAsia="en-AU"/>
        </w:rPr>
        <w:t xml:space="preserve"> an amount less than $10,000.</w:t>
      </w:r>
    </w:p>
    <w:p w14:paraId="3869E63E"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10.2.5</w:t>
      </w:r>
      <w:r w:rsidRPr="00965A8B">
        <w:rPr>
          <w:rFonts w:eastAsia="Times New Roman" w:cs="Times New Roman"/>
          <w:szCs w:val="22"/>
          <w:lang w:eastAsia="en-AU"/>
        </w:rPr>
        <w:tab/>
        <w:t>An exemption does not apply if the reporting entity determines that it must obtain and verify any KYC information about a customer in accordance with its enhanced customer due diligence program and customer identification program.</w:t>
      </w:r>
    </w:p>
    <w:p w14:paraId="51B2ABFE" w14:textId="77777777" w:rsidR="00965A8B" w:rsidRPr="00965A8B" w:rsidRDefault="00965A8B" w:rsidP="00965A8B">
      <w:pPr>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Verification of identity</w:t>
      </w:r>
    </w:p>
    <w:p w14:paraId="4E7D1673"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10.2.6</w:t>
      </w:r>
      <w:r w:rsidRPr="00965A8B">
        <w:rPr>
          <w:rFonts w:eastAsia="Times New Roman" w:cs="Times New Roman"/>
          <w:szCs w:val="22"/>
          <w:lang w:eastAsia="en-AU"/>
        </w:rPr>
        <w:tab/>
        <w:t xml:space="preserve">Chapter 6 </w:t>
      </w:r>
      <w:proofErr w:type="gramStart"/>
      <w:r w:rsidRPr="00965A8B">
        <w:rPr>
          <w:rFonts w:eastAsia="Times New Roman" w:cs="Times New Roman"/>
          <w:szCs w:val="22"/>
          <w:lang w:eastAsia="en-AU"/>
        </w:rPr>
        <w:t>is modified</w:t>
      </w:r>
      <w:proofErr w:type="gramEnd"/>
      <w:r w:rsidRPr="00965A8B">
        <w:rPr>
          <w:rFonts w:eastAsia="Times New Roman" w:cs="Times New Roman"/>
          <w:szCs w:val="22"/>
          <w:lang w:eastAsia="en-AU"/>
        </w:rPr>
        <w:t xml:space="preserve"> as follows:</w:t>
      </w:r>
    </w:p>
    <w:p w14:paraId="2FD31830"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specified action in paragraph 6.1.3 must be taken:</w:t>
      </w:r>
    </w:p>
    <w:p w14:paraId="5053BE2E" w14:textId="77777777" w:rsidR="00965A8B" w:rsidRPr="00965A8B" w:rsidRDefault="00965A8B" w:rsidP="00272CE3">
      <w:pPr>
        <w:numPr>
          <w:ilvl w:val="0"/>
          <w:numId w:val="34"/>
        </w:numPr>
        <w:spacing w:before="240" w:line="240" w:lineRule="auto"/>
        <w:rPr>
          <w:rFonts w:eastAsia="Times New Roman" w:cs="Times New Roman"/>
          <w:szCs w:val="22"/>
          <w:lang w:eastAsia="en-AU"/>
        </w:rPr>
      </w:pPr>
      <w:r w:rsidRPr="00965A8B">
        <w:rPr>
          <w:rFonts w:eastAsia="Times New Roman" w:cs="Times New Roman"/>
          <w:szCs w:val="22"/>
          <w:lang w:eastAsia="en-AU"/>
        </w:rPr>
        <w:t>within 14 days starting after the day on which the circumstance specified in paragraph 6.1.2 comes into existence; or</w:t>
      </w:r>
    </w:p>
    <w:p w14:paraId="37B3D543" w14:textId="77777777" w:rsidR="00965A8B" w:rsidRPr="00965A8B" w:rsidRDefault="00965A8B" w:rsidP="00272CE3">
      <w:pPr>
        <w:numPr>
          <w:ilvl w:val="0"/>
          <w:numId w:val="34"/>
        </w:numPr>
        <w:spacing w:before="240" w:line="240" w:lineRule="auto"/>
        <w:ind w:left="1985" w:hanging="567"/>
        <w:rPr>
          <w:rFonts w:eastAsia="Times New Roman" w:cs="Times New Roman"/>
          <w:szCs w:val="22"/>
          <w:lang w:val="en" w:eastAsia="en-AU"/>
        </w:rPr>
      </w:pPr>
      <w:r w:rsidRPr="00965A8B">
        <w:rPr>
          <w:rFonts w:eastAsia="Times New Roman" w:cs="Times New Roman"/>
          <w:szCs w:val="22"/>
          <w:lang w:eastAsia="en-AU"/>
        </w:rPr>
        <w:lastRenderedPageBreak/>
        <w:t>before the reporting entity commences to provide another designated service to the customer to which Part 2 of the Act applies;</w:t>
      </w:r>
    </w:p>
    <w:p w14:paraId="09092A0F"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specified action in paragraph 6.2.2 must be taken:</w:t>
      </w:r>
    </w:p>
    <w:p w14:paraId="3F9F3633" w14:textId="77777777" w:rsidR="00965A8B" w:rsidRPr="00965A8B" w:rsidRDefault="00965A8B" w:rsidP="00272CE3">
      <w:pPr>
        <w:numPr>
          <w:ilvl w:val="0"/>
          <w:numId w:val="35"/>
        </w:numPr>
        <w:spacing w:before="240" w:line="240" w:lineRule="auto"/>
        <w:rPr>
          <w:rFonts w:eastAsia="Times New Roman" w:cs="Times New Roman"/>
          <w:szCs w:val="22"/>
          <w:lang w:eastAsia="en-AU"/>
        </w:rPr>
      </w:pPr>
      <w:r w:rsidRPr="00965A8B">
        <w:rPr>
          <w:rFonts w:eastAsia="Times New Roman" w:cs="Times New Roman"/>
          <w:szCs w:val="22"/>
          <w:lang w:eastAsia="en-AU"/>
        </w:rPr>
        <w:t>within 14 days starting after the day on which the suspicious matter reporting obligation arose; or</w:t>
      </w:r>
    </w:p>
    <w:p w14:paraId="59EF1792" w14:textId="77777777" w:rsidR="00965A8B" w:rsidRPr="00965A8B" w:rsidRDefault="00965A8B" w:rsidP="00272CE3">
      <w:pPr>
        <w:numPr>
          <w:ilvl w:val="0"/>
          <w:numId w:val="35"/>
        </w:numPr>
        <w:spacing w:before="240" w:line="240" w:lineRule="auto"/>
        <w:ind w:left="1985" w:hanging="567"/>
        <w:rPr>
          <w:rFonts w:eastAsia="Times New Roman" w:cs="Times New Roman"/>
          <w:szCs w:val="22"/>
          <w:lang w:val="en" w:eastAsia="en-AU"/>
        </w:rPr>
      </w:pPr>
      <w:r w:rsidRPr="00965A8B">
        <w:rPr>
          <w:rFonts w:eastAsia="Times New Roman" w:cs="Times New Roman"/>
          <w:szCs w:val="22"/>
          <w:lang w:eastAsia="en-AU"/>
        </w:rPr>
        <w:t>before the reporting entity commences to provide another designated service to the customer to which Part 2 of the Act applies;</w:t>
      </w:r>
    </w:p>
    <w:p w14:paraId="44681C19"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sidDel="00342938">
        <w:rPr>
          <w:rFonts w:eastAsia="Times New Roman" w:cs="Times New Roman"/>
          <w:szCs w:val="22"/>
          <w:lang w:eastAsia="en-AU"/>
        </w:rPr>
        <w:t xml:space="preserve"> </w:t>
      </w:r>
      <w:r w:rsidRPr="00965A8B">
        <w:rPr>
          <w:rFonts w:eastAsia="Times New Roman" w:cs="Times New Roman"/>
          <w:szCs w:val="22"/>
          <w:lang w:eastAsia="en-AU"/>
        </w:rPr>
        <w:t>(3)</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specified action in paragraph 6.3.2 must be taken: </w:t>
      </w:r>
    </w:p>
    <w:p w14:paraId="690ABFAD" w14:textId="77777777" w:rsidR="00965A8B" w:rsidRPr="00965A8B" w:rsidRDefault="00965A8B" w:rsidP="00272CE3">
      <w:pPr>
        <w:numPr>
          <w:ilvl w:val="0"/>
          <w:numId w:val="36"/>
        </w:numPr>
        <w:spacing w:before="240" w:line="240" w:lineRule="auto"/>
        <w:rPr>
          <w:rFonts w:eastAsia="Times New Roman" w:cs="Times New Roman"/>
          <w:szCs w:val="22"/>
          <w:lang w:eastAsia="en-AU"/>
        </w:rPr>
      </w:pPr>
      <w:r w:rsidRPr="00965A8B">
        <w:rPr>
          <w:rFonts w:eastAsia="Times New Roman" w:cs="Times New Roman"/>
          <w:szCs w:val="22"/>
          <w:lang w:eastAsia="en-AU"/>
        </w:rPr>
        <w:t xml:space="preserve">within 14 days starting after the day on which the suspicious matter reporting obligation arose; or </w:t>
      </w:r>
    </w:p>
    <w:p w14:paraId="5C682C75" w14:textId="77777777" w:rsidR="00965A8B" w:rsidRPr="00965A8B" w:rsidRDefault="00965A8B" w:rsidP="00272CE3">
      <w:pPr>
        <w:numPr>
          <w:ilvl w:val="0"/>
          <w:numId w:val="36"/>
        </w:numPr>
        <w:spacing w:before="240" w:line="240" w:lineRule="auto"/>
        <w:rPr>
          <w:rFonts w:eastAsia="Times New Roman" w:cs="Times New Roman"/>
          <w:szCs w:val="22"/>
          <w:lang w:eastAsia="en-AU"/>
        </w:rPr>
      </w:pPr>
      <w:r w:rsidRPr="00965A8B">
        <w:rPr>
          <w:rFonts w:eastAsia="Times New Roman" w:cs="Times New Roman"/>
          <w:szCs w:val="22"/>
          <w:lang w:eastAsia="en-AU"/>
        </w:rPr>
        <w:t>before the reporting entity commences to provide another designated service to the customer to which Part 2 of the Act applies;</w:t>
      </w:r>
    </w:p>
    <w:p w14:paraId="237E71D4" w14:textId="77777777" w:rsidR="00965A8B" w:rsidRPr="00965A8B" w:rsidRDefault="00965A8B" w:rsidP="00965A8B">
      <w:pPr>
        <w:spacing w:before="240" w:line="240" w:lineRule="auto"/>
        <w:ind w:left="1418" w:hanging="567"/>
        <w:rPr>
          <w:rFonts w:eastAsia="Times New Roman" w:cs="Times New Roman"/>
          <w:szCs w:val="22"/>
          <w:lang w:eastAsia="en-AU"/>
        </w:rPr>
      </w:pPr>
      <w:r w:rsidRPr="00965A8B">
        <w:rPr>
          <w:rFonts w:eastAsia="Times New Roman" w:cs="Times New Roman"/>
          <w:szCs w:val="22"/>
          <w:lang w:eastAsia="en-AU"/>
        </w:rPr>
        <w:t>(4)</w:t>
      </w:r>
      <w:r w:rsidRPr="00965A8B">
        <w:rPr>
          <w:rFonts w:eastAsia="Times New Roman" w:cs="Times New Roman"/>
          <w:szCs w:val="22"/>
          <w:lang w:eastAsia="en-AU"/>
        </w:rPr>
        <w:tab/>
      </w:r>
      <w:proofErr w:type="gramStart"/>
      <w:r w:rsidRPr="00965A8B">
        <w:rPr>
          <w:rFonts w:eastAsia="Times New Roman" w:cs="Times New Roman"/>
          <w:szCs w:val="22"/>
          <w:lang w:eastAsia="en-AU"/>
        </w:rPr>
        <w:t>paragraphs</w:t>
      </w:r>
      <w:proofErr w:type="gramEnd"/>
      <w:r w:rsidRPr="00965A8B">
        <w:rPr>
          <w:rFonts w:eastAsia="Times New Roman" w:cs="Times New Roman"/>
          <w:szCs w:val="22"/>
          <w:lang w:eastAsia="en-AU"/>
        </w:rPr>
        <w:t xml:space="preserve"> 6.2.3 and 6.3.3 do not apply.</w:t>
      </w:r>
    </w:p>
    <w:p w14:paraId="44E18604" w14:textId="77777777" w:rsidR="00965A8B" w:rsidRPr="00965A8B" w:rsidRDefault="00965A8B" w:rsidP="00965A8B">
      <w:pPr>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Record</w:t>
      </w:r>
      <w:r w:rsidRPr="00965A8B">
        <w:rPr>
          <w:rFonts w:eastAsia="Times New Roman" w:cs="Times New Roman"/>
          <w:i/>
          <w:szCs w:val="22"/>
          <w:lang w:eastAsia="en-AU"/>
        </w:rPr>
        <w:noBreakHyphen/>
        <w:t>keeping</w:t>
      </w:r>
    </w:p>
    <w:p w14:paraId="1ADF238B"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10.2.7</w:t>
      </w:r>
      <w:r w:rsidRPr="00965A8B">
        <w:rPr>
          <w:rFonts w:eastAsia="Times New Roman" w:cs="Times New Roman"/>
          <w:szCs w:val="22"/>
          <w:lang w:eastAsia="en-AU"/>
        </w:rPr>
        <w:tab/>
        <w:t>Sections 106 and 107 of the Act do not apply to a designated service of a kind described in:</w:t>
      </w:r>
    </w:p>
    <w:p w14:paraId="7D634809" w14:textId="77777777" w:rsidR="00965A8B" w:rsidRPr="00965A8B" w:rsidRDefault="00965A8B" w:rsidP="00965A8B">
      <w:pPr>
        <w:spacing w:before="240" w:line="240" w:lineRule="auto"/>
        <w:ind w:left="1390" w:hanging="539"/>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items</w:t>
      </w:r>
      <w:proofErr w:type="gramEnd"/>
      <w:r w:rsidRPr="00965A8B">
        <w:rPr>
          <w:rFonts w:eastAsia="Times New Roman" w:cs="Times New Roman"/>
          <w:szCs w:val="22"/>
          <w:lang w:eastAsia="en-AU"/>
        </w:rPr>
        <w:t xml:space="preserve"> 1, 2, or 6 of table 3 in subsection 6(4) of the Act; or</w:t>
      </w:r>
    </w:p>
    <w:p w14:paraId="64CF787B" w14:textId="77777777" w:rsidR="00965A8B" w:rsidRPr="00965A8B" w:rsidRDefault="00965A8B" w:rsidP="00965A8B">
      <w:pPr>
        <w:spacing w:before="240" w:line="240" w:lineRule="auto"/>
        <w:ind w:left="1390" w:hanging="539"/>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items</w:t>
      </w:r>
      <w:proofErr w:type="gramEnd"/>
      <w:r w:rsidRPr="00965A8B">
        <w:rPr>
          <w:rFonts w:eastAsia="Times New Roman" w:cs="Times New Roman"/>
          <w:szCs w:val="22"/>
          <w:lang w:eastAsia="en-AU"/>
        </w:rPr>
        <w:t xml:space="preserve"> 7 or 8 of table 3 in subsection 6(4) of the Act where that service involves an amount less than $10,000. </w:t>
      </w:r>
    </w:p>
    <w:p w14:paraId="064DE03A" w14:textId="77777777" w:rsidR="00965A8B" w:rsidRPr="00965A8B" w:rsidRDefault="00965A8B" w:rsidP="00965A8B">
      <w:pPr>
        <w:spacing w:before="240" w:line="240" w:lineRule="auto"/>
        <w:ind w:left="1440" w:hanging="1440"/>
        <w:rPr>
          <w:rFonts w:eastAsia="Times New Roman" w:cs="Times New Roman"/>
          <w:b/>
          <w:sz w:val="24"/>
          <w:szCs w:val="24"/>
        </w:rPr>
      </w:pPr>
      <w:bookmarkStart w:id="19" w:name="_Toc504471458"/>
      <w:bookmarkStart w:id="20" w:name="_Toc39658038"/>
      <w:bookmarkStart w:id="21" w:name="_Toc37945038"/>
      <w:r w:rsidRPr="00965A8B">
        <w:rPr>
          <w:rFonts w:eastAsia="Times New Roman" w:cs="Times New Roman"/>
          <w:b/>
          <w:sz w:val="24"/>
          <w:szCs w:val="24"/>
        </w:rPr>
        <w:t>Part 10.3—</w:t>
      </w:r>
      <w:bookmarkEnd w:id="19"/>
      <w:r w:rsidRPr="00965A8B">
        <w:rPr>
          <w:rFonts w:eastAsia="Times New Roman" w:cs="Times New Roman"/>
          <w:b/>
          <w:sz w:val="24"/>
          <w:szCs w:val="24"/>
        </w:rPr>
        <w:t>Gaming machines</w:t>
      </w:r>
      <w:bookmarkEnd w:id="20"/>
      <w:bookmarkEnd w:id="21"/>
    </w:p>
    <w:p w14:paraId="749FC6DE"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10.3.1</w:t>
      </w:r>
      <w:r w:rsidRPr="00965A8B">
        <w:rPr>
          <w:rFonts w:eastAsia="Times New Roman" w:cs="Times New Roman"/>
          <w:szCs w:val="22"/>
          <w:lang w:eastAsia="en-AU"/>
        </w:rPr>
        <w:tab/>
        <w:t xml:space="preserve">This Part </w:t>
      </w:r>
      <w:proofErr w:type="gramStart"/>
      <w:r w:rsidRPr="00965A8B">
        <w:rPr>
          <w:rFonts w:eastAsia="Times New Roman" w:cs="Times New Roman"/>
          <w:szCs w:val="22"/>
          <w:lang w:eastAsia="en-AU"/>
        </w:rPr>
        <w:t>is made</w:t>
      </w:r>
      <w:proofErr w:type="gramEnd"/>
      <w:r w:rsidRPr="00965A8B">
        <w:rPr>
          <w:rFonts w:eastAsia="Times New Roman" w:cs="Times New Roman"/>
          <w:szCs w:val="22"/>
          <w:lang w:eastAsia="en-AU"/>
        </w:rPr>
        <w:t xml:space="preserve"> for subsection 39(4) of the Act.</w:t>
      </w:r>
    </w:p>
    <w:p w14:paraId="309D1C86"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10.3.2</w:t>
      </w:r>
      <w:r w:rsidRPr="00965A8B">
        <w:rPr>
          <w:rFonts w:eastAsia="Times New Roman" w:cs="Times New Roman"/>
          <w:szCs w:val="22"/>
          <w:lang w:eastAsia="en-AU"/>
        </w:rPr>
        <w:tab/>
        <w:t>This Part applies to designated services provided by a reporting entity by way of a gaming machine other than designated services provided at a casino.</w:t>
      </w:r>
    </w:p>
    <w:p w14:paraId="165C0D7C" w14:textId="77777777" w:rsidR="00965A8B" w:rsidRPr="00965A8B" w:rsidRDefault="00965A8B" w:rsidP="00965A8B">
      <w:pPr>
        <w:keepNext/>
        <w:spacing w:before="240" w:line="240" w:lineRule="auto"/>
        <w:ind w:left="720" w:hanging="720"/>
        <w:rPr>
          <w:rFonts w:eastAsia="Times New Roman" w:cs="Times New Roman"/>
          <w:i/>
          <w:szCs w:val="22"/>
          <w:lang w:eastAsia="en-AU"/>
        </w:rPr>
      </w:pPr>
      <w:r w:rsidRPr="00965A8B">
        <w:rPr>
          <w:rFonts w:eastAsia="Times New Roman" w:cs="Times New Roman"/>
          <w:i/>
          <w:szCs w:val="22"/>
          <w:lang w:eastAsia="en-AU"/>
        </w:rPr>
        <w:t>Customer identification</w:t>
      </w:r>
    </w:p>
    <w:p w14:paraId="647E087D"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10.3.3</w:t>
      </w:r>
      <w:r w:rsidRPr="00965A8B">
        <w:rPr>
          <w:rFonts w:eastAsia="Times New Roman" w:cs="Times New Roman"/>
          <w:szCs w:val="22"/>
          <w:lang w:eastAsia="en-AU"/>
        </w:rPr>
        <w:tab/>
        <w:t>Division 4 of Part 2 of the Act, subject to paragraph 10.3.5, does not apply to a designated service of a kind described in items 5 or 6 of table 3 in subsection 6(4) of the Act.</w:t>
      </w:r>
    </w:p>
    <w:p w14:paraId="52189753"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10.3.4</w:t>
      </w:r>
      <w:r w:rsidRPr="00965A8B">
        <w:rPr>
          <w:rFonts w:eastAsia="Times New Roman" w:cs="Times New Roman"/>
          <w:szCs w:val="22"/>
          <w:lang w:eastAsia="en-AU"/>
        </w:rPr>
        <w:tab/>
        <w:t>Division 4 of Part 2 of the Act, subject to paragraph 10.3.5, does not apply in respect of a designated service that:</w:t>
      </w:r>
    </w:p>
    <w:p w14:paraId="147224EB" w14:textId="77777777" w:rsidR="00965A8B" w:rsidRPr="00965A8B" w:rsidRDefault="00965A8B" w:rsidP="00965A8B">
      <w:pPr>
        <w:spacing w:before="240" w:line="240" w:lineRule="auto"/>
        <w:ind w:left="1390" w:hanging="539"/>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is</w:t>
      </w:r>
      <w:proofErr w:type="gramEnd"/>
      <w:r w:rsidRPr="00965A8B">
        <w:rPr>
          <w:rFonts w:eastAsia="Times New Roman" w:cs="Times New Roman"/>
          <w:szCs w:val="22"/>
          <w:lang w:eastAsia="en-AU"/>
        </w:rPr>
        <w:t xml:space="preserve"> of a kind described in items 9 or 10 of table 3 in subsection 6(4); and </w:t>
      </w:r>
    </w:p>
    <w:p w14:paraId="79FF1612" w14:textId="77777777" w:rsidR="00965A8B" w:rsidRPr="00965A8B" w:rsidRDefault="00965A8B" w:rsidP="00965A8B">
      <w:pPr>
        <w:spacing w:before="240" w:line="240" w:lineRule="auto"/>
        <w:ind w:left="1390" w:hanging="539"/>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involves</w:t>
      </w:r>
      <w:proofErr w:type="gramEnd"/>
      <w:r w:rsidRPr="00965A8B">
        <w:rPr>
          <w:rFonts w:eastAsia="Times New Roman" w:cs="Times New Roman"/>
          <w:szCs w:val="22"/>
          <w:lang w:eastAsia="en-AU"/>
        </w:rPr>
        <w:t xml:space="preserve"> an amount less than $10,000.</w:t>
      </w:r>
    </w:p>
    <w:p w14:paraId="49FEB46A" w14:textId="75CB8166"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lastRenderedPageBreak/>
        <w:t>10.3.5</w:t>
      </w:r>
      <w:r w:rsidRPr="00965A8B">
        <w:rPr>
          <w:rFonts w:eastAsia="Times New Roman" w:cs="Times New Roman"/>
          <w:szCs w:val="22"/>
          <w:lang w:eastAsia="en-AU"/>
        </w:rPr>
        <w:tab/>
      </w:r>
      <w:r w:rsidR="00BE77B7">
        <w:rPr>
          <w:rFonts w:eastAsia="Times New Roman" w:cs="Times New Roman"/>
          <w:szCs w:val="22"/>
          <w:lang w:eastAsia="en-AU"/>
        </w:rPr>
        <w:t>An</w:t>
      </w:r>
      <w:r w:rsidR="00BE77B7" w:rsidRPr="00965A8B">
        <w:rPr>
          <w:rFonts w:eastAsia="Times New Roman" w:cs="Times New Roman"/>
          <w:szCs w:val="22"/>
          <w:lang w:eastAsia="en-AU"/>
        </w:rPr>
        <w:t xml:space="preserve"> </w:t>
      </w:r>
      <w:r w:rsidRPr="00965A8B">
        <w:rPr>
          <w:rFonts w:eastAsia="Times New Roman" w:cs="Times New Roman"/>
          <w:szCs w:val="22"/>
          <w:lang w:eastAsia="en-AU"/>
        </w:rPr>
        <w:t>exemption does not apply if the reporting entity determines that it must obtain and verify any KYC information about a customer in accordance with its enhanced customer due diligence program and customer identification program.</w:t>
      </w:r>
    </w:p>
    <w:p w14:paraId="4B5C145C" w14:textId="77777777" w:rsidR="00965A8B" w:rsidRPr="00965A8B" w:rsidRDefault="00965A8B" w:rsidP="00965A8B">
      <w:pPr>
        <w:spacing w:before="240" w:line="240" w:lineRule="auto"/>
        <w:ind w:left="1440" w:hanging="1440"/>
        <w:rPr>
          <w:rFonts w:eastAsia="Times New Roman" w:cs="Times New Roman"/>
          <w:b/>
          <w:sz w:val="24"/>
          <w:szCs w:val="24"/>
        </w:rPr>
      </w:pPr>
      <w:bookmarkStart w:id="22" w:name="_Toc39658039"/>
      <w:bookmarkStart w:id="23" w:name="_Toc37945039"/>
      <w:bookmarkStart w:id="24" w:name="_Toc219540625"/>
      <w:r w:rsidRPr="00965A8B">
        <w:rPr>
          <w:rFonts w:eastAsia="Times New Roman" w:cs="Times New Roman"/>
          <w:b/>
          <w:sz w:val="24"/>
          <w:szCs w:val="24"/>
        </w:rPr>
        <w:t>Part 10.4—Accounts for online gambling services</w:t>
      </w:r>
      <w:bookmarkEnd w:id="22"/>
      <w:bookmarkEnd w:id="23"/>
      <w:bookmarkEnd w:id="24"/>
    </w:p>
    <w:p w14:paraId="2685DCB3"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10.4.1</w:t>
      </w:r>
      <w:r w:rsidRPr="00965A8B">
        <w:rPr>
          <w:rFonts w:eastAsia="Times New Roman" w:cs="Times New Roman"/>
          <w:szCs w:val="22"/>
          <w:lang w:eastAsia="en-AU"/>
        </w:rPr>
        <w:tab/>
        <w:t>This Part is made for paragraphs 33(a) and (b) and subparagraph 34(1</w:t>
      </w:r>
      <w:proofErr w:type="gramStart"/>
      <w:r w:rsidRPr="00965A8B">
        <w:rPr>
          <w:rFonts w:eastAsia="Times New Roman" w:cs="Times New Roman"/>
          <w:szCs w:val="22"/>
          <w:lang w:eastAsia="en-AU"/>
        </w:rPr>
        <w:t>)(</w:t>
      </w:r>
      <w:proofErr w:type="gramEnd"/>
      <w:r w:rsidRPr="00965A8B">
        <w:rPr>
          <w:rFonts w:eastAsia="Times New Roman" w:cs="Times New Roman"/>
          <w:szCs w:val="22"/>
          <w:lang w:eastAsia="en-AU"/>
        </w:rPr>
        <w:t>d)(</w:t>
      </w:r>
      <w:proofErr w:type="spellStart"/>
      <w:r w:rsidRPr="00965A8B">
        <w:rPr>
          <w:rFonts w:eastAsia="Times New Roman" w:cs="Times New Roman"/>
          <w:szCs w:val="22"/>
          <w:lang w:eastAsia="en-AU"/>
        </w:rPr>
        <w:t>i</w:t>
      </w:r>
      <w:proofErr w:type="spellEnd"/>
      <w:r w:rsidRPr="00965A8B">
        <w:rPr>
          <w:rFonts w:eastAsia="Times New Roman" w:cs="Times New Roman"/>
          <w:szCs w:val="22"/>
          <w:lang w:eastAsia="en-AU"/>
        </w:rPr>
        <w:t>) of the Act.</w:t>
      </w:r>
    </w:p>
    <w:p w14:paraId="7870793E" w14:textId="77777777" w:rsidR="00965A8B" w:rsidRPr="00965A8B" w:rsidRDefault="00965A8B" w:rsidP="00965A8B">
      <w:pPr>
        <w:spacing w:before="240" w:line="240" w:lineRule="auto"/>
        <w:rPr>
          <w:rFonts w:eastAsia="Times New Roman" w:cs="Times New Roman"/>
          <w:szCs w:val="22"/>
          <w:lang w:eastAsia="en-AU"/>
        </w:rPr>
      </w:pPr>
      <w:r w:rsidRPr="00965A8B">
        <w:rPr>
          <w:rFonts w:eastAsia="Times New Roman" w:cs="Times New Roman"/>
          <w:i/>
          <w:szCs w:val="22"/>
          <w:lang w:eastAsia="en-AU"/>
        </w:rPr>
        <w:t>Special circumstances that justify carrying out the applicable identification procedure after commencement of the provision of a designated service</w:t>
      </w:r>
    </w:p>
    <w:p w14:paraId="0DE844E6"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10.4.2</w:t>
      </w:r>
      <w:r w:rsidRPr="00965A8B">
        <w:rPr>
          <w:rFonts w:eastAsia="Times New Roman" w:cs="Times New Roman"/>
          <w:szCs w:val="22"/>
          <w:lang w:eastAsia="en-AU"/>
        </w:rPr>
        <w:tab/>
        <w:t xml:space="preserve">Online gambling services, subject to the conditions specified in paragraph 10.4.3, </w:t>
      </w:r>
      <w:proofErr w:type="gramStart"/>
      <w:r w:rsidRPr="00965A8B">
        <w:rPr>
          <w:rFonts w:eastAsia="Times New Roman" w:cs="Times New Roman"/>
          <w:szCs w:val="22"/>
          <w:lang w:eastAsia="en-AU"/>
        </w:rPr>
        <w:t>are specified</w:t>
      </w:r>
      <w:proofErr w:type="gramEnd"/>
      <w:r w:rsidRPr="00965A8B">
        <w:rPr>
          <w:rFonts w:eastAsia="Times New Roman" w:cs="Times New Roman"/>
          <w:szCs w:val="22"/>
          <w:lang w:eastAsia="en-AU"/>
        </w:rPr>
        <w:t xml:space="preserve"> for the purposes of paragraph 33(a) of the Act.</w:t>
      </w:r>
    </w:p>
    <w:p w14:paraId="22A7EB52" w14:textId="77777777" w:rsidR="00965A8B" w:rsidRPr="00965A8B" w:rsidRDefault="00965A8B" w:rsidP="00965A8B">
      <w:pPr>
        <w:spacing w:before="240" w:line="240" w:lineRule="auto"/>
        <w:ind w:left="851" w:hanging="851"/>
        <w:rPr>
          <w:rFonts w:eastAsia="Times New Roman" w:cs="Times New Roman"/>
          <w:szCs w:val="22"/>
          <w:lang w:eastAsia="en-AU"/>
        </w:rPr>
      </w:pPr>
      <w:r w:rsidRPr="00965A8B">
        <w:rPr>
          <w:rFonts w:eastAsia="Times New Roman" w:cs="Times New Roman"/>
          <w:szCs w:val="22"/>
          <w:lang w:eastAsia="en-AU"/>
        </w:rPr>
        <w:t>10.4.3</w:t>
      </w:r>
      <w:r w:rsidRPr="00965A8B">
        <w:rPr>
          <w:rFonts w:eastAsia="Times New Roman" w:cs="Times New Roman"/>
          <w:szCs w:val="22"/>
          <w:lang w:eastAsia="en-AU"/>
        </w:rPr>
        <w:tab/>
        <w:t>The special circumstances are only available to the reporting entity if:</w:t>
      </w:r>
    </w:p>
    <w:p w14:paraId="1EFB725F" w14:textId="77777777" w:rsidR="00965A8B" w:rsidRPr="00965A8B" w:rsidRDefault="00965A8B" w:rsidP="00965A8B">
      <w:pPr>
        <w:spacing w:before="240" w:line="240" w:lineRule="auto"/>
        <w:ind w:left="1391" w:hanging="540"/>
        <w:rPr>
          <w:rFonts w:eastAsia="Times New Roman" w:cs="Times New Roman"/>
          <w:szCs w:val="22"/>
          <w:lang w:eastAsia="en-AU"/>
        </w:rPr>
      </w:pPr>
      <w:r w:rsidRPr="00965A8B">
        <w:rPr>
          <w:rFonts w:eastAsia="Times New Roman" w:cs="Times New Roman"/>
          <w:szCs w:val="22"/>
          <w:lang w:eastAsia="en-AU"/>
        </w:rPr>
        <w:t>(1)</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customer is required to open an account in order to obtain the service; and</w:t>
      </w:r>
    </w:p>
    <w:p w14:paraId="2F5F683A" w14:textId="77777777" w:rsidR="00965A8B" w:rsidRPr="00965A8B" w:rsidRDefault="00965A8B" w:rsidP="00965A8B">
      <w:pPr>
        <w:spacing w:before="240" w:line="240" w:lineRule="auto"/>
        <w:ind w:left="1391" w:hanging="540"/>
        <w:rPr>
          <w:rFonts w:eastAsia="Times New Roman" w:cs="Times New Roman"/>
          <w:szCs w:val="22"/>
          <w:lang w:eastAsia="en-AU"/>
        </w:rPr>
      </w:pPr>
      <w:r w:rsidRPr="00965A8B">
        <w:rPr>
          <w:rFonts w:eastAsia="Times New Roman" w:cs="Times New Roman"/>
          <w:szCs w:val="22"/>
          <w:lang w:eastAsia="en-AU"/>
        </w:rPr>
        <w:t>(2)</w:t>
      </w:r>
      <w:r w:rsidRPr="00965A8B">
        <w:rPr>
          <w:rFonts w:eastAsia="Times New Roman" w:cs="Times New Roman"/>
          <w:szCs w:val="22"/>
          <w:lang w:eastAsia="en-AU"/>
        </w:rPr>
        <w:tab/>
      </w:r>
      <w:proofErr w:type="gramStart"/>
      <w:r w:rsidRPr="00965A8B">
        <w:rPr>
          <w:rFonts w:eastAsia="Times New Roman" w:cs="Times New Roman"/>
          <w:szCs w:val="22"/>
          <w:lang w:eastAsia="en-AU"/>
        </w:rPr>
        <w:t>the</w:t>
      </w:r>
      <w:proofErr w:type="gramEnd"/>
      <w:r w:rsidRPr="00965A8B">
        <w:rPr>
          <w:rFonts w:eastAsia="Times New Roman" w:cs="Times New Roman"/>
          <w:szCs w:val="22"/>
          <w:lang w:eastAsia="en-AU"/>
        </w:rPr>
        <w:t xml:space="preserve"> reporting entity does not permit the customer to withdraw any funds from the account prior to carrying out the applicable customer identification procedure.</w:t>
      </w:r>
    </w:p>
    <w:p w14:paraId="7A2E3802" w14:textId="77777777" w:rsidR="00965A8B" w:rsidRPr="00965A8B" w:rsidRDefault="00965A8B" w:rsidP="00965A8B">
      <w:pPr>
        <w:spacing w:before="240" w:line="240" w:lineRule="auto"/>
        <w:rPr>
          <w:rFonts w:eastAsia="Times New Roman" w:cs="Times New Roman"/>
          <w:i/>
          <w:szCs w:val="22"/>
          <w:lang w:eastAsia="en-AU"/>
        </w:rPr>
      </w:pPr>
      <w:r w:rsidRPr="00965A8B">
        <w:rPr>
          <w:rFonts w:eastAsia="Times New Roman" w:cs="Times New Roman"/>
          <w:i/>
          <w:szCs w:val="22"/>
          <w:lang w:eastAsia="en-AU"/>
        </w:rPr>
        <w:t>The period ascertained in accordance with subparagraph 34(1</w:t>
      </w:r>
      <w:proofErr w:type="gramStart"/>
      <w:r w:rsidRPr="00965A8B">
        <w:rPr>
          <w:rFonts w:eastAsia="Times New Roman" w:cs="Times New Roman"/>
          <w:i/>
          <w:szCs w:val="22"/>
          <w:lang w:eastAsia="en-AU"/>
        </w:rPr>
        <w:t>)(</w:t>
      </w:r>
      <w:proofErr w:type="gramEnd"/>
      <w:r w:rsidRPr="00965A8B">
        <w:rPr>
          <w:rFonts w:eastAsia="Times New Roman" w:cs="Times New Roman"/>
          <w:i/>
          <w:szCs w:val="22"/>
          <w:lang w:eastAsia="en-AU"/>
        </w:rPr>
        <w:t>d)(</w:t>
      </w:r>
      <w:proofErr w:type="spellStart"/>
      <w:r w:rsidRPr="00965A8B">
        <w:rPr>
          <w:rFonts w:eastAsia="Times New Roman" w:cs="Times New Roman"/>
          <w:i/>
          <w:szCs w:val="22"/>
          <w:lang w:eastAsia="en-AU"/>
        </w:rPr>
        <w:t>i</w:t>
      </w:r>
      <w:proofErr w:type="spellEnd"/>
      <w:r w:rsidRPr="00965A8B">
        <w:rPr>
          <w:rFonts w:eastAsia="Times New Roman" w:cs="Times New Roman"/>
          <w:i/>
          <w:szCs w:val="22"/>
          <w:lang w:eastAsia="en-AU"/>
        </w:rPr>
        <w:t>) of the Act</w:t>
      </w:r>
    </w:p>
    <w:p w14:paraId="576B3AD8" w14:textId="5A2794BE" w:rsidR="00965A8B" w:rsidRPr="00965A8B" w:rsidRDefault="00965A8B" w:rsidP="00965A8B">
      <w:pPr>
        <w:pStyle w:val="ItemHead"/>
      </w:pPr>
      <w:r w:rsidRPr="00965A8B">
        <w:rPr>
          <w:rFonts w:ascii="Times New Roman" w:hAnsi="Times New Roman"/>
          <w:b w:val="0"/>
          <w:kern w:val="0"/>
          <w:sz w:val="22"/>
          <w:szCs w:val="22"/>
        </w:rPr>
        <w:t>10.4.4</w:t>
      </w:r>
      <w:r w:rsidRPr="00965A8B">
        <w:rPr>
          <w:rFonts w:ascii="Times New Roman" w:hAnsi="Times New Roman"/>
          <w:b w:val="0"/>
          <w:kern w:val="0"/>
          <w:sz w:val="22"/>
          <w:szCs w:val="22"/>
        </w:rPr>
        <w:tab/>
        <w:t>The period is 14 days starting on the day that the reporting entity opens the account in the name of the customer.</w:t>
      </w:r>
    </w:p>
    <w:p w14:paraId="55EF4DE4" w14:textId="77777777" w:rsidR="00C34AB5" w:rsidRPr="007D480F" w:rsidRDefault="00C34AB5" w:rsidP="00C34AB5">
      <w:pPr>
        <w:shd w:val="clear" w:color="auto" w:fill="FFFFFF"/>
        <w:spacing w:before="240" w:line="240" w:lineRule="auto"/>
        <w:rPr>
          <w:rFonts w:eastAsia="Times New Roman" w:cs="Times New Roman"/>
          <w:color w:val="000000"/>
          <w:sz w:val="24"/>
          <w:szCs w:val="24"/>
          <w:lang w:eastAsia="en-AU"/>
        </w:rPr>
      </w:pPr>
    </w:p>
    <w:sectPr w:rsidR="00C34AB5" w:rsidRPr="007D480F" w:rsidSect="00B20990">
      <w:headerReference w:type="even" r:id="rId20"/>
      <w:headerReference w:type="default" r:id="rId21"/>
      <w:footerReference w:type="even" r:id="rId22"/>
      <w:footerReference w:type="default" r:id="rId23"/>
      <w:headerReference w:type="firs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24EE" w14:textId="77777777" w:rsidR="00BE77B7" w:rsidRDefault="00BE77B7" w:rsidP="0048364F">
      <w:pPr>
        <w:spacing w:line="240" w:lineRule="auto"/>
      </w:pPr>
      <w:r>
        <w:separator/>
      </w:r>
    </w:p>
  </w:endnote>
  <w:endnote w:type="continuationSeparator" w:id="0">
    <w:p w14:paraId="488F018A" w14:textId="77777777" w:rsidR="00BE77B7" w:rsidRDefault="00BE77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E77B7" w14:paraId="126C0455" w14:textId="77777777" w:rsidTr="00BE77B7">
      <w:tc>
        <w:tcPr>
          <w:tcW w:w="5000" w:type="pct"/>
        </w:tcPr>
        <w:p w14:paraId="30E9BFB3" w14:textId="77777777" w:rsidR="00BE77B7" w:rsidRDefault="00BE77B7" w:rsidP="00BE77B7">
          <w:pPr>
            <w:rPr>
              <w:sz w:val="18"/>
            </w:rPr>
          </w:pPr>
        </w:p>
      </w:tc>
    </w:tr>
  </w:tbl>
  <w:p w14:paraId="54EEDD3C" w14:textId="77777777" w:rsidR="00BE77B7" w:rsidRPr="005F1388" w:rsidRDefault="00BE77B7"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E77B7" w14:paraId="62EE061D" w14:textId="77777777" w:rsidTr="00BE77B7">
      <w:tc>
        <w:tcPr>
          <w:tcW w:w="5000" w:type="pct"/>
        </w:tcPr>
        <w:p w14:paraId="1EC0BBB6" w14:textId="77777777" w:rsidR="00BE77B7" w:rsidRDefault="00BE77B7" w:rsidP="00BE77B7">
          <w:pPr>
            <w:rPr>
              <w:sz w:val="18"/>
            </w:rPr>
          </w:pPr>
        </w:p>
      </w:tc>
    </w:tr>
  </w:tbl>
  <w:p w14:paraId="606D6DEF" w14:textId="77777777" w:rsidR="00BE77B7" w:rsidRPr="006D3667" w:rsidRDefault="00BE77B7" w:rsidP="00BE7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E2DC" w14:textId="77777777" w:rsidR="00BE77B7" w:rsidRDefault="00BE77B7" w:rsidP="00BE77B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E77B7" w14:paraId="0C5B4D95" w14:textId="77777777" w:rsidTr="00BE77B7">
      <w:tc>
        <w:tcPr>
          <w:tcW w:w="5000" w:type="pct"/>
        </w:tcPr>
        <w:p w14:paraId="06F1FBF3" w14:textId="77777777" w:rsidR="00BE77B7" w:rsidRDefault="00BE77B7" w:rsidP="00BE77B7">
          <w:pPr>
            <w:rPr>
              <w:sz w:val="18"/>
            </w:rPr>
          </w:pPr>
        </w:p>
      </w:tc>
    </w:tr>
  </w:tbl>
  <w:p w14:paraId="25BBF85D" w14:textId="77777777" w:rsidR="00BE77B7" w:rsidRPr="00486382" w:rsidRDefault="00BE77B7"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7665" w14:textId="77777777" w:rsidR="00BE77B7" w:rsidRPr="00E33C1C" w:rsidRDefault="00BE77B7" w:rsidP="00BE77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E77B7" w14:paraId="1C4A6CBD" w14:textId="77777777" w:rsidTr="00BE77B7">
      <w:tc>
        <w:tcPr>
          <w:tcW w:w="365" w:type="pct"/>
          <w:tcBorders>
            <w:top w:val="nil"/>
            <w:left w:val="nil"/>
            <w:bottom w:val="nil"/>
            <w:right w:val="nil"/>
          </w:tcBorders>
        </w:tcPr>
        <w:p w14:paraId="564FC194" w14:textId="77777777" w:rsidR="00BE77B7" w:rsidRDefault="00BE77B7" w:rsidP="00BE77B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CC23025" w14:textId="77777777" w:rsidR="00BE77B7" w:rsidRDefault="00BE77B7" w:rsidP="00BE77B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50BDCC10" w14:textId="77777777" w:rsidR="00BE77B7" w:rsidRDefault="00BE77B7" w:rsidP="00BE77B7">
          <w:pPr>
            <w:spacing w:line="0" w:lineRule="atLeast"/>
            <w:jc w:val="right"/>
            <w:rPr>
              <w:sz w:val="18"/>
            </w:rPr>
          </w:pPr>
        </w:p>
      </w:tc>
    </w:tr>
    <w:tr w:rsidR="00BE77B7" w14:paraId="4D301D11" w14:textId="77777777" w:rsidTr="00BE7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E3A49DA" w14:textId="77777777" w:rsidR="00BE77B7" w:rsidRDefault="00BE77B7" w:rsidP="00BE77B7">
          <w:pPr>
            <w:jc w:val="right"/>
            <w:rPr>
              <w:sz w:val="18"/>
            </w:rPr>
          </w:pPr>
        </w:p>
      </w:tc>
    </w:tr>
  </w:tbl>
  <w:p w14:paraId="49D7EC2B" w14:textId="77777777" w:rsidR="00BE77B7" w:rsidRPr="00ED79B6" w:rsidRDefault="00BE77B7" w:rsidP="00BE77B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732B" w14:textId="77777777" w:rsidR="00BE77B7" w:rsidRPr="00E33C1C" w:rsidRDefault="00BE77B7" w:rsidP="00BE77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E77B7" w14:paraId="6F6869F8" w14:textId="77777777" w:rsidTr="00BE77B7">
      <w:tc>
        <w:tcPr>
          <w:tcW w:w="947" w:type="pct"/>
          <w:tcBorders>
            <w:top w:val="nil"/>
            <w:left w:val="nil"/>
            <w:bottom w:val="nil"/>
            <w:right w:val="nil"/>
          </w:tcBorders>
        </w:tcPr>
        <w:p w14:paraId="2D181F0D" w14:textId="77777777" w:rsidR="00BE77B7" w:rsidRDefault="00BE77B7" w:rsidP="00BE77B7">
          <w:pPr>
            <w:spacing w:line="0" w:lineRule="atLeast"/>
            <w:rPr>
              <w:sz w:val="18"/>
            </w:rPr>
          </w:pPr>
        </w:p>
      </w:tc>
      <w:tc>
        <w:tcPr>
          <w:tcW w:w="3688" w:type="pct"/>
          <w:tcBorders>
            <w:top w:val="nil"/>
            <w:left w:val="nil"/>
            <w:bottom w:val="nil"/>
            <w:right w:val="nil"/>
          </w:tcBorders>
        </w:tcPr>
        <w:p w14:paraId="116BF4D1" w14:textId="027E9ED9" w:rsidR="00BE77B7" w:rsidRPr="00B20990" w:rsidRDefault="00BE77B7" w:rsidP="00BE77B7">
          <w:pPr>
            <w:spacing w:line="0" w:lineRule="atLeast"/>
            <w:jc w:val="center"/>
            <w:rPr>
              <w:i/>
              <w:sz w:val="18"/>
            </w:rPr>
          </w:pPr>
          <w:r w:rsidRPr="00B20990">
            <w:rPr>
              <w:i/>
              <w:sz w:val="18"/>
            </w:rPr>
            <w:fldChar w:fldCharType="begin"/>
          </w:r>
          <w:r w:rsidRPr="00B20990">
            <w:rPr>
              <w:i/>
              <w:sz w:val="18"/>
            </w:rPr>
            <w:instrText xml:space="preserve"> STYLEREF  ShortT </w:instrText>
          </w:r>
          <w:r w:rsidR="005F48B9">
            <w:rPr>
              <w:i/>
              <w:sz w:val="18"/>
            </w:rPr>
            <w:fldChar w:fldCharType="separate"/>
          </w:r>
          <w:r w:rsidR="007C29E7">
            <w:rPr>
              <w:i/>
              <w:noProof/>
              <w:sz w:val="18"/>
            </w:rPr>
            <w:t>Anti-Money Laundering and Counter-Terrorism Financing Rules Amendment Instrument 2021 (No. 1)</w:t>
          </w:r>
          <w:r w:rsidRPr="00B20990">
            <w:rPr>
              <w:i/>
              <w:sz w:val="18"/>
            </w:rPr>
            <w:fldChar w:fldCharType="end"/>
          </w:r>
        </w:p>
      </w:tc>
      <w:tc>
        <w:tcPr>
          <w:tcW w:w="365" w:type="pct"/>
          <w:tcBorders>
            <w:top w:val="nil"/>
            <w:left w:val="nil"/>
            <w:bottom w:val="nil"/>
            <w:right w:val="nil"/>
          </w:tcBorders>
        </w:tcPr>
        <w:p w14:paraId="759BA727" w14:textId="04F416B6" w:rsidR="00BE77B7" w:rsidRDefault="00BE77B7" w:rsidP="00BE77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9E7">
            <w:rPr>
              <w:i/>
              <w:noProof/>
              <w:sz w:val="18"/>
            </w:rPr>
            <w:t>i</w:t>
          </w:r>
          <w:r w:rsidRPr="00ED79B6">
            <w:rPr>
              <w:i/>
              <w:sz w:val="18"/>
            </w:rPr>
            <w:fldChar w:fldCharType="end"/>
          </w:r>
        </w:p>
      </w:tc>
    </w:tr>
    <w:tr w:rsidR="00BE77B7" w14:paraId="4F839C9A" w14:textId="77777777" w:rsidTr="00BE7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3B63107" w14:textId="77777777" w:rsidR="00BE77B7" w:rsidRDefault="00BE77B7" w:rsidP="00BE77B7">
          <w:pPr>
            <w:rPr>
              <w:sz w:val="18"/>
            </w:rPr>
          </w:pPr>
        </w:p>
      </w:tc>
    </w:tr>
  </w:tbl>
  <w:p w14:paraId="071BAF98" w14:textId="77777777" w:rsidR="00BE77B7" w:rsidRPr="00ED79B6" w:rsidRDefault="00BE77B7" w:rsidP="00BE77B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EE2F" w14:textId="77777777" w:rsidR="00BE77B7" w:rsidRPr="00E33C1C" w:rsidRDefault="00BE77B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77B7" w14:paraId="2F7E02B0" w14:textId="77777777" w:rsidTr="007A6863">
      <w:tc>
        <w:tcPr>
          <w:tcW w:w="709" w:type="dxa"/>
          <w:tcBorders>
            <w:top w:val="nil"/>
            <w:left w:val="nil"/>
            <w:bottom w:val="nil"/>
            <w:right w:val="nil"/>
          </w:tcBorders>
        </w:tcPr>
        <w:p w14:paraId="63413D8A" w14:textId="1BD615D2" w:rsidR="00BE77B7" w:rsidRDefault="00BE77B7"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9E7">
            <w:rPr>
              <w:i/>
              <w:noProof/>
              <w:sz w:val="18"/>
            </w:rPr>
            <w:t>14</w:t>
          </w:r>
          <w:r w:rsidRPr="00ED79B6">
            <w:rPr>
              <w:i/>
              <w:sz w:val="18"/>
            </w:rPr>
            <w:fldChar w:fldCharType="end"/>
          </w:r>
        </w:p>
      </w:tc>
      <w:tc>
        <w:tcPr>
          <w:tcW w:w="6379" w:type="dxa"/>
          <w:tcBorders>
            <w:top w:val="nil"/>
            <w:left w:val="nil"/>
            <w:bottom w:val="nil"/>
            <w:right w:val="nil"/>
          </w:tcBorders>
        </w:tcPr>
        <w:p w14:paraId="58E2C760" w14:textId="1E3D5536" w:rsidR="00BE77B7" w:rsidRDefault="00BE77B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006F4A8A">
            <w:rPr>
              <w:i/>
              <w:sz w:val="18"/>
            </w:rPr>
            <w:fldChar w:fldCharType="separate"/>
          </w:r>
          <w:r w:rsidR="007C29E7">
            <w:rPr>
              <w:i/>
              <w:noProof/>
              <w:sz w:val="18"/>
            </w:rPr>
            <w:t>Anti-Money Laundering and Counter-Terrorism Financing Rules Amendment Instrument 2021 (No. 1)</w:t>
          </w:r>
          <w:r w:rsidRPr="00B20990">
            <w:rPr>
              <w:i/>
              <w:sz w:val="18"/>
            </w:rPr>
            <w:fldChar w:fldCharType="end"/>
          </w:r>
        </w:p>
      </w:tc>
      <w:tc>
        <w:tcPr>
          <w:tcW w:w="1383" w:type="dxa"/>
          <w:tcBorders>
            <w:top w:val="nil"/>
            <w:left w:val="nil"/>
            <w:bottom w:val="nil"/>
            <w:right w:val="nil"/>
          </w:tcBorders>
        </w:tcPr>
        <w:p w14:paraId="0F078B77" w14:textId="77777777" w:rsidR="00BE77B7" w:rsidRDefault="00BE77B7" w:rsidP="00EE57E8">
          <w:pPr>
            <w:spacing w:line="0" w:lineRule="atLeast"/>
            <w:jc w:val="right"/>
            <w:rPr>
              <w:sz w:val="18"/>
            </w:rPr>
          </w:pPr>
        </w:p>
      </w:tc>
    </w:tr>
    <w:tr w:rsidR="00BE77B7" w14:paraId="1816845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39E518" w14:textId="77777777" w:rsidR="00BE77B7" w:rsidRDefault="00BE77B7" w:rsidP="00EE57E8">
          <w:pPr>
            <w:jc w:val="right"/>
            <w:rPr>
              <w:sz w:val="18"/>
            </w:rPr>
          </w:pPr>
        </w:p>
      </w:tc>
    </w:tr>
  </w:tbl>
  <w:p w14:paraId="32DECC8D" w14:textId="77777777" w:rsidR="00BE77B7" w:rsidRPr="00ED79B6" w:rsidRDefault="00BE77B7"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0D7" w14:textId="77777777" w:rsidR="00BE77B7" w:rsidRPr="00E33C1C" w:rsidRDefault="00BE77B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E77B7" w14:paraId="3A3C0C34" w14:textId="77777777" w:rsidTr="00EE57E8">
      <w:tc>
        <w:tcPr>
          <w:tcW w:w="1384" w:type="dxa"/>
          <w:tcBorders>
            <w:top w:val="nil"/>
            <w:left w:val="nil"/>
            <w:bottom w:val="nil"/>
            <w:right w:val="nil"/>
          </w:tcBorders>
        </w:tcPr>
        <w:p w14:paraId="3BFF8E93" w14:textId="77777777" w:rsidR="00BE77B7" w:rsidRDefault="00BE77B7" w:rsidP="00EE57E8">
          <w:pPr>
            <w:spacing w:line="0" w:lineRule="atLeast"/>
            <w:rPr>
              <w:sz w:val="18"/>
            </w:rPr>
          </w:pPr>
        </w:p>
      </w:tc>
      <w:tc>
        <w:tcPr>
          <w:tcW w:w="6379" w:type="dxa"/>
          <w:tcBorders>
            <w:top w:val="nil"/>
            <w:left w:val="nil"/>
            <w:bottom w:val="nil"/>
            <w:right w:val="nil"/>
          </w:tcBorders>
        </w:tcPr>
        <w:p w14:paraId="560D6868" w14:textId="09C7DF57" w:rsidR="00BE77B7" w:rsidRDefault="00BE77B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006F4A8A">
            <w:rPr>
              <w:i/>
              <w:sz w:val="18"/>
            </w:rPr>
            <w:fldChar w:fldCharType="separate"/>
          </w:r>
          <w:r w:rsidR="007C29E7">
            <w:rPr>
              <w:i/>
              <w:noProof/>
              <w:sz w:val="18"/>
            </w:rPr>
            <w:t>Anti-Money Laundering and Counter-Terrorism Financing Rules Amendment Instrument 2021 (No. 1)</w:t>
          </w:r>
          <w:r w:rsidRPr="00B20990">
            <w:rPr>
              <w:i/>
              <w:sz w:val="18"/>
            </w:rPr>
            <w:fldChar w:fldCharType="end"/>
          </w:r>
        </w:p>
      </w:tc>
      <w:tc>
        <w:tcPr>
          <w:tcW w:w="709" w:type="dxa"/>
          <w:tcBorders>
            <w:top w:val="nil"/>
            <w:left w:val="nil"/>
            <w:bottom w:val="nil"/>
            <w:right w:val="nil"/>
          </w:tcBorders>
        </w:tcPr>
        <w:p w14:paraId="5B6B30CD" w14:textId="62C3E5EA" w:rsidR="00BE77B7" w:rsidRDefault="00BE77B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9E7">
            <w:rPr>
              <w:i/>
              <w:noProof/>
              <w:sz w:val="18"/>
            </w:rPr>
            <w:t>13</w:t>
          </w:r>
          <w:r w:rsidRPr="00ED79B6">
            <w:rPr>
              <w:i/>
              <w:sz w:val="18"/>
            </w:rPr>
            <w:fldChar w:fldCharType="end"/>
          </w:r>
        </w:p>
      </w:tc>
    </w:tr>
    <w:tr w:rsidR="00BE77B7" w14:paraId="02A6074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ACF7AA" w14:textId="77777777" w:rsidR="00BE77B7" w:rsidRDefault="00BE77B7" w:rsidP="00EE57E8">
          <w:pPr>
            <w:rPr>
              <w:sz w:val="18"/>
            </w:rPr>
          </w:pPr>
        </w:p>
      </w:tc>
    </w:tr>
  </w:tbl>
  <w:p w14:paraId="367121EE" w14:textId="77777777" w:rsidR="00BE77B7" w:rsidRPr="00ED79B6" w:rsidRDefault="00BE77B7"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3441" w14:textId="77777777" w:rsidR="00BE77B7" w:rsidRPr="00E33C1C" w:rsidRDefault="00BE77B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E77B7" w14:paraId="15EF7637" w14:textId="77777777" w:rsidTr="007A6863">
      <w:tc>
        <w:tcPr>
          <w:tcW w:w="1384" w:type="dxa"/>
          <w:tcBorders>
            <w:top w:val="nil"/>
            <w:left w:val="nil"/>
            <w:bottom w:val="nil"/>
            <w:right w:val="nil"/>
          </w:tcBorders>
        </w:tcPr>
        <w:p w14:paraId="31F6644D" w14:textId="77777777" w:rsidR="00BE77B7" w:rsidRDefault="00BE77B7" w:rsidP="00EE57E8">
          <w:pPr>
            <w:spacing w:line="0" w:lineRule="atLeast"/>
            <w:rPr>
              <w:sz w:val="18"/>
            </w:rPr>
          </w:pPr>
        </w:p>
      </w:tc>
      <w:tc>
        <w:tcPr>
          <w:tcW w:w="6379" w:type="dxa"/>
          <w:tcBorders>
            <w:top w:val="nil"/>
            <w:left w:val="nil"/>
            <w:bottom w:val="nil"/>
            <w:right w:val="nil"/>
          </w:tcBorders>
        </w:tcPr>
        <w:p w14:paraId="5472AAC6" w14:textId="77777777" w:rsidR="00BE77B7" w:rsidRDefault="00BE77B7"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E0E4EBD" w14:textId="77777777" w:rsidR="00BE77B7" w:rsidRDefault="00BE77B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BE77B7" w14:paraId="1A9EAD4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96CF62" w14:textId="06BC4480" w:rsidR="00BE77B7" w:rsidRDefault="00BE77B7"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1607A">
            <w:rPr>
              <w:i/>
              <w:noProof/>
              <w:sz w:val="18"/>
            </w:rPr>
            <w:t>15/6/2021 2:46 PM</w:t>
          </w:r>
          <w:r w:rsidRPr="00ED79B6">
            <w:rPr>
              <w:i/>
              <w:sz w:val="18"/>
            </w:rPr>
            <w:fldChar w:fldCharType="end"/>
          </w:r>
        </w:p>
      </w:tc>
    </w:tr>
  </w:tbl>
  <w:p w14:paraId="546B66D8" w14:textId="77777777" w:rsidR="00BE77B7" w:rsidRPr="00ED79B6" w:rsidRDefault="00BE77B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3273" w14:textId="77777777" w:rsidR="00BE77B7" w:rsidRDefault="00BE77B7" w:rsidP="0048364F">
      <w:pPr>
        <w:spacing w:line="240" w:lineRule="auto"/>
      </w:pPr>
      <w:r>
        <w:separator/>
      </w:r>
    </w:p>
  </w:footnote>
  <w:footnote w:type="continuationSeparator" w:id="0">
    <w:p w14:paraId="349275AC" w14:textId="77777777" w:rsidR="00BE77B7" w:rsidRDefault="00BE77B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397E" w14:textId="77777777" w:rsidR="00BE77B7" w:rsidRPr="005F1388" w:rsidRDefault="00BE77B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1731" w14:textId="77777777" w:rsidR="00BE77B7" w:rsidRPr="005F1388" w:rsidRDefault="00BE77B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F676" w14:textId="77777777" w:rsidR="00BE77B7" w:rsidRPr="005F1388" w:rsidRDefault="00BE77B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F599" w14:textId="77777777" w:rsidR="00BE77B7" w:rsidRPr="00ED79B6" w:rsidRDefault="00BE77B7" w:rsidP="00BE77B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9FA7" w14:textId="77777777" w:rsidR="00BE77B7" w:rsidRPr="00ED79B6" w:rsidRDefault="00BE77B7" w:rsidP="00BE77B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0EDF" w14:textId="77777777" w:rsidR="00BE77B7" w:rsidRPr="00ED79B6" w:rsidRDefault="00BE77B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8B2D" w14:textId="77777777" w:rsidR="00BE77B7" w:rsidRPr="00A961C4" w:rsidRDefault="00BE77B7" w:rsidP="0048364F">
    <w:pPr>
      <w:rPr>
        <w:b/>
        <w:sz w:val="20"/>
      </w:rPr>
    </w:pPr>
  </w:p>
  <w:p w14:paraId="12B4FE04" w14:textId="77777777" w:rsidR="00BE77B7" w:rsidRPr="00A961C4" w:rsidRDefault="00BE77B7" w:rsidP="0048364F">
    <w:pPr>
      <w:rPr>
        <w:b/>
        <w:sz w:val="20"/>
      </w:rPr>
    </w:pPr>
  </w:p>
  <w:p w14:paraId="44818990" w14:textId="77777777" w:rsidR="00BE77B7" w:rsidRPr="00A961C4" w:rsidRDefault="00BE77B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EB69" w14:textId="77777777" w:rsidR="00BE77B7" w:rsidRPr="00A961C4" w:rsidRDefault="00BE77B7" w:rsidP="0048364F">
    <w:pPr>
      <w:jc w:val="right"/>
      <w:rPr>
        <w:sz w:val="20"/>
      </w:rPr>
    </w:pPr>
  </w:p>
  <w:p w14:paraId="0D65E0E8" w14:textId="77777777" w:rsidR="00BE77B7" w:rsidRPr="00A961C4" w:rsidRDefault="00BE77B7" w:rsidP="0048364F">
    <w:pPr>
      <w:jc w:val="right"/>
      <w:rPr>
        <w:b/>
        <w:sz w:val="20"/>
      </w:rPr>
    </w:pPr>
  </w:p>
  <w:p w14:paraId="1871DBE1" w14:textId="77777777" w:rsidR="00BE77B7" w:rsidRPr="00A961C4" w:rsidRDefault="00BE77B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FB9" w14:textId="77777777" w:rsidR="00BE77B7" w:rsidRDefault="00BE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E93"/>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E14C8D"/>
    <w:multiLevelType w:val="hybridMultilevel"/>
    <w:tmpl w:val="93A4665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20B73C51"/>
    <w:multiLevelType w:val="hybridMultilevel"/>
    <w:tmpl w:val="FE9C6C2E"/>
    <w:lvl w:ilvl="0" w:tplc="A320ADD2">
      <w:start w:val="1"/>
      <w:numFmt w:val="decimal"/>
      <w:lvlText w:val="(%1)"/>
      <w:lvlJc w:val="left"/>
      <w:pPr>
        <w:ind w:left="1208" w:hanging="360"/>
      </w:pPr>
      <w:rPr>
        <w:rFonts w:ascii="Times New Roman" w:eastAsia="Times New Roman" w:hAnsi="Times New Roman" w:cs="Times New Roman"/>
        <w:color w:val="auto"/>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7" w15:restartNumberingAfterBreak="0">
    <w:nsid w:val="2A1B159A"/>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2DA66DB9"/>
    <w:multiLevelType w:val="hybridMultilevel"/>
    <w:tmpl w:val="2B56CFD4"/>
    <w:lvl w:ilvl="0" w:tplc="61DCB42E">
      <w:start w:val="1"/>
      <w:numFmt w:val="lowerRoman"/>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4405B6"/>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79B7255"/>
    <w:multiLevelType w:val="hybridMultilevel"/>
    <w:tmpl w:val="163EBC40"/>
    <w:lvl w:ilvl="0" w:tplc="B838ED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B4C5BFD"/>
    <w:multiLevelType w:val="hybridMultilevel"/>
    <w:tmpl w:val="A55AF24C"/>
    <w:lvl w:ilvl="0" w:tplc="AFFE5322">
      <w:start w:val="1"/>
      <w:numFmt w:val="lowerLetter"/>
      <w:lvlText w:val="(%1)"/>
      <w:lvlJc w:val="left"/>
      <w:pPr>
        <w:ind w:left="1208" w:hanging="360"/>
      </w:pPr>
      <w:rPr>
        <w:rFonts w:hint="default"/>
        <w:color w:val="FF0000"/>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23"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630473"/>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15:restartNumberingAfterBreak="0">
    <w:nsid w:val="69872741"/>
    <w:multiLevelType w:val="hybridMultilevel"/>
    <w:tmpl w:val="66F657E4"/>
    <w:lvl w:ilvl="0" w:tplc="61DCB42E">
      <w:start w:val="1"/>
      <w:numFmt w:val="lowerRoman"/>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824913"/>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ED10D87"/>
    <w:multiLevelType w:val="hybridMultilevel"/>
    <w:tmpl w:val="3CD89A68"/>
    <w:lvl w:ilvl="0" w:tplc="E85EDFBC">
      <w:start w:val="1"/>
      <w:numFmt w:val="lowerLetter"/>
      <w:lvlText w:val="(%1)"/>
      <w:lvlJc w:val="left"/>
      <w:pPr>
        <w:ind w:left="1988" w:hanging="570"/>
      </w:pPr>
      <w:rPr>
        <w:rFonts w:hint="default"/>
      </w:rPr>
    </w:lvl>
    <w:lvl w:ilvl="1" w:tplc="61DCB42E">
      <w:start w:val="1"/>
      <w:numFmt w:val="lowerRoman"/>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15:restartNumberingAfterBreak="0">
    <w:nsid w:val="6ED128F9"/>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F572591"/>
    <w:multiLevelType w:val="hybridMultilevel"/>
    <w:tmpl w:val="882A188E"/>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0531DC"/>
    <w:multiLevelType w:val="hybridMultilevel"/>
    <w:tmpl w:val="A5261158"/>
    <w:lvl w:ilvl="0" w:tplc="1CA8A0E2">
      <w:start w:val="4"/>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B7929BB"/>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4"/>
  </w:num>
  <w:num w:numId="14">
    <w:abstractNumId w:val="23"/>
  </w:num>
  <w:num w:numId="15">
    <w:abstractNumId w:val="32"/>
  </w:num>
  <w:num w:numId="16">
    <w:abstractNumId w:val="33"/>
  </w:num>
  <w:num w:numId="17">
    <w:abstractNumId w:val="13"/>
  </w:num>
  <w:num w:numId="18">
    <w:abstractNumId w:val="22"/>
  </w:num>
  <w:num w:numId="19">
    <w:abstractNumId w:val="16"/>
  </w:num>
  <w:num w:numId="20">
    <w:abstractNumId w:val="20"/>
  </w:num>
  <w:num w:numId="21">
    <w:abstractNumId w:val="34"/>
  </w:num>
  <w:num w:numId="22">
    <w:abstractNumId w:val="31"/>
  </w:num>
  <w:num w:numId="23">
    <w:abstractNumId w:val="10"/>
  </w:num>
  <w:num w:numId="24">
    <w:abstractNumId w:val="29"/>
  </w:num>
  <w:num w:numId="25">
    <w:abstractNumId w:val="30"/>
  </w:num>
  <w:num w:numId="26">
    <w:abstractNumId w:val="17"/>
  </w:num>
  <w:num w:numId="27">
    <w:abstractNumId w:val="19"/>
  </w:num>
  <w:num w:numId="28">
    <w:abstractNumId w:val="24"/>
  </w:num>
  <w:num w:numId="29">
    <w:abstractNumId w:val="35"/>
  </w:num>
  <w:num w:numId="30">
    <w:abstractNumId w:val="11"/>
  </w:num>
  <w:num w:numId="31">
    <w:abstractNumId w:val="15"/>
  </w:num>
  <w:num w:numId="32">
    <w:abstractNumId w:val="28"/>
  </w:num>
  <w:num w:numId="33">
    <w:abstractNumId w:val="18"/>
  </w:num>
  <w:num w:numId="34">
    <w:abstractNumId w:val="27"/>
  </w:num>
  <w:num w:numId="35">
    <w:abstractNumId w:val="2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05"/>
    <w:rsid w:val="00000263"/>
    <w:rsid w:val="000062B9"/>
    <w:rsid w:val="000113BC"/>
    <w:rsid w:val="000136AF"/>
    <w:rsid w:val="0002473F"/>
    <w:rsid w:val="00024CF2"/>
    <w:rsid w:val="0004044E"/>
    <w:rsid w:val="0005120E"/>
    <w:rsid w:val="00054577"/>
    <w:rsid w:val="000614BF"/>
    <w:rsid w:val="0007169C"/>
    <w:rsid w:val="00077593"/>
    <w:rsid w:val="00083F48"/>
    <w:rsid w:val="000A479A"/>
    <w:rsid w:val="000A7DF9"/>
    <w:rsid w:val="000B7C76"/>
    <w:rsid w:val="000C1506"/>
    <w:rsid w:val="000D05EF"/>
    <w:rsid w:val="000D3FB9"/>
    <w:rsid w:val="000D5485"/>
    <w:rsid w:val="000E598E"/>
    <w:rsid w:val="000E5A3D"/>
    <w:rsid w:val="000F0ADA"/>
    <w:rsid w:val="000F141E"/>
    <w:rsid w:val="000F21C1"/>
    <w:rsid w:val="0010745C"/>
    <w:rsid w:val="001122FF"/>
    <w:rsid w:val="001207B7"/>
    <w:rsid w:val="00155483"/>
    <w:rsid w:val="0015558D"/>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7A23"/>
    <w:rsid w:val="001E0A8D"/>
    <w:rsid w:val="001E3590"/>
    <w:rsid w:val="001E7407"/>
    <w:rsid w:val="001F1A46"/>
    <w:rsid w:val="00201D27"/>
    <w:rsid w:val="0021153A"/>
    <w:rsid w:val="0021607A"/>
    <w:rsid w:val="002245A6"/>
    <w:rsid w:val="002302EA"/>
    <w:rsid w:val="00237614"/>
    <w:rsid w:val="00240749"/>
    <w:rsid w:val="002468D7"/>
    <w:rsid w:val="00247E97"/>
    <w:rsid w:val="00256C81"/>
    <w:rsid w:val="00263499"/>
    <w:rsid w:val="00272CE3"/>
    <w:rsid w:val="00285CDD"/>
    <w:rsid w:val="00291167"/>
    <w:rsid w:val="0029489E"/>
    <w:rsid w:val="00297D1D"/>
    <w:rsid w:val="00297ECB"/>
    <w:rsid w:val="002B5929"/>
    <w:rsid w:val="002C152A"/>
    <w:rsid w:val="002C2424"/>
    <w:rsid w:val="002D043A"/>
    <w:rsid w:val="0030357C"/>
    <w:rsid w:val="0031713F"/>
    <w:rsid w:val="003222D1"/>
    <w:rsid w:val="0032750F"/>
    <w:rsid w:val="0033545B"/>
    <w:rsid w:val="003415D3"/>
    <w:rsid w:val="0034202A"/>
    <w:rsid w:val="003442F6"/>
    <w:rsid w:val="00346335"/>
    <w:rsid w:val="00352B0F"/>
    <w:rsid w:val="003561B0"/>
    <w:rsid w:val="0036666D"/>
    <w:rsid w:val="00397893"/>
    <w:rsid w:val="003A15AC"/>
    <w:rsid w:val="003B0342"/>
    <w:rsid w:val="003B0627"/>
    <w:rsid w:val="003B4358"/>
    <w:rsid w:val="003C5F2B"/>
    <w:rsid w:val="003C7D35"/>
    <w:rsid w:val="003D0BFE"/>
    <w:rsid w:val="003D5700"/>
    <w:rsid w:val="003F6F52"/>
    <w:rsid w:val="004022CA"/>
    <w:rsid w:val="004104BD"/>
    <w:rsid w:val="004116CD"/>
    <w:rsid w:val="00414ADE"/>
    <w:rsid w:val="00421B91"/>
    <w:rsid w:val="00424CA9"/>
    <w:rsid w:val="004257BB"/>
    <w:rsid w:val="00433ECC"/>
    <w:rsid w:val="0043498B"/>
    <w:rsid w:val="0044291A"/>
    <w:rsid w:val="004600B0"/>
    <w:rsid w:val="00460499"/>
    <w:rsid w:val="00460FBA"/>
    <w:rsid w:val="00474835"/>
    <w:rsid w:val="004819C7"/>
    <w:rsid w:val="0048364F"/>
    <w:rsid w:val="004877FC"/>
    <w:rsid w:val="00490F2E"/>
    <w:rsid w:val="00496F97"/>
    <w:rsid w:val="004A53EA"/>
    <w:rsid w:val="004B35E7"/>
    <w:rsid w:val="004E2E26"/>
    <w:rsid w:val="004E37EA"/>
    <w:rsid w:val="004F0B14"/>
    <w:rsid w:val="004F1FAC"/>
    <w:rsid w:val="004F676E"/>
    <w:rsid w:val="004F71C0"/>
    <w:rsid w:val="00516B8D"/>
    <w:rsid w:val="00517137"/>
    <w:rsid w:val="0052756C"/>
    <w:rsid w:val="00530230"/>
    <w:rsid w:val="00530CC9"/>
    <w:rsid w:val="00531788"/>
    <w:rsid w:val="00531B46"/>
    <w:rsid w:val="00534702"/>
    <w:rsid w:val="00534ACC"/>
    <w:rsid w:val="00537FBC"/>
    <w:rsid w:val="00541D73"/>
    <w:rsid w:val="00543469"/>
    <w:rsid w:val="00546FA3"/>
    <w:rsid w:val="00557C7A"/>
    <w:rsid w:val="00562A58"/>
    <w:rsid w:val="0056541A"/>
    <w:rsid w:val="00581211"/>
    <w:rsid w:val="00584811"/>
    <w:rsid w:val="00593AA6"/>
    <w:rsid w:val="00594161"/>
    <w:rsid w:val="00594749"/>
    <w:rsid w:val="00594956"/>
    <w:rsid w:val="00596AD9"/>
    <w:rsid w:val="005B1555"/>
    <w:rsid w:val="005B2DC9"/>
    <w:rsid w:val="005B3C51"/>
    <w:rsid w:val="005B4067"/>
    <w:rsid w:val="005C3F41"/>
    <w:rsid w:val="005C4EF0"/>
    <w:rsid w:val="005D5EA1"/>
    <w:rsid w:val="005E098C"/>
    <w:rsid w:val="005E1F8D"/>
    <w:rsid w:val="005E317F"/>
    <w:rsid w:val="005E61D3"/>
    <w:rsid w:val="005E764D"/>
    <w:rsid w:val="005F48B9"/>
    <w:rsid w:val="00600219"/>
    <w:rsid w:val="006065DA"/>
    <w:rsid w:val="00606AA4"/>
    <w:rsid w:val="00640402"/>
    <w:rsid w:val="00640F78"/>
    <w:rsid w:val="00655D6A"/>
    <w:rsid w:val="00656DE9"/>
    <w:rsid w:val="0066089E"/>
    <w:rsid w:val="00672876"/>
    <w:rsid w:val="00677CC2"/>
    <w:rsid w:val="006814B9"/>
    <w:rsid w:val="006854B8"/>
    <w:rsid w:val="00685F42"/>
    <w:rsid w:val="0069207B"/>
    <w:rsid w:val="006A304E"/>
    <w:rsid w:val="006B7006"/>
    <w:rsid w:val="006C31BC"/>
    <w:rsid w:val="006C7F8C"/>
    <w:rsid w:val="006D7AB9"/>
    <w:rsid w:val="006E7292"/>
    <w:rsid w:val="006F38D3"/>
    <w:rsid w:val="006F4A8A"/>
    <w:rsid w:val="00700B2C"/>
    <w:rsid w:val="00713084"/>
    <w:rsid w:val="00717463"/>
    <w:rsid w:val="00720FC2"/>
    <w:rsid w:val="00722E89"/>
    <w:rsid w:val="00726979"/>
    <w:rsid w:val="00731E00"/>
    <w:rsid w:val="007339C7"/>
    <w:rsid w:val="007440B7"/>
    <w:rsid w:val="00747993"/>
    <w:rsid w:val="00747C38"/>
    <w:rsid w:val="007634AD"/>
    <w:rsid w:val="00765732"/>
    <w:rsid w:val="007715C9"/>
    <w:rsid w:val="00774EDD"/>
    <w:rsid w:val="007757EC"/>
    <w:rsid w:val="00781E92"/>
    <w:rsid w:val="00787BFB"/>
    <w:rsid w:val="007913DE"/>
    <w:rsid w:val="00795A98"/>
    <w:rsid w:val="007A1C57"/>
    <w:rsid w:val="007A6863"/>
    <w:rsid w:val="007B62F9"/>
    <w:rsid w:val="007C29E7"/>
    <w:rsid w:val="007C5D4E"/>
    <w:rsid w:val="007C78B4"/>
    <w:rsid w:val="007D480F"/>
    <w:rsid w:val="007E32B6"/>
    <w:rsid w:val="007E486B"/>
    <w:rsid w:val="007E7D4A"/>
    <w:rsid w:val="007F15EC"/>
    <w:rsid w:val="007F48ED"/>
    <w:rsid w:val="007F4FB3"/>
    <w:rsid w:val="007F5E3F"/>
    <w:rsid w:val="00812F45"/>
    <w:rsid w:val="00836FE9"/>
    <w:rsid w:val="0084172C"/>
    <w:rsid w:val="008425BD"/>
    <w:rsid w:val="0085175E"/>
    <w:rsid w:val="00856A31"/>
    <w:rsid w:val="008754D0"/>
    <w:rsid w:val="00877C69"/>
    <w:rsid w:val="00877D48"/>
    <w:rsid w:val="0088345B"/>
    <w:rsid w:val="0089080C"/>
    <w:rsid w:val="008A16A5"/>
    <w:rsid w:val="008A3DB2"/>
    <w:rsid w:val="008A5C57"/>
    <w:rsid w:val="008A663D"/>
    <w:rsid w:val="008B6B2F"/>
    <w:rsid w:val="008C0629"/>
    <w:rsid w:val="008D0EE0"/>
    <w:rsid w:val="008D5227"/>
    <w:rsid w:val="008D7A27"/>
    <w:rsid w:val="008E4702"/>
    <w:rsid w:val="008E69AA"/>
    <w:rsid w:val="008F4F1C"/>
    <w:rsid w:val="009069AD"/>
    <w:rsid w:val="00910E64"/>
    <w:rsid w:val="00920058"/>
    <w:rsid w:val="00922764"/>
    <w:rsid w:val="009278C1"/>
    <w:rsid w:val="00927E40"/>
    <w:rsid w:val="00932377"/>
    <w:rsid w:val="009346E3"/>
    <w:rsid w:val="009355AD"/>
    <w:rsid w:val="0094523D"/>
    <w:rsid w:val="00955D3C"/>
    <w:rsid w:val="00965A8B"/>
    <w:rsid w:val="00976A63"/>
    <w:rsid w:val="009B2490"/>
    <w:rsid w:val="009B37CE"/>
    <w:rsid w:val="009B50E5"/>
    <w:rsid w:val="009C3431"/>
    <w:rsid w:val="009C5989"/>
    <w:rsid w:val="009C6A32"/>
    <w:rsid w:val="009D08DA"/>
    <w:rsid w:val="009D5C79"/>
    <w:rsid w:val="009F0D4C"/>
    <w:rsid w:val="009F0F29"/>
    <w:rsid w:val="00A06860"/>
    <w:rsid w:val="00A136F5"/>
    <w:rsid w:val="00A21937"/>
    <w:rsid w:val="00A231E2"/>
    <w:rsid w:val="00A2550D"/>
    <w:rsid w:val="00A309A8"/>
    <w:rsid w:val="00A37966"/>
    <w:rsid w:val="00A379BB"/>
    <w:rsid w:val="00A4169B"/>
    <w:rsid w:val="00A50D55"/>
    <w:rsid w:val="00A52FDA"/>
    <w:rsid w:val="00A64912"/>
    <w:rsid w:val="00A70A74"/>
    <w:rsid w:val="00A86232"/>
    <w:rsid w:val="00A9231A"/>
    <w:rsid w:val="00A95BC7"/>
    <w:rsid w:val="00AA0343"/>
    <w:rsid w:val="00AA78CE"/>
    <w:rsid w:val="00AA7B26"/>
    <w:rsid w:val="00AC2C51"/>
    <w:rsid w:val="00AC767C"/>
    <w:rsid w:val="00AD3467"/>
    <w:rsid w:val="00AD5641"/>
    <w:rsid w:val="00AE74AB"/>
    <w:rsid w:val="00AF33DB"/>
    <w:rsid w:val="00AF351A"/>
    <w:rsid w:val="00AF5C54"/>
    <w:rsid w:val="00B032D8"/>
    <w:rsid w:val="00B05D72"/>
    <w:rsid w:val="00B1719A"/>
    <w:rsid w:val="00B20990"/>
    <w:rsid w:val="00B23FAF"/>
    <w:rsid w:val="00B33B3C"/>
    <w:rsid w:val="00B40D74"/>
    <w:rsid w:val="00B40F05"/>
    <w:rsid w:val="00B42649"/>
    <w:rsid w:val="00B46467"/>
    <w:rsid w:val="00B52001"/>
    <w:rsid w:val="00B52663"/>
    <w:rsid w:val="00B53BB7"/>
    <w:rsid w:val="00B550FD"/>
    <w:rsid w:val="00B56DCB"/>
    <w:rsid w:val="00B61728"/>
    <w:rsid w:val="00B770D2"/>
    <w:rsid w:val="00B93516"/>
    <w:rsid w:val="00B96776"/>
    <w:rsid w:val="00B97247"/>
    <w:rsid w:val="00B973E5"/>
    <w:rsid w:val="00BA47A3"/>
    <w:rsid w:val="00BA5026"/>
    <w:rsid w:val="00BA7B5B"/>
    <w:rsid w:val="00BB4E42"/>
    <w:rsid w:val="00BB5C00"/>
    <w:rsid w:val="00BB6E79"/>
    <w:rsid w:val="00BE42C5"/>
    <w:rsid w:val="00BE719A"/>
    <w:rsid w:val="00BE720A"/>
    <w:rsid w:val="00BE77B7"/>
    <w:rsid w:val="00BF048B"/>
    <w:rsid w:val="00BF0723"/>
    <w:rsid w:val="00BF6650"/>
    <w:rsid w:val="00C067E5"/>
    <w:rsid w:val="00C164CA"/>
    <w:rsid w:val="00C26051"/>
    <w:rsid w:val="00C34AB5"/>
    <w:rsid w:val="00C365DF"/>
    <w:rsid w:val="00C42BF8"/>
    <w:rsid w:val="00C460AE"/>
    <w:rsid w:val="00C50043"/>
    <w:rsid w:val="00C5015F"/>
    <w:rsid w:val="00C50A0F"/>
    <w:rsid w:val="00C50F4A"/>
    <w:rsid w:val="00C625C0"/>
    <w:rsid w:val="00C72D10"/>
    <w:rsid w:val="00C7573B"/>
    <w:rsid w:val="00C7687E"/>
    <w:rsid w:val="00C76CF3"/>
    <w:rsid w:val="00C93205"/>
    <w:rsid w:val="00C945DC"/>
    <w:rsid w:val="00CA619E"/>
    <w:rsid w:val="00CA7844"/>
    <w:rsid w:val="00CB1337"/>
    <w:rsid w:val="00CB58EF"/>
    <w:rsid w:val="00CC2184"/>
    <w:rsid w:val="00CE0A93"/>
    <w:rsid w:val="00CF0548"/>
    <w:rsid w:val="00CF0BB2"/>
    <w:rsid w:val="00D12B0D"/>
    <w:rsid w:val="00D13441"/>
    <w:rsid w:val="00D243A3"/>
    <w:rsid w:val="00D33440"/>
    <w:rsid w:val="00D41D2D"/>
    <w:rsid w:val="00D52EFE"/>
    <w:rsid w:val="00D56A0D"/>
    <w:rsid w:val="00D63EF6"/>
    <w:rsid w:val="00D66518"/>
    <w:rsid w:val="00D70DFB"/>
    <w:rsid w:val="00D71EEA"/>
    <w:rsid w:val="00D735CD"/>
    <w:rsid w:val="00D75E53"/>
    <w:rsid w:val="00D766DF"/>
    <w:rsid w:val="00D87609"/>
    <w:rsid w:val="00D90841"/>
    <w:rsid w:val="00D96A69"/>
    <w:rsid w:val="00DA2439"/>
    <w:rsid w:val="00DA6F05"/>
    <w:rsid w:val="00DB64FC"/>
    <w:rsid w:val="00DD0D05"/>
    <w:rsid w:val="00DE149E"/>
    <w:rsid w:val="00E02A1B"/>
    <w:rsid w:val="00E034DB"/>
    <w:rsid w:val="00E05704"/>
    <w:rsid w:val="00E12F1A"/>
    <w:rsid w:val="00E22935"/>
    <w:rsid w:val="00E367E1"/>
    <w:rsid w:val="00E41A05"/>
    <w:rsid w:val="00E54292"/>
    <w:rsid w:val="00E60191"/>
    <w:rsid w:val="00E66C87"/>
    <w:rsid w:val="00E74DC7"/>
    <w:rsid w:val="00E87699"/>
    <w:rsid w:val="00E92E27"/>
    <w:rsid w:val="00E9586B"/>
    <w:rsid w:val="00E97334"/>
    <w:rsid w:val="00EB3A99"/>
    <w:rsid w:val="00EB65F8"/>
    <w:rsid w:val="00ED2BF9"/>
    <w:rsid w:val="00ED4928"/>
    <w:rsid w:val="00EE3FFE"/>
    <w:rsid w:val="00EE57E8"/>
    <w:rsid w:val="00EE6190"/>
    <w:rsid w:val="00EF2E3A"/>
    <w:rsid w:val="00EF6402"/>
    <w:rsid w:val="00EF6B2E"/>
    <w:rsid w:val="00F047E2"/>
    <w:rsid w:val="00F04D57"/>
    <w:rsid w:val="00F078DC"/>
    <w:rsid w:val="00F13E86"/>
    <w:rsid w:val="00F201CD"/>
    <w:rsid w:val="00F20B52"/>
    <w:rsid w:val="00F32FCB"/>
    <w:rsid w:val="00F33523"/>
    <w:rsid w:val="00F42AEE"/>
    <w:rsid w:val="00F677A9"/>
    <w:rsid w:val="00F8121C"/>
    <w:rsid w:val="00F84CF5"/>
    <w:rsid w:val="00F8612E"/>
    <w:rsid w:val="00F94583"/>
    <w:rsid w:val="00FA420B"/>
    <w:rsid w:val="00FB1450"/>
    <w:rsid w:val="00FB6AEE"/>
    <w:rsid w:val="00FC3EAC"/>
    <w:rsid w:val="00FF39DE"/>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D09A85"/>
  <w15:docId w15:val="{B951A5E6-C7BF-46AD-BA53-6E05FB8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FB1450"/>
    <w:pPr>
      <w:ind w:left="720"/>
      <w:contextualSpacing/>
    </w:pPr>
  </w:style>
  <w:style w:type="paragraph" w:styleId="Revision">
    <w:name w:val="Revision"/>
    <w:hidden/>
    <w:uiPriority w:val="99"/>
    <w:semiHidden/>
    <w:rsid w:val="00B53BB7"/>
    <w:rPr>
      <w:sz w:val="22"/>
    </w:rPr>
  </w:style>
  <w:style w:type="character" w:styleId="CommentReference">
    <w:name w:val="annotation reference"/>
    <w:basedOn w:val="DefaultParagraphFont"/>
    <w:uiPriority w:val="99"/>
    <w:semiHidden/>
    <w:unhideWhenUsed/>
    <w:rsid w:val="005B3C51"/>
    <w:rPr>
      <w:sz w:val="16"/>
      <w:szCs w:val="16"/>
    </w:rPr>
  </w:style>
  <w:style w:type="paragraph" w:styleId="CommentText">
    <w:name w:val="annotation text"/>
    <w:basedOn w:val="Normal"/>
    <w:link w:val="CommentTextChar"/>
    <w:uiPriority w:val="99"/>
    <w:unhideWhenUsed/>
    <w:rsid w:val="005B3C51"/>
    <w:pPr>
      <w:spacing w:line="240" w:lineRule="auto"/>
    </w:pPr>
    <w:rPr>
      <w:sz w:val="20"/>
    </w:rPr>
  </w:style>
  <w:style w:type="character" w:customStyle="1" w:styleId="CommentTextChar">
    <w:name w:val="Comment Text Char"/>
    <w:basedOn w:val="DefaultParagraphFont"/>
    <w:link w:val="CommentText"/>
    <w:uiPriority w:val="99"/>
    <w:rsid w:val="005B3C51"/>
  </w:style>
  <w:style w:type="paragraph" w:styleId="CommentSubject">
    <w:name w:val="annotation subject"/>
    <w:basedOn w:val="CommentText"/>
    <w:next w:val="CommentText"/>
    <w:link w:val="CommentSubjectChar"/>
    <w:uiPriority w:val="99"/>
    <w:semiHidden/>
    <w:unhideWhenUsed/>
    <w:rsid w:val="005B3C51"/>
    <w:rPr>
      <w:b/>
      <w:bCs/>
    </w:rPr>
  </w:style>
  <w:style w:type="character" w:customStyle="1" w:styleId="CommentSubjectChar">
    <w:name w:val="Comment Subject Char"/>
    <w:basedOn w:val="CommentTextChar"/>
    <w:link w:val="CommentSubject"/>
    <w:uiPriority w:val="99"/>
    <w:semiHidden/>
    <w:rsid w:val="005B3C51"/>
    <w:rPr>
      <w:b/>
      <w:bCs/>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basedOn w:val="DefaultParagraphFont"/>
    <w:link w:val="ListParagraph"/>
    <w:uiPriority w:val="34"/>
    <w:locked/>
    <w:rsid w:val="007D480F"/>
    <w:rPr>
      <w:sz w:val="22"/>
    </w:rPr>
  </w:style>
  <w:style w:type="paragraph" w:customStyle="1" w:styleId="HD">
    <w:name w:val="HD"/>
    <w:aliases w:val="Division Heading"/>
    <w:basedOn w:val="Normal"/>
    <w:next w:val="Normal"/>
    <w:rsid w:val="007D480F"/>
    <w:pPr>
      <w:keepNext/>
      <w:spacing w:before="360" w:line="240" w:lineRule="auto"/>
      <w:ind w:left="2410" w:hanging="2410"/>
    </w:pPr>
    <w:rPr>
      <w:rFonts w:ascii="Arial" w:eastAsia="Times New Roman" w:hAnsi="Arial" w:cs="Times New Roman"/>
      <w:b/>
      <w:sz w:val="28"/>
      <w:szCs w:val="24"/>
      <w:lang w:eastAsia="en-AU"/>
    </w:rPr>
  </w:style>
  <w:style w:type="character" w:customStyle="1" w:styleId="notetextChar">
    <w:name w:val="note(text) Char"/>
    <w:aliases w:val="n Char"/>
    <w:basedOn w:val="DefaultParagraphFont"/>
    <w:link w:val="notetext"/>
    <w:rsid w:val="00920058"/>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3509">
      <w:bodyDiv w:val="1"/>
      <w:marLeft w:val="0"/>
      <w:marRight w:val="0"/>
      <w:marTop w:val="0"/>
      <w:marBottom w:val="0"/>
      <w:divBdr>
        <w:top w:val="none" w:sz="0" w:space="0" w:color="auto"/>
        <w:left w:val="none" w:sz="0" w:space="0" w:color="auto"/>
        <w:bottom w:val="none" w:sz="0" w:space="0" w:color="auto"/>
        <w:right w:val="none" w:sz="0" w:space="0" w:color="auto"/>
      </w:divBdr>
    </w:div>
    <w:div w:id="1261642067">
      <w:bodyDiv w:val="1"/>
      <w:marLeft w:val="0"/>
      <w:marRight w:val="0"/>
      <w:marTop w:val="0"/>
      <w:marBottom w:val="0"/>
      <w:divBdr>
        <w:top w:val="none" w:sz="0" w:space="0" w:color="auto"/>
        <w:left w:val="none" w:sz="0" w:space="0" w:color="auto"/>
        <w:bottom w:val="none" w:sz="0" w:space="0" w:color="auto"/>
        <w:right w:val="none" w:sz="0" w:space="0" w:color="auto"/>
      </w:divBdr>
    </w:div>
    <w:div w:id="14268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ixon\AppData\Local\Microsoft\Windows\INetCache\IE\KI7BA63H\Amending%20Instrument%20Template.dotx%20-%20AUSTRAC%20-%209089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7AB4-75FD-478E-A79E-A15982C7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 Instrument Template.dotx - AUSTRAC - 9089118</Template>
  <TotalTime>36</TotalTime>
  <Pages>18</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Dixon</dc:creator>
  <cp:lastModifiedBy>Hugh Dixon</cp:lastModifiedBy>
  <cp:revision>9</cp:revision>
  <dcterms:created xsi:type="dcterms:W3CDTF">2021-06-15T03:45:00Z</dcterms:created>
  <dcterms:modified xsi:type="dcterms:W3CDTF">2021-06-15T05:05:00Z</dcterms:modified>
</cp:coreProperties>
</file>